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5"/>
          <w:szCs w:val="15"/>
          <w:color w:val="auto"/>
        </w:rPr>
        <w:t>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color w:val="auto"/>
        </w:rPr>
        <w:t>____________________________________________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(Mark One)</w:t>
      </w:r>
    </w:p>
    <w:p>
      <w:pPr>
        <w:spacing w:after="0" w:line="120" w:lineRule="exact"/>
        <w:rPr>
          <w:sz w:val="24"/>
          <w:szCs w:val="24"/>
          <w:color w:val="auto"/>
        </w:rPr>
      </w:pPr>
    </w:p>
    <w:p>
      <w:pPr>
        <w:ind w:left="720" w:hanging="706"/>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2015</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9" w:lineRule="exact"/>
        <w:rPr>
          <w:sz w:val="24"/>
          <w:szCs w:val="24"/>
          <w:color w:val="auto"/>
        </w:rPr>
      </w:pPr>
    </w:p>
    <w:p>
      <w:pPr>
        <w:ind w:left="720" w:hanging="706"/>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5" w:lineRule="exact"/>
        <w:rPr>
          <w:sz w:val="24"/>
          <w:szCs w:val="24"/>
          <w:color w:val="auto"/>
        </w:rPr>
      </w:pPr>
    </w:p>
    <w:p>
      <w:pPr>
        <w:ind w:left="4160"/>
        <w:spacing w:after="0"/>
        <w:tabs>
          <w:tab w:leader="none" w:pos="66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 w:lineRule="exact"/>
        <w:rPr>
          <w:sz w:val="24"/>
          <w:szCs w:val="24"/>
          <w:color w:val="auto"/>
        </w:rPr>
      </w:pPr>
    </w:p>
    <w:tbl>
      <w:tblPr>
        <w:tblLayout w:type="fixed"/>
        <w:tblInd w:w="1740" w:type="dxa"/>
        <w:tblCellMar>
          <w:top w:w="0" w:type="dxa"/>
          <w:left w:w="0" w:type="dxa"/>
          <w:bottom w:w="0" w:type="dxa"/>
          <w:right w:w="0" w:type="dxa"/>
        </w:tblCellMar>
      </w:tblPr>
      <w:tr>
        <w:trPr>
          <w:trHeight w:val="172"/>
        </w:trPr>
        <w:tc>
          <w:tcPr>
            <w:tcW w:w="2140" w:type="dxa"/>
            <w:vAlign w:val="bottom"/>
          </w:tcPr>
          <w:p>
            <w:pPr>
              <w:spacing w:after="0"/>
              <w:rPr>
                <w:sz w:val="15"/>
                <w:szCs w:val="15"/>
                <w:color w:val="auto"/>
              </w:rPr>
            </w:pPr>
          </w:p>
        </w:tc>
        <w:tc>
          <w:tcPr>
            <w:tcW w:w="5240" w:type="dxa"/>
            <w:vAlign w:val="bottom"/>
          </w:tcPr>
          <w:p>
            <w:pPr>
              <w:jc w:val="center"/>
              <w:ind w:right="1500"/>
              <w:spacing w:after="0"/>
              <w:rPr>
                <w:sz w:val="20"/>
                <w:szCs w:val="20"/>
                <w:color w:val="auto"/>
              </w:rPr>
            </w:pPr>
            <w:r>
              <w:rPr>
                <w:rFonts w:ascii="Times New Roman" w:cs="Times New Roman" w:eastAsia="Times New Roman" w:hAnsi="Times New Roman"/>
                <w:sz w:val="15"/>
                <w:szCs w:val="15"/>
                <w:b w:val="1"/>
                <w:bCs w:val="1"/>
                <w:color w:val="auto"/>
              </w:rPr>
              <w:t>Commission File Number: 001-35480</w:t>
            </w:r>
          </w:p>
        </w:tc>
      </w:tr>
      <w:tr>
        <w:trPr>
          <w:trHeight w:val="155"/>
        </w:trPr>
        <w:tc>
          <w:tcPr>
            <w:tcW w:w="2140" w:type="dxa"/>
            <w:vAlign w:val="bottom"/>
          </w:tcPr>
          <w:p>
            <w:pPr>
              <w:spacing w:after="0"/>
              <w:rPr>
                <w:sz w:val="13"/>
                <w:szCs w:val="13"/>
                <w:color w:val="auto"/>
              </w:rPr>
            </w:pPr>
          </w:p>
        </w:tc>
        <w:tc>
          <w:tcPr>
            <w:tcW w:w="5240" w:type="dxa"/>
            <w:vAlign w:val="bottom"/>
          </w:tcPr>
          <w:p>
            <w:pPr>
              <w:jc w:val="center"/>
              <w:ind w:right="1460"/>
              <w:spacing w:after="0" w:line="155" w:lineRule="exact"/>
              <w:rPr>
                <w:sz w:val="20"/>
                <w:szCs w:val="20"/>
                <w:color w:val="auto"/>
              </w:rPr>
            </w:pPr>
            <w:r>
              <w:rPr>
                <w:rFonts w:ascii="Times New Roman" w:cs="Times New Roman" w:eastAsia="Times New Roman" w:hAnsi="Times New Roman"/>
                <w:sz w:val="15"/>
                <w:szCs w:val="15"/>
                <w:color w:val="auto"/>
              </w:rPr>
              <w:t>____________________________________________</w:t>
            </w:r>
          </w:p>
        </w:tc>
      </w:tr>
      <w:tr>
        <w:trPr>
          <w:trHeight w:val="484"/>
        </w:trPr>
        <w:tc>
          <w:tcPr>
            <w:tcW w:w="2140" w:type="dxa"/>
            <w:vAlign w:val="bottom"/>
          </w:tcPr>
          <w:p>
            <w:pPr>
              <w:spacing w:after="0"/>
              <w:rPr>
                <w:sz w:val="24"/>
                <w:szCs w:val="24"/>
                <w:color w:val="auto"/>
              </w:rPr>
            </w:pPr>
          </w:p>
        </w:tc>
        <w:tc>
          <w:tcPr>
            <w:tcW w:w="5240" w:type="dxa"/>
            <w:vAlign w:val="bottom"/>
          </w:tcPr>
          <w:p>
            <w:pPr>
              <w:jc w:val="center"/>
              <w:ind w:right="1460"/>
              <w:spacing w:after="0"/>
              <w:rPr>
                <w:sz w:val="20"/>
                <w:szCs w:val="20"/>
                <w:color w:val="auto"/>
              </w:rPr>
            </w:pPr>
            <w:r>
              <w:rPr>
                <w:rFonts w:ascii="Times New Roman" w:cs="Times New Roman" w:eastAsia="Times New Roman" w:hAnsi="Times New Roman"/>
                <w:sz w:val="37"/>
                <w:szCs w:val="37"/>
                <w:b w:val="1"/>
                <w:bCs w:val="1"/>
                <w:color w:val="auto"/>
                <w:w w:val="98"/>
              </w:rPr>
              <w:t>Enphase Energy, Inc.</w:t>
            </w:r>
          </w:p>
        </w:tc>
      </w:tr>
      <w:tr>
        <w:trPr>
          <w:trHeight w:val="229"/>
        </w:trPr>
        <w:tc>
          <w:tcPr>
            <w:tcW w:w="2140" w:type="dxa"/>
            <w:vAlign w:val="bottom"/>
          </w:tcPr>
          <w:p>
            <w:pPr>
              <w:spacing w:after="0"/>
              <w:rPr>
                <w:sz w:val="19"/>
                <w:szCs w:val="19"/>
                <w:color w:val="auto"/>
              </w:rPr>
            </w:pPr>
          </w:p>
        </w:tc>
        <w:tc>
          <w:tcPr>
            <w:tcW w:w="5240" w:type="dxa"/>
            <w:vAlign w:val="bottom"/>
          </w:tcPr>
          <w:p>
            <w:pPr>
              <w:jc w:val="center"/>
              <w:ind w:right="148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198"/>
        </w:trPr>
        <w:tc>
          <w:tcPr>
            <w:tcW w:w="2140" w:type="dxa"/>
            <w:vAlign w:val="bottom"/>
          </w:tcPr>
          <w:p>
            <w:pPr>
              <w:spacing w:after="0"/>
              <w:rPr>
                <w:sz w:val="17"/>
                <w:szCs w:val="17"/>
                <w:color w:val="auto"/>
              </w:rPr>
            </w:pPr>
          </w:p>
        </w:tc>
        <w:tc>
          <w:tcPr>
            <w:tcW w:w="5240" w:type="dxa"/>
            <w:vAlign w:val="bottom"/>
          </w:tcPr>
          <w:p>
            <w:pPr>
              <w:jc w:val="center"/>
              <w:ind w:right="1460"/>
              <w:spacing w:after="0"/>
              <w:rPr>
                <w:sz w:val="20"/>
                <w:szCs w:val="20"/>
                <w:color w:val="auto"/>
              </w:rPr>
            </w:pPr>
            <w:r>
              <w:rPr>
                <w:rFonts w:ascii="Times New Roman" w:cs="Times New Roman" w:eastAsia="Times New Roman" w:hAnsi="Times New Roman"/>
                <w:sz w:val="15"/>
                <w:szCs w:val="15"/>
                <w:color w:val="auto"/>
              </w:rPr>
              <w:t>____________________________________________</w:t>
            </w:r>
          </w:p>
        </w:tc>
      </w:tr>
      <w:tr>
        <w:trPr>
          <w:trHeight w:val="275"/>
        </w:trPr>
        <w:tc>
          <w:tcPr>
            <w:tcW w:w="214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5240" w:type="dxa"/>
            <w:vAlign w:val="bottom"/>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20-4645388</w:t>
            </w:r>
          </w:p>
        </w:tc>
      </w:tr>
      <w:tr>
        <w:trPr>
          <w:trHeight w:val="126"/>
        </w:trPr>
        <w:tc>
          <w:tcPr>
            <w:tcW w:w="2140" w:type="dxa"/>
            <w:vAlign w:val="bottom"/>
          </w:tcPr>
          <w:p>
            <w:pPr>
              <w:jc w:val="center"/>
              <w:ind w:right="71"/>
              <w:spacing w:after="0" w:line="126"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5240" w:type="dxa"/>
            <w:vAlign w:val="bottom"/>
          </w:tcPr>
          <w:p>
            <w:pPr>
              <w:jc w:val="center"/>
              <w:ind w:left="4200"/>
              <w:spacing w:after="0" w:line="126"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0"/>
        </w:trPr>
        <w:tc>
          <w:tcPr>
            <w:tcW w:w="214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5240" w:type="dxa"/>
            <w:vAlign w:val="bottom"/>
          </w:tcPr>
          <w:p>
            <w:pPr>
              <w:jc w:val="center"/>
              <w:ind w:left="420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99"/>
        </w:trPr>
        <w:tc>
          <w:tcPr>
            <w:tcW w:w="214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rPr>
              <w:t>1420 N. McDowell Blvd.</w:t>
            </w:r>
          </w:p>
        </w:tc>
        <w:tc>
          <w:tcPr>
            <w:tcW w:w="5240" w:type="dxa"/>
            <w:vAlign w:val="bottom"/>
          </w:tcPr>
          <w:p>
            <w:pPr>
              <w:spacing w:after="0"/>
              <w:rPr>
                <w:sz w:val="24"/>
                <w:szCs w:val="24"/>
                <w:color w:val="auto"/>
              </w:rPr>
            </w:pPr>
          </w:p>
        </w:tc>
      </w:tr>
      <w:tr>
        <w:trPr>
          <w:trHeight w:val="202"/>
        </w:trPr>
        <w:tc>
          <w:tcPr>
            <w:tcW w:w="214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rPr>
              <w:t>Petaluma, California</w:t>
            </w:r>
          </w:p>
        </w:tc>
        <w:tc>
          <w:tcPr>
            <w:tcW w:w="52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94954</w:t>
            </w:r>
          </w:p>
        </w:tc>
      </w:tr>
      <w:tr>
        <w:trPr>
          <w:trHeight w:val="184"/>
        </w:trPr>
        <w:tc>
          <w:tcPr>
            <w:tcW w:w="214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5240" w:type="dxa"/>
            <w:vAlign w:val="bottom"/>
          </w:tcPr>
          <w:p>
            <w:pPr>
              <w:jc w:val="center"/>
              <w:ind w:left="420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96"/>
        </w:trPr>
        <w:tc>
          <w:tcPr>
            <w:tcW w:w="2140" w:type="dxa"/>
            <w:vAlign w:val="bottom"/>
          </w:tcPr>
          <w:p>
            <w:pPr>
              <w:spacing w:after="0"/>
              <w:rPr>
                <w:sz w:val="24"/>
                <w:szCs w:val="24"/>
                <w:color w:val="auto"/>
              </w:rPr>
            </w:pPr>
          </w:p>
        </w:tc>
        <w:tc>
          <w:tcPr>
            <w:tcW w:w="5240" w:type="dxa"/>
            <w:vAlign w:val="bottom"/>
          </w:tcPr>
          <w:p>
            <w:pPr>
              <w:jc w:val="center"/>
              <w:ind w:right="1500"/>
              <w:spacing w:after="0"/>
              <w:rPr>
                <w:sz w:val="20"/>
                <w:szCs w:val="20"/>
                <w:color w:val="auto"/>
              </w:rPr>
            </w:pPr>
            <w:r>
              <w:rPr>
                <w:rFonts w:ascii="Times New Roman" w:cs="Times New Roman" w:eastAsia="Times New Roman" w:hAnsi="Times New Roman"/>
                <w:sz w:val="15"/>
                <w:szCs w:val="15"/>
                <w:b w:val="1"/>
                <w:bCs w:val="1"/>
                <w:color w:val="auto"/>
              </w:rPr>
              <w:t>(707) 774-7000</w:t>
            </w:r>
          </w:p>
        </w:tc>
      </w:tr>
      <w:tr>
        <w:trPr>
          <w:trHeight w:val="133"/>
        </w:trPr>
        <w:tc>
          <w:tcPr>
            <w:tcW w:w="2140" w:type="dxa"/>
            <w:vAlign w:val="bottom"/>
          </w:tcPr>
          <w:p>
            <w:pPr>
              <w:spacing w:after="0"/>
              <w:rPr>
                <w:sz w:val="11"/>
                <w:szCs w:val="11"/>
                <w:color w:val="auto"/>
              </w:rPr>
            </w:pPr>
          </w:p>
        </w:tc>
        <w:tc>
          <w:tcPr>
            <w:tcW w:w="5240" w:type="dxa"/>
            <w:vAlign w:val="bottom"/>
          </w:tcPr>
          <w:p>
            <w:pPr>
              <w:jc w:val="center"/>
              <w:ind w:right="1500"/>
              <w:spacing w:after="0" w:line="133" w:lineRule="exact"/>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r>
      <w:tr>
        <w:trPr>
          <w:trHeight w:val="198"/>
        </w:trPr>
        <w:tc>
          <w:tcPr>
            <w:tcW w:w="2140" w:type="dxa"/>
            <w:vAlign w:val="bottom"/>
          </w:tcPr>
          <w:p>
            <w:pPr>
              <w:spacing w:after="0"/>
              <w:rPr>
                <w:sz w:val="17"/>
                <w:szCs w:val="17"/>
                <w:color w:val="auto"/>
              </w:rPr>
            </w:pPr>
          </w:p>
        </w:tc>
        <w:tc>
          <w:tcPr>
            <w:tcW w:w="5240" w:type="dxa"/>
            <w:vAlign w:val="bottom"/>
          </w:tcPr>
          <w:p>
            <w:pPr>
              <w:jc w:val="center"/>
              <w:ind w:right="1460"/>
              <w:spacing w:after="0"/>
              <w:rPr>
                <w:sz w:val="20"/>
                <w:szCs w:val="20"/>
                <w:color w:val="auto"/>
              </w:rPr>
            </w:pPr>
            <w:r>
              <w:rPr>
                <w:rFonts w:ascii="Times New Roman" w:cs="Times New Roman" w:eastAsia="Times New Roman" w:hAnsi="Times New Roman"/>
                <w:sz w:val="15"/>
                <w:szCs w:val="15"/>
                <w:color w:val="auto"/>
              </w:rPr>
              <w:t>____________________________________________</w:t>
            </w:r>
          </w:p>
        </w:tc>
      </w:tr>
    </w:tbl>
    <w:p>
      <w:pPr>
        <w:spacing w:after="0" w:line="156" w:lineRule="exact"/>
        <w:rPr>
          <w:sz w:val="24"/>
          <w:szCs w:val="24"/>
          <w:color w:val="auto"/>
        </w:rPr>
      </w:pPr>
    </w:p>
    <w:p>
      <w:pPr>
        <w:spacing w:after="0" w:line="19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5"/>
          <w:szCs w:val="15"/>
          <w:color w:val="auto"/>
        </w:rPr>
        <w:t>☐</w:t>
      </w:r>
    </w:p>
    <w:p>
      <w:pPr>
        <w:spacing w:after="0" w:line="39" w:lineRule="exact"/>
        <w:rPr>
          <w:sz w:val="24"/>
          <w:szCs w:val="24"/>
          <w:color w:val="auto"/>
        </w:rPr>
      </w:pPr>
    </w:p>
    <w:p>
      <w:pPr>
        <w:jc w:val="both"/>
        <w:ind w:right="340"/>
        <w:spacing w:after="0" w:line="19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5"/>
          <w:szCs w:val="15"/>
          <w:color w:val="auto"/>
        </w:rPr>
        <w:t>☐</w:t>
      </w:r>
    </w:p>
    <w:p>
      <w:pPr>
        <w:spacing w:after="0" w:line="39" w:lineRule="exact"/>
        <w:rPr>
          <w:sz w:val="24"/>
          <w:szCs w:val="24"/>
          <w:color w:val="auto"/>
        </w:rPr>
      </w:pPr>
    </w:p>
    <w:p>
      <w:pPr>
        <w:ind w:right="640"/>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40"/>
          </w:cols>
          <w:pgMar w:left="240" w:top="216" w:right="219" w:bottom="1440" w:gutter="0" w:footer="0" w:header="0"/>
        </w:sectPr>
      </w:pPr>
    </w:p>
    <w:p>
      <w:pPr>
        <w:spacing w:after="0" w:line="8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133" w:lineRule="exact"/>
        <w:rPr>
          <w:sz w:val="24"/>
          <w:szCs w:val="24"/>
          <w:color w:val="auto"/>
        </w:rPr>
      </w:pPr>
    </w:p>
    <w:p>
      <w:pPr>
        <w:sectPr>
          <w:pgSz w:w="11900" w:h="16838" w:orient="portrait"/>
          <w:cols w:equalWidth="0" w:num="4">
            <w:col w:w="1940" w:space="720"/>
            <w:col w:w="4540" w:space="720"/>
            <w:col w:w="2480" w:space="720"/>
            <w:col w:w="320"/>
          </w:cols>
          <w:pgMar w:left="240" w:top="216" w:right="219" w:bottom="1440" w:gutter="0" w:footer="0" w:header="0"/>
          <w:type w:val="continuous"/>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5">
            <w:col w:w="1940" w:space="720"/>
            <w:col w:w="140" w:space="40"/>
            <w:col w:w="4360" w:space="720"/>
            <w:col w:w="2480" w:space="720"/>
            <w:col w:w="320"/>
          </w:cols>
          <w:pgMar w:left="240" w:top="216" w:right="21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 x</w:t>
      </w:r>
    </w:p>
    <w:p>
      <w:pPr>
        <w:spacing w:after="0" w:line="79" w:lineRule="exact"/>
        <w:rPr>
          <w:sz w:val="24"/>
          <w:szCs w:val="24"/>
          <w:color w:val="auto"/>
        </w:rPr>
      </w:pPr>
    </w:p>
    <w:p>
      <w:pPr>
        <w:sectPr>
          <w:pgSz w:w="11900" w:h="16838" w:orient="portrait"/>
          <w:cols w:equalWidth="0" w:num="4">
            <w:col w:w="6900" w:space="160"/>
            <w:col w:w="220" w:space="80"/>
            <w:col w:w="120" w:space="160"/>
            <w:col w:w="3800"/>
          </w:cols>
          <w:pgMar w:left="240" w:top="216"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As of April 30, 2015, there were 44,155,790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675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675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ectPr>
          <w:pgSz w:w="11900" w:h="16838" w:orient="portrait"/>
          <w:cols w:equalWidth="0" w:num="1">
            <w:col w:w="11440"/>
          </w:cols>
          <w:pgMar w:left="240" w:top="216" w:right="219" w:bottom="1440" w:gutter="0" w:footer="0" w:header="0"/>
          <w:type w:val="continuous"/>
        </w:sectPr>
      </w:pPr>
    </w:p>
    <w:bookmarkStart w:id="1" w:name="page2"/>
    <w:bookmarkEnd w:id="1"/>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ENPHASE ENERGY, INC.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10-Q FOR THE QUARTERLY PERIOD ENDED MARCH 31, 2015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60"/>
        </w:trPr>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0" w:type="dxa"/>
            <w:vAlign w:val="bottom"/>
            <w:tcBorders>
              <w:bottom w:val="single" w:sz="8" w:color="0000EE"/>
            </w:tcBorders>
            <w:gridSpan w:val="7"/>
          </w:tcPr>
          <w:p>
            <w:pPr>
              <w:jc w:val="center"/>
              <w:spacing w:after="0" w:line="160" w:lineRule="exact"/>
              <w:rPr>
                <w:rFonts w:ascii="Times New Roman" w:cs="Times New Roman" w:eastAsia="Times New Roman" w:hAnsi="Times New Roman"/>
                <w:sz w:val="15"/>
                <w:szCs w:val="15"/>
                <w:b w:val="1"/>
                <w:bCs w:val="1"/>
                <w:color w:val="0000EE"/>
              </w:rPr>
            </w:pPr>
            <w:hyperlink w:anchor="page2">
              <w:r>
                <w:rPr>
                  <w:rFonts w:ascii="Times New Roman" w:cs="Times New Roman" w:eastAsia="Times New Roman" w:hAnsi="Times New Roman"/>
                  <w:sz w:val="15"/>
                  <w:szCs w:val="15"/>
                  <w:b w:val="1"/>
                  <w:bCs w:val="1"/>
                  <w:color w:val="0000EE"/>
                </w:rPr>
                <w:t>PART I. FINANCIAL INFORMATION</w:t>
              </w:r>
            </w:hyperlink>
          </w:p>
        </w:tc>
        <w:tc>
          <w:tcPr>
            <w:tcW w:w="3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3"/>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8560" w:type="dxa"/>
            <w:vAlign w:val="bottom"/>
            <w:gridSpan w:val="18"/>
          </w:tcPr>
          <w:p>
            <w:pPr>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Financial Statements (Unaudited)</w:t>
              </w:r>
            </w:hyperlink>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3</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18"/>
                <w:szCs w:val="18"/>
                <w:color w:val="auto"/>
              </w:rPr>
            </w:pPr>
          </w:p>
        </w:tc>
        <w:tc>
          <w:tcPr>
            <w:tcW w:w="2480" w:type="dxa"/>
            <w:vAlign w:val="bottom"/>
            <w:gridSpan w:val="9"/>
          </w:tcPr>
          <w:p>
            <w:pPr>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Condensed Consolidated Balance Sheets</w:t>
              </w:r>
            </w:hyperlink>
          </w:p>
        </w:tc>
        <w:tc>
          <w:tcPr>
            <w:tcW w:w="6080" w:type="dxa"/>
            <w:vAlign w:val="bottom"/>
            <w:gridSpan w:val="9"/>
          </w:tcPr>
          <w:p>
            <w:pPr>
              <w:spacing w:after="0"/>
              <w:rPr>
                <w:sz w:val="18"/>
                <w:szCs w:val="18"/>
                <w:color w:val="auto"/>
              </w:rPr>
            </w:pPr>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3</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18"/>
                <w:szCs w:val="18"/>
                <w:color w:val="auto"/>
              </w:rPr>
            </w:pPr>
          </w:p>
        </w:tc>
        <w:tc>
          <w:tcPr>
            <w:tcW w:w="3100" w:type="dxa"/>
            <w:vAlign w:val="bottom"/>
            <w:gridSpan w:val="11"/>
          </w:tcPr>
          <w:p>
            <w:pPr>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Condensed Consolidated Statements of Operations</w:t>
              </w:r>
            </w:hyperlink>
          </w:p>
        </w:tc>
        <w:tc>
          <w:tcPr>
            <w:tcW w:w="5460" w:type="dxa"/>
            <w:vAlign w:val="bottom"/>
            <w:gridSpan w:val="7"/>
          </w:tcPr>
          <w:p>
            <w:pPr>
              <w:spacing w:after="0"/>
              <w:rPr>
                <w:sz w:val="18"/>
                <w:szCs w:val="18"/>
                <w:color w:val="auto"/>
              </w:rPr>
            </w:pPr>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4</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18"/>
                <w:szCs w:val="18"/>
                <w:color w:val="auto"/>
              </w:rPr>
            </w:pPr>
          </w:p>
        </w:tc>
        <w:tc>
          <w:tcPr>
            <w:tcW w:w="3720" w:type="dxa"/>
            <w:vAlign w:val="bottom"/>
            <w:gridSpan w:val="14"/>
          </w:tcPr>
          <w:p>
            <w:pPr>
              <w:spacing w:after="0"/>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Condensed Consolidated Statements of Comprehensive Loss</w:t>
              </w:r>
            </w:hyperlink>
          </w:p>
        </w:tc>
        <w:tc>
          <w:tcPr>
            <w:tcW w:w="4840" w:type="dxa"/>
            <w:vAlign w:val="bottom"/>
            <w:gridSpan w:val="4"/>
          </w:tcPr>
          <w:p>
            <w:pPr>
              <w:spacing w:after="0"/>
              <w:rPr>
                <w:sz w:val="18"/>
                <w:szCs w:val="18"/>
                <w:color w:val="auto"/>
              </w:rPr>
            </w:pPr>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5</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18"/>
                <w:szCs w:val="18"/>
                <w:color w:val="auto"/>
              </w:rPr>
            </w:pPr>
          </w:p>
        </w:tc>
        <w:tc>
          <w:tcPr>
            <w:tcW w:w="3100" w:type="dxa"/>
            <w:vAlign w:val="bottom"/>
            <w:gridSpan w:val="11"/>
          </w:tcPr>
          <w:p>
            <w:pPr>
              <w:spacing w:after="0"/>
              <w:rPr>
                <w:rFonts w:ascii="Times New Roman" w:cs="Times New Roman" w:eastAsia="Times New Roman" w:hAnsi="Times New Roman"/>
                <w:sz w:val="15"/>
                <w:szCs w:val="15"/>
                <w:color w:val="0000EE"/>
                <w:w w:val="98"/>
              </w:rPr>
            </w:pPr>
            <w:hyperlink w:anchor="page5">
              <w:r>
                <w:rPr>
                  <w:rFonts w:ascii="Times New Roman" w:cs="Times New Roman" w:eastAsia="Times New Roman" w:hAnsi="Times New Roman"/>
                  <w:sz w:val="15"/>
                  <w:szCs w:val="15"/>
                  <w:color w:val="0000EE"/>
                  <w:w w:val="98"/>
                </w:rPr>
                <w:t>Condensed Consolidated Statements of Cash Flows</w:t>
              </w:r>
            </w:hyperlink>
          </w:p>
        </w:tc>
        <w:tc>
          <w:tcPr>
            <w:tcW w:w="620" w:type="dxa"/>
            <w:vAlign w:val="bottom"/>
            <w:gridSpan w:val="3"/>
          </w:tcPr>
          <w:p>
            <w:pPr>
              <w:spacing w:after="0"/>
              <w:rPr>
                <w:sz w:val="18"/>
                <w:szCs w:val="18"/>
                <w:color w:val="auto"/>
              </w:rPr>
            </w:pPr>
          </w:p>
        </w:tc>
        <w:tc>
          <w:tcPr>
            <w:tcW w:w="4840" w:type="dxa"/>
            <w:vAlign w:val="bottom"/>
            <w:gridSpan w:val="4"/>
          </w:tcPr>
          <w:p>
            <w:pPr>
              <w:spacing w:after="0"/>
              <w:rPr>
                <w:sz w:val="18"/>
                <w:szCs w:val="18"/>
                <w:color w:val="auto"/>
              </w:rPr>
            </w:pPr>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6</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18"/>
                <w:szCs w:val="18"/>
                <w:color w:val="auto"/>
              </w:rPr>
            </w:pPr>
          </w:p>
        </w:tc>
        <w:tc>
          <w:tcPr>
            <w:tcW w:w="3380" w:type="dxa"/>
            <w:vAlign w:val="bottom"/>
            <w:gridSpan w:val="12"/>
          </w:tcPr>
          <w:p>
            <w:pPr>
              <w:spacing w:after="0"/>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Notes to Condensed Consolidated Financial Statements</w:t>
              </w:r>
            </w:hyperlink>
          </w:p>
        </w:tc>
        <w:tc>
          <w:tcPr>
            <w:tcW w:w="5180" w:type="dxa"/>
            <w:vAlign w:val="bottom"/>
            <w:gridSpan w:val="6"/>
          </w:tcPr>
          <w:p>
            <w:pPr>
              <w:spacing w:after="0"/>
              <w:rPr>
                <w:sz w:val="18"/>
                <w:szCs w:val="18"/>
                <w:color w:val="auto"/>
              </w:rPr>
            </w:pPr>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7</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546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rPr>
            </w:pPr>
            <w:hyperlink w:anchor="page13">
              <w:r>
                <w:rPr>
                  <w:rFonts w:ascii="Times New Roman" w:cs="Times New Roman" w:eastAsia="Times New Roman" w:hAnsi="Times New Roman"/>
                  <w:sz w:val="15"/>
                  <w:szCs w:val="15"/>
                  <w:color w:val="0000EE"/>
                </w:rPr>
                <w:t>Management’s Discussion and Analysis of Financial Condition and Results of Operations</w:t>
              </w:r>
            </w:hyperlink>
          </w:p>
        </w:tc>
        <w:tc>
          <w:tcPr>
            <w:tcW w:w="31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92"/>
              </w:rPr>
            </w:pPr>
            <w:hyperlink w:anchor="page13">
              <w:r>
                <w:rPr>
                  <w:rFonts w:ascii="Times New Roman" w:cs="Times New Roman" w:eastAsia="Times New Roman" w:hAnsi="Times New Roman"/>
                  <w:sz w:val="15"/>
                  <w:szCs w:val="15"/>
                  <w:color w:val="0000EE"/>
                  <w:w w:val="92"/>
                </w:rPr>
                <w:t>14</w:t>
              </w:r>
            </w:hyperlink>
          </w:p>
        </w:tc>
        <w:tc>
          <w:tcPr>
            <w:tcW w:w="20" w:type="dxa"/>
            <w:vAlign w:val="bottom"/>
          </w:tcPr>
          <w:p>
            <w:pPr>
              <w:spacing w:after="0"/>
              <w:rPr>
                <w:sz w:val="18"/>
                <w:szCs w:val="18"/>
                <w:color w:val="auto"/>
              </w:rPr>
            </w:pPr>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372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w:anchor="page19">
              <w:r>
                <w:rPr>
                  <w:rFonts w:ascii="Times New Roman" w:cs="Times New Roman" w:eastAsia="Times New Roman" w:hAnsi="Times New Roman"/>
                  <w:sz w:val="15"/>
                  <w:szCs w:val="15"/>
                  <w:color w:val="0000EE"/>
                </w:rPr>
                <w:t>Quantitative and Qualitative Disclosures About Market Risk</w:t>
              </w:r>
            </w:hyperlink>
          </w:p>
        </w:tc>
        <w:tc>
          <w:tcPr>
            <w:tcW w:w="4840" w:type="dxa"/>
            <w:vAlign w:val="bottom"/>
            <w:gridSpan w:val="4"/>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92"/>
              </w:rPr>
            </w:pPr>
            <w:hyperlink w:anchor="page19">
              <w:r>
                <w:rPr>
                  <w:rFonts w:ascii="Times New Roman" w:cs="Times New Roman" w:eastAsia="Times New Roman" w:hAnsi="Times New Roman"/>
                  <w:sz w:val="15"/>
                  <w:szCs w:val="15"/>
                  <w:color w:val="0000EE"/>
                  <w:w w:val="92"/>
                </w:rPr>
                <w:t>20</w:t>
              </w:r>
            </w:hyperlink>
          </w:p>
        </w:tc>
        <w:tc>
          <w:tcPr>
            <w:tcW w:w="20" w:type="dxa"/>
            <w:vAlign w:val="bottom"/>
          </w:tcPr>
          <w:p>
            <w:pPr>
              <w:spacing w:after="0"/>
              <w:rPr>
                <w:sz w:val="18"/>
                <w:szCs w:val="18"/>
                <w:color w:val="auto"/>
              </w:rPr>
            </w:pPr>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8560" w:type="dxa"/>
            <w:vAlign w:val="bottom"/>
            <w:gridSpan w:val="18"/>
          </w:tcPr>
          <w:p>
            <w:pPr>
              <w:spacing w:after="0"/>
              <w:rPr>
                <w:rFonts w:ascii="Times New Roman" w:cs="Times New Roman" w:eastAsia="Times New Roman" w:hAnsi="Times New Roman"/>
                <w:sz w:val="15"/>
                <w:szCs w:val="15"/>
                <w:color w:val="0000EE"/>
              </w:rPr>
            </w:pPr>
            <w:hyperlink w:anchor="page20">
              <w:r>
                <w:rPr>
                  <w:rFonts w:ascii="Times New Roman" w:cs="Times New Roman" w:eastAsia="Times New Roman" w:hAnsi="Times New Roman"/>
                  <w:sz w:val="15"/>
                  <w:szCs w:val="15"/>
                  <w:color w:val="0000EE"/>
                </w:rPr>
                <w:t>Controls and Procedures</w:t>
              </w:r>
            </w:hyperlink>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20">
              <w:r>
                <w:rPr>
                  <w:rFonts w:ascii="Times New Roman" w:cs="Times New Roman" w:eastAsia="Times New Roman" w:hAnsi="Times New Roman"/>
                  <w:sz w:val="15"/>
                  <w:szCs w:val="15"/>
                  <w:color w:val="0000EE"/>
                </w:rPr>
                <w:t>20</w:t>
              </w:r>
            </w:hyperlink>
          </w:p>
        </w:tc>
      </w:tr>
      <w:tr>
        <w:trPr>
          <w:trHeight w:val="311"/>
        </w:trPr>
        <w:tc>
          <w:tcPr>
            <w:tcW w:w="13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bottom w:val="single" w:sz="8" w:color="0000EE"/>
            </w:tcBorders>
            <w:gridSpan w:val="4"/>
          </w:tcPr>
          <w:p>
            <w:pPr>
              <w:jc w:val="center"/>
              <w:spacing w:after="0"/>
              <w:rPr>
                <w:rFonts w:ascii="Times New Roman" w:cs="Times New Roman" w:eastAsia="Times New Roman" w:hAnsi="Times New Roman"/>
                <w:sz w:val="15"/>
                <w:szCs w:val="15"/>
                <w:b w:val="1"/>
                <w:bCs w:val="1"/>
                <w:color w:val="0000EE"/>
              </w:rPr>
            </w:pPr>
            <w:hyperlink w:anchor="page20">
              <w:r>
                <w:rPr>
                  <w:rFonts w:ascii="Times New Roman" w:cs="Times New Roman" w:eastAsia="Times New Roman" w:hAnsi="Times New Roman"/>
                  <w:sz w:val="15"/>
                  <w:szCs w:val="15"/>
                  <w:b w:val="1"/>
                  <w:bCs w:val="1"/>
                  <w:color w:val="0000EE"/>
                </w:rPr>
                <w:t>PART II. OTHER INFORMATION</w:t>
              </w:r>
            </w:hyperlink>
          </w:p>
        </w:tc>
        <w:tc>
          <w:tcPr>
            <w:tcW w:w="3120" w:type="dxa"/>
            <w:vAlign w:val="bottom"/>
            <w:gridSpan w:val="3"/>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8560" w:type="dxa"/>
            <w:vAlign w:val="bottom"/>
            <w:gridSpan w:val="18"/>
          </w:tcPr>
          <w:p>
            <w:pPr>
              <w:spacing w:after="0"/>
              <w:rPr>
                <w:rFonts w:ascii="Times New Roman" w:cs="Times New Roman" w:eastAsia="Times New Roman" w:hAnsi="Times New Roman"/>
                <w:sz w:val="15"/>
                <w:szCs w:val="15"/>
                <w:color w:val="0000EE"/>
              </w:rPr>
            </w:pPr>
            <w:hyperlink w:anchor="page21">
              <w:r>
                <w:rPr>
                  <w:rFonts w:ascii="Times New Roman" w:cs="Times New Roman" w:eastAsia="Times New Roman" w:hAnsi="Times New Roman"/>
                  <w:sz w:val="15"/>
                  <w:szCs w:val="15"/>
                  <w:color w:val="0000EE"/>
                </w:rPr>
                <w:t>Legal Proceedings</w:t>
              </w:r>
            </w:hyperlink>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21">
              <w:r>
                <w:rPr>
                  <w:rFonts w:ascii="Times New Roman" w:cs="Times New Roman" w:eastAsia="Times New Roman" w:hAnsi="Times New Roman"/>
                  <w:sz w:val="15"/>
                  <w:szCs w:val="15"/>
                  <w:color w:val="0000EE"/>
                </w:rPr>
                <w:t>21</w:t>
              </w:r>
            </w:hyperlink>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1A.</w:t>
            </w:r>
          </w:p>
        </w:tc>
        <w:tc>
          <w:tcPr>
            <w:tcW w:w="1120" w:type="dxa"/>
            <w:vAlign w:val="bottom"/>
            <w:tcBorders>
              <w:top w:val="single" w:sz="8" w:color="0000EE"/>
            </w:tcBorders>
            <w:gridSpan w:val="5"/>
          </w:tcPr>
          <w:p>
            <w:pPr>
              <w:spacing w:after="0"/>
              <w:rPr>
                <w:rFonts w:ascii="Times New Roman" w:cs="Times New Roman" w:eastAsia="Times New Roman" w:hAnsi="Times New Roman"/>
                <w:sz w:val="15"/>
                <w:szCs w:val="15"/>
                <w:color w:val="0000EE"/>
              </w:rPr>
            </w:pPr>
            <w:hyperlink w:anchor="page21">
              <w:r>
                <w:rPr>
                  <w:rFonts w:ascii="Times New Roman" w:cs="Times New Roman" w:eastAsia="Times New Roman" w:hAnsi="Times New Roman"/>
                  <w:sz w:val="15"/>
                  <w:szCs w:val="15"/>
                  <w:color w:val="0000EE"/>
                </w:rPr>
                <w:t>Risk Factors</w:t>
              </w:r>
            </w:hyperlink>
          </w:p>
        </w:tc>
        <w:tc>
          <w:tcPr>
            <w:tcW w:w="7440" w:type="dxa"/>
            <w:vAlign w:val="bottom"/>
            <w:gridSpan w:val="13"/>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top w:val="single" w:sz="8" w:color="0000EE"/>
            </w:tcBorders>
            <w:gridSpan w:val="2"/>
          </w:tcPr>
          <w:p>
            <w:pPr>
              <w:jc w:val="right"/>
              <w:spacing w:after="0"/>
              <w:rPr>
                <w:rFonts w:ascii="Times New Roman" w:cs="Times New Roman" w:eastAsia="Times New Roman" w:hAnsi="Times New Roman"/>
                <w:sz w:val="15"/>
                <w:szCs w:val="15"/>
                <w:color w:val="0000EE"/>
                <w:w w:val="92"/>
              </w:rPr>
            </w:pPr>
            <w:hyperlink w:anchor="page21">
              <w:r>
                <w:rPr>
                  <w:rFonts w:ascii="Times New Roman" w:cs="Times New Roman" w:eastAsia="Times New Roman" w:hAnsi="Times New Roman"/>
                  <w:sz w:val="15"/>
                  <w:szCs w:val="15"/>
                  <w:color w:val="0000EE"/>
                  <w:w w:val="92"/>
                </w:rPr>
                <w:t>21</w:t>
              </w:r>
            </w:hyperlink>
          </w:p>
        </w:tc>
        <w:tc>
          <w:tcPr>
            <w:tcW w:w="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3680" w:type="dxa"/>
            <w:vAlign w:val="bottom"/>
            <w:tcBorders>
              <w:bottom w:val="single" w:sz="8" w:color="0000EE"/>
            </w:tcBorders>
            <w:gridSpan w:val="13"/>
          </w:tcPr>
          <w:p>
            <w:pPr>
              <w:spacing w:after="0"/>
              <w:rPr>
                <w:rFonts w:ascii="Times New Roman" w:cs="Times New Roman" w:eastAsia="Times New Roman" w:hAnsi="Times New Roman"/>
                <w:sz w:val="15"/>
                <w:szCs w:val="15"/>
                <w:color w:val="0000EE"/>
              </w:rPr>
            </w:pPr>
            <w:hyperlink w:anchor="page38">
              <w:r>
                <w:rPr>
                  <w:rFonts w:ascii="Times New Roman" w:cs="Times New Roman" w:eastAsia="Times New Roman" w:hAnsi="Times New Roman"/>
                  <w:sz w:val="15"/>
                  <w:szCs w:val="15"/>
                  <w:color w:val="0000EE"/>
                </w:rPr>
                <w:t>Unregistered Sales of Equity Securities and Use of Proceeds</w:t>
              </w:r>
            </w:hyperlink>
          </w:p>
        </w:tc>
        <w:tc>
          <w:tcPr>
            <w:tcW w:w="4880" w:type="dxa"/>
            <w:vAlign w:val="bottom"/>
            <w:gridSpan w:val="5"/>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92"/>
              </w:rPr>
            </w:pPr>
            <w:hyperlink w:anchor="page38">
              <w:r>
                <w:rPr>
                  <w:rFonts w:ascii="Times New Roman" w:cs="Times New Roman" w:eastAsia="Times New Roman" w:hAnsi="Times New Roman"/>
                  <w:sz w:val="15"/>
                  <w:szCs w:val="15"/>
                  <w:color w:val="0000EE"/>
                  <w:w w:val="92"/>
                </w:rPr>
                <w:t>39</w:t>
              </w:r>
            </w:hyperlink>
          </w:p>
        </w:tc>
        <w:tc>
          <w:tcPr>
            <w:tcW w:w="20" w:type="dxa"/>
            <w:vAlign w:val="bottom"/>
          </w:tcPr>
          <w:p>
            <w:pPr>
              <w:spacing w:after="0"/>
              <w:rPr>
                <w:sz w:val="18"/>
                <w:szCs w:val="18"/>
                <w:color w:val="auto"/>
              </w:rPr>
            </w:pPr>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8560" w:type="dxa"/>
            <w:vAlign w:val="bottom"/>
            <w:gridSpan w:val="18"/>
          </w:tcPr>
          <w:p>
            <w:pPr>
              <w:spacing w:after="0"/>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Defaults Upon Senior Securities</w:t>
              </w:r>
            </w:hyperlink>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39</w:t>
              </w:r>
            </w:hyperlink>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15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Mine Safety Disclosures</w:t>
              </w:r>
            </w:hyperlink>
          </w:p>
        </w:tc>
        <w:tc>
          <w:tcPr>
            <w:tcW w:w="460" w:type="dxa"/>
            <w:vAlign w:val="bottom"/>
            <w:tcBorders>
              <w:top w:val="single" w:sz="8" w:color="0000EE"/>
            </w:tcBorders>
          </w:tcPr>
          <w:p>
            <w:pPr>
              <w:spacing w:after="0"/>
              <w:rPr>
                <w:sz w:val="18"/>
                <w:szCs w:val="18"/>
                <w:color w:val="auto"/>
              </w:rPr>
            </w:pPr>
          </w:p>
        </w:tc>
        <w:tc>
          <w:tcPr>
            <w:tcW w:w="6600" w:type="dxa"/>
            <w:vAlign w:val="bottom"/>
            <w:gridSpan w:val="11"/>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5"/>
                <w:szCs w:val="15"/>
                <w:color w:val="0000EE"/>
                <w:w w:val="92"/>
              </w:rPr>
            </w:pPr>
            <w:hyperlink w:anchor="page39">
              <w:r>
                <w:rPr>
                  <w:rFonts w:ascii="Times New Roman" w:cs="Times New Roman" w:eastAsia="Times New Roman" w:hAnsi="Times New Roman"/>
                  <w:sz w:val="15"/>
                  <w:szCs w:val="15"/>
                  <w:color w:val="0000EE"/>
                  <w:w w:val="92"/>
                </w:rPr>
                <w:t>39</w:t>
              </w:r>
            </w:hyperlink>
          </w:p>
        </w:tc>
        <w:tc>
          <w:tcPr>
            <w:tcW w:w="20" w:type="dxa"/>
            <w:vAlign w:val="bottom"/>
          </w:tcPr>
          <w:p>
            <w:pPr>
              <w:spacing w:after="0"/>
              <w:rPr>
                <w:sz w:val="18"/>
                <w:szCs w:val="18"/>
                <w:color w:val="auto"/>
              </w:rPr>
            </w:pPr>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5.</w:t>
            </w:r>
          </w:p>
        </w:tc>
        <w:tc>
          <w:tcPr>
            <w:tcW w:w="8560" w:type="dxa"/>
            <w:vAlign w:val="bottom"/>
            <w:gridSpan w:val="18"/>
          </w:tcPr>
          <w:p>
            <w:pPr>
              <w:spacing w:after="0"/>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Other Information</w:t>
              </w:r>
            </w:hyperlink>
          </w:p>
        </w:tc>
        <w:tc>
          <w:tcPr>
            <w:tcW w:w="1480" w:type="dxa"/>
            <w:vAlign w:val="bottom"/>
            <w:gridSpan w:val="4"/>
          </w:tcPr>
          <w:p>
            <w:pPr>
              <w:jc w:val="right"/>
              <w:ind w:right="20"/>
              <w:spacing w:after="0"/>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39</w:t>
              </w:r>
            </w:hyperlink>
          </w:p>
        </w:tc>
      </w:tr>
      <w:tr>
        <w:trPr>
          <w:trHeight w:val="208"/>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1100" w:type="dxa"/>
            <w:vAlign w:val="bottom"/>
            <w:tcBorders>
              <w:top w:val="single" w:sz="8" w:color="0000EE"/>
            </w:tcBorders>
            <w:gridSpan w:val="4"/>
          </w:tcPr>
          <w:p>
            <w:pPr>
              <w:spacing w:after="0"/>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Exhibits</w:t>
              </w:r>
            </w:hyperlink>
          </w:p>
        </w:tc>
        <w:tc>
          <w:tcPr>
            <w:tcW w:w="7460" w:type="dxa"/>
            <w:vAlign w:val="bottom"/>
            <w:gridSpan w:val="14"/>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top w:val="single" w:sz="8" w:color="0000EE"/>
            </w:tcBorders>
            <w:gridSpan w:val="2"/>
          </w:tcPr>
          <w:p>
            <w:pPr>
              <w:jc w:val="right"/>
              <w:spacing w:after="0"/>
              <w:rPr>
                <w:rFonts w:ascii="Times New Roman" w:cs="Times New Roman" w:eastAsia="Times New Roman" w:hAnsi="Times New Roman"/>
                <w:sz w:val="15"/>
                <w:szCs w:val="15"/>
                <w:color w:val="0000EE"/>
                <w:w w:val="92"/>
              </w:rPr>
            </w:pPr>
            <w:hyperlink w:anchor="page39">
              <w:r>
                <w:rPr>
                  <w:rFonts w:ascii="Times New Roman" w:cs="Times New Roman" w:eastAsia="Times New Roman" w:hAnsi="Times New Roman"/>
                  <w:sz w:val="15"/>
                  <w:szCs w:val="15"/>
                  <w:color w:val="0000EE"/>
                  <w:w w:val="92"/>
                </w:rPr>
                <w:t>39</w:t>
              </w:r>
            </w:hyperlink>
          </w:p>
        </w:tc>
        <w:tc>
          <w:tcPr>
            <w:tcW w:w="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380" w:type="dxa"/>
            <w:vAlign w:val="bottom"/>
          </w:tcPr>
          <w:p>
            <w:pPr>
              <w:spacing w:after="0"/>
              <w:rPr>
                <w:sz w:val="18"/>
                <w:szCs w:val="18"/>
                <w:color w:val="auto"/>
              </w:rPr>
            </w:pPr>
          </w:p>
        </w:tc>
        <w:tc>
          <w:tcPr>
            <w:tcW w:w="58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w w:val="97"/>
              </w:rPr>
            </w:pPr>
            <w:hyperlink w:anchor="page39">
              <w:r>
                <w:rPr>
                  <w:rFonts w:ascii="Times New Roman" w:cs="Times New Roman" w:eastAsia="Times New Roman" w:hAnsi="Times New Roman"/>
                  <w:sz w:val="15"/>
                  <w:szCs w:val="15"/>
                  <w:color w:val="0000EE"/>
                  <w:w w:val="97"/>
                </w:rPr>
                <w:t>Signature</w:t>
              </w:r>
            </w:hyperlink>
          </w:p>
        </w:tc>
        <w:tc>
          <w:tcPr>
            <w:tcW w:w="7980" w:type="dxa"/>
            <w:vAlign w:val="bottom"/>
            <w:gridSpan w:val="16"/>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92"/>
              </w:rPr>
            </w:pPr>
            <w:hyperlink w:anchor="page39">
              <w:r>
                <w:rPr>
                  <w:rFonts w:ascii="Times New Roman" w:cs="Times New Roman" w:eastAsia="Times New Roman" w:hAnsi="Times New Roman"/>
                  <w:sz w:val="15"/>
                  <w:szCs w:val="15"/>
                  <w:color w:val="0000EE"/>
                  <w:w w:val="92"/>
                </w:rPr>
                <w:t>40</w:t>
              </w:r>
            </w:hyperlink>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40"/>
          </w:cols>
          <w:pgMar w:left="240" w:top="125"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360" w:type="dxa"/>
            <w:vAlign w:val="bottom"/>
            <w:gridSpan w:val="3"/>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Table of Contents</w:t>
              </w:r>
            </w:hyperlink>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0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280" w:type="dxa"/>
            <w:vAlign w:val="bottom"/>
          </w:tcPr>
          <w:p>
            <w:pPr>
              <w:jc w:val="center"/>
              <w:ind w:left="1924"/>
              <w:spacing w:after="0"/>
              <w:rPr>
                <w:sz w:val="20"/>
                <w:szCs w:val="20"/>
                <w:color w:val="auto"/>
              </w:rPr>
            </w:pPr>
            <w:r>
              <w:rPr>
                <w:rFonts w:ascii="Times New Roman" w:cs="Times New Roman" w:eastAsia="Times New Roman" w:hAnsi="Times New Roman"/>
                <w:sz w:val="15"/>
                <w:szCs w:val="15"/>
                <w:b w:val="1"/>
                <w:bCs w:val="1"/>
                <w:color w:val="auto"/>
              </w:rPr>
              <w:t>PART I. FINANCIAL INFORMATION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Item 1.</w:t>
            </w:r>
          </w:p>
        </w:tc>
        <w:tc>
          <w:tcPr>
            <w:tcW w:w="7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Financial Statements (Unaudited)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80" w:type="dxa"/>
            <w:vAlign w:val="bottom"/>
          </w:tcPr>
          <w:p>
            <w:pPr>
              <w:jc w:val="center"/>
              <w:ind w:left="1904"/>
              <w:spacing w:after="0"/>
              <w:rPr>
                <w:sz w:val="20"/>
                <w:szCs w:val="20"/>
                <w:color w:val="auto"/>
              </w:rPr>
            </w:pPr>
            <w:r>
              <w:rPr>
                <w:rFonts w:ascii="Times New Roman" w:cs="Times New Roman" w:eastAsia="Times New Roman" w:hAnsi="Times New Roman"/>
                <w:sz w:val="15"/>
                <w:szCs w:val="15"/>
                <w:b w:val="1"/>
                <w:bCs w:val="1"/>
                <w:color w:val="auto"/>
              </w:rPr>
              <w:t>ENPHASE ENERGY,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80" w:type="dxa"/>
            <w:vAlign w:val="bottom"/>
          </w:tcPr>
          <w:p>
            <w:pPr>
              <w:jc w:val="center"/>
              <w:ind w:left="1904"/>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80" w:type="dxa"/>
            <w:vAlign w:val="bottom"/>
          </w:tcPr>
          <w:p>
            <w:pPr>
              <w:jc w:val="center"/>
              <w:ind w:left="1924"/>
              <w:spacing w:after="0"/>
              <w:rPr>
                <w:sz w:val="20"/>
                <w:szCs w:val="20"/>
                <w:color w:val="auto"/>
              </w:rPr>
            </w:pPr>
            <w:r>
              <w:rPr>
                <w:rFonts w:ascii="Times New Roman" w:cs="Times New Roman" w:eastAsia="Times New Roman" w:hAnsi="Times New Roman"/>
                <w:sz w:val="15"/>
                <w:szCs w:val="15"/>
                <w:b w:val="1"/>
                <w:bCs w:val="1"/>
                <w:color w:val="auto"/>
              </w:rPr>
              <w:t>(In thousands, except par value)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Pr>
          <w:p>
            <w:pPr>
              <w:jc w:val="center"/>
              <w:ind w:left="190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20" w:type="dxa"/>
            <w:vAlign w:val="bottom"/>
          </w:tcPr>
          <w:p>
            <w:pPr>
              <w:spacing w:after="0"/>
              <w:rPr>
                <w:sz w:val="20"/>
                <w:szCs w:val="20"/>
                <w:color w:val="auto"/>
              </w:rPr>
            </w:pPr>
          </w:p>
        </w:tc>
        <w:tc>
          <w:tcPr>
            <w:tcW w:w="1260" w:type="dxa"/>
            <w:vAlign w:val="bottom"/>
          </w:tcPr>
          <w:p>
            <w:pPr>
              <w:jc w:val="right"/>
              <w:ind w:right="325"/>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5"/>
        </w:trPr>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205"/>
        </w:trPr>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80" w:type="dxa"/>
            <w:vAlign w:val="bottom"/>
            <w:tcBorders>
              <w:bottom w:val="single" w:sz="8" w:color="CCEEFF"/>
            </w:tcBorders>
            <w:shd w:val="clear" w:color="auto" w:fill="CCEEFF"/>
          </w:tcPr>
          <w:p>
            <w:pPr>
              <w:jc w:val="center"/>
              <w:ind w:right="10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27,127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42,032</w:t>
            </w:r>
          </w:p>
        </w:tc>
        <w:tc>
          <w:tcPr>
            <w:tcW w:w="0" w:type="dxa"/>
            <w:vAlign w:val="bottom"/>
          </w:tcPr>
          <w:p>
            <w:pPr>
              <w:spacing w:after="0"/>
              <w:rPr>
                <w:sz w:val="1"/>
                <w:szCs w:val="1"/>
                <w:color w:val="auto"/>
              </w:rPr>
            </w:pPr>
          </w:p>
        </w:tc>
      </w:tr>
      <w:tr>
        <w:trPr>
          <w:trHeight w:val="206"/>
        </w:trPr>
        <w:tc>
          <w:tcPr>
            <w:tcW w:w="836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Accounts receivable, net of allowances of $533 and $569 at March 31, 2015 and December 31, 2014, respectively</w:t>
            </w:r>
          </w:p>
        </w:tc>
        <w:tc>
          <w:tcPr>
            <w:tcW w:w="28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45,870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45,119</w:t>
            </w:r>
          </w:p>
        </w:tc>
        <w:tc>
          <w:tcPr>
            <w:tcW w:w="0" w:type="dxa"/>
            <w:vAlign w:val="bottom"/>
          </w:tcPr>
          <w:p>
            <w:pPr>
              <w:spacing w:after="0"/>
              <w:rPr>
                <w:sz w:val="1"/>
                <w:szCs w:val="1"/>
                <w:color w:val="auto"/>
              </w:rPr>
            </w:pPr>
          </w:p>
        </w:tc>
      </w:tr>
      <w:tr>
        <w:trPr>
          <w:trHeight w:val="23"/>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Inventory</w:t>
            </w:r>
          </w:p>
        </w:tc>
        <w:tc>
          <w:tcPr>
            <w:tcW w:w="80" w:type="dxa"/>
            <w:vAlign w:val="bottom"/>
            <w:tcBorders>
              <w:bottom w:val="single" w:sz="8" w:color="CCEEFF"/>
            </w:tcBorders>
            <w:shd w:val="clear" w:color="auto" w:fill="CCEEFF"/>
          </w:tcPr>
          <w:p>
            <w:pPr>
              <w:spacing w:after="0"/>
              <w:rPr>
                <w:sz w:val="18"/>
                <w:szCs w:val="18"/>
                <w:color w:val="auto"/>
              </w:rPr>
            </w:pPr>
          </w:p>
        </w:tc>
        <w:tc>
          <w:tcPr>
            <w:tcW w:w="7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34,746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21,590</w:t>
            </w:r>
          </w:p>
        </w:tc>
        <w:tc>
          <w:tcPr>
            <w:tcW w:w="0" w:type="dxa"/>
            <w:vAlign w:val="bottom"/>
          </w:tcPr>
          <w:p>
            <w:pPr>
              <w:spacing w:after="0"/>
              <w:rPr>
                <w:sz w:val="1"/>
                <w:szCs w:val="1"/>
                <w:color w:val="auto"/>
              </w:rPr>
            </w:pPr>
          </w:p>
        </w:tc>
      </w:tr>
      <w:tr>
        <w:trPr>
          <w:trHeight w:val="206"/>
        </w:trPr>
        <w:tc>
          <w:tcPr>
            <w:tcW w:w="836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7,087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6,155</w:t>
            </w: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gridSpan w:val="2"/>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36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114,830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114,896</w:t>
            </w:r>
          </w:p>
        </w:tc>
        <w:tc>
          <w:tcPr>
            <w:tcW w:w="0" w:type="dxa"/>
            <w:vAlign w:val="bottom"/>
          </w:tcPr>
          <w:p>
            <w:pPr>
              <w:spacing w:after="0"/>
              <w:rPr>
                <w:sz w:val="1"/>
                <w:szCs w:val="1"/>
                <w:color w:val="auto"/>
              </w:rPr>
            </w:pPr>
          </w:p>
        </w:tc>
      </w:tr>
      <w:tr>
        <w:trPr>
          <w:trHeight w:val="206"/>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31,197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30,824</w:t>
            </w:r>
          </w:p>
        </w:tc>
        <w:tc>
          <w:tcPr>
            <w:tcW w:w="0" w:type="dxa"/>
            <w:vAlign w:val="bottom"/>
          </w:tcPr>
          <w:p>
            <w:pPr>
              <w:spacing w:after="0"/>
              <w:rPr>
                <w:sz w:val="1"/>
                <w:szCs w:val="1"/>
                <w:color w:val="auto"/>
              </w:rPr>
            </w:pPr>
          </w:p>
        </w:tc>
      </w:tr>
      <w:tr>
        <w:trPr>
          <w:trHeight w:val="23"/>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80" w:type="dxa"/>
            <w:vAlign w:val="bottom"/>
            <w:tcBorders>
              <w:bottom w:val="single" w:sz="8" w:color="CCEEFF"/>
            </w:tcBorders>
            <w:shd w:val="clear" w:color="auto" w:fill="CCEEFF"/>
          </w:tcPr>
          <w:p>
            <w:pPr>
              <w:spacing w:after="0"/>
              <w:rPr>
                <w:sz w:val="18"/>
                <w:szCs w:val="18"/>
                <w:color w:val="auto"/>
              </w:rPr>
            </w:pPr>
          </w:p>
        </w:tc>
        <w:tc>
          <w:tcPr>
            <w:tcW w:w="7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3,745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3,745</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Intangibles, net</w:t>
            </w:r>
          </w:p>
        </w:tc>
        <w:tc>
          <w:tcPr>
            <w:tcW w:w="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1,811</w:t>
            </w:r>
          </w:p>
        </w:tc>
        <w:tc>
          <w:tcPr>
            <w:tcW w:w="0" w:type="dxa"/>
            <w:vAlign w:val="bottom"/>
          </w:tcPr>
          <w:p>
            <w:pPr>
              <w:spacing w:after="0"/>
              <w:rPr>
                <w:sz w:val="1"/>
                <w:szCs w:val="1"/>
                <w:color w:val="auto"/>
              </w:rPr>
            </w:pPr>
          </w:p>
        </w:tc>
      </w:tr>
      <w:tr>
        <w:trPr>
          <w:trHeight w:val="23"/>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2,014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916</w:t>
            </w:r>
          </w:p>
        </w:tc>
        <w:tc>
          <w:tcPr>
            <w:tcW w:w="0" w:type="dxa"/>
            <w:vAlign w:val="bottom"/>
          </w:tcPr>
          <w:p>
            <w:pPr>
              <w:spacing w:after="0"/>
              <w:rPr>
                <w:sz w:val="1"/>
                <w:szCs w:val="1"/>
                <w:color w:val="auto"/>
              </w:rPr>
            </w:pPr>
          </w:p>
        </w:tc>
      </w:tr>
      <w:tr>
        <w:trPr>
          <w:trHeight w:val="197"/>
        </w:trPr>
        <w:tc>
          <w:tcPr>
            <w:tcW w:w="1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153,490</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152,192</w:t>
            </w:r>
          </w:p>
        </w:tc>
        <w:tc>
          <w:tcPr>
            <w:tcW w:w="0" w:type="dxa"/>
            <w:vAlign w:val="bottom"/>
          </w:tcPr>
          <w:p>
            <w:pPr>
              <w:spacing w:after="0"/>
              <w:rPr>
                <w:sz w:val="1"/>
                <w:szCs w:val="1"/>
                <w:color w:val="auto"/>
              </w:rPr>
            </w:pPr>
          </w:p>
        </w:tc>
      </w:tr>
      <w:tr>
        <w:trPr>
          <w:trHeight w:val="63"/>
        </w:trPr>
        <w:tc>
          <w:tcPr>
            <w:tcW w:w="10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80" w:type="dxa"/>
            <w:vAlign w:val="bottom"/>
            <w:tcBorders>
              <w:bottom w:val="single" w:sz="8" w:color="CCEEFF"/>
            </w:tcBorders>
            <w:shd w:val="clear" w:color="auto" w:fill="CCEEFF"/>
          </w:tcPr>
          <w:p>
            <w:pPr>
              <w:jc w:val="center"/>
              <w:ind w:right="1024"/>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30,954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22,316</w:t>
            </w:r>
          </w:p>
        </w:tc>
        <w:tc>
          <w:tcPr>
            <w:tcW w:w="0" w:type="dxa"/>
            <w:vAlign w:val="bottom"/>
          </w:tcPr>
          <w:p>
            <w:pPr>
              <w:spacing w:after="0"/>
              <w:rPr>
                <w:sz w:val="1"/>
                <w:szCs w:val="1"/>
                <w:color w:val="auto"/>
              </w:rPr>
            </w:pPr>
          </w:p>
        </w:tc>
      </w:tr>
      <w:tr>
        <w:trPr>
          <w:trHeight w:val="206"/>
        </w:trPr>
        <w:tc>
          <w:tcPr>
            <w:tcW w:w="836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Accrued liabilities</w:t>
            </w:r>
          </w:p>
        </w:tc>
        <w:tc>
          <w:tcPr>
            <w:tcW w:w="28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20,230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26,036</w:t>
            </w: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Deferred revenues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3,558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2,747</w:t>
            </w:r>
          </w:p>
        </w:tc>
        <w:tc>
          <w:tcPr>
            <w:tcW w:w="0" w:type="dxa"/>
            <w:vAlign w:val="bottom"/>
          </w:tcPr>
          <w:p>
            <w:pPr>
              <w:spacing w:after="0"/>
              <w:rPr>
                <w:sz w:val="1"/>
                <w:szCs w:val="1"/>
                <w:color w:val="auto"/>
              </w:rPr>
            </w:pPr>
          </w:p>
        </w:tc>
      </w:tr>
      <w:tr>
        <w:trPr>
          <w:trHeight w:val="191"/>
        </w:trPr>
        <w:tc>
          <w:tcPr>
            <w:tcW w:w="836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Warranty obligations, current portion (includes $1,534 and $1,125 measured at fair value at March 31, 2015 and December 31,</w:t>
            </w:r>
          </w:p>
        </w:tc>
        <w:tc>
          <w:tcPr>
            <w:tcW w:w="280" w:type="dxa"/>
            <w:vAlign w:val="bottom"/>
          </w:tcPr>
          <w:p>
            <w:pPr>
              <w:spacing w:after="0"/>
              <w:rPr>
                <w:sz w:val="16"/>
                <w:szCs w:val="16"/>
                <w:color w:val="auto"/>
              </w:rPr>
            </w:pPr>
          </w:p>
        </w:tc>
        <w:tc>
          <w:tcPr>
            <w:tcW w:w="120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7,550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7,607</w:t>
            </w:r>
          </w:p>
        </w:tc>
        <w:tc>
          <w:tcPr>
            <w:tcW w:w="0" w:type="dxa"/>
            <w:vAlign w:val="bottom"/>
          </w:tcPr>
          <w:p>
            <w:pPr>
              <w:spacing w:after="0"/>
              <w:rPr>
                <w:sz w:val="1"/>
                <w:szCs w:val="1"/>
                <w:color w:val="auto"/>
              </w:rPr>
            </w:pPr>
          </w:p>
        </w:tc>
      </w:tr>
      <w:tr>
        <w:trPr>
          <w:trHeight w:val="106"/>
        </w:trPr>
        <w:tc>
          <w:tcPr>
            <w:tcW w:w="83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5"/>
                <w:szCs w:val="15"/>
                <w:color w:val="auto"/>
              </w:rPr>
              <w:t>2014, respectively)</w:t>
            </w: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3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gridSpan w:val="2"/>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36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62,292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58,706</w:t>
            </w:r>
          </w:p>
        </w:tc>
        <w:tc>
          <w:tcPr>
            <w:tcW w:w="0" w:type="dxa"/>
            <w:vAlign w:val="bottom"/>
          </w:tcPr>
          <w:p>
            <w:pPr>
              <w:spacing w:after="0"/>
              <w:rPr>
                <w:sz w:val="1"/>
                <w:szCs w:val="1"/>
                <w:color w:val="auto"/>
              </w:rPr>
            </w:pPr>
          </w:p>
        </w:tc>
      </w:tr>
      <w:tr>
        <w:trPr>
          <w:trHeight w:val="186"/>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80" w:type="dxa"/>
            <w:vAlign w:val="bottom"/>
            <w:gridSpan w:val="2"/>
          </w:tcPr>
          <w:p>
            <w:pPr>
              <w:spacing w:after="0"/>
              <w:rPr>
                <w:sz w:val="2"/>
                <w:szCs w:val="2"/>
                <w:color w:val="auto"/>
              </w:rPr>
            </w:pPr>
          </w:p>
        </w:tc>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Deferred revenues, noncurrent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18,217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16,612</w:t>
            </w:r>
          </w:p>
        </w:tc>
        <w:tc>
          <w:tcPr>
            <w:tcW w:w="0" w:type="dxa"/>
            <w:vAlign w:val="bottom"/>
          </w:tcPr>
          <w:p>
            <w:pPr>
              <w:spacing w:after="0"/>
              <w:rPr>
                <w:sz w:val="1"/>
                <w:szCs w:val="1"/>
                <w:color w:val="auto"/>
              </w:rPr>
            </w:pPr>
          </w:p>
        </w:tc>
      </w:tr>
      <w:tr>
        <w:trPr>
          <w:trHeight w:val="191"/>
        </w:trPr>
        <w:tc>
          <w:tcPr>
            <w:tcW w:w="836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Warranty obligations, noncurrent (includes $3,249 and $2,437 measured at fair value at</w:t>
            </w:r>
          </w:p>
        </w:tc>
        <w:tc>
          <w:tcPr>
            <w:tcW w:w="280" w:type="dxa"/>
            <w:vAlign w:val="bottom"/>
          </w:tcPr>
          <w:p>
            <w:pPr>
              <w:spacing w:after="0"/>
              <w:rPr>
                <w:sz w:val="16"/>
                <w:szCs w:val="16"/>
                <w:color w:val="auto"/>
              </w:rPr>
            </w:pPr>
          </w:p>
        </w:tc>
        <w:tc>
          <w:tcPr>
            <w:tcW w:w="120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26,613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26,333</w:t>
            </w:r>
          </w:p>
        </w:tc>
        <w:tc>
          <w:tcPr>
            <w:tcW w:w="0" w:type="dxa"/>
            <w:vAlign w:val="bottom"/>
          </w:tcPr>
          <w:p>
            <w:pPr>
              <w:spacing w:after="0"/>
              <w:rPr>
                <w:sz w:val="1"/>
                <w:szCs w:val="1"/>
                <w:color w:val="auto"/>
              </w:rPr>
            </w:pPr>
          </w:p>
        </w:tc>
      </w:tr>
      <w:tr>
        <w:trPr>
          <w:trHeight w:val="106"/>
        </w:trPr>
        <w:tc>
          <w:tcPr>
            <w:tcW w:w="83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5"/>
                <w:szCs w:val="15"/>
                <w:color w:val="auto"/>
              </w:rPr>
              <w:t>March 31, 2015 and December 31, 2014, respectively)</w:t>
            </w: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3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2,387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3,589</w:t>
            </w:r>
          </w:p>
        </w:tc>
        <w:tc>
          <w:tcPr>
            <w:tcW w:w="0" w:type="dxa"/>
            <w:vAlign w:val="bottom"/>
          </w:tcPr>
          <w:p>
            <w:pPr>
              <w:spacing w:after="0"/>
              <w:rPr>
                <w:sz w:val="1"/>
                <w:szCs w:val="1"/>
                <w:color w:val="auto"/>
              </w:rPr>
            </w:pPr>
          </w:p>
        </w:tc>
      </w:tr>
      <w:tr>
        <w:trPr>
          <w:trHeight w:val="197"/>
        </w:trPr>
        <w:tc>
          <w:tcPr>
            <w:tcW w:w="8360" w:type="dxa"/>
            <w:vAlign w:val="bottom"/>
            <w:gridSpan w:val="3"/>
          </w:tcPr>
          <w:p>
            <w:pPr>
              <w:ind w:left="580"/>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109,509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105,240</w:t>
            </w: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gridSpan w:val="2"/>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Preferred stock, $0.00001 par value, 10,000 shares authorized; none issued and outstanding</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836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Common stock, $0.00001 par value, 100,000 shares authorized; 44,117 and 43,756 shares issued and outstanding at March 31,</w:t>
            </w:r>
          </w:p>
        </w:tc>
        <w:tc>
          <w:tcPr>
            <w:tcW w:w="280" w:type="dxa"/>
            <w:vAlign w:val="bottom"/>
          </w:tcPr>
          <w:p>
            <w:pPr>
              <w:spacing w:after="0"/>
              <w:rPr>
                <w:sz w:val="16"/>
                <w:szCs w:val="16"/>
                <w:color w:val="auto"/>
              </w:rPr>
            </w:pP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06"/>
        </w:trPr>
        <w:tc>
          <w:tcPr>
            <w:tcW w:w="83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5"/>
                <w:szCs w:val="15"/>
                <w:color w:val="auto"/>
              </w:rPr>
              <w:t>2015 and December 31, 2014, respectively</w:t>
            </w:r>
          </w:p>
        </w:tc>
        <w:tc>
          <w:tcPr>
            <w:tcW w:w="2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3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211,687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208,022</w:t>
            </w:r>
          </w:p>
        </w:tc>
        <w:tc>
          <w:tcPr>
            <w:tcW w:w="0" w:type="dxa"/>
            <w:vAlign w:val="bottom"/>
          </w:tcPr>
          <w:p>
            <w:pPr>
              <w:spacing w:after="0"/>
              <w:rPr>
                <w:sz w:val="1"/>
                <w:szCs w:val="1"/>
                <w:color w:val="auto"/>
              </w:rPr>
            </w:pPr>
          </w:p>
        </w:tc>
      </w:tr>
      <w:tr>
        <w:trPr>
          <w:trHeight w:val="206"/>
        </w:trPr>
        <w:tc>
          <w:tcPr>
            <w:tcW w:w="836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Accumulated deficit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(167,311)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(160,991)</w:t>
            </w: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197"/>
        </w:trPr>
        <w:tc>
          <w:tcPr>
            <w:tcW w:w="8360" w:type="dxa"/>
            <w:vAlign w:val="bottom"/>
            <w:gridSpan w:val="3"/>
          </w:tcPr>
          <w:p>
            <w:pPr>
              <w:ind w:left="58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43,981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46,952</w:t>
            </w: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gridSpan w:val="2"/>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153,490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152,192</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40"/>
          </w:cols>
          <w:pgMar w:left="240" w:top="115" w:right="219" w:bottom="1440" w:gutter="0" w:footer="0" w:header="0"/>
        </w:sectPr>
      </w:pPr>
    </w:p>
    <w:bookmarkStart w:id="3" w:name="page4"/>
    <w:bookmarkEnd w:id="3"/>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ENPHASE ENERGY, INC.</w:t>
      </w:r>
    </w:p>
    <w:p>
      <w:pPr>
        <w:spacing w:after="0" w:line="14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8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2015</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revenues</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86,653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57,580</w:t>
            </w:r>
          </w:p>
        </w:tc>
        <w:tc>
          <w:tcPr>
            <w:tcW w:w="0" w:type="dxa"/>
            <w:vAlign w:val="bottom"/>
          </w:tcPr>
          <w:p>
            <w:pPr>
              <w:spacing w:after="0"/>
              <w:rPr>
                <w:sz w:val="1"/>
                <w:szCs w:val="1"/>
                <w:color w:val="auto"/>
              </w:rPr>
            </w:pP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revenues</w:t>
            </w:r>
          </w:p>
        </w:tc>
        <w:tc>
          <w:tcPr>
            <w:tcW w:w="90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58,629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38,925</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28,024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18,655</w:t>
            </w:r>
          </w:p>
        </w:tc>
        <w:tc>
          <w:tcPr>
            <w:tcW w:w="0" w:type="dxa"/>
            <w:vAlign w:val="bottom"/>
          </w:tcPr>
          <w:p>
            <w:pPr>
              <w:spacing w:after="0"/>
              <w:rPr>
                <w:sz w:val="1"/>
                <w:szCs w:val="1"/>
                <w:color w:val="auto"/>
              </w:rPr>
            </w:pPr>
          </w:p>
        </w:tc>
      </w:tr>
      <w:tr>
        <w:trPr>
          <w:trHeight w:val="18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13,430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9,086</w:t>
            </w:r>
          </w:p>
        </w:tc>
        <w:tc>
          <w:tcPr>
            <w:tcW w:w="0" w:type="dxa"/>
            <w:vAlign w:val="bottom"/>
          </w:tcPr>
          <w:p>
            <w:pPr>
              <w:spacing w:after="0"/>
              <w:rPr>
                <w:sz w:val="1"/>
                <w:szCs w:val="1"/>
                <w:color w:val="auto"/>
              </w:rPr>
            </w:pPr>
          </w:p>
        </w:tc>
      </w:tr>
      <w:tr>
        <w:trPr>
          <w:trHeight w:val="206"/>
        </w:trPr>
        <w:tc>
          <w:tcPr>
            <w:tcW w:w="8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Sales and marketing</w:t>
            </w:r>
          </w:p>
        </w:tc>
        <w:tc>
          <w:tcPr>
            <w:tcW w:w="90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11,937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8,828</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8,205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6,526</w:t>
            </w:r>
          </w:p>
        </w:tc>
        <w:tc>
          <w:tcPr>
            <w:tcW w:w="0" w:type="dxa"/>
            <w:vAlign w:val="bottom"/>
          </w:tcPr>
          <w:p>
            <w:pPr>
              <w:spacing w:after="0"/>
              <w:rPr>
                <w:sz w:val="1"/>
                <w:szCs w:val="1"/>
                <w:color w:val="auto"/>
              </w:rPr>
            </w:pPr>
          </w:p>
        </w:tc>
      </w:tr>
      <w:tr>
        <w:trPr>
          <w:trHeight w:val="197"/>
        </w:trPr>
        <w:tc>
          <w:tcPr>
            <w:tcW w:w="83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Total operating expenses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33,572</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24,440</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(5,785)</w:t>
            </w:r>
          </w:p>
        </w:tc>
        <w:tc>
          <w:tcPr>
            <w:tcW w:w="0" w:type="dxa"/>
            <w:vAlign w:val="bottom"/>
          </w:tcPr>
          <w:p>
            <w:pPr>
              <w:spacing w:after="0"/>
              <w:rPr>
                <w:sz w:val="1"/>
                <w:szCs w:val="1"/>
                <w:color w:val="auto"/>
              </w:rPr>
            </w:pP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expense</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0" w:type="dxa"/>
            <w:vAlign w:val="bottom"/>
          </w:tcPr>
          <w:p>
            <w:pPr>
              <w:spacing w:after="0"/>
              <w:rPr>
                <w:sz w:val="1"/>
                <w:szCs w:val="1"/>
                <w:color w:val="auto"/>
              </w:rPr>
            </w:pPr>
          </w:p>
        </w:tc>
      </w:tr>
      <w:tr>
        <w:trPr>
          <w:trHeight w:val="206"/>
        </w:trPr>
        <w:tc>
          <w:tcPr>
            <w:tcW w:w="8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(expense) income</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3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other expense, net</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0" w:type="dxa"/>
            <w:vAlign w:val="bottom"/>
          </w:tcPr>
          <w:p>
            <w:pPr>
              <w:spacing w:after="0"/>
              <w:rPr>
                <w:sz w:val="1"/>
                <w:szCs w:val="1"/>
                <w:color w:val="auto"/>
              </w:rPr>
            </w:pPr>
          </w:p>
        </w:tc>
      </w:tr>
      <w:tr>
        <w:trPr>
          <w:trHeight w:val="197"/>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(6,153)</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r>
        <w:trPr>
          <w:trHeight w:val="197"/>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tcBorders>
              <w:top w:val="single" w:sz="8" w:color="auto"/>
            </w:tcBorders>
          </w:tcPr>
          <w:p>
            <w:pPr>
              <w:jc w:val="right"/>
              <w:ind w:right="728"/>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(6,320)</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(6,236)</w:t>
            </w:r>
          </w:p>
        </w:tc>
        <w:tc>
          <w:tcPr>
            <w:tcW w:w="0" w:type="dxa"/>
            <w:vAlign w:val="bottom"/>
          </w:tcPr>
          <w:p>
            <w:pPr>
              <w:spacing w:after="0"/>
              <w:rPr>
                <w:sz w:val="1"/>
                <w:szCs w:val="1"/>
                <w:color w:val="auto"/>
              </w:rPr>
            </w:pPr>
          </w:p>
        </w:tc>
      </w:tr>
      <w:tr>
        <w:trPr>
          <w:trHeight w:val="63"/>
        </w:trPr>
        <w:tc>
          <w:tcPr>
            <w:tcW w:w="836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5"/>
                <w:szCs w:val="15"/>
                <w:color w:val="auto"/>
              </w:rPr>
              <w:t>Net loss per share, basic and diluted</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Shares used in computing net loss per share, basic and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43,950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42,205</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440"/>
          </w:cols>
          <w:pgMar w:left="240" w:top="125" w:right="219" w:bottom="1440" w:gutter="0" w:footer="0" w:header="0"/>
        </w:sectPr>
      </w:pPr>
    </w:p>
    <w:bookmarkStart w:id="4" w:name="page5"/>
    <w:bookmarkEnd w:id="4"/>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ENPHASE ENERGY, INC.</w:t>
      </w:r>
    </w:p>
    <w:p>
      <w:pPr>
        <w:spacing w:after="0" w:line="14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LOSS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8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2015</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(6,236)</w:t>
            </w: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 income:</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
        </w:trPr>
        <w:tc>
          <w:tcPr>
            <w:tcW w:w="8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8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w:t>
            </w:r>
          </w:p>
        </w:tc>
      </w:tr>
      <w:tr>
        <w:trPr>
          <w:trHeight w:val="197"/>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92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(6,636)</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(6,235)</w:t>
            </w:r>
          </w:p>
        </w:tc>
      </w:tr>
      <w:tr>
        <w:trPr>
          <w:trHeight w:val="23"/>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40"/>
          </w:cols>
          <w:pgMar w:left="240" w:top="125" w:right="219" w:bottom="1440" w:gutter="0" w:footer="0" w:header="0"/>
        </w:sectPr>
      </w:pPr>
    </w:p>
    <w:bookmarkStart w:id="5" w:name="page6"/>
    <w:bookmarkEnd w:id="5"/>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ENPHASE ENERGY, INC.</w:t>
      </w:r>
    </w:p>
    <w:p>
      <w:pPr>
        <w:spacing w:after="0" w:line="1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25"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10160</wp:posOffset>
            </wp:positionV>
            <wp:extent cx="18135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356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5"/>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0"/>
        </w:trPr>
        <w:tc>
          <w:tcPr>
            <w:tcW w:w="8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(6,320)</w:t>
            </w:r>
          </w:p>
        </w:tc>
        <w:tc>
          <w:tcPr>
            <w:tcW w:w="100" w:type="dxa"/>
            <w:vAlign w:val="bottom"/>
          </w:tcPr>
          <w:p>
            <w:pPr>
              <w:spacing w:after="0"/>
              <w:rPr>
                <w:sz w:val="17"/>
                <w:szCs w:val="17"/>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(6,236)</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0"/>
        </w:trPr>
        <w:tc>
          <w:tcPr>
            <w:tcW w:w="85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1,910</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w:t>
            </w:r>
          </w:p>
        </w:tc>
      </w:tr>
      <w:tr>
        <w:trPr>
          <w:trHeight w:val="200"/>
        </w:trPr>
        <w:tc>
          <w:tcPr>
            <w:tcW w:w="85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Net loss on disposal of assets</w:t>
            </w:r>
          </w:p>
        </w:tc>
        <w:tc>
          <w:tcPr>
            <w:tcW w:w="82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102</w:t>
            </w:r>
          </w:p>
        </w:tc>
      </w:tr>
      <w:tr>
        <w:trPr>
          <w:trHeight w:val="200"/>
        </w:trPr>
        <w:tc>
          <w:tcPr>
            <w:tcW w:w="85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2,013</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Revaluation of contingent consideration liability</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85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Accounts receivable</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3,608</w:t>
            </w:r>
          </w:p>
        </w:tc>
      </w:tr>
      <w:tr>
        <w:trPr>
          <w:trHeight w:val="200"/>
        </w:trPr>
        <w:tc>
          <w:tcPr>
            <w:tcW w:w="8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Inventory</w:t>
            </w:r>
          </w:p>
        </w:tc>
        <w:tc>
          <w:tcPr>
            <w:tcW w:w="820" w:type="dxa"/>
            <w:vAlign w:val="bottom"/>
          </w:tcPr>
          <w:p>
            <w:pPr>
              <w:spacing w:after="0"/>
              <w:rPr>
                <w:sz w:val="17"/>
                <w:szCs w:val="17"/>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96"/>
              </w:rPr>
              <w:t>(13,156)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2,467</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(2,069)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(977)</w:t>
            </w:r>
          </w:p>
        </w:tc>
      </w:tr>
      <w:tr>
        <w:trPr>
          <w:trHeight w:val="200"/>
        </w:trPr>
        <w:tc>
          <w:tcPr>
            <w:tcW w:w="8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Accounts payable, accrued and other liabilities</w:t>
            </w:r>
          </w:p>
        </w:tc>
        <w:tc>
          <w:tcPr>
            <w:tcW w:w="82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1,159</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Warranty obligations</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296</w:t>
            </w:r>
          </w:p>
        </w:tc>
      </w:tr>
      <w:tr>
        <w:trPr>
          <w:trHeight w:val="200"/>
        </w:trPr>
        <w:tc>
          <w:tcPr>
            <w:tcW w:w="85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Deferred revenues</w:t>
            </w:r>
          </w:p>
        </w:tc>
        <w:tc>
          <w:tcPr>
            <w:tcW w:w="82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(93)</w:t>
            </w:r>
          </w:p>
        </w:tc>
      </w:tr>
      <w:tr>
        <w:trPr>
          <w:trHeight w:val="29"/>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6"/>
              </w:rPr>
              <w:t>(11,498)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4,281</w:t>
            </w:r>
          </w:p>
        </w:tc>
      </w:tr>
      <w:tr>
        <w:trPr>
          <w:trHeight w:val="191"/>
        </w:trPr>
        <w:tc>
          <w:tcPr>
            <w:tcW w:w="8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(2,172)</w:t>
            </w:r>
          </w:p>
        </w:tc>
      </w:tr>
      <w:tr>
        <w:trPr>
          <w:trHeight w:val="180"/>
        </w:trPr>
        <w:tc>
          <w:tcPr>
            <w:tcW w:w="85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(2,172)</w:t>
            </w:r>
          </w:p>
        </w:tc>
      </w:tr>
      <w:tr>
        <w:trPr>
          <w:trHeight w:val="29"/>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0"/>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0"/>
        </w:trPr>
        <w:tc>
          <w:tcPr>
            <w:tcW w:w="8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Repayments of term loans</w:t>
            </w:r>
          </w:p>
        </w:tc>
        <w:tc>
          <w:tcPr>
            <w:tcW w:w="8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(866)</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454</w:t>
            </w:r>
          </w:p>
        </w:tc>
      </w:tr>
      <w:tr>
        <w:trPr>
          <w:trHeight w:val="180"/>
        </w:trPr>
        <w:tc>
          <w:tcPr>
            <w:tcW w:w="85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(412)</w:t>
            </w:r>
          </w:p>
        </w:tc>
      </w:tr>
      <w:tr>
        <w:trPr>
          <w:trHeight w:val="29"/>
        </w:trPr>
        <w:tc>
          <w:tcPr>
            <w:tcW w:w="8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8"/>
        </w:trPr>
        <w:tc>
          <w:tcPr>
            <w:tcW w:w="85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8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8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96"/>
              </w:rPr>
              <w:t>(14,905)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1,745</w:t>
            </w:r>
          </w:p>
        </w:tc>
      </w:tr>
      <w:tr>
        <w:trPr>
          <w:trHeight w:val="29"/>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42,032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38,190</w:t>
            </w:r>
          </w:p>
        </w:tc>
      </w:tr>
      <w:tr>
        <w:trPr>
          <w:trHeight w:val="240"/>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27,127</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39,935</w:t>
            </w:r>
          </w:p>
        </w:tc>
      </w:tr>
      <w:tr>
        <w:trPr>
          <w:trHeight w:val="191"/>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Supplemental disclosures </w:t>
            </w:r>
            <w:r>
              <w:rPr>
                <w:rFonts w:ascii="Times New Roman" w:cs="Times New Roman" w:eastAsia="Times New Roman" w:hAnsi="Times New Roman"/>
                <w:sz w:val="15"/>
                <w:szCs w:val="15"/>
                <w:color w:val="auto"/>
              </w:rPr>
              <w:t>of non-cash investing and financing activities:</w:t>
            </w:r>
          </w:p>
        </w:tc>
        <w:tc>
          <w:tcPr>
            <w:tcW w:w="8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08"/>
        </w:trPr>
        <w:tc>
          <w:tcPr>
            <w:tcW w:w="8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8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497</w:t>
            </w:r>
          </w:p>
        </w:tc>
      </w:tr>
      <w:tr>
        <w:trPr>
          <w:trHeight w:val="20"/>
        </w:trPr>
        <w:tc>
          <w:tcPr>
            <w:tcW w:w="8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40"/>
          </w:cols>
          <w:pgMar w:left="240" w:top="125" w:right="219" w:bottom="1440" w:gutter="0" w:footer="0" w:header="0"/>
        </w:sectPr>
      </w:pPr>
    </w:p>
    <w:bookmarkStart w:id="6" w:name="page7"/>
    <w:bookmarkEnd w:id="6"/>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ENPHASE ENERGY, INC.</w:t>
      </w:r>
    </w:p>
    <w:p>
      <w:pPr>
        <w:spacing w:after="0" w:line="14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OVERVIEW AND SUMMARY OF SIGNIFICANT ACCOUNTING POLICIES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Description of Business</w:t>
      </w:r>
    </w:p>
    <w:p>
      <w:pPr>
        <w:spacing w:after="0" w:line="106" w:lineRule="exact"/>
        <w:rPr>
          <w:sz w:val="20"/>
          <w:szCs w:val="20"/>
          <w:color w:val="auto"/>
        </w:rPr>
      </w:pPr>
    </w:p>
    <w:p>
      <w:pPr>
        <w:ind w:firstLine="377"/>
        <w:spacing w:after="0" w:line="260" w:lineRule="auto"/>
        <w:rPr>
          <w:sz w:val="20"/>
          <w:szCs w:val="20"/>
          <w:color w:val="auto"/>
        </w:rPr>
      </w:pPr>
      <w:r>
        <w:rPr>
          <w:rFonts w:ascii="Times New Roman" w:cs="Times New Roman" w:eastAsia="Times New Roman" w:hAnsi="Times New Roman"/>
          <w:sz w:val="15"/>
          <w:szCs w:val="15"/>
          <w:color w:val="auto"/>
        </w:rPr>
        <w:t>Enphase Energy, Inc. and subsidiaries (the “Company”) designs, develops, and sells microinverter systems for the solar photovoltaic industry. The Company was incorporated in 2006 and began selling its products in 2008.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 The Company also offers operations and maintenance services for photovoltaic (“PV”) systems including preventive and corrective maintenance, solar panel cleaning and solar system commissioning.</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Consolidation</w:t>
      </w:r>
    </w:p>
    <w:p>
      <w:pPr>
        <w:spacing w:after="0" w:line="151" w:lineRule="exact"/>
        <w:rPr>
          <w:sz w:val="20"/>
          <w:szCs w:val="20"/>
          <w:color w:val="auto"/>
        </w:rPr>
      </w:pPr>
    </w:p>
    <w:p>
      <w:pPr>
        <w:ind w:right="340" w:firstLine="365"/>
        <w:spacing w:after="0" w:line="271"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the consolidation.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Unaudited Interim Financial Information</w:t>
      </w:r>
    </w:p>
    <w:p>
      <w:pPr>
        <w:spacing w:after="0" w:line="151" w:lineRule="exact"/>
        <w:rPr>
          <w:sz w:val="20"/>
          <w:szCs w:val="20"/>
          <w:color w:val="auto"/>
        </w:rPr>
      </w:pPr>
    </w:p>
    <w:p>
      <w:pPr>
        <w:ind w:right="220" w:firstLine="365"/>
        <w:spacing w:after="0" w:line="260" w:lineRule="auto"/>
        <w:rPr>
          <w:sz w:val="20"/>
          <w:szCs w:val="20"/>
          <w:color w:val="auto"/>
        </w:rPr>
      </w:pPr>
      <w:r>
        <w:rPr>
          <w:rFonts w:ascii="Times New Roman" w:cs="Times New Roman" w:eastAsia="Times New Roman" w:hAnsi="Times New Roman"/>
          <w:sz w:val="15"/>
          <w:szCs w:val="15"/>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months ended March 31, 2015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2014.</w:t>
      </w:r>
    </w:p>
    <w:p>
      <w:pPr>
        <w:spacing w:after="0" w:line="108" w:lineRule="exact"/>
        <w:rPr>
          <w:sz w:val="20"/>
          <w:szCs w:val="20"/>
          <w:color w:val="auto"/>
        </w:rPr>
      </w:pPr>
    </w:p>
    <w:p>
      <w:pPr>
        <w:ind w:right="340" w:firstLine="365"/>
        <w:spacing w:after="0" w:line="271" w:lineRule="auto"/>
        <w:rPr>
          <w:sz w:val="20"/>
          <w:szCs w:val="20"/>
          <w:color w:val="auto"/>
        </w:rPr>
      </w:pPr>
      <w:r>
        <w:rPr>
          <w:rFonts w:ascii="Times New Roman" w:cs="Times New Roman" w:eastAsia="Times New Roman" w:hAnsi="Times New Roman"/>
          <w:sz w:val="15"/>
          <w:szCs w:val="15"/>
          <w:color w:val="auto"/>
        </w:rPr>
        <w:t>There have been no material changes in the Company’s significant accounting policies during the three months ended March 31, 2015 as compared to the significant accounting policies described in the Company’s Annual Report on Form 10-K for the year ended December 31, 2014. Reference is made to the disclosures therein for a summary of all of the Company’s significant accounting policies.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06" w:lineRule="exact"/>
        <w:rPr>
          <w:sz w:val="20"/>
          <w:szCs w:val="20"/>
          <w:color w:val="auto"/>
        </w:rPr>
      </w:pPr>
    </w:p>
    <w:p>
      <w:pPr>
        <w:jc w:val="both"/>
        <w:ind w:right="60" w:firstLine="365"/>
        <w:spacing w:after="0" w:line="265"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 Not Yet Effective</w:t>
      </w:r>
    </w:p>
    <w:p>
      <w:pPr>
        <w:spacing w:after="0" w:line="106" w:lineRule="exact"/>
        <w:rPr>
          <w:sz w:val="20"/>
          <w:szCs w:val="20"/>
          <w:color w:val="auto"/>
        </w:rPr>
      </w:pPr>
    </w:p>
    <w:p>
      <w:pPr>
        <w:ind w:right="80" w:firstLine="365"/>
        <w:spacing w:after="0" w:line="260" w:lineRule="auto"/>
        <w:rPr>
          <w:sz w:val="20"/>
          <w:szCs w:val="20"/>
          <w:color w:val="auto"/>
        </w:rPr>
      </w:pPr>
      <w:r>
        <w:rPr>
          <w:rFonts w:ascii="Times New Roman" w:cs="Times New Roman" w:eastAsia="Times New Roman" w:hAnsi="Times New Roman"/>
          <w:sz w:val="15"/>
          <w:szCs w:val="15"/>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ASU 2014-09 is effective for annual and interim periods beginning after December 15, 2016. Early adoption is not permitted.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40"/>
          </w:cols>
          <w:pgMar w:left="240" w:top="125" w:right="219" w:bottom="1440" w:gutter="0" w:footer="0" w:header="0"/>
        </w:sectPr>
      </w:pPr>
    </w:p>
    <w:bookmarkStart w:id="7" w:name="page8"/>
    <w:bookmarkEnd w:id="7"/>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07" w:lineRule="exact"/>
        <w:rPr>
          <w:sz w:val="20"/>
          <w:szCs w:val="20"/>
          <w:color w:val="auto"/>
        </w:rPr>
      </w:pPr>
    </w:p>
    <w:p>
      <w:pPr>
        <w:ind w:right="560"/>
        <w:spacing w:after="0" w:line="289" w:lineRule="auto"/>
        <w:rPr>
          <w:sz w:val="20"/>
          <w:szCs w:val="20"/>
          <w:color w:val="auto"/>
        </w:rPr>
      </w:pPr>
      <w:r>
        <w:rPr>
          <w:rFonts w:ascii="Times New Roman" w:cs="Times New Roman" w:eastAsia="Times New Roman" w:hAnsi="Times New Roman"/>
          <w:sz w:val="15"/>
          <w:szCs w:val="15"/>
          <w:color w:val="auto"/>
        </w:rPr>
        <w:t>Accordingly, the ASU will be effective for the Company beginning in the first quarter of 2017. The Company is currently evaluating the impact of the adoption on its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INVENTORY</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Inventory as of March 31, 2015 and December 31, 2014 consists of the following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20" w:type="dxa"/>
            <w:vAlign w:val="bottom"/>
          </w:tcPr>
          <w:p>
            <w:pPr>
              <w:spacing w:after="0"/>
              <w:rPr>
                <w:sz w:val="12"/>
                <w:szCs w:val="12"/>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5"/>
        </w:trPr>
        <w:tc>
          <w:tcPr>
            <w:tcW w:w="83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Raw materials</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4,179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3,429</w:t>
            </w: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Finished goods</w:t>
            </w:r>
          </w:p>
        </w:tc>
        <w:tc>
          <w:tcPr>
            <w:tcW w:w="280" w:type="dxa"/>
            <w:vAlign w:val="bottom"/>
          </w:tcPr>
          <w:p>
            <w:pPr>
              <w:spacing w:after="0"/>
              <w:rPr>
                <w:sz w:val="17"/>
                <w:szCs w:val="17"/>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30,567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18,161</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5"/>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inventory</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34,746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21,590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 WARRANTY OBLIGATIONS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Company’s warranty activities during the three months ended March 31, 2015 and 2014 were as follows (in thousands):</w:t>
      </w:r>
    </w:p>
    <w:p>
      <w:pPr>
        <w:spacing w:after="0" w:line="277"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2015</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Warranty obligations, beginning of period</w:t>
            </w:r>
          </w:p>
        </w:tc>
        <w:tc>
          <w:tcPr>
            <w:tcW w:w="900" w:type="dxa"/>
            <w:vAlign w:val="bottom"/>
            <w:tcBorders>
              <w:bottom w:val="single" w:sz="8" w:color="CCEEFF"/>
            </w:tcBorders>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33,940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30,432</w:t>
            </w:r>
          </w:p>
        </w:tc>
        <w:tc>
          <w:tcPr>
            <w:tcW w:w="0" w:type="dxa"/>
            <w:vAlign w:val="bottom"/>
          </w:tcPr>
          <w:p>
            <w:pPr>
              <w:spacing w:after="0"/>
              <w:rPr>
                <w:sz w:val="1"/>
                <w:szCs w:val="1"/>
                <w:color w:val="auto"/>
              </w:rPr>
            </w:pPr>
          </w:p>
        </w:tc>
      </w:tr>
      <w:tr>
        <w:trPr>
          <w:trHeight w:val="206"/>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Accruals for warranties issued during period</w:t>
            </w:r>
          </w:p>
        </w:tc>
        <w:tc>
          <w:tcPr>
            <w:tcW w:w="90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613</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Changes in estimates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1,400</w:t>
            </w:r>
          </w:p>
        </w:tc>
        <w:tc>
          <w:tcPr>
            <w:tcW w:w="0" w:type="dxa"/>
            <w:vAlign w:val="bottom"/>
          </w:tcPr>
          <w:p>
            <w:pPr>
              <w:spacing w:after="0"/>
              <w:rPr>
                <w:sz w:val="1"/>
                <w:szCs w:val="1"/>
                <w:color w:val="auto"/>
              </w:rPr>
            </w:pPr>
          </w:p>
        </w:tc>
      </w:tr>
      <w:tr>
        <w:trPr>
          <w:trHeight w:val="206"/>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Settlements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Increase due to accretion expense</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6"/>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90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Warranty obligations, end of period</w:t>
            </w:r>
          </w:p>
        </w:tc>
        <w:tc>
          <w:tcPr>
            <w:tcW w:w="900" w:type="dxa"/>
            <w:vAlign w:val="bottom"/>
            <w:tcBorders>
              <w:bottom w:val="single" w:sz="8" w:color="CCEEFF"/>
            </w:tcBorders>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34,163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30,728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vMerge w:val="continue"/>
          </w:tcPr>
          <w:p>
            <w:pPr>
              <w:spacing w:after="0"/>
              <w:rPr>
                <w:sz w:val="15"/>
                <w:szCs w:val="15"/>
                <w:color w:val="auto"/>
              </w:rPr>
            </w:pPr>
          </w:p>
        </w:tc>
        <w:tc>
          <w:tcPr>
            <w:tcW w:w="900" w:type="dxa"/>
            <w:vAlign w:val="bottom"/>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(7,550)</w:t>
            </w:r>
          </w:p>
        </w:tc>
        <w:tc>
          <w:tcPr>
            <w:tcW w:w="120" w:type="dxa"/>
            <w:vAlign w:val="bottom"/>
          </w:tcPr>
          <w:p>
            <w:pPr>
              <w:spacing w:after="0"/>
              <w:rPr>
                <w:sz w:val="15"/>
                <w:szCs w:val="15"/>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(5,894)</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w:t>
            </w:r>
          </w:p>
        </w:tc>
        <w:tc>
          <w:tcPr>
            <w:tcW w:w="900" w:type="dxa"/>
            <w:vAlign w:val="bottom"/>
            <w:tcBorders>
              <w:bottom w:val="single" w:sz="8" w:color="CCEEFF"/>
            </w:tcBorders>
            <w:shd w:val="clear" w:color="auto" w:fill="CCEEFF"/>
          </w:tcPr>
          <w:p>
            <w:pPr>
              <w:jc w:val="right"/>
              <w:ind w:right="72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26,613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24,834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100" w:firstLine="548"/>
        <w:spacing w:after="0" w:line="289" w:lineRule="auto"/>
        <w:rPr>
          <w:sz w:val="20"/>
          <w:szCs w:val="20"/>
          <w:color w:val="auto"/>
        </w:rPr>
      </w:pPr>
      <w:r>
        <w:rPr>
          <w:rFonts w:ascii="Times New Roman" w:cs="Times New Roman" w:eastAsia="Times New Roman" w:hAnsi="Times New Roman"/>
          <w:sz w:val="15"/>
          <w:szCs w:val="15"/>
          <w:color w:val="auto"/>
        </w:rPr>
        <w:t>For the three months ended March 31, 2014, warranty expense included net changes in estimates of $1.4 million to reflect higher than originally estimated replacement unit costs related to the Company’s second generation microinverter.</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As of March 31, 2015, the $34.2 million in warranty obligations included $4.8 million measured at fair value (see Note 4—Fair Value Measurements).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4. FAIR VALUE MEASUREMENTS</w:t>
      </w:r>
    </w:p>
    <w:p>
      <w:pPr>
        <w:spacing w:after="0" w:line="151" w:lineRule="exact"/>
        <w:rPr>
          <w:sz w:val="20"/>
          <w:szCs w:val="20"/>
          <w:color w:val="auto"/>
        </w:rPr>
      </w:pPr>
    </w:p>
    <w:p>
      <w:pPr>
        <w:ind w:right="60" w:firstLine="377"/>
        <w:spacing w:after="0" w:line="265" w:lineRule="auto"/>
        <w:rPr>
          <w:sz w:val="20"/>
          <w:szCs w:val="20"/>
          <w:color w:val="auto"/>
        </w:rPr>
      </w:pPr>
      <w:r>
        <w:rPr>
          <w:rFonts w:ascii="Times New Roman" w:cs="Times New Roman" w:eastAsia="Times New Roman" w:hAnsi="Times New Roman"/>
          <w:sz w:val="15"/>
          <w:szCs w:val="15"/>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6" w:lineRule="exact"/>
        <w:rPr>
          <w:sz w:val="20"/>
          <w:szCs w:val="20"/>
          <w:color w:val="auto"/>
        </w:rPr>
      </w:pPr>
    </w:p>
    <w:p>
      <w:pPr>
        <w:ind w:right="80" w:firstLine="377"/>
        <w:spacing w:after="0" w:line="271" w:lineRule="auto"/>
        <w:rPr>
          <w:sz w:val="20"/>
          <w:szCs w:val="20"/>
          <w:color w:val="auto"/>
        </w:rPr>
      </w:pPr>
      <w:r>
        <w:rPr>
          <w:rFonts w:ascii="Times New Roman" w:cs="Times New Roman" w:eastAsia="Times New Roman" w:hAnsi="Times New Roman"/>
          <w:sz w:val="15"/>
          <w:szCs w:val="15"/>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32" w:lineRule="exact"/>
        <w:rPr>
          <w:sz w:val="20"/>
          <w:szCs w:val="20"/>
          <w:color w:val="auto"/>
        </w:rPr>
      </w:pPr>
    </w:p>
    <w:p>
      <w:pPr>
        <w:ind w:left="820" w:right="60" w:hanging="417"/>
        <w:spacing w:after="0" w:line="289" w:lineRule="auto"/>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40"/>
          </w:cols>
          <w:pgMar w:left="240" w:top="125" w:right="219" w:bottom="1440" w:gutter="0" w:footer="0" w:header="0"/>
        </w:sectPr>
      </w:pPr>
    </w:p>
    <w:bookmarkStart w:id="8" w:name="page9"/>
    <w:bookmarkEnd w:id="8"/>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84" w:lineRule="exact"/>
        <w:rPr>
          <w:sz w:val="20"/>
          <w:szCs w:val="20"/>
          <w:color w:val="auto"/>
        </w:rPr>
      </w:pPr>
    </w:p>
    <w:p>
      <w:pPr>
        <w:ind w:left="820" w:hanging="417"/>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2—Valuations based on one or more quoted prices in markets that are not active or for which all significant inputs are observable, either directly or indirectly.</w:t>
      </w:r>
    </w:p>
    <w:p>
      <w:pPr>
        <w:spacing w:after="0" w:line="78"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3—Valuations based on inputs that are unobservable and significant to the overall fair value measurement.</w:t>
      </w:r>
    </w:p>
    <w:p>
      <w:pPr>
        <w:spacing w:after="0" w:line="159" w:lineRule="exact"/>
        <w:rPr>
          <w:sz w:val="20"/>
          <w:szCs w:val="20"/>
          <w:color w:val="auto"/>
        </w:rPr>
      </w:pPr>
    </w:p>
    <w:p>
      <w:pPr>
        <w:ind w:right="100" w:firstLine="377"/>
        <w:spacing w:after="0" w:line="289" w:lineRule="auto"/>
        <w:rPr>
          <w:sz w:val="20"/>
          <w:szCs w:val="20"/>
          <w:color w:val="auto"/>
        </w:rPr>
      </w:pPr>
      <w:r>
        <w:rPr>
          <w:rFonts w:ascii="Times New Roman" w:cs="Times New Roman" w:eastAsia="Times New Roman" w:hAnsi="Times New Roman"/>
          <w:sz w:val="15"/>
          <w:szCs w:val="15"/>
          <w:color w:val="auto"/>
        </w:rPr>
        <w:t>The following table presents the Company’s assets and liabilities that were measured at fair value on a recurring basis and its categorization within the fair value hierarchy at March 31, 2015 and December 31, 2014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00" w:type="dxa"/>
            <w:vAlign w:val="bottom"/>
          </w:tcPr>
          <w:p>
            <w:pPr>
              <w:spacing w:after="0"/>
              <w:rPr>
                <w:sz w:val="12"/>
                <w:szCs w:val="12"/>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60" w:type="dxa"/>
            <w:vAlign w:val="bottom"/>
          </w:tcPr>
          <w:p>
            <w:pPr>
              <w:spacing w:after="0"/>
              <w:rPr>
                <w:sz w:val="12"/>
                <w:szCs w:val="12"/>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20" w:type="dxa"/>
            <w:vAlign w:val="bottom"/>
          </w:tcPr>
          <w:p>
            <w:pPr>
              <w:spacing w:after="0"/>
              <w:rPr>
                <w:sz w:val="12"/>
                <w:szCs w:val="12"/>
                <w:color w:val="auto"/>
              </w:rPr>
            </w:pP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5"/>
        </w:trPr>
        <w:tc>
          <w:tcPr>
            <w:tcW w:w="7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Hierarchy</w:t>
            </w:r>
          </w:p>
        </w:tc>
        <w:tc>
          <w:tcPr>
            <w:tcW w:w="260" w:type="dxa"/>
            <w:vAlign w:val="bottom"/>
          </w:tcPr>
          <w:p>
            <w:pPr>
              <w:spacing w:after="0"/>
              <w:rPr>
                <w:sz w:val="14"/>
                <w:szCs w:val="14"/>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89"/>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5"/>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6"/>
        </w:trPr>
        <w:tc>
          <w:tcPr>
            <w:tcW w:w="7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currency forward contracts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Level 2</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76</w:t>
            </w:r>
          </w:p>
        </w:tc>
      </w:tr>
      <w:tr>
        <w:trPr>
          <w:trHeight w:val="23"/>
        </w:trPr>
        <w:tc>
          <w:tcPr>
            <w:tcW w:w="7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1"/>
        </w:trPr>
        <w:tc>
          <w:tcPr>
            <w:tcW w:w="7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6"/>
        </w:trPr>
        <w:tc>
          <w:tcPr>
            <w:tcW w:w="71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
        </w:trPr>
        <w:tc>
          <w:tcPr>
            <w:tcW w:w="7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forward contracts</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Level 2</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Warranty obligations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Level 3</w:t>
            </w:r>
          </w:p>
        </w:tc>
        <w:tc>
          <w:tcPr>
            <w:tcW w:w="26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4,783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3,562</w:t>
            </w:r>
          </w:p>
        </w:tc>
      </w:tr>
      <w:tr>
        <w:trPr>
          <w:trHeight w:val="23"/>
        </w:trPr>
        <w:tc>
          <w:tcPr>
            <w:tcW w:w="7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Level 3</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2,404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2,300</w:t>
            </w:r>
          </w:p>
        </w:tc>
      </w:tr>
      <w:tr>
        <w:trPr>
          <w:trHeight w:val="23"/>
        </w:trPr>
        <w:tc>
          <w:tcPr>
            <w:tcW w:w="7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Derivative Instruments</w:t>
      </w:r>
    </w:p>
    <w:p>
      <w:pPr>
        <w:spacing w:after="0" w:line="151" w:lineRule="exact"/>
        <w:rPr>
          <w:sz w:val="20"/>
          <w:szCs w:val="20"/>
          <w:color w:val="auto"/>
        </w:rPr>
      </w:pPr>
    </w:p>
    <w:p>
      <w:pPr>
        <w:ind w:right="60" w:firstLine="377"/>
        <w:spacing w:after="0" w:line="265" w:lineRule="auto"/>
        <w:rPr>
          <w:sz w:val="20"/>
          <w:szCs w:val="20"/>
          <w:color w:val="auto"/>
        </w:rPr>
      </w:pPr>
      <w:r>
        <w:rPr>
          <w:rFonts w:ascii="Times New Roman" w:cs="Times New Roman" w:eastAsia="Times New Roman" w:hAnsi="Times New Roman"/>
          <w:sz w:val="15"/>
          <w:szCs w:val="15"/>
          <w:color w:val="auto"/>
        </w:rPr>
        <w:t>The Company utilizes foreign currency forward contracts from time to time to reduce the impact of foreign currency fluctuations arising from both sales and purchases denominated in Euros and the British Pound Sterling. At March 31, 2015 and December 31, 2014, the notional amounts of the Company’s foreign currency forward contracts outstanding were $1.3 million and $1.5 million, respectively. For the three months ended March 31, 2015 and 2014, the Company recorded net gains of $148,000 and $50,000, respectively, related to foreign currency forward contracts in other income (expense), net.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Option for Warranty Obligations Related to Microinverters Sold Since January 1, 2014</w:t>
      </w:r>
    </w:p>
    <w:p>
      <w:pPr>
        <w:spacing w:after="0" w:line="151" w:lineRule="exact"/>
        <w:rPr>
          <w:sz w:val="20"/>
          <w:szCs w:val="20"/>
          <w:color w:val="auto"/>
        </w:rPr>
      </w:pPr>
    </w:p>
    <w:p>
      <w:pPr>
        <w:ind w:right="20" w:firstLine="377"/>
        <w:spacing w:after="0" w:line="263" w:lineRule="auto"/>
        <w:rPr>
          <w:sz w:val="20"/>
          <w:szCs w:val="20"/>
          <w:color w:val="auto"/>
        </w:rPr>
      </w:pPr>
      <w:r>
        <w:rPr>
          <w:rFonts w:ascii="Times New Roman" w:cs="Times New Roman" w:eastAsia="Times New Roman" w:hAnsi="Times New Roman"/>
          <w:sz w:val="15"/>
          <w:szCs w:val="15"/>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60" w:lineRule="exact"/>
        <w:rPr>
          <w:sz w:val="20"/>
          <w:szCs w:val="20"/>
          <w:color w:val="auto"/>
        </w:rPr>
      </w:pPr>
    </w:p>
    <w:p>
      <w:pPr>
        <w:ind w:right="360" w:firstLine="377"/>
        <w:spacing w:after="0" w:line="289" w:lineRule="auto"/>
        <w:rPr>
          <w:sz w:val="20"/>
          <w:szCs w:val="20"/>
          <w:color w:val="auto"/>
        </w:rPr>
      </w:pPr>
      <w:r>
        <w:rPr>
          <w:rFonts w:ascii="Times New Roman" w:cs="Times New Roman" w:eastAsia="Times New Roman" w:hAnsi="Times New Roman"/>
          <w:sz w:val="15"/>
          <w:szCs w:val="15"/>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171"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10160</wp:posOffset>
            </wp:positionV>
            <wp:extent cx="18135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2015</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2"/>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860" w:type="dxa"/>
            <w:vAlign w:val="bottom"/>
          </w:tcPr>
          <w:p>
            <w:pPr>
              <w:jc w:val="right"/>
              <w:ind w:right="68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3,562</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8"/>
        </w:trPr>
        <w:tc>
          <w:tcPr>
            <w:tcW w:w="8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Accruals for warranties issued during period</w:t>
            </w: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571</w:t>
            </w:r>
          </w:p>
        </w:tc>
      </w:tr>
      <w:tr>
        <w:trPr>
          <w:trHeight w:val="206"/>
        </w:trPr>
        <w:tc>
          <w:tcPr>
            <w:tcW w:w="8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Changes in estimates</w:t>
            </w:r>
          </w:p>
        </w:tc>
        <w:tc>
          <w:tcPr>
            <w:tcW w:w="8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8"/>
        </w:trPr>
        <w:tc>
          <w:tcPr>
            <w:tcW w:w="8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Settlements</w:t>
            </w: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8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Increase due to accretion expense</w:t>
            </w:r>
          </w:p>
        </w:tc>
        <w:tc>
          <w:tcPr>
            <w:tcW w:w="860" w:type="dxa"/>
            <w:vAlign w:val="bottom"/>
          </w:tcPr>
          <w:p>
            <w:pPr>
              <w:spacing w:after="0"/>
              <w:rPr>
                <w:sz w:val="17"/>
                <w:szCs w:val="17"/>
                <w:color w:val="auto"/>
              </w:rPr>
            </w:pP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20</w:t>
            </w:r>
          </w:p>
        </w:tc>
      </w:tr>
      <w:tr>
        <w:trPr>
          <w:trHeight w:val="23"/>
        </w:trPr>
        <w:tc>
          <w:tcPr>
            <w:tcW w:w="8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8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14"/>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end of period</w:t>
            </w:r>
          </w:p>
        </w:tc>
        <w:tc>
          <w:tcPr>
            <w:tcW w:w="86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4,783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587</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Contingent Consideration Liability</w:t>
      </w:r>
    </w:p>
    <w:p>
      <w:pPr>
        <w:spacing w:after="0" w:line="151" w:lineRule="exact"/>
        <w:rPr>
          <w:sz w:val="20"/>
          <w:szCs w:val="20"/>
          <w:color w:val="auto"/>
        </w:rPr>
      </w:pPr>
    </w:p>
    <w:p>
      <w:pPr>
        <w:ind w:right="60" w:firstLine="377"/>
        <w:spacing w:after="0" w:line="271" w:lineRule="auto"/>
        <w:rPr>
          <w:sz w:val="20"/>
          <w:szCs w:val="20"/>
          <w:color w:val="auto"/>
        </w:rPr>
      </w:pPr>
      <w:r>
        <w:rPr>
          <w:rFonts w:ascii="Times New Roman" w:cs="Times New Roman" w:eastAsia="Times New Roman" w:hAnsi="Times New Roman"/>
          <w:sz w:val="15"/>
          <w:szCs w:val="15"/>
          <w:color w:val="auto"/>
        </w:rPr>
        <w:t>The contingent consideration liability relates to the Company’s December 2014 acquisition of substantially all of the assets of Next Phase Solar, Inc. (“NPS”). The selling party may be entitled to receive two contingent payments, each based on achievement of defined revenue targets for the two annual periods subsequent to the acquisition date. The range of undiscounted amounts the Company could be required to pay for each contingent payment is between zero and $2.8 million.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40"/>
          </w:cols>
          <w:pgMar w:left="240" w:top="125" w:right="219" w:bottom="1440" w:gutter="0" w:footer="0" w:header="0"/>
        </w:sectPr>
      </w:pPr>
    </w:p>
    <w:bookmarkStart w:id="9" w:name="page10"/>
    <w:bookmarkEnd w:id="9"/>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amounts are payable, if at all, in early 2016 and 2017 based on achievement of defined 2015 and 2016 revenue targets, respectively.</w:t>
      </w:r>
    </w:p>
    <w:p>
      <w:pPr>
        <w:spacing w:after="0" w:line="147" w:lineRule="exact"/>
        <w:rPr>
          <w:sz w:val="20"/>
          <w:szCs w:val="20"/>
          <w:color w:val="auto"/>
        </w:rPr>
      </w:pPr>
    </w:p>
    <w:p>
      <w:pPr>
        <w:jc w:val="both"/>
        <w:ind w:right="160" w:firstLine="377"/>
        <w:spacing w:after="0" w:line="263" w:lineRule="auto"/>
        <w:rPr>
          <w:sz w:val="20"/>
          <w:szCs w:val="20"/>
          <w:color w:val="auto"/>
        </w:rPr>
      </w:pPr>
      <w:r>
        <w:rPr>
          <w:rFonts w:ascii="Times New Roman" w:cs="Times New Roman" w:eastAsia="Times New Roman" w:hAnsi="Times New Roman"/>
          <w:sz w:val="15"/>
          <w:szCs w:val="15"/>
          <w:color w:val="auto"/>
        </w:rPr>
        <w:t>The Company is required to reevaluate the fair value of the contingent consideration liability at each reporting period based on new developments and record changes in fair value until such consideration is satisfied through payment upon the achievement of the specified revenue targets or is no longer payable due to failure to achieve the specified revenue targets. The fair value of the contingent consideration liability was estimated by applying the income approach. That measure is based on significant Level 3 inputs not observable in the market. Key assumptions include (i) probability adjusted level of revenues and the resultant payout; and (ii) a risk-adjusted discount rate was estimated using a capital asset pricing model, which reflects an expected rate of return required by a market participant holding a financial instrument with risk attributes similar to the Company’s contingent consideration liability.</w:t>
      </w:r>
    </w:p>
    <w:p>
      <w:pPr>
        <w:spacing w:after="0" w:line="60" w:lineRule="exact"/>
        <w:rPr>
          <w:sz w:val="20"/>
          <w:szCs w:val="20"/>
          <w:color w:val="auto"/>
        </w:rPr>
      </w:pPr>
    </w:p>
    <w:p>
      <w:pPr>
        <w:ind w:right="200" w:firstLine="377"/>
        <w:spacing w:after="0" w:line="289" w:lineRule="auto"/>
        <w:rPr>
          <w:sz w:val="20"/>
          <w:szCs w:val="20"/>
          <w:color w:val="auto"/>
        </w:rPr>
      </w:pPr>
      <w:r>
        <w:rPr>
          <w:rFonts w:ascii="Times New Roman" w:cs="Times New Roman" w:eastAsia="Times New Roman" w:hAnsi="Times New Roman"/>
          <w:sz w:val="15"/>
          <w:szCs w:val="15"/>
          <w:color w:val="auto"/>
        </w:rPr>
        <w:t>The following table provides information regarding changes in financial liabilities related to the contingent consideration liability measured at fair value on a recurring basis using significant unobservable inputs (Level 3) for the three months ended March 31, 2015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Balance—December 31, 2014</w:t>
            </w:r>
          </w:p>
        </w:tc>
        <w:tc>
          <w:tcPr>
            <w:tcW w:w="56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2,300</w:t>
            </w:r>
          </w:p>
        </w:tc>
      </w:tr>
      <w:tr>
        <w:trPr>
          <w:trHeight w:val="23"/>
        </w:trPr>
        <w:tc>
          <w:tcPr>
            <w:tcW w:w="9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8"/>
        </w:trPr>
        <w:tc>
          <w:tcPr>
            <w:tcW w:w="9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Revaluations</w:t>
            </w: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104</w:t>
            </w:r>
          </w:p>
        </w:tc>
      </w:tr>
      <w:tr>
        <w:trPr>
          <w:trHeight w:val="214"/>
        </w:trPr>
        <w:tc>
          <w:tcPr>
            <w:tcW w:w="9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Balance—March 31, 2015</w:t>
            </w:r>
          </w:p>
        </w:tc>
        <w:tc>
          <w:tcPr>
            <w:tcW w:w="56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2,404</w:t>
            </w:r>
          </w:p>
        </w:tc>
      </w:tr>
      <w:tr>
        <w:trPr>
          <w:trHeight w:val="20"/>
        </w:trPr>
        <w:tc>
          <w:tcPr>
            <w:tcW w:w="9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right="460" w:firstLine="377"/>
        <w:spacing w:after="0" w:line="289" w:lineRule="auto"/>
        <w:rPr>
          <w:sz w:val="20"/>
          <w:szCs w:val="20"/>
          <w:color w:val="auto"/>
        </w:rPr>
      </w:pPr>
      <w:r>
        <w:rPr>
          <w:rFonts w:ascii="Times New Roman" w:cs="Times New Roman" w:eastAsia="Times New Roman" w:hAnsi="Times New Roman"/>
          <w:sz w:val="15"/>
          <w:szCs w:val="15"/>
          <w:color w:val="auto"/>
        </w:rPr>
        <w:t>The increase in fair value of the contingent consideration liability for the three months ended March 31, 2015 was attributed to the shorter discount period between the current balance sheet date and the contingent payment due dates.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Quantitative and Qualitative Information about Level 3 Fair Value Measurements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As of March 31, 2015, the significant unobservable inputs used in the fair value measurement of the Company’s liabilities designated as Level 3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Item Measured at Fair Value</w:t>
            </w:r>
          </w:p>
        </w:tc>
        <w:tc>
          <w:tcPr>
            <w:tcW w:w="120" w:type="dxa"/>
            <w:vAlign w:val="bottom"/>
            <w:vMerge w:val="restart"/>
          </w:tcPr>
          <w:p>
            <w:pPr>
              <w:spacing w:after="0"/>
              <w:rPr>
                <w:sz w:val="12"/>
                <w:szCs w:val="12"/>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Valuation Technique</w:t>
            </w:r>
          </w:p>
        </w:tc>
        <w:tc>
          <w:tcPr>
            <w:tcW w:w="120" w:type="dxa"/>
            <w:vAlign w:val="bottom"/>
          </w:tcPr>
          <w:p>
            <w:pPr>
              <w:spacing w:after="0"/>
              <w:rPr>
                <w:sz w:val="12"/>
                <w:szCs w:val="12"/>
                <w:color w:val="auto"/>
              </w:rPr>
            </w:pP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Significant Unobservable Input</w:t>
            </w:r>
          </w:p>
        </w:tc>
        <w:tc>
          <w:tcPr>
            <w:tcW w:w="100" w:type="dxa"/>
            <w:vAlign w:val="bottom"/>
            <w:vMerge w:val="restart"/>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Percent Used</w:t>
            </w: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(Weighted-Average)</w:t>
            </w:r>
          </w:p>
        </w:tc>
        <w:tc>
          <w:tcPr>
            <w:tcW w:w="0" w:type="dxa"/>
            <w:vAlign w:val="bottom"/>
          </w:tcPr>
          <w:p>
            <w:pPr>
              <w:spacing w:after="0"/>
              <w:rPr>
                <w:sz w:val="1"/>
                <w:szCs w:val="1"/>
                <w:color w:val="auto"/>
              </w:rPr>
            </w:pPr>
          </w:p>
        </w:tc>
      </w:tr>
      <w:tr>
        <w:trPr>
          <w:trHeight w:val="208"/>
        </w:trPr>
        <w:tc>
          <w:tcPr>
            <w:tcW w:w="2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Warranty obligations for microinverters</w:t>
            </w:r>
          </w:p>
        </w:tc>
        <w:tc>
          <w:tcPr>
            <w:tcW w:w="2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Discounted cash flows</w:t>
            </w:r>
          </w:p>
        </w:tc>
        <w:tc>
          <w:tcPr>
            <w:tcW w:w="1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Profit element and risk premium</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17%</w:t>
            </w:r>
          </w:p>
        </w:tc>
        <w:tc>
          <w:tcPr>
            <w:tcW w:w="0" w:type="dxa"/>
            <w:vAlign w:val="bottom"/>
          </w:tcPr>
          <w:p>
            <w:pPr>
              <w:spacing w:after="0"/>
              <w:rPr>
                <w:sz w:val="1"/>
                <w:szCs w:val="1"/>
                <w:color w:val="auto"/>
              </w:rPr>
            </w:pPr>
          </w:p>
        </w:tc>
      </w:tr>
      <w:tr>
        <w:trPr>
          <w:trHeight w:val="91"/>
        </w:trPr>
        <w:tc>
          <w:tcPr>
            <w:tcW w:w="25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sold since January 1, 2014</w:t>
            </w:r>
          </w:p>
        </w:tc>
        <w:tc>
          <w:tcPr>
            <w:tcW w:w="24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Credit-adjusted risk-free rate</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18%</w:t>
            </w:r>
          </w:p>
        </w:tc>
        <w:tc>
          <w:tcPr>
            <w:tcW w:w="0" w:type="dxa"/>
            <w:vAlign w:val="bottom"/>
          </w:tcPr>
          <w:p>
            <w:pPr>
              <w:spacing w:after="0"/>
              <w:rPr>
                <w:sz w:val="1"/>
                <w:szCs w:val="1"/>
                <w:color w:val="auto"/>
              </w:rPr>
            </w:pPr>
          </w:p>
        </w:tc>
      </w:tr>
      <w:tr>
        <w:trPr>
          <w:trHeight w:val="123"/>
        </w:trPr>
        <w:tc>
          <w:tcPr>
            <w:tcW w:w="2520" w:type="dxa"/>
            <w:vAlign w:val="bottom"/>
            <w:tcBorders>
              <w:bottom w:val="single" w:sz="8" w:color="CCEEFF"/>
            </w:tcBorders>
            <w:gridSpan w:val="2"/>
            <w:vMerge w:val="continue"/>
            <w:shd w:val="clear" w:color="auto" w:fill="CCEEFF"/>
          </w:tcPr>
          <w:p>
            <w:pPr>
              <w:spacing w:after="0"/>
              <w:rPr>
                <w:sz w:val="10"/>
                <w:szCs w:val="10"/>
                <w:color w:val="auto"/>
              </w:rPr>
            </w:pPr>
          </w:p>
        </w:tc>
        <w:tc>
          <w:tcPr>
            <w:tcW w:w="24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560" w:type="dxa"/>
            <w:vAlign w:val="bottom"/>
            <w:tcBorders>
              <w:bottom w:val="single" w:sz="8" w:color="CCEEFF"/>
            </w:tcBorders>
            <w:gridSpan w:val="2"/>
            <w:vMerge w:val="continue"/>
            <w:shd w:val="clear" w:color="auto" w:fill="CCEEFF"/>
          </w:tcPr>
          <w:p>
            <w:pPr>
              <w:spacing w:after="0"/>
              <w:rPr>
                <w:sz w:val="10"/>
                <w:szCs w:val="10"/>
                <w:color w:val="auto"/>
              </w:rPr>
            </w:pPr>
          </w:p>
        </w:tc>
        <w:tc>
          <w:tcPr>
            <w:tcW w:w="18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2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Contingent consideration liability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Probability-weighted discounted cash</w:t>
            </w:r>
          </w:p>
        </w:tc>
        <w:tc>
          <w:tcPr>
            <w:tcW w:w="120" w:type="dxa"/>
            <w:vAlign w:val="bottom"/>
          </w:tcPr>
          <w:p>
            <w:pPr>
              <w:spacing w:after="0"/>
              <w:rPr>
                <w:sz w:val="24"/>
                <w:szCs w:val="24"/>
                <w:color w:val="auto"/>
              </w:rPr>
            </w:pPr>
          </w:p>
        </w:tc>
        <w:tc>
          <w:tcPr>
            <w:tcW w:w="4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Risk-adjusted discount rate</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18%</w:t>
            </w:r>
          </w:p>
        </w:tc>
        <w:tc>
          <w:tcPr>
            <w:tcW w:w="0" w:type="dxa"/>
            <w:vAlign w:val="bottom"/>
          </w:tcPr>
          <w:p>
            <w:pPr>
              <w:spacing w:after="0"/>
              <w:rPr>
                <w:sz w:val="1"/>
                <w:szCs w:val="1"/>
                <w:color w:val="auto"/>
              </w:rPr>
            </w:pPr>
          </w:p>
        </w:tc>
      </w:tr>
      <w:tr>
        <w:trPr>
          <w:trHeight w:val="85"/>
        </w:trPr>
        <w:tc>
          <w:tcPr>
            <w:tcW w:w="2520" w:type="dxa"/>
            <w:vAlign w:val="bottom"/>
            <w:gridSpan w:val="2"/>
            <w:vMerge w:val="continue"/>
          </w:tcPr>
          <w:p>
            <w:pPr>
              <w:spacing w:after="0"/>
              <w:rPr>
                <w:sz w:val="7"/>
                <w:szCs w:val="7"/>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flows</w:t>
            </w:r>
          </w:p>
        </w:tc>
        <w:tc>
          <w:tcPr>
            <w:tcW w:w="120" w:type="dxa"/>
            <w:vAlign w:val="bottom"/>
          </w:tcPr>
          <w:p>
            <w:pPr>
              <w:spacing w:after="0"/>
              <w:rPr>
                <w:sz w:val="7"/>
                <w:szCs w:val="7"/>
                <w:color w:val="auto"/>
              </w:rPr>
            </w:pPr>
          </w:p>
        </w:tc>
        <w:tc>
          <w:tcPr>
            <w:tcW w:w="4560" w:type="dxa"/>
            <w:vAlign w:val="bottom"/>
            <w:gridSpan w:val="2"/>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Sensitivity of Level 3 Inputs</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Warranty Obligations</w:t>
      </w:r>
    </w:p>
    <w:p>
      <w:pPr>
        <w:spacing w:after="0" w:line="151" w:lineRule="exact"/>
        <w:rPr>
          <w:sz w:val="20"/>
          <w:szCs w:val="20"/>
          <w:color w:val="auto"/>
        </w:rPr>
      </w:pPr>
    </w:p>
    <w:p>
      <w:pPr>
        <w:ind w:right="60" w:firstLine="411"/>
        <w:spacing w:after="0" w:line="265" w:lineRule="auto"/>
        <w:rPr>
          <w:sz w:val="20"/>
          <w:szCs w:val="20"/>
          <w:color w:val="auto"/>
        </w:rPr>
      </w:pPr>
      <w:r>
        <w:rPr>
          <w:rFonts w:ascii="Times New Roman" w:cs="Times New Roman" w:eastAsia="Times New Roman" w:hAnsi="Times New Roman"/>
          <w:sz w:val="15"/>
          <w:szCs w:val="15"/>
          <w:color w:val="auto"/>
        </w:rPr>
        <w:t>Each of the significant unobservable inputs is independent of the other. The profit element and risk premium are estimated based on requirements of a third-party participant willing to assume the Company’s warranty obligations. The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discount rate by 100 basis points would result in a $0.2 million reduction of the liability. Decreasing the discount rate by 100 basis points would result in a $0.2 million increase to the liability.</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Contingent Consideration Liability</w:t>
      </w:r>
    </w:p>
    <w:p>
      <w:pPr>
        <w:spacing w:after="0" w:line="151" w:lineRule="exact"/>
        <w:rPr>
          <w:sz w:val="20"/>
          <w:szCs w:val="20"/>
          <w:color w:val="auto"/>
        </w:rPr>
      </w:pPr>
    </w:p>
    <w:p>
      <w:pPr>
        <w:ind w:right="280" w:firstLine="411"/>
        <w:spacing w:after="0" w:line="265" w:lineRule="auto"/>
        <w:rPr>
          <w:sz w:val="20"/>
          <w:szCs w:val="20"/>
          <w:color w:val="auto"/>
        </w:rPr>
      </w:pPr>
      <w:r>
        <w:rPr>
          <w:rFonts w:ascii="Times New Roman" w:cs="Times New Roman" w:eastAsia="Times New Roman" w:hAnsi="Times New Roman"/>
          <w:sz w:val="15"/>
          <w:szCs w:val="15"/>
          <w:color w:val="auto"/>
        </w:rPr>
        <w:t>Changes in assumed probability adjustments with respect to achievement of target metric can materially impact the fair value measurement of contingent consideration as of the acquisition date and for each subsequent period. Assumptions about the probability and amount of payout will require less subjectivity over the course of the earnout period as management refines estimates based on actual events. Due to the short duration of the earnout period of two years, increasing or decreasing the risk-adjusted discount rate by 100 basis points would not have a material impact on the fair value measurement of the contingent consideration liability.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 GOODWILL AND INTANGIBLE ASSETS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440"/>
          </w:cols>
          <w:pgMar w:left="240" w:top="125" w:right="219" w:bottom="1440" w:gutter="0" w:footer="0" w:header="0"/>
        </w:sectPr>
      </w:pPr>
    </w:p>
    <w:bookmarkStart w:id="10" w:name="page11"/>
    <w:bookmarkEnd w:id="10"/>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March 31, 2015</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2014</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80" w:type="dxa"/>
            <w:vAlign w:val="bottom"/>
          </w:tcPr>
          <w:p>
            <w:pPr>
              <w:spacing w:after="0"/>
              <w:rPr>
                <w:sz w:val="10"/>
                <w:szCs w:val="10"/>
                <w:color w:val="auto"/>
              </w:rPr>
            </w:pPr>
          </w:p>
        </w:tc>
        <w:tc>
          <w:tcPr>
            <w:tcW w:w="860" w:type="dxa"/>
            <w:vAlign w:val="bottom"/>
            <w:vMerge w:val="restart"/>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Net</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Gross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80" w:type="dxa"/>
            <w:vAlign w:val="bottom"/>
          </w:tcPr>
          <w:p>
            <w:pPr>
              <w:spacing w:after="0"/>
              <w:rPr>
                <w:sz w:val="10"/>
                <w:szCs w:val="10"/>
                <w:color w:val="auto"/>
              </w:rPr>
            </w:pPr>
          </w:p>
        </w:tc>
        <w:tc>
          <w:tcPr>
            <w:tcW w:w="860" w:type="dxa"/>
            <w:vAlign w:val="bottom"/>
            <w:vMerge w:val="restart"/>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65"/>
        </w:trPr>
        <w:tc>
          <w:tcPr>
            <w:tcW w:w="3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3,745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3,745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3,745</w:t>
            </w:r>
          </w:p>
        </w:tc>
        <w:tc>
          <w:tcPr>
            <w:tcW w:w="0" w:type="dxa"/>
            <w:vAlign w:val="bottom"/>
          </w:tcPr>
          <w:p>
            <w:pPr>
              <w:spacing w:after="0"/>
              <w:rPr>
                <w:sz w:val="1"/>
                <w:szCs w:val="1"/>
                <w:color w:val="auto"/>
              </w:rPr>
            </w:pPr>
          </w:p>
        </w:tc>
      </w:tr>
      <w:tr>
        <w:trPr>
          <w:trHeight w:val="274"/>
        </w:trPr>
        <w:tc>
          <w:tcPr>
            <w:tcW w:w="3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indefinite-lived intangibles</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274"/>
        </w:trPr>
        <w:tc>
          <w:tcPr>
            <w:tcW w:w="3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Intangibles assets with finite lives: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Customer relationships</w:t>
            </w:r>
          </w:p>
        </w:tc>
        <w:tc>
          <w:tcPr>
            <w:tcW w:w="2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900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900</w:t>
            </w:r>
          </w:p>
        </w:tc>
        <w:tc>
          <w:tcPr>
            <w:tcW w:w="0" w:type="dxa"/>
            <w:vAlign w:val="bottom"/>
          </w:tcPr>
          <w:p>
            <w:pPr>
              <w:spacing w:after="0"/>
              <w:rPr>
                <w:sz w:val="1"/>
                <w:szCs w:val="1"/>
                <w:color w:val="auto"/>
              </w:rPr>
            </w:pPr>
          </w:p>
        </w:tc>
      </w:tr>
      <w:tr>
        <w:trPr>
          <w:trHeight w:val="23"/>
        </w:trPr>
        <w:tc>
          <w:tcPr>
            <w:tcW w:w="3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Patents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625</w:t>
            </w:r>
          </w:p>
        </w:tc>
        <w:tc>
          <w:tcPr>
            <w:tcW w:w="0" w:type="dxa"/>
            <w:vAlign w:val="bottom"/>
          </w:tcPr>
          <w:p>
            <w:pPr>
              <w:spacing w:after="0"/>
              <w:rPr>
                <w:sz w:val="1"/>
                <w:szCs w:val="1"/>
                <w:color w:val="auto"/>
              </w:rPr>
            </w:pPr>
          </w:p>
        </w:tc>
      </w:tr>
      <w:tr>
        <w:trPr>
          <w:trHeight w:val="214"/>
        </w:trPr>
        <w:tc>
          <w:tcPr>
            <w:tcW w:w="37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1,650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1,418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1,650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1,525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right="180" w:firstLine="411"/>
        <w:spacing w:after="0" w:line="289" w:lineRule="auto"/>
        <w:rPr>
          <w:sz w:val="20"/>
          <w:szCs w:val="20"/>
          <w:color w:val="auto"/>
        </w:rPr>
      </w:pPr>
      <w:r>
        <w:rPr>
          <w:rFonts w:ascii="Times New Roman" w:cs="Times New Roman" w:eastAsia="Times New Roman" w:hAnsi="Times New Roman"/>
          <w:sz w:val="15"/>
          <w:szCs w:val="15"/>
          <w:color w:val="auto"/>
        </w:rPr>
        <w:t>In July 2014, the Company purchased certain patents related to system interconnection and photovoltaic AC module construction. The patents are being amortized over their legal life of 3 years. The customer relationship intangible resulted from the Company’s NPS acquisition and is being amortized on a straight-line basis over its estimated useful life of 5 years.</w:t>
      </w:r>
    </w:p>
    <w:p>
      <w:pPr>
        <w:spacing w:after="0" w:line="41" w:lineRule="exact"/>
        <w:rPr>
          <w:sz w:val="20"/>
          <w:szCs w:val="20"/>
          <w:color w:val="auto"/>
        </w:rPr>
      </w:pPr>
    </w:p>
    <w:p>
      <w:pPr>
        <w:ind w:right="20" w:firstLine="411"/>
        <w:spacing w:after="0" w:line="289" w:lineRule="auto"/>
        <w:rPr>
          <w:sz w:val="20"/>
          <w:szCs w:val="20"/>
          <w:color w:val="auto"/>
        </w:rPr>
      </w:pPr>
      <w:r>
        <w:rPr>
          <w:rFonts w:ascii="Times New Roman" w:cs="Times New Roman" w:eastAsia="Times New Roman" w:hAnsi="Times New Roman"/>
          <w:sz w:val="15"/>
          <w:szCs w:val="15"/>
          <w:color w:val="auto"/>
        </w:rPr>
        <w:t>For the three months ended March 31, 2015, amortization expense related to intangible assets was $0.1 million. As of March 31, 2015, estimated future amortization expense related to finite-lived intangible assets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(In thousands)</w:t>
            </w:r>
          </w:p>
        </w:tc>
      </w:tr>
      <w:tr>
        <w:trPr>
          <w:trHeight w:val="205"/>
        </w:trPr>
        <w:tc>
          <w:tcPr>
            <w:tcW w:w="10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2015 (remaining 9 months)</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323</w:t>
            </w:r>
          </w:p>
        </w:tc>
      </w:tr>
      <w:tr>
        <w:trPr>
          <w:trHeight w:val="206"/>
        </w:trPr>
        <w:tc>
          <w:tcPr>
            <w:tcW w:w="10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430</w:t>
            </w:r>
          </w:p>
        </w:tc>
      </w:tr>
      <w:tr>
        <w:trPr>
          <w:trHeight w:val="23"/>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8"/>
        </w:trPr>
        <w:tc>
          <w:tcPr>
            <w:tcW w:w="10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305</w:t>
            </w:r>
          </w:p>
        </w:tc>
      </w:tr>
      <w:tr>
        <w:trPr>
          <w:trHeight w:val="206"/>
        </w:trPr>
        <w:tc>
          <w:tcPr>
            <w:tcW w:w="10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180</w:t>
            </w:r>
          </w:p>
        </w:tc>
      </w:tr>
      <w:tr>
        <w:trPr>
          <w:trHeight w:val="23"/>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8"/>
        </w:trPr>
        <w:tc>
          <w:tcPr>
            <w:tcW w:w="10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180</w:t>
            </w:r>
          </w:p>
        </w:tc>
      </w:tr>
      <w:tr>
        <w:trPr>
          <w:trHeight w:val="214"/>
        </w:trPr>
        <w:tc>
          <w:tcPr>
            <w:tcW w:w="101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1,418</w:t>
            </w:r>
          </w:p>
        </w:tc>
      </w:tr>
      <w:tr>
        <w:trPr>
          <w:trHeight w:val="20"/>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COMMITMENTS AND CONTINGENCIES</w:t>
      </w:r>
    </w:p>
    <w:p>
      <w:pPr>
        <w:spacing w:after="0" w:line="147" w:lineRule="exact"/>
        <w:rPr>
          <w:sz w:val="20"/>
          <w:szCs w:val="20"/>
          <w:color w:val="auto"/>
        </w:rPr>
      </w:pPr>
    </w:p>
    <w:p>
      <w:pPr>
        <w:jc w:val="both"/>
        <w:ind w:right="100" w:firstLine="377"/>
        <w:spacing w:after="0" w:line="274" w:lineRule="auto"/>
        <w:rPr>
          <w:sz w:val="20"/>
          <w:szCs w:val="20"/>
          <w:color w:val="auto"/>
        </w:rPr>
      </w:pPr>
      <w:r>
        <w:rPr>
          <w:rFonts w:ascii="Times New Roman" w:cs="Times New Roman" w:eastAsia="Times New Roman" w:hAnsi="Times New Roman"/>
          <w:sz w:val="15"/>
          <w:szCs w:val="15"/>
          <w:b w:val="1"/>
          <w:bCs w:val="1"/>
          <w:color w:val="auto"/>
        </w:rPr>
        <w:t xml:space="preserve">Contingencies </w:t>
      </w:r>
      <w:r>
        <w:rPr>
          <w:rFonts w:ascii="Times New Roman" w:cs="Times New Roman" w:eastAsia="Times New Roman" w:hAnsi="Times New Roman"/>
          <w:sz w:val="15"/>
          <w:szCs w:val="15"/>
          <w:color w:val="auto"/>
        </w:rPr>
        <w:t>—The Company is not currently involved in any material legal proceedings. The Company may become involved in various legal proceedings and claims that arise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STOCK-BASED COMPENSATION</w:t>
      </w:r>
    </w:p>
    <w:p>
      <w:pPr>
        <w:spacing w:after="0" w:line="151" w:lineRule="exact"/>
        <w:rPr>
          <w:sz w:val="20"/>
          <w:szCs w:val="20"/>
          <w:color w:val="auto"/>
        </w:rPr>
      </w:pPr>
    </w:p>
    <w:p>
      <w:pPr>
        <w:ind w:right="480" w:firstLine="343"/>
        <w:spacing w:after="0" w:line="289" w:lineRule="auto"/>
        <w:rPr>
          <w:sz w:val="20"/>
          <w:szCs w:val="20"/>
          <w:color w:val="auto"/>
        </w:rPr>
      </w:pPr>
      <w:r>
        <w:rPr>
          <w:rFonts w:ascii="Times New Roman" w:cs="Times New Roman" w:eastAsia="Times New Roman" w:hAnsi="Times New Roman"/>
          <w:sz w:val="15"/>
          <w:szCs w:val="15"/>
          <w:color w:val="auto"/>
        </w:rPr>
        <w:t>The Company has adopted certain equity incentive and stock purchase plans as described in the consolidated financial statements and related notes included in the Company’s Annual Report on Form 10-K for the year ended December 31, 2014.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Awards Activity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Stock Options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is a summary of stock option activity for the three months ended March 31, 2015 (in thousands, except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ind w:right="171"/>
              <w:spacing w:after="0" w:line="126"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ind w:right="171"/>
              <w:spacing w:after="0" w:line="126" w:lineRule="exact"/>
              <w:rPr>
                <w:sz w:val="20"/>
                <w:szCs w:val="20"/>
                <w:color w:val="auto"/>
              </w:rPr>
            </w:pPr>
            <w:r>
              <w:rPr>
                <w:rFonts w:ascii="Times New Roman" w:cs="Times New Roman" w:eastAsia="Times New Roman" w:hAnsi="Times New Roman"/>
                <w:sz w:val="12"/>
                <w:szCs w:val="12"/>
                <w:b w:val="1"/>
                <w:bCs w:val="1"/>
                <w:color w:val="auto"/>
              </w:rPr>
              <w:t>Exercise Price</w:t>
            </w:r>
          </w:p>
        </w:tc>
        <w:tc>
          <w:tcPr>
            <w:tcW w:w="0" w:type="dxa"/>
            <w:vAlign w:val="bottom"/>
          </w:tcPr>
          <w:p>
            <w:pPr>
              <w:spacing w:after="0"/>
              <w:rPr>
                <w:sz w:val="1"/>
                <w:szCs w:val="1"/>
                <w:color w:val="auto"/>
              </w:rPr>
            </w:pPr>
          </w:p>
        </w:tc>
      </w:tr>
      <w:tr>
        <w:trPr>
          <w:trHeight w:val="165"/>
        </w:trPr>
        <w:tc>
          <w:tcPr>
            <w:tcW w:w="390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Outstanding</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2014</w:t>
            </w:r>
          </w:p>
        </w:tc>
        <w:tc>
          <w:tcPr>
            <w:tcW w:w="5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5"/>
                <w:szCs w:val="15"/>
                <w:color w:val="auto"/>
              </w:rPr>
              <w:t>8,632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5"/>
                <w:szCs w:val="15"/>
                <w:color w:val="auto"/>
              </w:rPr>
              <w:t>4.75</w:t>
            </w:r>
          </w:p>
        </w:tc>
        <w:tc>
          <w:tcPr>
            <w:tcW w:w="0" w:type="dxa"/>
            <w:vAlign w:val="bottom"/>
          </w:tcPr>
          <w:p>
            <w:pPr>
              <w:spacing w:after="0"/>
              <w:rPr>
                <w:sz w:val="1"/>
                <w:szCs w:val="1"/>
                <w:color w:val="auto"/>
              </w:rPr>
            </w:pPr>
          </w:p>
        </w:tc>
      </w:tr>
      <w:tr>
        <w:trPr>
          <w:trHeight w:val="206"/>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Granted</w:t>
            </w:r>
          </w:p>
        </w:tc>
        <w:tc>
          <w:tcPr>
            <w:tcW w:w="5940" w:type="dxa"/>
            <w:vAlign w:val="bottom"/>
            <w:gridSpan w:val="2"/>
          </w:tcPr>
          <w:p>
            <w:pPr>
              <w:jc w:val="right"/>
              <w:ind w:right="59"/>
              <w:spacing w:after="0"/>
              <w:rPr>
                <w:sz w:val="20"/>
                <w:szCs w:val="20"/>
                <w:color w:val="auto"/>
              </w:rPr>
            </w:pPr>
            <w:r>
              <w:rPr>
                <w:rFonts w:ascii="Times New Roman" w:cs="Times New Roman" w:eastAsia="Times New Roman" w:hAnsi="Times New Roman"/>
                <w:sz w:val="15"/>
                <w:szCs w:val="15"/>
                <w:color w:val="auto"/>
              </w:rPr>
              <w:t>197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12.17</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Exercised</w:t>
            </w:r>
          </w:p>
        </w:tc>
        <w:tc>
          <w:tcPr>
            <w:tcW w:w="5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5"/>
                <w:szCs w:val="15"/>
                <w:color w:val="auto"/>
              </w:rPr>
              <w:t>3.65</w:t>
            </w:r>
          </w:p>
        </w:tc>
        <w:tc>
          <w:tcPr>
            <w:tcW w:w="0" w:type="dxa"/>
            <w:vAlign w:val="bottom"/>
          </w:tcPr>
          <w:p>
            <w:pPr>
              <w:spacing w:after="0"/>
              <w:rPr>
                <w:sz w:val="1"/>
                <w:szCs w:val="1"/>
                <w:color w:val="auto"/>
              </w:rPr>
            </w:pPr>
          </w:p>
        </w:tc>
      </w:tr>
      <w:tr>
        <w:trPr>
          <w:trHeight w:val="206"/>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Canceled</w:t>
            </w: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9.83</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March 31, 2015</w:t>
            </w:r>
          </w:p>
        </w:tc>
        <w:tc>
          <w:tcPr>
            <w:tcW w:w="5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5"/>
                <w:szCs w:val="15"/>
                <w:color w:val="auto"/>
              </w:rPr>
              <w:t>8,596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504"/>
              <w:spacing w:after="0"/>
              <w:rPr>
                <w:sz w:val="20"/>
                <w:szCs w:val="20"/>
                <w:color w:val="auto"/>
              </w:rPr>
            </w:pPr>
            <w:r>
              <w:rPr>
                <w:rFonts w:ascii="Times New Roman" w:cs="Times New Roman" w:eastAsia="Times New Roman" w:hAnsi="Times New Roman"/>
                <w:sz w:val="15"/>
                <w:szCs w:val="15"/>
                <w:color w:val="auto"/>
              </w:rPr>
              <w:t>11</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9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1" w:name="page12"/>
    <w:bookmarkEnd w:id="11"/>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right="360" w:firstLine="365"/>
        <w:spacing w:after="0" w:line="289" w:lineRule="auto"/>
        <w:rPr>
          <w:sz w:val="20"/>
          <w:szCs w:val="20"/>
          <w:color w:val="auto"/>
        </w:rPr>
      </w:pPr>
      <w:r>
        <w:rPr>
          <w:rFonts w:ascii="Times New Roman" w:cs="Times New Roman" w:eastAsia="Times New Roman" w:hAnsi="Times New Roman"/>
          <w:sz w:val="15"/>
          <w:szCs w:val="15"/>
          <w:color w:val="auto"/>
        </w:rPr>
        <w:t>The intrinsic value of options exercised in the three months ended March 31, 2015 was $1.8 million. As of March 31, 2015, the intrinsic value of options outstanding was $71.7 million based on the closing price of the Company’s stock as of March 31, 2015.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Restricted Stock Units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is a summary of restricted stock unit activity for the three months ended March 31, 2015 (in thousands,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0" w:type="dxa"/>
            <w:vAlign w:val="bottom"/>
          </w:tcPr>
          <w:p>
            <w:pPr>
              <w:spacing w:after="0"/>
              <w:rPr>
                <w:sz w:val="1"/>
                <w:szCs w:val="1"/>
                <w:color w:val="auto"/>
              </w:rPr>
            </w:pPr>
          </w:p>
        </w:tc>
      </w:tr>
      <w:tr>
        <w:trPr>
          <w:trHeight w:val="126"/>
        </w:trPr>
        <w:tc>
          <w:tcPr>
            <w:tcW w:w="8360" w:type="dxa"/>
            <w:vAlign w:val="bottom"/>
          </w:tcPr>
          <w:p>
            <w:pPr>
              <w:spacing w:after="0"/>
              <w:rPr>
                <w:sz w:val="10"/>
                <w:szCs w:val="10"/>
                <w:color w:val="auto"/>
              </w:rPr>
            </w:pPr>
          </w:p>
        </w:tc>
        <w:tc>
          <w:tcPr>
            <w:tcW w:w="960" w:type="dxa"/>
            <w:vAlign w:val="bottom"/>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RSUs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ind w:right="7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 per Share at</w:t>
            </w:r>
          </w:p>
        </w:tc>
        <w:tc>
          <w:tcPr>
            <w:tcW w:w="0" w:type="dxa"/>
            <w:vAlign w:val="bottom"/>
          </w:tcPr>
          <w:p>
            <w:pPr>
              <w:spacing w:after="0"/>
              <w:rPr>
                <w:sz w:val="1"/>
                <w:szCs w:val="1"/>
                <w:color w:val="auto"/>
              </w:rPr>
            </w:pPr>
          </w:p>
        </w:tc>
      </w:tr>
      <w:tr>
        <w:trPr>
          <w:trHeight w:val="165"/>
        </w:trPr>
        <w:tc>
          <w:tcPr>
            <w:tcW w:w="83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0" w:type="dxa"/>
            <w:vAlign w:val="bottom"/>
          </w:tcPr>
          <w:p>
            <w:pPr>
              <w:spacing w:after="0"/>
              <w:rPr>
                <w:sz w:val="1"/>
                <w:szCs w:val="1"/>
                <w:color w:val="auto"/>
              </w:rPr>
            </w:pPr>
          </w:p>
        </w:tc>
      </w:tr>
      <w:tr>
        <w:trPr>
          <w:trHeight w:val="205"/>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2014</w:t>
            </w:r>
          </w:p>
        </w:tc>
        <w:tc>
          <w:tcPr>
            <w:tcW w:w="5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8.25</w:t>
            </w:r>
          </w:p>
        </w:tc>
        <w:tc>
          <w:tcPr>
            <w:tcW w:w="0" w:type="dxa"/>
            <w:vAlign w:val="bottom"/>
          </w:tcPr>
          <w:p>
            <w:pPr>
              <w:spacing w:after="0"/>
              <w:rPr>
                <w:sz w:val="1"/>
                <w:szCs w:val="1"/>
                <w:color w:val="auto"/>
              </w:rPr>
            </w:pPr>
          </w:p>
        </w:tc>
      </w:tr>
      <w:tr>
        <w:trPr>
          <w:trHeight w:val="206"/>
        </w:trPr>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Granted</w:t>
            </w: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13.05</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8.04</w:t>
            </w:r>
          </w:p>
        </w:tc>
        <w:tc>
          <w:tcPr>
            <w:tcW w:w="0" w:type="dxa"/>
            <w:vAlign w:val="bottom"/>
          </w:tcPr>
          <w:p>
            <w:pPr>
              <w:spacing w:after="0"/>
              <w:rPr>
                <w:sz w:val="1"/>
                <w:szCs w:val="1"/>
                <w:color w:val="auto"/>
              </w:rPr>
            </w:pPr>
          </w:p>
        </w:tc>
      </w:tr>
      <w:tr>
        <w:trPr>
          <w:trHeight w:val="206"/>
        </w:trPr>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Canceled</w:t>
            </w: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March 31, 2015</w:t>
            </w:r>
          </w:p>
        </w:tc>
        <w:tc>
          <w:tcPr>
            <w:tcW w:w="5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5"/>
                <w:szCs w:val="15"/>
                <w:color w:val="auto"/>
              </w:rPr>
              <w:t>9.60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40" w:firstLine="365"/>
        <w:spacing w:after="0" w:line="289" w:lineRule="auto"/>
        <w:rPr>
          <w:sz w:val="20"/>
          <w:szCs w:val="20"/>
          <w:color w:val="auto"/>
        </w:rPr>
      </w:pPr>
      <w:r>
        <w:rPr>
          <w:rFonts w:ascii="Times New Roman" w:cs="Times New Roman" w:eastAsia="Times New Roman" w:hAnsi="Times New Roman"/>
          <w:sz w:val="15"/>
          <w:szCs w:val="15"/>
          <w:color w:val="auto"/>
        </w:rPr>
        <w:t>The total fair value of restricted stock units that vested in the three months ended March 31, 2015 was $2.5 million. As of March 31, 2015, the intrinsic value of restricted stock units outstanding was $21.4 million based on the closing price of the Company’s stock as of March 31, 2015.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51" w:lineRule="exact"/>
        <w:rPr>
          <w:sz w:val="20"/>
          <w:szCs w:val="20"/>
          <w:color w:val="auto"/>
        </w:rPr>
      </w:pPr>
    </w:p>
    <w:p>
      <w:pPr>
        <w:ind w:right="160" w:firstLine="365"/>
        <w:spacing w:after="0" w:line="289" w:lineRule="auto"/>
        <w:rPr>
          <w:sz w:val="20"/>
          <w:szCs w:val="20"/>
          <w:color w:val="auto"/>
        </w:rPr>
      </w:pPr>
      <w:r>
        <w:rPr>
          <w:rFonts w:ascii="Times New Roman" w:cs="Times New Roman" w:eastAsia="Times New Roman" w:hAnsi="Times New Roman"/>
          <w:sz w:val="15"/>
          <w:szCs w:val="15"/>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Times New Roman" w:cs="Times New Roman" w:eastAsia="Times New Roman" w:hAnsi="Times New Roman"/>
          <w:sz w:val="15"/>
          <w:szCs w:val="15"/>
          <w:color w:val="010202"/>
        </w:rPr>
        <w:t>in the condensed consolidated statements of operations for the periods presented (in</w:t>
      </w:r>
      <w:r>
        <w:rPr>
          <w:rFonts w:ascii="Times New Roman" w:cs="Times New Roman" w:eastAsia="Times New Roman" w:hAnsi="Times New Roman"/>
          <w:sz w:val="15"/>
          <w:szCs w:val="15"/>
          <w:color w:val="auto"/>
        </w:rPr>
        <w:t xml:space="preserve"> thousands):</w:t>
      </w:r>
    </w:p>
    <w:p>
      <w:pPr>
        <w:spacing w:after="0" w:line="217"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2015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revenues</w:t>
            </w:r>
          </w:p>
        </w:tc>
        <w:tc>
          <w:tcPr>
            <w:tcW w:w="94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264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149</w:t>
            </w: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4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1,079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613</w:t>
            </w:r>
          </w:p>
        </w:tc>
      </w:tr>
      <w:tr>
        <w:trPr>
          <w:trHeight w:val="23"/>
        </w:trPr>
        <w:tc>
          <w:tcPr>
            <w:tcW w:w="8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765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532</w:t>
            </w: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4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880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719</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5"/>
        </w:trPr>
        <w:tc>
          <w:tcPr>
            <w:tcW w:w="8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2,988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2,013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summarizes stock-based compensation associated with each type of award for the periods presented (in thousands):</w:t>
      </w:r>
    </w:p>
    <w:p>
      <w:pPr>
        <w:spacing w:after="0" w:line="277"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2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2015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20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and restricted stock units</w:t>
            </w:r>
          </w:p>
        </w:tc>
        <w:tc>
          <w:tcPr>
            <w:tcW w:w="52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2,526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1,839</w:t>
            </w:r>
          </w:p>
        </w:tc>
        <w:tc>
          <w:tcPr>
            <w:tcW w:w="0" w:type="dxa"/>
            <w:vAlign w:val="bottom"/>
          </w:tcPr>
          <w:p>
            <w:pPr>
              <w:spacing w:after="0"/>
              <w:rPr>
                <w:sz w:val="1"/>
                <w:szCs w:val="1"/>
                <w:color w:val="auto"/>
              </w:rPr>
            </w:pPr>
          </w:p>
        </w:tc>
      </w:tr>
      <w:tr>
        <w:trPr>
          <w:trHeight w:val="206"/>
        </w:trPr>
        <w:tc>
          <w:tcPr>
            <w:tcW w:w="4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4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462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52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2,988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2,013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484"/>
              <w:spacing w:after="0"/>
              <w:rPr>
                <w:sz w:val="20"/>
                <w:szCs w:val="20"/>
                <w:color w:val="auto"/>
              </w:rPr>
            </w:pPr>
            <w:r>
              <w:rPr>
                <w:rFonts w:ascii="Times New Roman" w:cs="Times New Roman" w:eastAsia="Times New Roman" w:hAnsi="Times New Roman"/>
                <w:sz w:val="15"/>
                <w:szCs w:val="15"/>
                <w:color w:val="auto"/>
              </w:rPr>
              <w:t>12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2" w:name="page13"/>
    <w:bookmarkEnd w:id="12"/>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presents the weighted-average grant date fair value of options granted for the periods presented and the assumptions used to estimate those values using a Black-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Scholes option pricing model:</w:t>
      </w:r>
    </w:p>
    <w:p>
      <w:pPr>
        <w:spacing w:after="0" w:line="262"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10160</wp:posOffset>
            </wp:positionV>
            <wp:extent cx="20161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6125"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2015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grant date fair value</w:t>
            </w:r>
          </w:p>
        </w:tc>
        <w:tc>
          <w:tcPr>
            <w:tcW w:w="100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6.89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3.99</w:t>
            </w: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term (in years)</w:t>
            </w:r>
          </w:p>
        </w:tc>
        <w:tc>
          <w:tcPr>
            <w:tcW w:w="1000" w:type="dxa"/>
            <w:vAlign w:val="bottom"/>
          </w:tcPr>
          <w:p>
            <w:pPr>
              <w:spacing w:after="0"/>
              <w:rPr>
                <w:sz w:val="17"/>
                <w:szCs w:val="17"/>
                <w:color w:val="auto"/>
              </w:rPr>
            </w:pPr>
          </w:p>
        </w:tc>
        <w:tc>
          <w:tcPr>
            <w:tcW w:w="5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4.6</w:t>
            </w:r>
          </w:p>
        </w:tc>
      </w:tr>
      <w:tr>
        <w:trPr>
          <w:trHeight w:val="23"/>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Expected volatility</w:t>
            </w: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Annual risk-free rate of return</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3"/>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 yield</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w:t>
            </w:r>
          </w:p>
        </w:tc>
      </w:tr>
      <w:tr>
        <w:trPr>
          <w:trHeight w:val="23"/>
        </w:trPr>
        <w:tc>
          <w:tcPr>
            <w:tcW w:w="8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fair value of restricted stock units granted is determined based on the price of the Company’s common stock on the date of grant.</w:t>
      </w:r>
    </w:p>
    <w:p>
      <w:pPr>
        <w:spacing w:after="0" w:line="147" w:lineRule="exact"/>
        <w:rPr>
          <w:sz w:val="20"/>
          <w:szCs w:val="20"/>
          <w:color w:val="auto"/>
        </w:rPr>
      </w:pPr>
    </w:p>
    <w:p>
      <w:pPr>
        <w:jc w:val="both"/>
        <w:ind w:right="60" w:firstLine="365"/>
        <w:spacing w:after="0" w:line="289" w:lineRule="auto"/>
        <w:rPr>
          <w:sz w:val="20"/>
          <w:szCs w:val="20"/>
          <w:color w:val="auto"/>
        </w:rPr>
      </w:pPr>
      <w:r>
        <w:rPr>
          <w:rFonts w:ascii="Times New Roman" w:cs="Times New Roman" w:eastAsia="Times New Roman" w:hAnsi="Times New Roman"/>
          <w:sz w:val="15"/>
          <w:szCs w:val="15"/>
          <w:color w:val="auto"/>
        </w:rPr>
        <w:t>As of March 31, 2015, there was approximately $24.4 million of total unrecognized compensation cost related to unvested equity awards expected to be recognized over a weighted-average period of 2.8 years.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INCOME TAXES</w:t>
      </w:r>
    </w:p>
    <w:p>
      <w:pPr>
        <w:spacing w:after="0" w:line="151" w:lineRule="exact"/>
        <w:rPr>
          <w:sz w:val="20"/>
          <w:szCs w:val="20"/>
          <w:color w:val="auto"/>
        </w:rPr>
      </w:pPr>
    </w:p>
    <w:p>
      <w:pPr>
        <w:ind w:right="100" w:firstLine="365"/>
        <w:spacing w:after="0" w:line="263" w:lineRule="auto"/>
        <w:rPr>
          <w:sz w:val="20"/>
          <w:szCs w:val="20"/>
          <w:color w:val="auto"/>
        </w:rPr>
      </w:pPr>
      <w:r>
        <w:rPr>
          <w:rFonts w:ascii="Times New Roman" w:cs="Times New Roman" w:eastAsia="Times New Roman" w:hAnsi="Times New Roman"/>
          <w:sz w:val="15"/>
          <w:szCs w:val="15"/>
          <w:color w:val="auto"/>
        </w:rPr>
        <w:t>The Company has used the discrete tax approach in calculating the tax expense for the three months ended March 31, 2015 and 2014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For the three months ended March 31, 2015, the Company recorded a tax provision of $167,000 on a pretax loss of $6.2 million. For the three months ended March 31, 2014, the Company recorded a tax provision of $109,000 on a pretax loss of $6.1 million. The tax provisions recorded were primarily related to income taxes in profitable jurisdictions outside of the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 NET LOSS PER SHARE</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presents the computation of basic and diluted net loss per share (in thousands, except per share data):</w:t>
      </w:r>
    </w:p>
    <w:p>
      <w:pPr>
        <w:spacing w:after="0" w:line="232"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2015</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19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Numerator:</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Denominator:</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Weighted average number of common shares outstanding</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43,950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42,205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 per share, basic and diluted</w:t>
            </w: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0" w:type="dxa"/>
            <w:vAlign w:val="bottom"/>
          </w:tcPr>
          <w:p>
            <w:pPr>
              <w:spacing w:after="0"/>
              <w:rPr>
                <w:sz w:val="1"/>
                <w:szCs w:val="1"/>
                <w:color w:val="auto"/>
              </w:rPr>
            </w:pPr>
          </w:p>
        </w:tc>
      </w:tr>
      <w:tr>
        <w:trPr>
          <w:trHeight w:val="23"/>
        </w:trPr>
        <w:tc>
          <w:tcPr>
            <w:tcW w:w="83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140" w:firstLine="365"/>
        <w:spacing w:after="0" w:line="271" w:lineRule="auto"/>
        <w:rPr>
          <w:sz w:val="20"/>
          <w:szCs w:val="20"/>
          <w:color w:val="auto"/>
        </w:rPr>
      </w:pPr>
      <w:r>
        <w:rPr>
          <w:rFonts w:ascii="Times New Roman" w:cs="Times New Roman" w:eastAsia="Times New Roman" w:hAnsi="Times New Roman"/>
          <w:sz w:val="15"/>
          <w:szCs w:val="15"/>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31"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60" w:type="dxa"/>
            <w:vAlign w:val="bottom"/>
            <w:gridSpan w:val="2"/>
          </w:tcPr>
          <w:p>
            <w:pPr>
              <w:ind w:left="8980"/>
              <w:spacing w:after="0"/>
              <w:rPr>
                <w:sz w:val="20"/>
                <w:szCs w:val="20"/>
                <w:color w:val="auto"/>
              </w:rPr>
            </w:pPr>
            <w:r>
              <w:rPr>
                <w:rFonts w:ascii="Times New Roman" w:cs="Times New Roman" w:eastAsia="Times New Roman" w:hAnsi="Times New Roman"/>
                <w:sz w:val="12"/>
                <w:szCs w:val="12"/>
                <w:b w:val="1"/>
                <w:bCs w:val="1"/>
                <w:color w:val="auto"/>
              </w:rPr>
              <w:t>2015</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2014</w:t>
            </w:r>
          </w:p>
        </w:tc>
        <w:tc>
          <w:tcPr>
            <w:tcW w:w="0" w:type="dxa"/>
            <w:vAlign w:val="bottom"/>
          </w:tcPr>
          <w:p>
            <w:pPr>
              <w:spacing w:after="0"/>
              <w:rPr>
                <w:sz w:val="1"/>
                <w:szCs w:val="1"/>
                <w:color w:val="auto"/>
              </w:rPr>
            </w:pPr>
          </w:p>
        </w:tc>
      </w:tr>
      <w:tr>
        <w:trPr>
          <w:trHeight w:val="205"/>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Employee stock options</w:t>
            </w:r>
          </w:p>
        </w:tc>
        <w:tc>
          <w:tcPr>
            <w:tcW w:w="90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8,627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8,489</w:t>
            </w:r>
          </w:p>
        </w:tc>
        <w:tc>
          <w:tcPr>
            <w:tcW w:w="0" w:type="dxa"/>
            <w:vAlign w:val="bottom"/>
          </w:tcPr>
          <w:p>
            <w:pPr>
              <w:spacing w:after="0"/>
              <w:rPr>
                <w:sz w:val="1"/>
                <w:szCs w:val="1"/>
                <w:color w:val="auto"/>
              </w:rPr>
            </w:pPr>
          </w:p>
        </w:tc>
      </w:tr>
      <w:tr>
        <w:trPr>
          <w:trHeight w:val="206"/>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1,433</w:t>
            </w:r>
          </w:p>
        </w:tc>
        <w:tc>
          <w:tcPr>
            <w:tcW w:w="120" w:type="dxa"/>
            <w:vAlign w:val="bottom"/>
          </w:tcPr>
          <w:p>
            <w:pPr>
              <w:spacing w:after="0"/>
              <w:rPr>
                <w:sz w:val="17"/>
                <w:szCs w:val="17"/>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732</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Warrants to purchase common stock</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111</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293</w:t>
            </w:r>
          </w:p>
        </w:tc>
        <w:tc>
          <w:tcPr>
            <w:tcW w:w="0" w:type="dxa"/>
            <w:vAlign w:val="bottom"/>
          </w:tcPr>
          <w:p>
            <w:pPr>
              <w:spacing w:after="0"/>
              <w:rPr>
                <w:sz w:val="1"/>
                <w:szCs w:val="1"/>
                <w:color w:val="auto"/>
              </w:rPr>
            </w:pPr>
          </w:p>
        </w:tc>
      </w:tr>
      <w:tr>
        <w:trPr>
          <w:trHeight w:val="197"/>
        </w:trPr>
        <w:tc>
          <w:tcPr>
            <w:tcW w:w="8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10,171</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9,514</w:t>
            </w:r>
          </w:p>
        </w:tc>
        <w:tc>
          <w:tcPr>
            <w:tcW w:w="0" w:type="dxa"/>
            <w:vAlign w:val="bottom"/>
          </w:tcPr>
          <w:p>
            <w:pPr>
              <w:spacing w:after="0"/>
              <w:rPr>
                <w:sz w:val="1"/>
                <w:szCs w:val="1"/>
                <w:color w:val="auto"/>
              </w:rPr>
            </w:pPr>
          </w:p>
        </w:tc>
      </w:tr>
      <w:tr>
        <w:trPr>
          <w:trHeight w:val="23"/>
        </w:trPr>
        <w:tc>
          <w:tcPr>
            <w:tcW w:w="8360" w:type="dxa"/>
            <w:vAlign w:val="bottom"/>
            <w:vMerge w:val="restart"/>
          </w:tcPr>
          <w:p>
            <w:pPr>
              <w:ind w:left="5640"/>
              <w:spacing w:after="0"/>
              <w:rPr>
                <w:sz w:val="20"/>
                <w:szCs w:val="20"/>
                <w:color w:val="auto"/>
              </w:rPr>
            </w:pPr>
            <w:r>
              <w:rPr>
                <w:rFonts w:ascii="Times New Roman" w:cs="Times New Roman" w:eastAsia="Times New Roman" w:hAnsi="Times New Roman"/>
                <w:sz w:val="15"/>
                <w:szCs w:val="15"/>
                <w:color w:val="auto"/>
              </w:rPr>
              <w:t>13</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3" w:name="page14"/>
    <w:bookmarkEnd w:id="13"/>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47" w:lineRule="exact"/>
        <w:rPr>
          <w:sz w:val="20"/>
          <w:szCs w:val="20"/>
          <w:color w:val="auto"/>
        </w:rPr>
      </w:pPr>
    </w:p>
    <w:p>
      <w:pPr>
        <w:ind w:firstLine="365"/>
        <w:spacing w:after="0" w:line="261"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6" w:lineRule="exact"/>
        <w:rPr>
          <w:sz w:val="20"/>
          <w:szCs w:val="20"/>
          <w:color w:val="auto"/>
        </w:rPr>
      </w:pPr>
    </w:p>
    <w:p>
      <w:pPr>
        <w:ind w:firstLine="377"/>
        <w:spacing w:after="0" w:line="263" w:lineRule="auto"/>
        <w:rPr>
          <w:sz w:val="20"/>
          <w:szCs w:val="20"/>
          <w:color w:val="auto"/>
        </w:rPr>
      </w:pPr>
      <w:r>
        <w:rPr>
          <w:rFonts w:ascii="Times New Roman" w:cs="Times New Roman" w:eastAsia="Times New Roman" w:hAnsi="Times New Roman"/>
          <w:sz w:val="15"/>
          <w:szCs w:val="15"/>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7.9 million microinverters as of March 31, 2015, which represents over 1.7 gigawatts (AC) of solar PV generating capacity. We currently offer microinverter systems targeting the residential and commercial markets in the United States, Canada, the United Kingdom, France, the Benelux region, certain other European markets, Australia and New Zealand.</w:t>
      </w:r>
    </w:p>
    <w:p>
      <w:pPr>
        <w:spacing w:after="0" w:line="60" w:lineRule="exact"/>
        <w:rPr>
          <w:sz w:val="20"/>
          <w:szCs w:val="20"/>
          <w:color w:val="auto"/>
        </w:rPr>
      </w:pPr>
    </w:p>
    <w:p>
      <w:pPr>
        <w:ind w:right="100" w:firstLine="377"/>
        <w:spacing w:after="0" w:line="289" w:lineRule="auto"/>
        <w:rPr>
          <w:sz w:val="20"/>
          <w:szCs w:val="20"/>
          <w:color w:val="auto"/>
        </w:rPr>
      </w:pPr>
      <w:r>
        <w:rPr>
          <w:rFonts w:ascii="Times New Roman" w:cs="Times New Roman" w:eastAsia="Times New Roman" w:hAnsi="Times New Roman"/>
          <w:sz w:val="15"/>
          <w:szCs w:val="15"/>
          <w:color w:val="auto"/>
        </w:rPr>
        <w:t>We sell our microinverter systems primarily to distributors who resell them to solar installers. We also sell directly to large installers and through original equipment manufacturers (“OEMs”) and strategic partners.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Components of Condensed Consolidated Statements of Operations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Net Revenues</w:t>
      </w:r>
    </w:p>
    <w:p>
      <w:pPr>
        <w:spacing w:after="0" w:line="83" w:lineRule="exact"/>
        <w:rPr>
          <w:sz w:val="20"/>
          <w:szCs w:val="20"/>
          <w:color w:val="auto"/>
        </w:rPr>
      </w:pPr>
    </w:p>
    <w:p>
      <w:pPr>
        <w:ind w:right="240" w:firstLine="377"/>
        <w:spacing w:after="0" w:line="289" w:lineRule="auto"/>
        <w:rPr>
          <w:sz w:val="20"/>
          <w:szCs w:val="20"/>
          <w:color w:val="auto"/>
        </w:rPr>
      </w:pPr>
      <w:r>
        <w:rPr>
          <w:rFonts w:ascii="Times New Roman" w:cs="Times New Roman" w:eastAsia="Times New Roman" w:hAnsi="Times New Roman"/>
          <w:sz w:val="15"/>
          <w:szCs w:val="15"/>
          <w:color w:val="auto"/>
        </w:rPr>
        <w:t>We generate net revenues from sales of our microinverter systems, which include microinverter units and related accessories, an Envoy communications gateway device, and our Enlighten web-based monitoring service. We sell to distributors, large installers, OEMs and strategic partners.</w:t>
      </w:r>
    </w:p>
    <w:p>
      <w:pPr>
        <w:spacing w:after="0" w:line="41" w:lineRule="exact"/>
        <w:rPr>
          <w:sz w:val="20"/>
          <w:szCs w:val="20"/>
          <w:color w:val="auto"/>
        </w:rPr>
      </w:pPr>
    </w:p>
    <w:p>
      <w:pPr>
        <w:ind w:right="140" w:firstLine="377"/>
        <w:spacing w:after="0" w:line="265" w:lineRule="auto"/>
        <w:rPr>
          <w:sz w:val="20"/>
          <w:szCs w:val="20"/>
          <w:color w:val="auto"/>
        </w:rPr>
      </w:pPr>
      <w:r>
        <w:rPr>
          <w:rFonts w:ascii="Times New Roman" w:cs="Times New Roman" w:eastAsia="Times New Roman" w:hAnsi="Times New Roman"/>
          <w:sz w:val="15"/>
          <w:szCs w:val="15"/>
          <w:color w:val="auto"/>
        </w:rPr>
        <w:t>Our revenue is affected by changes in the volume and average selling prices of our microinverter systems, driven by supply and demand, sales incentives, and competitive product offerings. Our revenue growth is dependent on our ability to develop and introduce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 and Gross Profit</w:t>
      </w:r>
    </w:p>
    <w:p>
      <w:pPr>
        <w:spacing w:after="0" w:line="83" w:lineRule="exact"/>
        <w:rPr>
          <w:sz w:val="20"/>
          <w:szCs w:val="20"/>
          <w:color w:val="auto"/>
        </w:rPr>
      </w:pPr>
    </w:p>
    <w:p>
      <w:pPr>
        <w:ind w:firstLine="377"/>
        <w:spacing w:after="0" w:line="265" w:lineRule="auto"/>
        <w:rPr>
          <w:sz w:val="20"/>
          <w:szCs w:val="20"/>
          <w:color w:val="auto"/>
        </w:rPr>
      </w:pPr>
      <w:r>
        <w:rPr>
          <w:rFonts w:ascii="Times New Roman" w:cs="Times New Roman" w:eastAsia="Times New Roman" w:hAnsi="Times New Roman"/>
          <w:sz w:val="15"/>
          <w:szCs w:val="15"/>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61" w:lineRule="exact"/>
        <w:rPr>
          <w:sz w:val="20"/>
          <w:szCs w:val="20"/>
          <w:color w:val="auto"/>
        </w:rPr>
      </w:pPr>
    </w:p>
    <w:p>
      <w:pPr>
        <w:ind w:firstLine="377"/>
        <w:spacing w:after="0" w:line="289" w:lineRule="auto"/>
        <w:rPr>
          <w:sz w:val="20"/>
          <w:szCs w:val="20"/>
          <w:color w:val="auto"/>
        </w:rPr>
      </w:pPr>
      <w:r>
        <w:rPr>
          <w:rFonts w:ascii="Times New Roman" w:cs="Times New Roman" w:eastAsia="Times New Roman" w:hAnsi="Times New Roman"/>
          <w:sz w:val="15"/>
          <w:szCs w:val="15"/>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w:t>
      </w:r>
    </w:p>
    <w:p>
      <w:pPr>
        <w:spacing w:after="0" w:line="41" w:lineRule="exact"/>
        <w:rPr>
          <w:sz w:val="20"/>
          <w:szCs w:val="20"/>
          <w:color w:val="auto"/>
        </w:rPr>
      </w:pPr>
    </w:p>
    <w:p>
      <w:pPr>
        <w:ind w:right="460" w:firstLine="377"/>
        <w:spacing w:after="0" w:line="289" w:lineRule="auto"/>
        <w:rPr>
          <w:sz w:val="20"/>
          <w:szCs w:val="20"/>
          <w:color w:val="auto"/>
        </w:rPr>
      </w:pPr>
      <w:r>
        <w:rPr>
          <w:rFonts w:ascii="Times New Roman" w:cs="Times New Roman" w:eastAsia="Times New Roman" w:hAnsi="Times New Roman"/>
          <w:sz w:val="15"/>
          <w:szCs w:val="15"/>
          <w:color w:val="auto"/>
        </w:rPr>
        <w:t>In addition, third parties, including one of our contract manufacturers, serve as our logistics providers by warehousing and delivering our products in North America, Europe, Australia and New Zealand.</w:t>
      </w:r>
    </w:p>
    <w:p>
      <w:pPr>
        <w:spacing w:after="0" w:line="41" w:lineRule="exact"/>
        <w:rPr>
          <w:sz w:val="20"/>
          <w:szCs w:val="20"/>
          <w:color w:val="auto"/>
        </w:rPr>
      </w:pPr>
    </w:p>
    <w:p>
      <w:pPr>
        <w:ind w:right="80" w:firstLine="377"/>
        <w:spacing w:after="0" w:line="289" w:lineRule="auto"/>
        <w:rPr>
          <w:sz w:val="20"/>
          <w:szCs w:val="20"/>
          <w:color w:val="auto"/>
        </w:rPr>
      </w:pPr>
      <w:r>
        <w:rPr>
          <w:rFonts w:ascii="Times New Roman" w:cs="Times New Roman" w:eastAsia="Times New Roman" w:hAnsi="Times New Roman"/>
          <w:sz w:val="15"/>
          <w:szCs w:val="15"/>
          <w:color w:val="auto"/>
        </w:rPr>
        <w:t>Gross profit may vary from quarter to quarter and is primarily affected by our average selling prices, product cost, product mix, warranty costs (including changes in estimates) and sales volume fluctuations resulting from seasonality.</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83" w:lineRule="exact"/>
        <w:rPr>
          <w:sz w:val="20"/>
          <w:szCs w:val="20"/>
          <w:color w:val="auto"/>
        </w:rPr>
      </w:pPr>
    </w:p>
    <w:p>
      <w:pPr>
        <w:ind w:right="20" w:firstLine="377"/>
        <w:spacing w:after="0" w:line="265" w:lineRule="auto"/>
        <w:rPr>
          <w:sz w:val="20"/>
          <w:szCs w:val="20"/>
          <w:color w:val="auto"/>
        </w:rPr>
      </w:pPr>
      <w:r>
        <w:rPr>
          <w:rFonts w:ascii="Times New Roman" w:cs="Times New Roman" w:eastAsia="Times New Roman" w:hAnsi="Times New Roman"/>
          <w:sz w:val="15"/>
          <w:szCs w:val="15"/>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incentive compensation and stock-based compensation. We expect personnel costs to continue to increase as we hire new employees to support our anticipated growth. We expect that each of the categories of operating expenses discussed below will increase in absolute dollars, but will decline as a percentage of total revenues in the long term.</w:t>
      </w:r>
    </w:p>
    <w:p>
      <w:pPr>
        <w:spacing w:after="0" w:line="61" w:lineRule="exact"/>
        <w:rPr>
          <w:sz w:val="20"/>
          <w:szCs w:val="20"/>
          <w:color w:val="auto"/>
        </w:rPr>
      </w:pPr>
    </w:p>
    <w:p>
      <w:pPr>
        <w:ind w:right="20" w:firstLine="377"/>
        <w:spacing w:after="0" w:line="261" w:lineRule="auto"/>
        <w:rPr>
          <w:sz w:val="20"/>
          <w:szCs w:val="20"/>
          <w:color w:val="auto"/>
        </w:rPr>
      </w:pPr>
      <w:r>
        <w:rPr>
          <w:rFonts w:ascii="Times New Roman" w:cs="Times New Roman" w:eastAsia="Times New Roman" w:hAnsi="Times New Roman"/>
          <w:sz w:val="15"/>
          <w:szCs w:val="15"/>
          <w:color w:val="auto"/>
        </w:rPr>
        <w:t>Research and development expense includes personnel-related expenses such as salaries, incentive compensation,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as well as development of new products that utilize technological innovation to drive down product costs, improve functionality, and enhance reliability. We intend to continue to invest substantial resources in our research and development efforts because we believe they are critical to maintaining our competitive position.</w:t>
      </w:r>
    </w:p>
    <w:p>
      <w:pPr>
        <w:spacing w:after="0" w:line="62" w:lineRule="exact"/>
        <w:rPr>
          <w:sz w:val="20"/>
          <w:szCs w:val="20"/>
          <w:color w:val="auto"/>
        </w:rPr>
      </w:pPr>
    </w:p>
    <w:p>
      <w:pPr>
        <w:ind w:right="60" w:firstLine="377"/>
        <w:spacing w:after="0" w:line="263" w:lineRule="auto"/>
        <w:rPr>
          <w:sz w:val="20"/>
          <w:szCs w:val="20"/>
          <w:color w:val="auto"/>
        </w:rPr>
      </w:pPr>
      <w:r>
        <w:rPr>
          <w:rFonts w:ascii="Times New Roman" w:cs="Times New Roman" w:eastAsia="Times New Roman" w:hAnsi="Times New Roman"/>
          <w:sz w:val="15"/>
          <w:szCs w:val="15"/>
          <w:color w:val="auto"/>
        </w:rPr>
        <w:t>Sales and marketing expense consists primarily of personnel-related expenses such as salaries, commissions, incentive compensation,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sell our products in the United States, Canada, the United Kingdom, France, the Benelux region, certain other European markets, Australia and New Zealand. We expect to continue to expand the geographic reach of our product offerings and explore new sales channels in addressable markets in the future.</w:t>
      </w:r>
    </w:p>
    <w:p>
      <w:pPr>
        <w:spacing w:after="0" w:line="243" w:lineRule="exact"/>
        <w:rPr>
          <w:sz w:val="20"/>
          <w:szCs w:val="20"/>
          <w:color w:val="auto"/>
        </w:rPr>
      </w:pPr>
    </w:p>
    <w:p>
      <w:pPr>
        <w:ind w:right="60" w:firstLine="377"/>
        <w:spacing w:after="0" w:line="271" w:lineRule="auto"/>
        <w:rPr>
          <w:sz w:val="20"/>
          <w:szCs w:val="20"/>
          <w:color w:val="auto"/>
        </w:rPr>
      </w:pPr>
      <w:r>
        <w:rPr>
          <w:rFonts w:ascii="Times New Roman" w:cs="Times New Roman" w:eastAsia="Times New Roman" w:hAnsi="Times New Roman"/>
          <w:sz w:val="15"/>
          <w:szCs w:val="15"/>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 Net</w:t>
      </w:r>
    </w:p>
    <w:p>
      <w:pPr>
        <w:spacing w:after="0" w:line="83" w:lineRule="exact"/>
        <w:rPr>
          <w:sz w:val="20"/>
          <w:szCs w:val="20"/>
          <w:color w:val="auto"/>
        </w:rPr>
      </w:pPr>
    </w:p>
    <w:p>
      <w:pPr>
        <w:ind w:right="200" w:firstLine="377"/>
        <w:spacing w:after="0" w:line="271" w:lineRule="auto"/>
        <w:rPr>
          <w:sz w:val="20"/>
          <w:szCs w:val="20"/>
          <w:color w:val="auto"/>
        </w:rPr>
      </w:pPr>
      <w:r>
        <w:rPr>
          <w:rFonts w:ascii="Times New Roman" w:cs="Times New Roman" w:eastAsia="Times New Roman" w:hAnsi="Times New Roman"/>
          <w:sz w:val="15"/>
          <w:szCs w:val="15"/>
          <w:color w:val="auto"/>
        </w:rPr>
        <w:t>Other income (expense), net includes interest expense on amounts under our outstanding term loans prior to 2015 and non-cash interest expense related to the amortization of debt discounts and deferred financing costs. Other income (expense), net also includes gains or losses upon conversion of non-U.S. dollar transactions into U.S. dollars and from foreign currency forward contracts.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Provision for Income Taxes</w:t>
      </w:r>
    </w:p>
    <w:p>
      <w:pPr>
        <w:spacing w:after="0" w:line="83" w:lineRule="exact"/>
        <w:rPr>
          <w:sz w:val="20"/>
          <w:szCs w:val="20"/>
          <w:color w:val="auto"/>
        </w:rPr>
      </w:pPr>
    </w:p>
    <w:p>
      <w:pPr>
        <w:ind w:right="100" w:firstLine="377"/>
        <w:spacing w:after="0" w:line="265" w:lineRule="auto"/>
        <w:rPr>
          <w:sz w:val="20"/>
          <w:szCs w:val="20"/>
          <w:color w:val="auto"/>
        </w:rPr>
      </w:pPr>
      <w:r>
        <w:rPr>
          <w:rFonts w:ascii="Times New Roman" w:cs="Times New Roman" w:eastAsia="Times New Roman" w:hAnsi="Times New Roman"/>
          <w:sz w:val="15"/>
          <w:szCs w:val="15"/>
          <w:color w:val="auto"/>
        </w:rPr>
        <w:t>We are subject to income taxes in the countries where we sell our products. We are subject to taxation in the United States because we sell the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March 31, 2015.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 for the Three Months Ended March 31, 2015 and 2014</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Net Revenues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00" w:type="dxa"/>
            <w:vAlign w:val="bottom"/>
          </w:tcPr>
          <w:p>
            <w:pPr>
              <w:spacing w:after="0"/>
              <w:rPr>
                <w:sz w:val="12"/>
                <w:szCs w:val="12"/>
                <w:color w:val="auto"/>
              </w:rPr>
            </w:pPr>
          </w:p>
        </w:tc>
        <w:tc>
          <w:tcPr>
            <w:tcW w:w="1200" w:type="dxa"/>
            <w:vAlign w:val="bottom"/>
            <w:vMerge w:val="restart"/>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2015</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8"/>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4"/>
          </w:tcPr>
          <w:p>
            <w:pPr>
              <w:jc w:val="right"/>
              <w:ind w:right="894"/>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revenues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5"/>
                <w:szCs w:val="15"/>
                <w:color w:val="auto"/>
              </w:rPr>
              <w:t>86,653</w:t>
            </w:r>
          </w:p>
        </w:tc>
        <w:tc>
          <w:tcPr>
            <w:tcW w:w="4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5"/>
                <w:szCs w:val="15"/>
                <w:color w:val="auto"/>
              </w:rPr>
              <w:t>57,580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5"/>
                <w:szCs w:val="15"/>
                <w:color w:val="auto"/>
              </w:rPr>
              <w:t>29,073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3"/>
        </w:trPr>
        <w:tc>
          <w:tcPr>
            <w:tcW w:w="6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40"/>
          </w:cols>
          <w:pgMar w:left="240" w:top="125" w:right="219" w:bottom="1440" w:gutter="0" w:footer="0" w:header="0"/>
        </w:sectPr>
      </w:pPr>
    </w:p>
    <w:bookmarkStart w:id="15" w:name="page16"/>
    <w:bookmarkEnd w:id="15"/>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Three Months Ended March 31, 2015 and 2014</w:t>
      </w:r>
    </w:p>
    <w:p>
      <w:pPr>
        <w:spacing w:after="0" w:line="151" w:lineRule="exact"/>
        <w:rPr>
          <w:sz w:val="20"/>
          <w:szCs w:val="20"/>
          <w:color w:val="auto"/>
        </w:rPr>
      </w:pPr>
    </w:p>
    <w:p>
      <w:pPr>
        <w:jc w:val="both"/>
        <w:ind w:right="200" w:firstLine="365"/>
        <w:spacing w:after="0" w:line="271" w:lineRule="auto"/>
        <w:rPr>
          <w:sz w:val="20"/>
          <w:szCs w:val="20"/>
          <w:color w:val="auto"/>
        </w:rPr>
      </w:pPr>
      <w:r>
        <w:rPr>
          <w:rFonts w:ascii="Times New Roman" w:cs="Times New Roman" w:eastAsia="Times New Roman" w:hAnsi="Times New Roman"/>
          <w:sz w:val="15"/>
          <w:szCs w:val="15"/>
          <w:color w:val="auto"/>
        </w:rPr>
        <w:t>Net revenues increased by 50% for the three months ended March 31, 2015, as compared to the same period in 2014, due to higher volume of microinverter systems sold. We sold 719,000 microinverter units in the three months ended March 31, 2015, compared to 423,000 units in the same period in 2014. The favorable impact of the higher volume was partially offset by a decline in the average selling price of our products.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 and Gross Profit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00" w:type="dxa"/>
            <w:vAlign w:val="bottom"/>
          </w:tcPr>
          <w:p>
            <w:pPr>
              <w:spacing w:after="0"/>
              <w:rPr>
                <w:sz w:val="12"/>
                <w:szCs w:val="12"/>
                <w:color w:val="auto"/>
              </w:rPr>
            </w:pPr>
          </w:p>
        </w:tc>
        <w:tc>
          <w:tcPr>
            <w:tcW w:w="1200" w:type="dxa"/>
            <w:vAlign w:val="bottom"/>
            <w:vMerge w:val="restart"/>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451"/>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2015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right"/>
              <w:ind w:right="931"/>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revenues</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5"/>
                <w:szCs w:val="15"/>
                <w:color w:val="auto"/>
              </w:rPr>
              <w:t>58,629</w:t>
            </w:r>
          </w:p>
        </w:tc>
        <w:tc>
          <w:tcPr>
            <w:tcW w:w="38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5"/>
                <w:szCs w:val="15"/>
                <w:color w:val="auto"/>
              </w:rPr>
              <w:t>38,925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11"/>
              <w:spacing w:after="0"/>
              <w:rPr>
                <w:sz w:val="20"/>
                <w:szCs w:val="20"/>
                <w:color w:val="auto"/>
              </w:rPr>
            </w:pPr>
            <w:r>
              <w:rPr>
                <w:rFonts w:ascii="Times New Roman" w:cs="Times New Roman" w:eastAsia="Times New Roman" w:hAnsi="Times New Roman"/>
                <w:sz w:val="15"/>
                <w:szCs w:val="15"/>
                <w:color w:val="auto"/>
              </w:rPr>
              <w:t>19,704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06"/>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60" w:type="dxa"/>
            <w:vAlign w:val="bottom"/>
          </w:tcPr>
          <w:p>
            <w:pPr>
              <w:spacing w:after="0"/>
              <w:rPr>
                <w:sz w:val="17"/>
                <w:szCs w:val="17"/>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5"/>
                <w:szCs w:val="15"/>
                <w:color w:val="auto"/>
              </w:rPr>
              <w:t>28,024</w:t>
            </w:r>
          </w:p>
        </w:tc>
        <w:tc>
          <w:tcPr>
            <w:tcW w:w="380" w:type="dxa"/>
            <w:vAlign w:val="bottom"/>
          </w:tcPr>
          <w:p>
            <w:pPr>
              <w:spacing w:after="0"/>
              <w:rPr>
                <w:sz w:val="17"/>
                <w:szCs w:val="17"/>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5"/>
                <w:szCs w:val="15"/>
                <w:color w:val="auto"/>
              </w:rPr>
              <w:t>18,655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5"/>
                <w:szCs w:val="15"/>
                <w:color w:val="auto"/>
              </w:rPr>
              <w:t>9,369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3"/>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rPr>
              <w:t>32.3%</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Three Months Ended March 31, 2015 and 2014</w:t>
      </w:r>
    </w:p>
    <w:p>
      <w:pPr>
        <w:spacing w:after="0" w:line="151" w:lineRule="exact"/>
        <w:rPr>
          <w:sz w:val="20"/>
          <w:szCs w:val="20"/>
          <w:color w:val="auto"/>
        </w:rPr>
      </w:pPr>
    </w:p>
    <w:p>
      <w:pPr>
        <w:ind w:right="20" w:firstLine="365"/>
        <w:spacing w:after="0" w:line="263" w:lineRule="auto"/>
        <w:rPr>
          <w:sz w:val="20"/>
          <w:szCs w:val="20"/>
          <w:color w:val="auto"/>
        </w:rPr>
      </w:pPr>
      <w:r>
        <w:rPr>
          <w:rFonts w:ascii="Times New Roman" w:cs="Times New Roman" w:eastAsia="Times New Roman" w:hAnsi="Times New Roman"/>
          <w:sz w:val="15"/>
          <w:szCs w:val="15"/>
          <w:color w:val="auto"/>
        </w:rPr>
        <w:t>Cost of revenues increased by 51% for the three months ended March 31, 2015, as compared to the same period in 2014, due to the corresponding increase in net revenues. Gross margin remained relatively flat for the three months ended March 31, 2015, as compared to the same period in 2014. Warranty expense as a percentage of net revenues for the three months ended March 31, 2015 was 1.6 percent compared to 3.5 percent for the same period in 2014. Warranty expense in the prior year period included a $1.4 million incremental charge due to changes in estimates related to our second generation product, which reduced gross margin by 2 percentage points. The gross margin improvement attributable to lower warranty expense as a percentage of net revenues was offset by a decline in the average selling price of our products.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00" w:type="dxa"/>
            <w:vAlign w:val="bottom"/>
          </w:tcPr>
          <w:p>
            <w:pPr>
              <w:spacing w:after="0"/>
              <w:rPr>
                <w:sz w:val="12"/>
                <w:szCs w:val="12"/>
                <w:color w:val="auto"/>
              </w:rPr>
            </w:pPr>
          </w:p>
        </w:tc>
        <w:tc>
          <w:tcPr>
            <w:tcW w:w="1200" w:type="dxa"/>
            <w:vAlign w:val="bottom"/>
            <w:vMerge w:val="restart"/>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2015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right"/>
              <w:ind w:right="934"/>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5"/>
                <w:szCs w:val="15"/>
                <w:color w:val="auto"/>
              </w:rPr>
              <w:t>13,430</w:t>
            </w:r>
          </w:p>
        </w:tc>
        <w:tc>
          <w:tcPr>
            <w:tcW w:w="38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5"/>
                <w:szCs w:val="15"/>
                <w:color w:val="auto"/>
              </w:rPr>
              <w:t>9,086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5"/>
                <w:szCs w:val="15"/>
                <w:color w:val="auto"/>
              </w:rPr>
              <w:t>4,344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206"/>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Percentage of net revenues</w:t>
            </w:r>
          </w:p>
        </w:tc>
        <w:tc>
          <w:tcPr>
            <w:tcW w:w="2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auto"/>
              </w:rPr>
              <w:t>15%</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Three Months Ended March 31, 2015 and 2014</w:t>
      </w:r>
    </w:p>
    <w:p>
      <w:pPr>
        <w:spacing w:after="0" w:line="151" w:lineRule="exact"/>
        <w:rPr>
          <w:sz w:val="20"/>
          <w:szCs w:val="20"/>
          <w:color w:val="auto"/>
        </w:rPr>
      </w:pPr>
    </w:p>
    <w:p>
      <w:pPr>
        <w:ind w:firstLine="365"/>
        <w:spacing w:after="0" w:line="265" w:lineRule="auto"/>
        <w:rPr>
          <w:sz w:val="20"/>
          <w:szCs w:val="20"/>
          <w:color w:val="auto"/>
        </w:rPr>
      </w:pPr>
      <w:r>
        <w:rPr>
          <w:rFonts w:ascii="Times New Roman" w:cs="Times New Roman" w:eastAsia="Times New Roman" w:hAnsi="Times New Roman"/>
          <w:sz w:val="15"/>
          <w:szCs w:val="15"/>
          <w:color w:val="auto"/>
        </w:rPr>
        <w:t>Research and development expenses increased by 48% for the three months ended March 31, 2015, as compared to the same period in 2014. The increase was due primarily to a $2.7 million increase in personnel-related costs due to growth in headcount to support expanded research and development initiatives including development of new products as well as enhancements to existing products. In addition, costs related to outside contract services and prototype materials increased by $1.2 million. The remaining increase of $0.4 million was attributed to higher depreciation and amortization of research and development equipment.</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Sales and Marketing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00" w:type="dxa"/>
            <w:vAlign w:val="bottom"/>
          </w:tcPr>
          <w:p>
            <w:pPr>
              <w:spacing w:after="0"/>
              <w:rPr>
                <w:sz w:val="12"/>
                <w:szCs w:val="12"/>
                <w:color w:val="auto"/>
              </w:rPr>
            </w:pPr>
          </w:p>
        </w:tc>
        <w:tc>
          <w:tcPr>
            <w:tcW w:w="1200" w:type="dxa"/>
            <w:vAlign w:val="bottom"/>
            <w:vMerge w:val="restart"/>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2015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right"/>
              <w:ind w:right="934"/>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5"/>
                <w:szCs w:val="15"/>
                <w:color w:val="auto"/>
              </w:rPr>
              <w:t>11,937</w:t>
            </w:r>
          </w:p>
        </w:tc>
        <w:tc>
          <w:tcPr>
            <w:tcW w:w="38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5"/>
                <w:szCs w:val="15"/>
                <w:color w:val="auto"/>
              </w:rPr>
              <w:t>8,828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5"/>
                <w:szCs w:val="15"/>
                <w:color w:val="auto"/>
              </w:rPr>
              <w:t>3,109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6"/>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Percentage of net revenues</w:t>
            </w:r>
          </w:p>
        </w:tc>
        <w:tc>
          <w:tcPr>
            <w:tcW w:w="2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auto"/>
              </w:rPr>
              <w:t>14%</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Three Months Ended March 31, 2015 and 2014</w:t>
      </w:r>
    </w:p>
    <w:p>
      <w:pPr>
        <w:spacing w:after="0" w:line="151" w:lineRule="exact"/>
        <w:rPr>
          <w:sz w:val="20"/>
          <w:szCs w:val="20"/>
          <w:color w:val="auto"/>
        </w:rPr>
      </w:pPr>
    </w:p>
    <w:p>
      <w:pPr>
        <w:ind w:right="420" w:firstLine="365"/>
        <w:spacing w:after="0" w:line="289" w:lineRule="auto"/>
        <w:rPr>
          <w:sz w:val="20"/>
          <w:szCs w:val="20"/>
          <w:color w:val="auto"/>
        </w:rPr>
      </w:pPr>
      <w:r>
        <w:rPr>
          <w:rFonts w:ascii="Times New Roman" w:cs="Times New Roman" w:eastAsia="Times New Roman" w:hAnsi="Times New Roman"/>
          <w:sz w:val="15"/>
          <w:szCs w:val="15"/>
          <w:color w:val="auto"/>
        </w:rPr>
        <w:t>Sales and marketing expenses increased by 35% for the three months ended March 31, 2015, as compared to the same period in 2014. The increase was due primarily to a $2.4 million increase in personnel-related costs due to growth in headcount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40"/>
          </w:cols>
          <w:pgMar w:left="240" w:top="125" w:right="219" w:bottom="1440" w:gutter="0" w:footer="0" w:header="0"/>
        </w:sectPr>
      </w:pPr>
    </w:p>
    <w:bookmarkStart w:id="16" w:name="page17"/>
    <w:bookmarkEnd w:id="16"/>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5"/>
          <w:szCs w:val="15"/>
          <w:color w:val="auto"/>
        </w:rPr>
        <w:t>to support our growing business both domestically and internationally. The remaining increase of $0.7 million was attributed to increased use of outside consultants and costs related to trade shows and other marketing programs.</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00" w:type="dxa"/>
            <w:vAlign w:val="bottom"/>
          </w:tcPr>
          <w:p>
            <w:pPr>
              <w:spacing w:after="0"/>
              <w:rPr>
                <w:sz w:val="12"/>
                <w:szCs w:val="12"/>
                <w:color w:val="auto"/>
              </w:rPr>
            </w:pPr>
          </w:p>
        </w:tc>
        <w:tc>
          <w:tcPr>
            <w:tcW w:w="1200" w:type="dxa"/>
            <w:vAlign w:val="bottom"/>
            <w:vMerge w:val="restart"/>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2"/>
                <w:szCs w:val="12"/>
                <w:b w:val="1"/>
                <w:bCs w:val="1"/>
                <w:color w:val="auto"/>
              </w:rPr>
              <w:t>2015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right"/>
              <w:ind w:right="934"/>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5"/>
                <w:szCs w:val="15"/>
                <w:color w:val="auto"/>
              </w:rPr>
              <w:t>8,205</w:t>
            </w:r>
          </w:p>
        </w:tc>
        <w:tc>
          <w:tcPr>
            <w:tcW w:w="38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5"/>
                <w:szCs w:val="15"/>
                <w:color w:val="auto"/>
              </w:rPr>
              <w:t>6,526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5"/>
                <w:szCs w:val="15"/>
                <w:color w:val="auto"/>
              </w:rPr>
              <w:t>1,679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6"/>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Percentage of net revenues</w:t>
            </w:r>
          </w:p>
        </w:tc>
        <w:tc>
          <w:tcPr>
            <w:tcW w:w="26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auto"/>
              </w:rPr>
              <w:t>9%</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Three Months Ended March 31, 2015 and 2014</w:t>
      </w:r>
    </w:p>
    <w:p>
      <w:pPr>
        <w:spacing w:after="0" w:line="151" w:lineRule="exact"/>
        <w:rPr>
          <w:sz w:val="20"/>
          <w:szCs w:val="20"/>
          <w:color w:val="auto"/>
        </w:rPr>
      </w:pPr>
    </w:p>
    <w:p>
      <w:pPr>
        <w:ind w:right="100" w:firstLine="365"/>
        <w:spacing w:after="0" w:line="271" w:lineRule="auto"/>
        <w:rPr>
          <w:sz w:val="20"/>
          <w:szCs w:val="20"/>
          <w:color w:val="auto"/>
        </w:rPr>
      </w:pPr>
      <w:r>
        <w:rPr>
          <w:rFonts w:ascii="Times New Roman" w:cs="Times New Roman" w:eastAsia="Times New Roman" w:hAnsi="Times New Roman"/>
          <w:sz w:val="15"/>
          <w:szCs w:val="15"/>
          <w:color w:val="auto"/>
        </w:rPr>
        <w:t>General and administrative expenses increased by 26% for the three months ended March 31, 2015, as compared to the same period in 2014. The increase was due primarily to $0.9 million increase in personnel-related costs including higher stock-based compensation and employee recruiting costs. In addition, costs related to outside legal, accounting and other professional fees increased by $0.5 million and facilities-related expenses increased by $0.3 million.</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 Net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60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2"/>
                <w:szCs w:val="12"/>
                <w:b w:val="1"/>
                <w:bCs w:val="1"/>
                <w:color w:val="auto"/>
              </w:rPr>
              <w:t>2015</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2"/>
                <w:szCs w:val="12"/>
                <w:b w:val="1"/>
                <w:bCs w:val="1"/>
                <w:color w:val="auto"/>
              </w:rPr>
              <w:t>2014</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8"/>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net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(605)</w:t>
            </w:r>
          </w:p>
        </w:tc>
        <w:tc>
          <w:tcPr>
            <w:tcW w:w="3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5"/>
                <w:szCs w:val="15"/>
                <w:color w:val="auto"/>
              </w:rPr>
              <w:t>(263)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23"/>
        </w:trPr>
        <w:tc>
          <w:tcPr>
            <w:tcW w:w="6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Three Months Ended March 31, 2015 and 2014</w:t>
      </w:r>
    </w:p>
    <w:p>
      <w:pPr>
        <w:spacing w:after="0" w:line="151" w:lineRule="exact"/>
        <w:rPr>
          <w:sz w:val="20"/>
          <w:szCs w:val="20"/>
          <w:color w:val="auto"/>
        </w:rPr>
      </w:pPr>
    </w:p>
    <w:p>
      <w:pPr>
        <w:ind w:right="380" w:firstLine="365"/>
        <w:spacing w:after="0" w:line="289" w:lineRule="auto"/>
        <w:rPr>
          <w:sz w:val="20"/>
          <w:szCs w:val="20"/>
          <w:color w:val="auto"/>
        </w:rPr>
      </w:pPr>
      <w:r>
        <w:rPr>
          <w:rFonts w:ascii="Times New Roman" w:cs="Times New Roman" w:eastAsia="Times New Roman" w:hAnsi="Times New Roman"/>
          <w:sz w:val="15"/>
          <w:szCs w:val="15"/>
          <w:color w:val="auto"/>
        </w:rPr>
        <w:t>Other expense, net, for the three months ended March 31, 2015 increased by $0.3 million, as compared to the same period in 2014. The increase was attributable to unfavorable foreign currency exchange movements associated with transactions denominated in foreign currencies, offset in part by lower interest expense.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Sources of Liquidity</w:t>
      </w:r>
    </w:p>
    <w:p>
      <w:pPr>
        <w:spacing w:after="0" w:line="106" w:lineRule="exact"/>
        <w:rPr>
          <w:sz w:val="20"/>
          <w:szCs w:val="20"/>
          <w:color w:val="auto"/>
        </w:rPr>
      </w:pPr>
    </w:p>
    <w:p>
      <w:pPr>
        <w:ind w:firstLine="365"/>
        <w:spacing w:after="0" w:line="258" w:lineRule="auto"/>
        <w:rPr>
          <w:sz w:val="20"/>
          <w:szCs w:val="20"/>
          <w:color w:val="auto"/>
        </w:rPr>
      </w:pPr>
      <w:r>
        <w:rPr>
          <w:rFonts w:ascii="Times New Roman" w:cs="Times New Roman" w:eastAsia="Times New Roman" w:hAnsi="Times New Roman"/>
          <w:sz w:val="15"/>
          <w:szCs w:val="15"/>
          <w:color w:val="auto"/>
        </w:rPr>
        <w:t>As of March 31, 2015, we had $27.1 million in cash and cash equivalents and no outstanding indebtedness. Cash and cash equivalents held in the United States were $22.3 million and consisted primarily of non-interest bearing checking deposits, with the remainder held in various foreign subsidiaries. In addition, we have a revolving credit facility (the “Revolver”) with Wells Fargo Bank, N.A. (“Wells Fargo”) which provides for up to $50.0 million in borrowings. The Revolver has a maturity date of November 7, 2016. The amount of borrowings available to be drawn under the Revolver is subject to a borrowing base calculation that limits availability to a percentage of eligible domestic accounts receivable plus a percentage of the value of eligible domestic inventory, less certain reserves. Based on eligible accounts receivable and inventory balances pursuant to the agreement, approximately $27.8 million was available for borrowing at March 31, 2015. Borrowings under the Revolver bear interest in cash at an annual rate equal to, at our option, either LIBOR or a “base rate” that is comprised of, among other things, the prime rate, plus a margin that is between 1.5% and 4.25% depending on the currency borrowed and the specific term of repayment. The Revolver contains customary affirmative and negative covenants and events of default, and requires us to maintain at least $15.0 million of liquidity at all times, of which at least $5.0 million must be undrawn availability. As of March 31, 2015, we were in compliance with all financial and non-financial covenants under the Revolver. To date, we have not drawn down any amounts; however, we may elect to draw on the Revolver as a potential source of liquidity to finance our short-term working capital requirements and other general corporate purposes.</w:t>
      </w:r>
    </w:p>
    <w:p>
      <w:pPr>
        <w:spacing w:after="0" w:line="65" w:lineRule="exact"/>
        <w:rPr>
          <w:sz w:val="20"/>
          <w:szCs w:val="20"/>
          <w:color w:val="auto"/>
        </w:rPr>
      </w:pPr>
    </w:p>
    <w:p>
      <w:pPr>
        <w:ind w:right="280" w:firstLine="365"/>
        <w:spacing w:after="0" w:line="289" w:lineRule="auto"/>
        <w:rPr>
          <w:sz w:val="20"/>
          <w:szCs w:val="20"/>
          <w:color w:val="auto"/>
        </w:rPr>
      </w:pPr>
      <w:r>
        <w:rPr>
          <w:rFonts w:ascii="Times New Roman" w:cs="Times New Roman" w:eastAsia="Times New Roman" w:hAnsi="Times New Roman"/>
          <w:sz w:val="15"/>
          <w:szCs w:val="15"/>
          <w:color w:val="auto"/>
        </w:rPr>
        <w:t>We believe our current cash and cash equivalents of $27.1 million as of March 31, 2015, together with borrowings expected to be available under our Revolver with Wells Fargo, will be sufficient to satisfy our working capital needs, capital asset purchases, outstanding commitments and fund our operations for at least the next 12 months.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40"/>
          </w:cols>
          <w:pgMar w:left="240" w:top="125" w:right="219" w:bottom="1440" w:gutter="0" w:footer="0" w:header="0"/>
        </w:sectPr>
      </w:pPr>
    </w:p>
    <w:bookmarkStart w:id="17" w:name="page18"/>
    <w:bookmarkEnd w:id="17"/>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07" w:lineRule="exact"/>
        <w:rPr>
          <w:sz w:val="20"/>
          <w:szCs w:val="20"/>
          <w:color w:val="auto"/>
        </w:rPr>
      </w:pPr>
    </w:p>
    <w:p>
      <w:pPr>
        <w:ind w:right="220" w:firstLine="365"/>
        <w:spacing w:after="0" w:line="289" w:lineRule="auto"/>
        <w:rPr>
          <w:sz w:val="20"/>
          <w:szCs w:val="20"/>
          <w:color w:val="auto"/>
        </w:rPr>
      </w:pPr>
      <w:r>
        <w:rPr>
          <w:rFonts w:ascii="Times New Roman" w:cs="Times New Roman" w:eastAsia="Times New Roman" w:hAnsi="Times New Roman"/>
          <w:sz w:val="15"/>
          <w:szCs w:val="15"/>
          <w:color w:val="auto"/>
        </w:rPr>
        <w:t>If additional sources of liquidity were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summarizes our cash flows for the periods indicated:</w:t>
      </w:r>
    </w:p>
    <w:p>
      <w:pPr>
        <w:spacing w:after="0" w:line="277"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10160</wp:posOffset>
            </wp:positionV>
            <wp:extent cx="19583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2015</w:t>
            </w: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2014</w:t>
            </w:r>
          </w:p>
        </w:tc>
      </w:tr>
      <w:tr>
        <w:trPr>
          <w:trHeight w:val="208"/>
        </w:trPr>
        <w:tc>
          <w:tcPr>
            <w:tcW w:w="8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gridSpan w:val="2"/>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020" w:type="dxa"/>
            <w:vAlign w:val="bottom"/>
          </w:tcPr>
          <w:p>
            <w:pPr>
              <w:spacing w:after="0"/>
              <w:rPr>
                <w:sz w:val="18"/>
                <w:szCs w:val="18"/>
                <w:color w:val="auto"/>
              </w:rPr>
            </w:pPr>
          </w:p>
        </w:tc>
      </w:tr>
      <w:tr>
        <w:trPr>
          <w:trHeight w:val="21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880" w:type="dxa"/>
            <w:vAlign w:val="bottom"/>
            <w:tcBorders>
              <w:bottom w:val="single" w:sz="8" w:color="CCEE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(11,498)</w:t>
            </w:r>
          </w:p>
        </w:tc>
        <w:tc>
          <w:tcPr>
            <w:tcW w:w="54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4,281</w:t>
            </w:r>
          </w:p>
        </w:tc>
      </w:tr>
      <w:tr>
        <w:trPr>
          <w:trHeight w:val="206"/>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(3,611)</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(2,172)</w:t>
            </w:r>
          </w:p>
        </w:tc>
      </w:tr>
      <w:tr>
        <w:trPr>
          <w:trHeight w:val="23"/>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5"/>
                <w:szCs w:val="15"/>
                <w:color w:val="auto"/>
              </w:rPr>
              <w:t>677</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w:t>
            </w:r>
          </w:p>
        </w:tc>
      </w:tr>
      <w:tr>
        <w:trPr>
          <w:trHeight w:val="23"/>
        </w:trPr>
        <w:tc>
          <w:tcPr>
            <w:tcW w:w="8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51" w:lineRule="exact"/>
        <w:rPr>
          <w:sz w:val="20"/>
          <w:szCs w:val="20"/>
          <w:color w:val="auto"/>
        </w:rPr>
      </w:pPr>
    </w:p>
    <w:p>
      <w:pPr>
        <w:ind w:right="20" w:firstLine="365"/>
        <w:spacing w:after="0" w:line="259" w:lineRule="auto"/>
        <w:rPr>
          <w:sz w:val="20"/>
          <w:szCs w:val="20"/>
          <w:color w:val="auto"/>
        </w:rPr>
      </w:pPr>
      <w:r>
        <w:rPr>
          <w:rFonts w:ascii="Times New Roman" w:cs="Times New Roman" w:eastAsia="Times New Roman" w:hAnsi="Times New Roman"/>
          <w:sz w:val="15"/>
          <w:szCs w:val="15"/>
          <w:color w:val="auto"/>
        </w:rPr>
        <w:t>For the three months ended March 31, 2015, net cash used in operating activities of $11.5 million was primarily attributable to a net loss of $6.3 million, net changes in our operating assets and liabilities of $11.0 million, offset by non-cash charges of $5.8 million primarily consisting of stock-based compensation and depreciation and amortization. Cash used for operating assets and liabilities includes a $13.2 million increase in inventory as a result of an influx of inventory received upon the resolution of a labor dispute related to West Coast seaports. Other changes in operating assets and liabilities that used cash include a $0.8 million increase in accounts receivable and a $2.1 million increase in other assets primarily attributable to an increase in customer financing receivables and the corresponding deferred costs. Cash provided by changes in operating assets and liabilities include a $2.4 million increase in deferred revenue, a $2.3 million increase in accounts payable, accrued and other liabilities and a $0.2 million in warranty obligations. The increase in deferred revenue includes revenue related to our Enlighten service as well as deferred product revenue corresponding with the increase in customer financing receivables. The increase in accounts payable, accrued and other liabilities was primarily attributable to the increase in inventory, offset by the payment of accrued bonus compensation.</w:t>
      </w:r>
    </w:p>
    <w:p>
      <w:pPr>
        <w:spacing w:after="0" w:line="110" w:lineRule="exact"/>
        <w:rPr>
          <w:sz w:val="20"/>
          <w:szCs w:val="20"/>
          <w:color w:val="auto"/>
        </w:rPr>
      </w:pPr>
    </w:p>
    <w:p>
      <w:pPr>
        <w:ind w:right="140" w:firstLine="365"/>
        <w:spacing w:after="0" w:line="263" w:lineRule="auto"/>
        <w:rPr>
          <w:sz w:val="20"/>
          <w:szCs w:val="20"/>
          <w:color w:val="auto"/>
        </w:rPr>
      </w:pPr>
      <w:r>
        <w:rPr>
          <w:rFonts w:ascii="Times New Roman" w:cs="Times New Roman" w:eastAsia="Times New Roman" w:hAnsi="Times New Roman"/>
          <w:sz w:val="15"/>
          <w:szCs w:val="15"/>
          <w:color w:val="auto"/>
        </w:rPr>
        <w:t>For the three months ended March 31, 2014, net cash provided by operating activities of $4.3 million was primarily attributable to net changes in operating assets and liabilities of $6.5 million and non-cash charges of $4.0 million, offset by a net loss of $6.2 million. The increase in cash provided by operating assets and liabilities was primarily attributable to a decrease of $3.6 million in accounts receivable, a $2.5 million decrease in inventory and a $1.2 million increase in accounts payable, accrued and other liabilities, offset by a $1.0 million increase in prepaid expenses and other assets. Non-cash charges for the three months ended March 31, 2014 include stock compensation expense of $2.0 million and depreciation and amortization expense of $1.9 million.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51" w:lineRule="exact"/>
        <w:rPr>
          <w:sz w:val="20"/>
          <w:szCs w:val="20"/>
          <w:color w:val="auto"/>
        </w:rPr>
      </w:pPr>
    </w:p>
    <w:p>
      <w:pPr>
        <w:ind w:right="440" w:firstLine="365"/>
        <w:spacing w:after="0" w:line="289" w:lineRule="auto"/>
        <w:rPr>
          <w:sz w:val="20"/>
          <w:szCs w:val="20"/>
          <w:color w:val="auto"/>
        </w:rPr>
      </w:pPr>
      <w:r>
        <w:rPr>
          <w:rFonts w:ascii="Times New Roman" w:cs="Times New Roman" w:eastAsia="Times New Roman" w:hAnsi="Times New Roman"/>
          <w:sz w:val="15"/>
          <w:szCs w:val="15"/>
          <w:color w:val="auto"/>
        </w:rPr>
        <w:t>For the three months ended March 31, 2015, net cash used in investing activities was $3.6 million, primarily as a result of purchases of test and assembly equipment as well as additions to internally developed software.</w:t>
      </w:r>
    </w:p>
    <w:p>
      <w:pPr>
        <w:spacing w:after="0" w:line="87" w:lineRule="exact"/>
        <w:rPr>
          <w:sz w:val="20"/>
          <w:szCs w:val="20"/>
          <w:color w:val="auto"/>
        </w:rPr>
      </w:pPr>
    </w:p>
    <w:p>
      <w:pPr>
        <w:ind w:right="440" w:firstLine="365"/>
        <w:spacing w:after="0" w:line="289" w:lineRule="auto"/>
        <w:rPr>
          <w:sz w:val="20"/>
          <w:szCs w:val="20"/>
          <w:color w:val="auto"/>
        </w:rPr>
      </w:pPr>
      <w:r>
        <w:rPr>
          <w:rFonts w:ascii="Times New Roman" w:cs="Times New Roman" w:eastAsia="Times New Roman" w:hAnsi="Times New Roman"/>
          <w:sz w:val="15"/>
          <w:szCs w:val="15"/>
          <w:color w:val="auto"/>
        </w:rPr>
        <w:t>For the three months ended March 31, 2014, net cash used in investing activities was $2.2 million, primarily as a result of purchases of test and assembly equipment as well as additions to internally developed software.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For the three months ended March 31, 2015, net cash provided by financing activities of $0.7 million was due to proceeds from employee option exercises.</w:t>
      </w:r>
    </w:p>
    <w:p>
      <w:pPr>
        <w:spacing w:after="0" w:line="147" w:lineRule="exact"/>
        <w:rPr>
          <w:sz w:val="20"/>
          <w:szCs w:val="20"/>
          <w:color w:val="auto"/>
        </w:rPr>
      </w:pPr>
    </w:p>
    <w:p>
      <w:pPr>
        <w:ind w:right="320" w:firstLine="365"/>
        <w:spacing w:after="0" w:line="289" w:lineRule="auto"/>
        <w:rPr>
          <w:sz w:val="20"/>
          <w:szCs w:val="20"/>
          <w:color w:val="auto"/>
        </w:rPr>
      </w:pPr>
      <w:r>
        <w:rPr>
          <w:rFonts w:ascii="Times New Roman" w:cs="Times New Roman" w:eastAsia="Times New Roman" w:hAnsi="Times New Roman"/>
          <w:sz w:val="15"/>
          <w:szCs w:val="15"/>
          <w:color w:val="auto"/>
        </w:rPr>
        <w:t>For the three months ended March 31, 2014, net cash used in financing activities was $0.4 million and was attributable to $0.9 million in principal repayments of our term loans, offset by $0.5 million in proceeds from employee option exercises and employee stock purchases.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Our contractual obligations as of March 31, 2015 have not materially changed from the amounts set forth in our Annual Report on Form 10-K for the year ended December 31, 2014.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As of March 31, 2015, we did not have any off-balance sheet arrangements, as defined in Item 303(a)(4)(ii) of SEC Regulation 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w:t>
      </w:r>
    </w:p>
    <w:p>
      <w:pPr>
        <w:spacing w:after="0" w:line="151" w:lineRule="exact"/>
        <w:rPr>
          <w:sz w:val="20"/>
          <w:szCs w:val="20"/>
          <w:color w:val="auto"/>
        </w:rPr>
      </w:pPr>
    </w:p>
    <w:p>
      <w:pPr>
        <w:ind w:firstLine="365"/>
        <w:spacing w:after="0" w:line="260" w:lineRule="auto"/>
        <w:rPr>
          <w:sz w:val="20"/>
          <w:szCs w:val="20"/>
          <w:color w:val="auto"/>
        </w:rPr>
      </w:pPr>
      <w:r>
        <w:rPr>
          <w:rFonts w:ascii="Times New Roman" w:cs="Times New Roman" w:eastAsia="Times New Roman" w:hAnsi="Times New Roman"/>
          <w:sz w:val="15"/>
          <w:szCs w:val="15"/>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08" w:lineRule="exact"/>
        <w:rPr>
          <w:sz w:val="20"/>
          <w:szCs w:val="20"/>
          <w:color w:val="auto"/>
        </w:rPr>
      </w:pPr>
    </w:p>
    <w:p>
      <w:pPr>
        <w:jc w:val="both"/>
        <w:ind w:right="40" w:firstLine="365"/>
        <w:spacing w:after="0" w:line="271" w:lineRule="auto"/>
        <w:rPr>
          <w:sz w:val="20"/>
          <w:szCs w:val="20"/>
          <w:color w:val="auto"/>
        </w:rPr>
      </w:pPr>
      <w:r>
        <w:rPr>
          <w:rFonts w:ascii="Times New Roman" w:cs="Times New Roman" w:eastAsia="Times New Roman" w:hAnsi="Times New Roman"/>
          <w:sz w:val="15"/>
          <w:szCs w:val="15"/>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01" w:lineRule="exact"/>
        <w:rPr>
          <w:sz w:val="20"/>
          <w:szCs w:val="20"/>
          <w:color w:val="auto"/>
        </w:rPr>
      </w:pPr>
    </w:p>
    <w:p>
      <w:pPr>
        <w:ind w:right="820" w:firstLine="365"/>
        <w:spacing w:after="0" w:line="289" w:lineRule="auto"/>
        <w:rPr>
          <w:sz w:val="20"/>
          <w:szCs w:val="20"/>
          <w:color w:val="auto"/>
        </w:rPr>
      </w:pPr>
      <w:r>
        <w:rPr>
          <w:rFonts w:ascii="Times New Roman" w:cs="Times New Roman" w:eastAsia="Times New Roman" w:hAnsi="Times New Roman"/>
          <w:sz w:val="15"/>
          <w:szCs w:val="15"/>
          <w:color w:val="auto"/>
        </w:rPr>
        <w:t>There have been no significant changes during the three months ended March 31, 2015 to the items that we disclosed as our critical accounting policies and estimates in Management’s Discussion and Analysis of Financial Condition and Results of Operations in our Annual Report on Form 10-K for the year ended December 31, 2014.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 Not Yet Effective</w:t>
      </w:r>
    </w:p>
    <w:p>
      <w:pPr>
        <w:spacing w:after="0" w:line="151" w:lineRule="exact"/>
        <w:rPr>
          <w:sz w:val="20"/>
          <w:szCs w:val="20"/>
          <w:color w:val="auto"/>
        </w:rPr>
      </w:pPr>
    </w:p>
    <w:p>
      <w:pPr>
        <w:ind w:right="60" w:firstLine="365"/>
        <w:spacing w:after="0" w:line="259" w:lineRule="auto"/>
        <w:rPr>
          <w:sz w:val="20"/>
          <w:szCs w:val="20"/>
          <w:color w:val="auto"/>
        </w:rPr>
      </w:pPr>
      <w:r>
        <w:rPr>
          <w:rFonts w:ascii="Times New Roman" w:cs="Times New Roman" w:eastAsia="Times New Roman" w:hAnsi="Times New Roman"/>
          <w:sz w:val="15"/>
          <w:szCs w:val="15"/>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ASU 2014-09 is effective for annual and interim periods beginning after December 15, 2016. Early adoption is not permitted. Accordingly, the ASU will be effective for us beginning in the first quarter of 2017. We are currently evaluating the impact of the adoption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74" w:lineRule="exact"/>
        <w:rPr>
          <w:sz w:val="20"/>
          <w:szCs w:val="20"/>
          <w:color w:val="auto"/>
        </w:rPr>
      </w:pPr>
    </w:p>
    <w:p>
      <w:pPr>
        <w:ind w:firstLine="365"/>
        <w:spacing w:after="0" w:line="289" w:lineRule="auto"/>
        <w:rPr>
          <w:sz w:val="20"/>
          <w:szCs w:val="20"/>
          <w:color w:val="auto"/>
        </w:rPr>
      </w:pPr>
      <w:r>
        <w:rPr>
          <w:rFonts w:ascii="Times New Roman" w:cs="Times New Roman" w:eastAsia="Times New Roman" w:hAnsi="Times New Roman"/>
          <w:sz w:val="15"/>
          <w:szCs w:val="15"/>
          <w:color w:val="auto"/>
        </w:rPr>
        <w:t>For quantitative and qualitative disclosures about market risk, see Item 7A, “Quantitative and Qualitative Disclosures About Market Risk” of our annual report on Form 10-K for the year ended December 31, 2014. Our exposures to market risk have not changed materially since December 31, 2014.</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Evaluation of Disclosure Controls and Procedures</w:t>
      </w:r>
    </w:p>
    <w:p>
      <w:pPr>
        <w:spacing w:after="0" w:line="151" w:lineRule="exact"/>
        <w:rPr>
          <w:sz w:val="20"/>
          <w:szCs w:val="20"/>
          <w:color w:val="auto"/>
        </w:rPr>
      </w:pPr>
    </w:p>
    <w:p>
      <w:pPr>
        <w:ind w:right="80" w:firstLine="365"/>
        <w:spacing w:after="0" w:line="261"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evaluated the effectiveness of our disclosure controls and procedures as of March 31, 2015.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2015, our chief executive officer and chief financial officer concluded that, as of such date, our disclosure controls and procedures were effective at the reasonable assurance level.</w:t>
      </w:r>
    </w:p>
    <w:p>
      <w:pPr>
        <w:spacing w:after="0" w:line="108" w:lineRule="exact"/>
        <w:rPr>
          <w:sz w:val="20"/>
          <w:szCs w:val="20"/>
          <w:color w:val="auto"/>
        </w:rPr>
      </w:pPr>
    </w:p>
    <w:p>
      <w:pPr>
        <w:ind w:right="440" w:firstLine="365"/>
        <w:spacing w:after="0" w:line="289" w:lineRule="auto"/>
        <w:rPr>
          <w:sz w:val="20"/>
          <w:szCs w:val="20"/>
          <w:color w:val="auto"/>
        </w:rPr>
      </w:pPr>
      <w:r>
        <w:rPr>
          <w:rFonts w:ascii="Times New Roman" w:cs="Times New Roman" w:eastAsia="Times New Roman" w:hAnsi="Times New Roman"/>
          <w:sz w:val="15"/>
          <w:szCs w:val="15"/>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w:t>
      </w:r>
    </w:p>
    <w:p>
      <w:pPr>
        <w:spacing w:after="0" w:line="151" w:lineRule="exact"/>
        <w:rPr>
          <w:sz w:val="20"/>
          <w:szCs w:val="20"/>
          <w:color w:val="auto"/>
        </w:rPr>
      </w:pPr>
    </w:p>
    <w:p>
      <w:pPr>
        <w:ind w:right="140" w:firstLine="365"/>
        <w:spacing w:after="0" w:line="289" w:lineRule="auto"/>
        <w:rPr>
          <w:sz w:val="20"/>
          <w:szCs w:val="20"/>
          <w:color w:val="auto"/>
        </w:rPr>
      </w:pPr>
      <w:r>
        <w:rPr>
          <w:rFonts w:ascii="Times New Roman" w:cs="Times New Roman" w:eastAsia="Times New Roman" w:hAnsi="Times New Roman"/>
          <w:sz w:val="15"/>
          <w:szCs w:val="15"/>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74" w:lineRule="exact"/>
        <w:rPr>
          <w:sz w:val="20"/>
          <w:szCs w:val="20"/>
          <w:color w:val="auto"/>
        </w:rPr>
      </w:pPr>
    </w:p>
    <w:p>
      <w:pPr>
        <w:ind w:right="100" w:firstLine="377"/>
        <w:spacing w:after="0" w:line="271" w:lineRule="auto"/>
        <w:rPr>
          <w:sz w:val="20"/>
          <w:szCs w:val="20"/>
          <w:color w:val="auto"/>
        </w:rPr>
      </w:pPr>
      <w:r>
        <w:rPr>
          <w:rFonts w:ascii="Times New Roman" w:cs="Times New Roman" w:eastAsia="Times New Roman" w:hAnsi="Times New Roman"/>
          <w:sz w:val="15"/>
          <w:szCs w:val="15"/>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9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5"/>
          <w:szCs w:val="15"/>
          <w:b w:val="1"/>
          <w:bCs w:val="1"/>
          <w:color w:val="auto"/>
        </w:rPr>
        <w:t>Item 1A.</w:t>
        <w:tab/>
        <w:t>Risk Factors</w:t>
      </w:r>
    </w:p>
    <w:p>
      <w:pPr>
        <w:spacing w:after="0" w:line="147" w:lineRule="exact"/>
        <w:rPr>
          <w:sz w:val="20"/>
          <w:szCs w:val="20"/>
          <w:color w:val="auto"/>
        </w:rPr>
      </w:pPr>
    </w:p>
    <w:p>
      <w:pPr>
        <w:ind w:firstLine="343"/>
        <w:spacing w:after="0" w:line="267" w:lineRule="auto"/>
        <w:rPr>
          <w:sz w:val="20"/>
          <w:szCs w:val="20"/>
          <w:color w:val="auto"/>
        </w:rPr>
      </w:pPr>
      <w:r>
        <w:rPr>
          <w:rFonts w:ascii="Times New Roman" w:cs="Times New Roman" w:eastAsia="Times New Roman" w:hAnsi="Times New Roman"/>
          <w:sz w:val="15"/>
          <w:szCs w:val="15"/>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01" w:lineRule="exact"/>
        <w:rPr>
          <w:sz w:val="20"/>
          <w:szCs w:val="20"/>
          <w:color w:val="auto"/>
        </w:rPr>
      </w:pPr>
    </w:p>
    <w:p>
      <w:pPr>
        <w:ind w:right="20" w:firstLine="343"/>
        <w:spacing w:after="0" w:line="294" w:lineRule="auto"/>
        <w:rPr>
          <w:sz w:val="20"/>
          <w:szCs w:val="20"/>
          <w:color w:val="auto"/>
        </w:rPr>
      </w:pPr>
      <w:r>
        <w:rPr>
          <w:rFonts w:ascii="Times New Roman" w:cs="Times New Roman" w:eastAsia="Times New Roman" w:hAnsi="Times New Roman"/>
          <w:sz w:val="15"/>
          <w:szCs w:val="15"/>
          <w:i w:val="1"/>
          <w:iCs w:val="1"/>
          <w:color w:val="auto"/>
        </w:rPr>
        <w:t>We have marked with an asterisk (*) those risks described below that reflect substantive changes from, or additions to, the risks described in our Annual Report on Form 10-K for the year ended December 31, 2014.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a history of losses which may continue in the future, and we cannot be certain that we will achieve or sustain profitability.</w:t>
      </w:r>
    </w:p>
    <w:p>
      <w:pPr>
        <w:spacing w:after="0" w:line="151" w:lineRule="exact"/>
        <w:rPr>
          <w:sz w:val="20"/>
          <w:szCs w:val="20"/>
          <w:color w:val="auto"/>
        </w:rPr>
      </w:pPr>
    </w:p>
    <w:p>
      <w:pPr>
        <w:ind w:right="40" w:firstLine="365"/>
        <w:spacing w:after="0" w:line="263" w:lineRule="auto"/>
        <w:rPr>
          <w:sz w:val="20"/>
          <w:szCs w:val="20"/>
          <w:color w:val="auto"/>
        </w:rPr>
      </w:pPr>
      <w:r>
        <w:rPr>
          <w:rFonts w:ascii="Times New Roman" w:cs="Times New Roman" w:eastAsia="Times New Roman" w:hAnsi="Times New Roman"/>
          <w:sz w:val="15"/>
          <w:szCs w:val="15"/>
          <w:color w:val="auto"/>
        </w:rPr>
        <w:t>We have incurred significant net losses since we began doing business, including a net loss of $6.3 million during the three months ended March 31, 2015. As of March 31, 2015, we had an accumulated deficit of $167.3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relatively short operating history makes it difficult to evaluate our current business and future prospects.</w:t>
      </w:r>
    </w:p>
    <w:p>
      <w:pPr>
        <w:spacing w:after="0" w:line="151" w:lineRule="exact"/>
        <w:rPr>
          <w:sz w:val="20"/>
          <w:szCs w:val="20"/>
          <w:color w:val="auto"/>
        </w:rPr>
      </w:pPr>
    </w:p>
    <w:p>
      <w:pPr>
        <w:ind w:right="400" w:firstLine="365"/>
        <w:spacing w:after="0" w:line="265" w:lineRule="auto"/>
        <w:rPr>
          <w:sz w:val="20"/>
          <w:szCs w:val="20"/>
          <w:color w:val="auto"/>
        </w:rPr>
      </w:pPr>
      <w:r>
        <w:rPr>
          <w:rFonts w:ascii="Times New Roman" w:cs="Times New Roman" w:eastAsia="Times New Roman" w:hAnsi="Times New Roman"/>
          <w:sz w:val="15"/>
          <w:szCs w:val="15"/>
          <w:color w:val="auto"/>
        </w:rPr>
        <w:t>While we have been in existence since 2006 and began shipping our products in commercial quantities until mid-2008, much of our growth has occurred in recent periods. Our relatively short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06" w:lineRule="exact"/>
        <w:rPr>
          <w:sz w:val="20"/>
          <w:szCs w:val="20"/>
          <w:color w:val="auto"/>
        </w:rPr>
      </w:pPr>
    </w:p>
    <w:p>
      <w:pPr>
        <w:jc w:val="both"/>
        <w:ind w:firstLine="365"/>
        <w:spacing w:after="0" w:line="271" w:lineRule="auto"/>
        <w:rPr>
          <w:sz w:val="20"/>
          <w:szCs w:val="20"/>
          <w:color w:val="auto"/>
        </w:rPr>
      </w:pPr>
      <w:r>
        <w:rPr>
          <w:rFonts w:ascii="Times New Roman" w:cs="Times New Roman" w:eastAsia="Times New Roman" w:hAnsi="Times New Roman"/>
          <w:sz w:val="15"/>
          <w:szCs w:val="15"/>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demand for solar energy solutions does not continue to grow or grows at a slower rate than we anticipate, our business will suffer.</w:t>
      </w:r>
    </w:p>
    <w:p>
      <w:pPr>
        <w:spacing w:after="0" w:line="106" w:lineRule="exact"/>
        <w:rPr>
          <w:sz w:val="20"/>
          <w:szCs w:val="20"/>
          <w:color w:val="auto"/>
        </w:rPr>
      </w:pPr>
    </w:p>
    <w:p>
      <w:pPr>
        <w:ind w:right="240" w:firstLine="365"/>
        <w:spacing w:after="0" w:line="261" w:lineRule="auto"/>
        <w:rPr>
          <w:sz w:val="20"/>
          <w:szCs w:val="20"/>
          <w:color w:val="auto"/>
        </w:rPr>
      </w:pPr>
      <w:r>
        <w:rPr>
          <w:rFonts w:ascii="Times New Roman" w:cs="Times New Roman" w:eastAsia="Times New Roman" w:hAnsi="Times New Roman"/>
          <w:sz w:val="15"/>
          <w:szCs w:val="15"/>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62" w:lineRule="exact"/>
        <w:rPr>
          <w:sz w:val="20"/>
          <w:szCs w:val="20"/>
          <w:color w:val="auto"/>
        </w:rPr>
      </w:pPr>
    </w:p>
    <w:p>
      <w:pPr>
        <w:ind w:left="820" w:hanging="41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acceptance of solar PV systems based on our product platform;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40"/>
          </w:cols>
          <w:pgMar w:left="240" w:top="125" w:right="219" w:bottom="1440" w:gutter="0" w:footer="0" w:header="0"/>
        </w:sectPr>
      </w:pPr>
    </w:p>
    <w:bookmarkStart w:id="21" w:name="page22"/>
    <w:bookmarkEnd w:id="21"/>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07" w:lineRule="exact"/>
        <w:rPr>
          <w:sz w:val="20"/>
          <w:szCs w:val="20"/>
          <w:color w:val="auto"/>
        </w:rPr>
      </w:pPr>
    </w:p>
    <w:p>
      <w:pPr>
        <w:ind w:left="820" w:hanging="417"/>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competitiveness, reliability and performance of solar PV systems compared to conventional and non-solar renewable energy sources and products;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and amount of government subsidies and incentives to support the development and deployment of solar energy solutions;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the electric power industry and broader energy industries are deregulated to permit broader adoption of solar electricity generation;</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and availability of key raw materials and components used in the production of solar PV systems;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prices of traditional utility-provided energy sources;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levels of investment by end-users of solar energy products, which tend to decrease when economic growth slows; and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emergence, continuance or success of, or increased government support for, other alternative energy generation technologies and products.</w:t>
      </w:r>
    </w:p>
    <w:p>
      <w:pPr>
        <w:spacing w:after="0" w:line="147" w:lineRule="exact"/>
        <w:rPr>
          <w:sz w:val="20"/>
          <w:szCs w:val="20"/>
          <w:color w:val="auto"/>
        </w:rPr>
      </w:pPr>
    </w:p>
    <w:p>
      <w:pPr>
        <w:ind w:firstLine="365"/>
        <w:spacing w:after="0" w:line="289" w:lineRule="auto"/>
        <w:rPr>
          <w:sz w:val="20"/>
          <w:szCs w:val="20"/>
          <w:color w:val="auto"/>
        </w:rPr>
      </w:pPr>
      <w:r>
        <w:rPr>
          <w:rFonts w:ascii="Times New Roman" w:cs="Times New Roman" w:eastAsia="Times New Roman" w:hAnsi="Times New Roman"/>
          <w:sz w:val="15"/>
          <w:szCs w:val="15"/>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87" w:lineRule="exact"/>
        <w:rPr>
          <w:sz w:val="20"/>
          <w:szCs w:val="20"/>
          <w:color w:val="auto"/>
        </w:rPr>
      </w:pPr>
    </w:p>
    <w:p>
      <w:pPr>
        <w:ind w:right="460" w:firstLine="365"/>
        <w:spacing w:after="0" w:line="271" w:lineRule="auto"/>
        <w:rPr>
          <w:sz w:val="20"/>
          <w:szCs w:val="20"/>
          <w:color w:val="auto"/>
        </w:rPr>
      </w:pPr>
      <w:r>
        <w:rPr>
          <w:rFonts w:ascii="Times New Roman" w:cs="Times New Roman" w:eastAsia="Times New Roman" w:hAnsi="Times New Roman"/>
          <w:sz w:val="15"/>
          <w:szCs w:val="15"/>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97"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84" w:lineRule="exact"/>
        <w:rPr>
          <w:sz w:val="20"/>
          <w:szCs w:val="20"/>
          <w:color w:val="auto"/>
        </w:rPr>
      </w:pPr>
    </w:p>
    <w:p>
      <w:pPr>
        <w:ind w:right="120" w:firstLine="365"/>
        <w:spacing w:after="0" w:line="265" w:lineRule="auto"/>
        <w:rPr>
          <w:sz w:val="20"/>
          <w:szCs w:val="20"/>
          <w:color w:val="auto"/>
        </w:rPr>
      </w:pPr>
      <w:r>
        <w:rPr>
          <w:rFonts w:ascii="Times New Roman" w:cs="Times New Roman" w:eastAsia="Times New Roman" w:hAnsi="Times New Roman"/>
          <w:sz w:val="15"/>
          <w:szCs w:val="15"/>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06" w:lineRule="exact"/>
        <w:rPr>
          <w:sz w:val="20"/>
          <w:szCs w:val="20"/>
          <w:color w:val="auto"/>
        </w:rPr>
      </w:pPr>
    </w:p>
    <w:p>
      <w:pPr>
        <w:ind w:firstLine="365"/>
        <w:spacing w:after="0" w:line="261" w:lineRule="auto"/>
        <w:rPr>
          <w:sz w:val="20"/>
          <w:szCs w:val="20"/>
          <w:color w:val="auto"/>
        </w:rPr>
      </w:pPr>
      <w:r>
        <w:rPr>
          <w:rFonts w:ascii="Times New Roman" w:cs="Times New Roman" w:eastAsia="Times New Roman" w:hAnsi="Times New Roman"/>
          <w:sz w:val="15"/>
          <w:szCs w:val="15"/>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08" w:lineRule="exact"/>
        <w:rPr>
          <w:sz w:val="20"/>
          <w:szCs w:val="20"/>
          <w:color w:val="auto"/>
        </w:rPr>
      </w:pPr>
    </w:p>
    <w:p>
      <w:pPr>
        <w:ind w:right="120" w:firstLine="365"/>
        <w:spacing w:after="0" w:line="261" w:lineRule="auto"/>
        <w:rPr>
          <w:sz w:val="20"/>
          <w:szCs w:val="20"/>
          <w:color w:val="auto"/>
        </w:rPr>
      </w:pPr>
      <w:r>
        <w:rPr>
          <w:rFonts w:ascii="Times New Roman" w:cs="Times New Roman" w:eastAsia="Times New Roman" w:hAnsi="Times New Roman"/>
          <w:sz w:val="15"/>
          <w:szCs w:val="15"/>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04"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focus on a limited number of specific markets increases risks associated with the elimination or expiration of governmental subsidies and economic incentives for on-grid solar electricity applications.</w:t>
      </w:r>
    </w:p>
    <w:p>
      <w:pPr>
        <w:spacing w:after="0" w:line="84" w:lineRule="exact"/>
        <w:rPr>
          <w:sz w:val="20"/>
          <w:szCs w:val="20"/>
          <w:color w:val="auto"/>
        </w:rPr>
      </w:pPr>
    </w:p>
    <w:p>
      <w:pPr>
        <w:jc w:val="both"/>
        <w:ind w:right="220" w:firstLine="365"/>
        <w:spacing w:after="0" w:line="271" w:lineRule="auto"/>
        <w:rPr>
          <w:sz w:val="20"/>
          <w:szCs w:val="20"/>
          <w:color w:val="auto"/>
        </w:rPr>
      </w:pPr>
      <w:r>
        <w:rPr>
          <w:rFonts w:ascii="Times New Roman" w:cs="Times New Roman" w:eastAsia="Times New Roman" w:hAnsi="Times New Roman"/>
          <w:sz w:val="15"/>
          <w:szCs w:val="15"/>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Creation Act of 2008 provides a 30% federal tax credit for residential and commercial solar installations, which expires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 However, unless the tax credit program is further extended, the eventual phase-out of this program could adversely affect sales of our products in the future.</w:t>
      </w:r>
    </w:p>
    <w:p>
      <w:pPr>
        <w:spacing w:after="0" w:line="106" w:lineRule="exact"/>
        <w:rPr>
          <w:sz w:val="20"/>
          <w:szCs w:val="20"/>
          <w:color w:val="auto"/>
        </w:rPr>
      </w:pPr>
    </w:p>
    <w:p>
      <w:pPr>
        <w:ind w:right="40" w:firstLine="365"/>
        <w:spacing w:after="0" w:line="260" w:lineRule="auto"/>
        <w:rPr>
          <w:sz w:val="20"/>
          <w:szCs w:val="20"/>
          <w:color w:val="auto"/>
        </w:rPr>
      </w:pPr>
      <w:r>
        <w:rPr>
          <w:rFonts w:ascii="Times New Roman" w:cs="Times New Roman" w:eastAsia="Times New Roman" w:hAnsi="Times New Roman"/>
          <w:sz w:val="15"/>
          <w:szCs w:val="15"/>
          <w:color w:val="auto"/>
        </w:rPr>
        <w:t>We derive a significant portion of our revenues from California, which is the largest single solar market in the United States.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08" w:lineRule="exact"/>
        <w:rPr>
          <w:sz w:val="20"/>
          <w:szCs w:val="20"/>
          <w:color w:val="auto"/>
        </w:rPr>
      </w:pPr>
    </w:p>
    <w:p>
      <w:pPr>
        <w:ind w:right="60" w:firstLine="365"/>
        <w:spacing w:after="0" w:line="258" w:lineRule="auto"/>
        <w:rPr>
          <w:sz w:val="20"/>
          <w:szCs w:val="20"/>
          <w:color w:val="auto"/>
        </w:rPr>
      </w:pPr>
      <w:r>
        <w:rPr>
          <w:rFonts w:ascii="Times New Roman" w:cs="Times New Roman" w:eastAsia="Times New Roman" w:hAnsi="Times New Roman"/>
          <w:sz w:val="15"/>
          <w:szCs w:val="15"/>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temporarily suspended for further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3" w:lineRule="exact"/>
        <w:rPr>
          <w:sz w:val="20"/>
          <w:szCs w:val="20"/>
          <w:color w:val="auto"/>
        </w:rPr>
      </w:pPr>
    </w:p>
    <w:p>
      <w:pPr>
        <w:ind w:right="40" w:firstLine="365"/>
        <w:spacing w:after="0" w:line="263" w:lineRule="auto"/>
        <w:rPr>
          <w:sz w:val="20"/>
          <w:szCs w:val="20"/>
          <w:color w:val="auto"/>
        </w:rPr>
      </w:pPr>
      <w:r>
        <w:rPr>
          <w:rFonts w:ascii="Times New Roman" w:cs="Times New Roman" w:eastAsia="Times New Roman" w:hAnsi="Times New Roman"/>
          <w:sz w:val="15"/>
          <w:szCs w:val="15"/>
          <w:color w:val="auto"/>
        </w:rPr>
        <w:t>We also sell our products in Europe.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have negatively affected and may continue to negatively affect our business, financial condition and results of operations as we seek to increase our sales in Europe.</w:t>
      </w:r>
    </w:p>
    <w:p>
      <w:pPr>
        <w:spacing w:after="0" w:line="106" w:lineRule="exact"/>
        <w:rPr>
          <w:sz w:val="20"/>
          <w:szCs w:val="20"/>
          <w:color w:val="auto"/>
        </w:rPr>
      </w:pPr>
    </w:p>
    <w:p>
      <w:pPr>
        <w:ind w:right="20" w:firstLine="365"/>
        <w:spacing w:after="0" w:line="260" w:lineRule="auto"/>
        <w:rPr>
          <w:sz w:val="20"/>
          <w:szCs w:val="20"/>
          <w:color w:val="auto"/>
        </w:rPr>
      </w:pPr>
      <w:r>
        <w:rPr>
          <w:rFonts w:ascii="Times New Roman" w:cs="Times New Roman" w:eastAsia="Times New Roman" w:hAnsi="Times New Roman"/>
          <w:sz w:val="15"/>
          <w:szCs w:val="15"/>
          <w:color w:val="auto"/>
        </w:rPr>
        <w:t>In the first quarter of 2013, we began selling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Australia recently elected a new national government. The new leadership has pledged to revise national energy policy, including potentially reducing Australia’s renewable energy target and revising certain renewable energy financing mechanisms. In July 2014, the new leadership successfully repealed the tax on carbon emissions. The reductions in incentives and uncertainty around future energy policy may negatively affect our business financial condition, and results of operations as we seek to increase our business in Australia.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gross profit may fluctuate over time, which could impair our ability to achieve or maintain profitability.</w:t>
      </w:r>
    </w:p>
    <w:p>
      <w:pPr>
        <w:spacing w:after="0" w:line="106" w:lineRule="exact"/>
        <w:rPr>
          <w:sz w:val="20"/>
          <w:szCs w:val="20"/>
          <w:color w:val="auto"/>
        </w:rPr>
      </w:pPr>
    </w:p>
    <w:p>
      <w:pPr>
        <w:ind w:right="120" w:firstLine="365"/>
        <w:spacing w:after="0" w:line="289" w:lineRule="auto"/>
        <w:rPr>
          <w:sz w:val="20"/>
          <w:szCs w:val="20"/>
          <w:color w:val="auto"/>
        </w:rPr>
      </w:pPr>
      <w:r>
        <w:rPr>
          <w:rFonts w:ascii="Times New Roman" w:cs="Times New Roman" w:eastAsia="Times New Roman" w:hAnsi="Times New Roman"/>
          <w:sz w:val="15"/>
          <w:szCs w:val="15"/>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41" w:lineRule="exact"/>
        <w:rPr>
          <w:sz w:val="20"/>
          <w:szCs w:val="20"/>
          <w:color w:val="auto"/>
        </w:rPr>
      </w:pPr>
    </w:p>
    <w:p>
      <w:pPr>
        <w:ind w:left="820" w:hanging="417"/>
        <w:spacing w:after="0"/>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customer, geographic or product mix;</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price competition, including the impact of customer discounts and rebates;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07" w:lineRule="exact"/>
        <w:rPr>
          <w:sz w:val="20"/>
          <w:szCs w:val="20"/>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ability to reduce and control product costs;</w:t>
      </w:r>
    </w:p>
    <w:p>
      <w:pPr>
        <w:spacing w:after="0" w:line="101" w:lineRule="exact"/>
        <w:rPr>
          <w:rFonts w:ascii="Times New Roman" w:cs="Times New Roman" w:eastAsia="Times New Roman" w:hAnsi="Times New Roman"/>
          <w:sz w:val="15"/>
          <w:szCs w:val="15"/>
          <w:color w:val="auto"/>
        </w:rPr>
      </w:pPr>
    </w:p>
    <w:p>
      <w:pPr>
        <w:ind w:left="820" w:right="360" w:hanging="417"/>
        <w:spacing w:after="0" w:line="289" w:lineRule="auto"/>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warranty costs and reserves, including changes resulting from changes in estimates related to the long-term performance of our products, product replacement costs and warranty claim rates;</w:t>
      </w:r>
    </w:p>
    <w:p>
      <w:pPr>
        <w:spacing w:after="0" w:line="4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cost savings due to changes in component or raw material pricing or charges incurred due to inventory holding periods if product demand is not correctly anticipated;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introduction of new products;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ordering patterns from our distributors;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 reductions on older products to sell remaining inventory;</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reduce production costs, such as through technology innovations, in order to offset price declines in older products over time;</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shipment volume;</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distribution channels;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and obsolete inventory and inventory holding charges;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expediting costs incurred to meet customer delivery requirements; and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foreign currency exchange rates.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Fluctuations in gross profit may adversely affect our ability to manage our business or achieve or maintain profitability.</w:t>
      </w:r>
    </w:p>
    <w:p>
      <w:pPr>
        <w:spacing w:after="0" w:line="143"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84" w:lineRule="exact"/>
        <w:rPr>
          <w:sz w:val="20"/>
          <w:szCs w:val="20"/>
          <w:color w:val="auto"/>
        </w:rPr>
      </w:pPr>
    </w:p>
    <w:p>
      <w:pPr>
        <w:ind w:right="40" w:firstLine="365"/>
        <w:spacing w:after="0" w:line="257" w:lineRule="auto"/>
        <w:rPr>
          <w:sz w:val="20"/>
          <w:szCs w:val="20"/>
          <w:color w:val="auto"/>
        </w:rPr>
      </w:pPr>
      <w:r>
        <w:rPr>
          <w:rFonts w:ascii="Times New Roman" w:cs="Times New Roman" w:eastAsia="Times New Roman" w:hAnsi="Times New Roman"/>
          <w:sz w:val="15"/>
          <w:szCs w:val="15"/>
          <w:color w:val="auto"/>
        </w:rPr>
        <w:t>To date, we have competed primarily against central or string inverter manufacturers. Marketing and selling our microinverter systems against traditional inverter solutions is highly competitive. Currently, competitors in the inverter market range from large companies such as SMA Solar Technology AG, Fronius International GmbH and ABB to emerging companies such as SolarEdge Technologies offering alternative microinverter or other solar electronics products, including DC to DC optimizer products. Several of our existing and potential competitors are significantly larger, have greater financial, marketing, distribution, customer support and other resources, are more established than we are, and have significantly better brand recognition, especially in certain markets.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16" w:lineRule="exact"/>
        <w:rPr>
          <w:sz w:val="20"/>
          <w:szCs w:val="20"/>
          <w:color w:val="auto"/>
        </w:rPr>
      </w:pPr>
    </w:p>
    <w:p>
      <w:pPr>
        <w:ind w:right="180" w:firstLine="365"/>
        <w:spacing w:after="0" w:line="265" w:lineRule="auto"/>
        <w:rPr>
          <w:sz w:val="20"/>
          <w:szCs w:val="20"/>
          <w:color w:val="auto"/>
        </w:rPr>
      </w:pPr>
      <w:r>
        <w:rPr>
          <w:rFonts w:ascii="Times New Roman" w:cs="Times New Roman" w:eastAsia="Times New Roman" w:hAnsi="Times New Roman"/>
          <w:sz w:val="15"/>
          <w:szCs w:val="15"/>
          <w:color w:val="auto"/>
        </w:rPr>
        <w:t>Competition has intensified and we expect it to continue to intensify as new and existing competitors enter the microinverter market and additional add-on components like DC to DC optimizers that can be used with central or string inverters continue to gain more traction. SMA Solar Technology AG and ABB market and sell microinverter products. We believe that a number of companies have developed or are developing microinverters and other products that will compete directly with our microinverter systems. In addition, several new entrants to the microinverter market have recently announced plans to ship or have already shipped products.</w:t>
      </w:r>
    </w:p>
    <w:p>
      <w:pPr>
        <w:spacing w:after="0" w:line="106" w:lineRule="exact"/>
        <w:rPr>
          <w:sz w:val="20"/>
          <w:szCs w:val="20"/>
          <w:color w:val="auto"/>
        </w:rPr>
      </w:pPr>
    </w:p>
    <w:p>
      <w:pPr>
        <w:ind w:firstLine="365"/>
        <w:spacing w:after="0" w:line="261" w:lineRule="auto"/>
        <w:rPr>
          <w:sz w:val="20"/>
          <w:szCs w:val="20"/>
          <w:color w:val="auto"/>
        </w:rPr>
      </w:pPr>
      <w:r>
        <w:rPr>
          <w:rFonts w:ascii="Times New Roman" w:cs="Times New Roman" w:eastAsia="Times New Roman" w:hAnsi="Times New Roman"/>
          <w:sz w:val="15"/>
          <w:szCs w:val="15"/>
          <w:color w:val="auto"/>
        </w:rPr>
        <w:t>We also may face competition from some of our customers or potential customers who evaluate our capabilities against the merits of manufacturing products internally. For instance, SunPower Corporation recently acquired SolarBridge Technologies, Inc., a microinverter manufacturer selling in small volumes.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threat of continuing global economic, capital markets and credit disruptions, including sovereign debt issues, pose risks for our business.</w:t>
      </w:r>
    </w:p>
    <w:p>
      <w:pPr>
        <w:spacing w:after="0" w:line="151" w:lineRule="exact"/>
        <w:rPr>
          <w:sz w:val="20"/>
          <w:szCs w:val="20"/>
          <w:color w:val="auto"/>
        </w:rPr>
      </w:pPr>
    </w:p>
    <w:p>
      <w:pPr>
        <w:ind w:right="40" w:firstLine="365"/>
        <w:spacing w:after="0" w:line="261" w:lineRule="auto"/>
        <w:rPr>
          <w:sz w:val="20"/>
          <w:szCs w:val="20"/>
          <w:color w:val="auto"/>
        </w:rPr>
      </w:pPr>
      <w:r>
        <w:rPr>
          <w:rFonts w:ascii="Times New Roman" w:cs="Times New Roman" w:eastAsia="Times New Roman" w:hAnsi="Times New Roman"/>
          <w:sz w:val="15"/>
          <w:szCs w:val="15"/>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microinverter systems may not achieve broader market acceptance, which would prevent us from increasing our revenue and market share.</w:t>
      </w:r>
    </w:p>
    <w:p>
      <w:pPr>
        <w:spacing w:after="0" w:line="106" w:lineRule="exact"/>
        <w:rPr>
          <w:sz w:val="20"/>
          <w:szCs w:val="20"/>
          <w:color w:val="auto"/>
        </w:rPr>
      </w:pPr>
    </w:p>
    <w:p>
      <w:pPr>
        <w:ind w:right="160" w:firstLine="365"/>
        <w:spacing w:after="0" w:line="289" w:lineRule="auto"/>
        <w:rPr>
          <w:sz w:val="20"/>
          <w:szCs w:val="20"/>
          <w:color w:val="auto"/>
        </w:rPr>
      </w:pPr>
      <w:r>
        <w:rPr>
          <w:rFonts w:ascii="Times New Roman" w:cs="Times New Roman" w:eastAsia="Times New Roman" w:hAnsi="Times New Roman"/>
          <w:sz w:val="15"/>
          <w:szCs w:val="15"/>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1" w:lineRule="exact"/>
        <w:rPr>
          <w:sz w:val="20"/>
          <w:szCs w:val="20"/>
          <w:color w:val="auto"/>
        </w:rPr>
      </w:pPr>
    </w:p>
    <w:p>
      <w:pPr>
        <w:ind w:left="820" w:hanging="417"/>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timely introduce and complete new designs and timely qualify and certify our products;</w:t>
      </w:r>
    </w:p>
    <w:p>
      <w:pPr>
        <w:spacing w:after="0" w:line="101" w:lineRule="exact"/>
        <w:rPr>
          <w:rFonts w:ascii="Times New Roman" w:cs="Times New Roman" w:eastAsia="Times New Roman" w:hAnsi="Times New Roman"/>
          <w:sz w:val="15"/>
          <w:szCs w:val="15"/>
          <w:color w:val="auto"/>
        </w:rPr>
      </w:pPr>
    </w:p>
    <w:p>
      <w:pPr>
        <w:ind w:left="820" w:right="100" w:hanging="417"/>
        <w:spacing w:after="0" w:line="289" w:lineRule="auto"/>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installers, system owners and solar financing providers will continue to adopt our microinverter systems, which is a relatively new technology with a limited history with respect to reliability and performance;</w:t>
      </w:r>
    </w:p>
    <w:p>
      <w:pPr>
        <w:spacing w:after="0" w:line="4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installers, system owners and solar financing providers will be willing to purchase microinverter systems from us given our limited operating history;</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prospective system owners to obtain long-term financing for solar PV installations based on our product platform on acceptable terms or at all;</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produce microinverter systems that compete favorably against other solutions on the basis of price, quality, reliability and performance;</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products that comply with local standards and regulatory requirements, as well as potential in-country manufacturing requirements; and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maintain successful relationships with our customers and suppliers.</w:t>
      </w:r>
    </w:p>
    <w:p>
      <w:pPr>
        <w:spacing w:after="0" w:line="147" w:lineRule="exact"/>
        <w:rPr>
          <w:sz w:val="20"/>
          <w:szCs w:val="20"/>
          <w:color w:val="auto"/>
        </w:rPr>
      </w:pPr>
    </w:p>
    <w:p>
      <w:pPr>
        <w:ind w:right="460" w:firstLine="365"/>
        <w:spacing w:after="0" w:line="271" w:lineRule="auto"/>
        <w:rPr>
          <w:sz w:val="20"/>
          <w:szCs w:val="20"/>
          <w:color w:val="auto"/>
        </w:rPr>
      </w:pPr>
      <w:r>
        <w:rPr>
          <w:rFonts w:ascii="Times New Roman" w:cs="Times New Roman" w:eastAsia="Times New Roman" w:hAnsi="Times New Roman"/>
          <w:sz w:val="15"/>
          <w:szCs w:val="15"/>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9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84" w:lineRule="exact"/>
        <w:rPr>
          <w:sz w:val="20"/>
          <w:szCs w:val="20"/>
          <w:color w:val="auto"/>
        </w:rPr>
      </w:pPr>
    </w:p>
    <w:p>
      <w:pPr>
        <w:ind w:right="60" w:firstLine="365"/>
        <w:spacing w:after="0" w:line="265" w:lineRule="auto"/>
        <w:rPr>
          <w:sz w:val="20"/>
          <w:szCs w:val="20"/>
          <w:color w:val="auto"/>
        </w:rPr>
      </w:pPr>
      <w:r>
        <w:rPr>
          <w:rFonts w:ascii="Times New Roman" w:cs="Times New Roman" w:eastAsia="Times New Roman" w:hAnsi="Times New Roman"/>
          <w:sz w:val="15"/>
          <w:szCs w:val="15"/>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06" w:lineRule="exact"/>
        <w:rPr>
          <w:sz w:val="20"/>
          <w:szCs w:val="20"/>
          <w:color w:val="auto"/>
        </w:rPr>
      </w:pPr>
    </w:p>
    <w:p>
      <w:pPr>
        <w:ind w:right="40" w:firstLine="365"/>
        <w:spacing w:after="0" w:line="263" w:lineRule="auto"/>
        <w:rPr>
          <w:sz w:val="20"/>
          <w:szCs w:val="20"/>
          <w:color w:val="auto"/>
        </w:rPr>
      </w:pPr>
      <w:r>
        <w:rPr>
          <w:rFonts w:ascii="Times New Roman" w:cs="Times New Roman" w:eastAsia="Times New Roman" w:hAnsi="Times New Roman"/>
          <w:sz w:val="15"/>
          <w:szCs w:val="15"/>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06" w:lineRule="exact"/>
        <w:rPr>
          <w:sz w:val="20"/>
          <w:szCs w:val="20"/>
          <w:color w:val="auto"/>
        </w:rPr>
      </w:pPr>
    </w:p>
    <w:p>
      <w:pPr>
        <w:ind w:right="440" w:firstLine="365"/>
        <w:spacing w:after="0" w:line="289" w:lineRule="auto"/>
        <w:rPr>
          <w:sz w:val="20"/>
          <w:szCs w:val="20"/>
          <w:color w:val="auto"/>
        </w:rPr>
      </w:pPr>
      <w:r>
        <w:rPr>
          <w:rFonts w:ascii="Times New Roman" w:cs="Times New Roman" w:eastAsia="Times New Roman" w:hAnsi="Times New Roman"/>
          <w:sz w:val="15"/>
          <w:szCs w:val="15"/>
          <w:color w:val="auto"/>
        </w:rPr>
        <w:t>We are required to make assumptions and apply judgments, based on our accelerated life cycle testing and the limited operating history of our products, regarding a number of factors, including the durability and reliability of our products, our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40"/>
          </w:cols>
          <w:pgMar w:left="240" w:top="125" w:right="219" w:bottom="1440" w:gutter="0" w:footer="0" w:header="0"/>
        </w:sectPr>
      </w:pPr>
    </w:p>
    <w:bookmarkStart w:id="25" w:name="page26"/>
    <w:bookmarkEnd w:id="25"/>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06" w:lineRule="exact"/>
        <w:rPr>
          <w:sz w:val="20"/>
          <w:szCs w:val="20"/>
          <w:color w:val="auto"/>
        </w:rPr>
      </w:pPr>
    </w:p>
    <w:p>
      <w:pPr>
        <w:ind w:right="80" w:firstLine="365"/>
        <w:spacing w:after="0" w:line="271" w:lineRule="auto"/>
        <w:rPr>
          <w:sz w:val="20"/>
          <w:szCs w:val="20"/>
          <w:color w:val="auto"/>
        </w:rPr>
      </w:pPr>
      <w:r>
        <w:rPr>
          <w:rFonts w:ascii="Times New Roman" w:cs="Times New Roman" w:eastAsia="Times New Roman" w:hAnsi="Times New Roman"/>
          <w:sz w:val="15"/>
          <w:szCs w:val="15"/>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7"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84" w:lineRule="exact"/>
        <w:rPr>
          <w:sz w:val="20"/>
          <w:szCs w:val="20"/>
          <w:color w:val="auto"/>
        </w:rPr>
      </w:pPr>
    </w:p>
    <w:p>
      <w:pPr>
        <w:ind w:right="100" w:firstLine="365"/>
        <w:spacing w:after="0" w:line="259" w:lineRule="auto"/>
        <w:rPr>
          <w:sz w:val="20"/>
          <w:szCs w:val="20"/>
          <w:color w:val="auto"/>
        </w:rPr>
      </w:pPr>
      <w:r>
        <w:rPr>
          <w:rFonts w:ascii="Times New Roman" w:cs="Times New Roman" w:eastAsia="Times New Roman" w:hAnsi="Times New Roman"/>
          <w:sz w:val="15"/>
          <w:szCs w:val="15"/>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0" w:lineRule="exact"/>
        <w:rPr>
          <w:sz w:val="20"/>
          <w:szCs w:val="20"/>
          <w:color w:val="auto"/>
        </w:rPr>
      </w:pPr>
    </w:p>
    <w:p>
      <w:pPr>
        <w:ind w:right="60" w:firstLine="365"/>
        <w:spacing w:after="0" w:line="263" w:lineRule="auto"/>
        <w:rPr>
          <w:sz w:val="20"/>
          <w:szCs w:val="20"/>
          <w:color w:val="auto"/>
        </w:rPr>
      </w:pPr>
      <w:r>
        <w:rPr>
          <w:rFonts w:ascii="Times New Roman" w:cs="Times New Roman" w:eastAsia="Times New Roman" w:hAnsi="Times New Roman"/>
          <w:sz w:val="15"/>
          <w:szCs w:val="15"/>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06" w:lineRule="exact"/>
        <w:rPr>
          <w:sz w:val="20"/>
          <w:szCs w:val="20"/>
          <w:color w:val="auto"/>
        </w:rPr>
      </w:pPr>
    </w:p>
    <w:p>
      <w:pPr>
        <w:ind w:right="140" w:firstLine="365"/>
        <w:spacing w:after="0" w:line="265" w:lineRule="auto"/>
        <w:rPr>
          <w:sz w:val="20"/>
          <w:szCs w:val="20"/>
          <w:color w:val="auto"/>
        </w:rPr>
      </w:pPr>
      <w:r>
        <w:rPr>
          <w:rFonts w:ascii="Times New Roman" w:cs="Times New Roman" w:eastAsia="Times New Roman" w:hAnsi="Times New Roman"/>
          <w:sz w:val="15"/>
          <w:szCs w:val="15"/>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effectively manage our growth, our business and operating results may suffer.</w:t>
      </w:r>
    </w:p>
    <w:p>
      <w:pPr>
        <w:spacing w:after="0" w:line="106" w:lineRule="exact"/>
        <w:rPr>
          <w:sz w:val="20"/>
          <w:szCs w:val="20"/>
          <w:color w:val="auto"/>
        </w:rPr>
      </w:pPr>
    </w:p>
    <w:p>
      <w:pPr>
        <w:ind w:right="180" w:firstLine="365"/>
        <w:spacing w:after="0" w:line="289" w:lineRule="auto"/>
        <w:rPr>
          <w:sz w:val="20"/>
          <w:szCs w:val="20"/>
          <w:color w:val="auto"/>
        </w:rPr>
      </w:pPr>
      <w:r>
        <w:rPr>
          <w:rFonts w:ascii="Times New Roman" w:cs="Times New Roman" w:eastAsia="Times New Roman" w:hAnsi="Times New Roman"/>
          <w:sz w:val="15"/>
          <w:szCs w:val="15"/>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41" w:lineRule="exact"/>
        <w:rPr>
          <w:sz w:val="20"/>
          <w:szCs w:val="20"/>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 a larger organization;</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 third-party manufacturing, testing and distribution capacity;</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 additional custom manufacturing test equipment;</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 an increasing number of relationships with customers, suppliers and other third parties;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sales and marketing efforts;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train and manage a growing employee base;</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broaden our customer support capabilities;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 new and upgrade existing operational and financial systems; and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 our financial disclosure controls and procedures.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firstLine="365"/>
        <w:spacing w:after="0" w:line="271" w:lineRule="auto"/>
        <w:rPr>
          <w:sz w:val="20"/>
          <w:szCs w:val="20"/>
          <w:color w:val="auto"/>
        </w:rPr>
      </w:pPr>
      <w:r>
        <w:rPr>
          <w:rFonts w:ascii="Times New Roman" w:cs="Times New Roman" w:eastAsia="Times New Roman" w:hAnsi="Times New Roman"/>
          <w:sz w:val="15"/>
          <w:szCs w:val="15"/>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recent and planned expansion into new markets could subject us to additional business, financial and competitive risks.</w:t>
      </w:r>
    </w:p>
    <w:p>
      <w:pPr>
        <w:spacing w:after="0" w:line="106" w:lineRule="exact"/>
        <w:rPr>
          <w:sz w:val="20"/>
          <w:szCs w:val="20"/>
          <w:color w:val="auto"/>
        </w:rPr>
      </w:pPr>
    </w:p>
    <w:p>
      <w:pPr>
        <w:ind w:right="160" w:firstLine="377"/>
        <w:spacing w:after="0" w:line="271" w:lineRule="auto"/>
        <w:rPr>
          <w:sz w:val="20"/>
          <w:szCs w:val="20"/>
          <w:color w:val="auto"/>
        </w:rPr>
      </w:pPr>
      <w:r>
        <w:rPr>
          <w:rFonts w:ascii="Times New Roman" w:cs="Times New Roman" w:eastAsia="Times New Roman" w:hAnsi="Times New Roman"/>
          <w:sz w:val="15"/>
          <w:szCs w:val="15"/>
          <w:color w:val="auto"/>
        </w:rPr>
        <w:t>We currently offer microinverter systems targeting the residential and commercial markets in the United States, Canada, the United Kingdom, France, the Benelux region, certain other European markets, Australia and New Zealand.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55" w:lineRule="exact"/>
        <w:rPr>
          <w:sz w:val="20"/>
          <w:szCs w:val="20"/>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acceptance of microinverters in markets in which they have not traditionally been used;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compete in new product markets to which we are not accustomed;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an increasing manufacturing capacity and production;</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willingness of our potential customers to incur a higher upfront capital investment than may be required for competing solutions;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solutions to address the requirements of the larger commercial and utility-scale markets;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timely qualification and certification of new products for larger commercial and utility-scale installations;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reduce production costs in order to price our products competitively over time;</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government subsidies and economic incentives for solar energy solutions;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accurate forecasting and effective management of inventory levels in line with anticipated product demand; and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customer service capabilities and responsiveness.</w:t>
      </w:r>
    </w:p>
    <w:p>
      <w:pPr>
        <w:spacing w:after="0" w:line="102" w:lineRule="exact"/>
        <w:rPr>
          <w:sz w:val="20"/>
          <w:szCs w:val="20"/>
          <w:color w:val="auto"/>
        </w:rPr>
      </w:pPr>
    </w:p>
    <w:p>
      <w:pPr>
        <w:ind w:right="100" w:firstLine="365"/>
        <w:spacing w:after="0" w:line="289" w:lineRule="auto"/>
        <w:rPr>
          <w:sz w:val="20"/>
          <w:szCs w:val="20"/>
          <w:color w:val="auto"/>
        </w:rPr>
      </w:pPr>
      <w:r>
        <w:rPr>
          <w:rFonts w:ascii="Times New Roman" w:cs="Times New Roman" w:eastAsia="Times New Roman" w:hAnsi="Times New Roman"/>
          <w:sz w:val="15"/>
          <w:szCs w:val="15"/>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1" w:lineRule="exact"/>
        <w:rPr>
          <w:sz w:val="20"/>
          <w:szCs w:val="20"/>
          <w:color w:val="auto"/>
        </w:rPr>
      </w:pPr>
    </w:p>
    <w:p>
      <w:pPr>
        <w:ind w:left="820" w:right="220" w:hanging="417"/>
        <w:spacing w:after="0" w:line="289" w:lineRule="auto"/>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differing regulatory requirements, including tax laws, trade laws, labor, safety, local content, recycling and consumer protection regulations, tariffs, export quotas, customs duties or other trade restrictions;</w:t>
      </w:r>
    </w:p>
    <w:p>
      <w:pPr>
        <w:spacing w:after="0" w:line="4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limited or unfavorable intellectual property protection;</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 of change in international political or economic conditions;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repatriation of earnings;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value of foreign currencies and interest rates;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and increased expenses in complying with a variety of U.S. and foreign laws, regulations and trade standards, including the Foreign Corrupt Practices Act;</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longer sales cycles;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volume requirements;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customer concentrations;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warranty expectations and product return policies; and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performance and compatibility requirements.</w:t>
      </w:r>
    </w:p>
    <w:p>
      <w:pPr>
        <w:spacing w:after="0" w:line="147" w:lineRule="exact"/>
        <w:rPr>
          <w:sz w:val="20"/>
          <w:szCs w:val="20"/>
          <w:color w:val="auto"/>
        </w:rPr>
      </w:pPr>
    </w:p>
    <w:p>
      <w:pPr>
        <w:jc w:val="both"/>
        <w:ind w:right="220" w:firstLine="365"/>
        <w:spacing w:after="0" w:line="271" w:lineRule="auto"/>
        <w:rPr>
          <w:sz w:val="20"/>
          <w:szCs w:val="20"/>
          <w:color w:val="auto"/>
        </w:rPr>
      </w:pPr>
      <w:r>
        <w:rPr>
          <w:rFonts w:ascii="Times New Roman" w:cs="Times New Roman" w:eastAsia="Times New Roman" w:hAnsi="Times New Roman"/>
          <w:sz w:val="15"/>
          <w:szCs w:val="15"/>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40"/>
          </w:cols>
          <w:pgMar w:left="240" w:top="125" w:right="219" w:bottom="1440" w:gutter="0" w:footer="0" w:header="0"/>
        </w:sectPr>
      </w:pPr>
    </w:p>
    <w:bookmarkStart w:id="27" w:name="page28"/>
    <w:bookmarkEnd w:id="27"/>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84" w:lineRule="exact"/>
        <w:rPr>
          <w:sz w:val="20"/>
          <w:szCs w:val="20"/>
          <w:color w:val="auto"/>
        </w:rPr>
      </w:pPr>
    </w:p>
    <w:p>
      <w:pPr>
        <w:ind w:right="40" w:firstLine="365"/>
        <w:spacing w:after="0" w:line="257" w:lineRule="auto"/>
        <w:rPr>
          <w:sz w:val="20"/>
          <w:szCs w:val="20"/>
          <w:color w:val="auto"/>
        </w:rPr>
      </w:pPr>
      <w:r>
        <w:rPr>
          <w:rFonts w:ascii="Times New Roman" w:cs="Times New Roman" w:eastAsia="Times New Roman" w:hAnsi="Times New Roman"/>
          <w:sz w:val="15"/>
          <w:szCs w:val="15"/>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08"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84" w:lineRule="exact"/>
        <w:rPr>
          <w:sz w:val="20"/>
          <w:szCs w:val="20"/>
          <w:color w:val="auto"/>
        </w:rPr>
      </w:pPr>
    </w:p>
    <w:p>
      <w:pPr>
        <w:ind w:firstLine="365"/>
        <w:spacing w:after="0" w:line="261" w:lineRule="auto"/>
        <w:rPr>
          <w:sz w:val="20"/>
          <w:szCs w:val="20"/>
          <w:color w:val="auto"/>
        </w:rPr>
      </w:pPr>
      <w:r>
        <w:rPr>
          <w:rFonts w:ascii="Times New Roman" w:cs="Times New Roman" w:eastAsia="Times New Roman" w:hAnsi="Times New Roman"/>
          <w:sz w:val="15"/>
          <w:szCs w:val="15"/>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08" w:lineRule="exact"/>
        <w:rPr>
          <w:sz w:val="20"/>
          <w:szCs w:val="20"/>
          <w:color w:val="auto"/>
        </w:rPr>
      </w:pPr>
    </w:p>
    <w:p>
      <w:pPr>
        <w:ind w:right="80" w:firstLine="365"/>
        <w:spacing w:after="0" w:line="259" w:lineRule="auto"/>
        <w:rPr>
          <w:sz w:val="20"/>
          <w:szCs w:val="20"/>
          <w:color w:val="auto"/>
        </w:rPr>
      </w:pPr>
      <w:r>
        <w:rPr>
          <w:rFonts w:ascii="Times New Roman" w:cs="Times New Roman" w:eastAsia="Times New Roman" w:hAnsi="Times New Roman"/>
          <w:sz w:val="15"/>
          <w:szCs w:val="15"/>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10" w:lineRule="exact"/>
        <w:rPr>
          <w:sz w:val="20"/>
          <w:szCs w:val="20"/>
          <w:color w:val="auto"/>
        </w:rPr>
      </w:pPr>
    </w:p>
    <w:p>
      <w:pPr>
        <w:ind w:right="40" w:firstLine="365"/>
        <w:spacing w:after="0" w:line="271" w:lineRule="auto"/>
        <w:rPr>
          <w:sz w:val="20"/>
          <w:szCs w:val="20"/>
          <w:color w:val="auto"/>
        </w:rPr>
      </w:pPr>
      <w:r>
        <w:rPr>
          <w:rFonts w:ascii="Times New Roman" w:cs="Times New Roman" w:eastAsia="Times New Roman" w:hAnsi="Times New Roman"/>
          <w:sz w:val="15"/>
          <w:szCs w:val="15"/>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Ordering patterns from our distributors may cause our revenue to fluctuate significantly from period to period.</w:t>
      </w:r>
    </w:p>
    <w:p>
      <w:pPr>
        <w:spacing w:after="0" w:line="151" w:lineRule="exact"/>
        <w:rPr>
          <w:sz w:val="20"/>
          <w:szCs w:val="20"/>
          <w:color w:val="auto"/>
        </w:rPr>
      </w:pPr>
    </w:p>
    <w:p>
      <w:pPr>
        <w:ind w:right="20" w:firstLine="365"/>
        <w:spacing w:after="0" w:line="263" w:lineRule="auto"/>
        <w:rPr>
          <w:sz w:val="20"/>
          <w:szCs w:val="20"/>
          <w:color w:val="auto"/>
        </w:rPr>
      </w:pPr>
      <w:r>
        <w:rPr>
          <w:rFonts w:ascii="Times New Roman" w:cs="Times New Roman" w:eastAsia="Times New Roman" w:hAnsi="Times New Roman"/>
          <w:sz w:val="15"/>
          <w:szCs w:val="15"/>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440"/>
          </w:cols>
          <w:pgMar w:left="240" w:top="125" w:right="219" w:bottom="1440" w:gutter="0" w:footer="0" w:header="0"/>
        </w:sectPr>
      </w:pPr>
    </w:p>
    <w:bookmarkStart w:id="28" w:name="page29"/>
    <w:bookmarkEnd w:id="28"/>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5"/>
          <w:szCs w:val="15"/>
          <w:color w:val="auto"/>
        </w:rPr>
        <w:t>and operating results to fluctuate significantly. This fluctuation may cause our results to fall short of analyst or investor expectations in a certain period, which may cause our stock price to decline.</w:t>
      </w:r>
    </w:p>
    <w:p>
      <w:pPr>
        <w:spacing w:after="0" w:line="8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84" w:lineRule="exact"/>
        <w:rPr>
          <w:sz w:val="20"/>
          <w:szCs w:val="20"/>
          <w:color w:val="auto"/>
        </w:rPr>
      </w:pPr>
    </w:p>
    <w:p>
      <w:pPr>
        <w:ind w:right="120" w:firstLine="365"/>
        <w:spacing w:after="0" w:line="265" w:lineRule="auto"/>
        <w:rPr>
          <w:sz w:val="20"/>
          <w:szCs w:val="20"/>
          <w:color w:val="auto"/>
        </w:rPr>
      </w:pPr>
      <w:r>
        <w:rPr>
          <w:rFonts w:ascii="Times New Roman" w:cs="Times New Roman" w:eastAsia="Times New Roman" w:hAnsi="Times New Roman"/>
          <w:sz w:val="15"/>
          <w:szCs w:val="15"/>
          <w:color w:val="auto"/>
        </w:rPr>
        <w:t>Changes in current laws or regulations applicable to us or the imposition of new laws and regulations in the United States or other jurisdictions in which we do business, such as Australia, New Zealand,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06" w:lineRule="exact"/>
        <w:rPr>
          <w:sz w:val="20"/>
          <w:szCs w:val="20"/>
          <w:color w:val="auto"/>
        </w:rPr>
      </w:pPr>
    </w:p>
    <w:p>
      <w:pPr>
        <w:ind w:right="200" w:firstLine="365"/>
        <w:spacing w:after="0" w:line="271" w:lineRule="auto"/>
        <w:rPr>
          <w:sz w:val="20"/>
          <w:szCs w:val="20"/>
          <w:color w:val="auto"/>
        </w:rPr>
      </w:pPr>
      <w:r>
        <w:rPr>
          <w:rFonts w:ascii="Times New Roman" w:cs="Times New Roman" w:eastAsia="Times New Roman" w:hAnsi="Times New Roman"/>
          <w:sz w:val="15"/>
          <w:szCs w:val="15"/>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01" w:lineRule="exact"/>
        <w:rPr>
          <w:sz w:val="20"/>
          <w:szCs w:val="20"/>
          <w:color w:val="auto"/>
        </w:rPr>
      </w:pPr>
    </w:p>
    <w:p>
      <w:pPr>
        <w:ind w:right="60" w:firstLine="365"/>
        <w:spacing w:after="0" w:line="271" w:lineRule="auto"/>
        <w:rPr>
          <w:sz w:val="20"/>
          <w:szCs w:val="20"/>
          <w:color w:val="auto"/>
        </w:rPr>
      </w:pPr>
      <w:r>
        <w:rPr>
          <w:rFonts w:ascii="Times New Roman" w:cs="Times New Roman" w:eastAsia="Times New Roman" w:hAnsi="Times New Roman"/>
          <w:sz w:val="15"/>
          <w:szCs w:val="15"/>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01" w:lineRule="exact"/>
        <w:rPr>
          <w:sz w:val="20"/>
          <w:szCs w:val="20"/>
          <w:color w:val="auto"/>
        </w:rPr>
      </w:pPr>
    </w:p>
    <w:p>
      <w:pPr>
        <w:ind w:right="60" w:firstLine="365"/>
        <w:spacing w:after="0" w:line="265" w:lineRule="auto"/>
        <w:rPr>
          <w:sz w:val="20"/>
          <w:szCs w:val="20"/>
          <w:color w:val="auto"/>
        </w:rPr>
      </w:pPr>
      <w:r>
        <w:rPr>
          <w:rFonts w:ascii="Times New Roman" w:cs="Times New Roman" w:eastAsia="Times New Roman" w:hAnsi="Times New Roman"/>
          <w:sz w:val="15"/>
          <w:szCs w:val="15"/>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depend upon a small number of outside contract manufacturers. Our operations could be disrupted if we encounter problems with these contract manufacturers.</w:t>
      </w:r>
    </w:p>
    <w:p>
      <w:pPr>
        <w:spacing w:after="0" w:line="151" w:lineRule="exact"/>
        <w:rPr>
          <w:sz w:val="20"/>
          <w:szCs w:val="20"/>
          <w:color w:val="auto"/>
        </w:rPr>
      </w:pPr>
    </w:p>
    <w:p>
      <w:pPr>
        <w:ind w:firstLine="365"/>
        <w:spacing w:after="0" w:line="264" w:lineRule="auto"/>
        <w:rPr>
          <w:sz w:val="20"/>
          <w:szCs w:val="20"/>
          <w:color w:val="auto"/>
        </w:rPr>
      </w:pPr>
      <w:r>
        <w:rPr>
          <w:rFonts w:ascii="Times New Roman" w:cs="Times New Roman" w:eastAsia="Times New Roman" w:hAnsi="Times New Roman"/>
          <w:sz w:val="15"/>
          <w:szCs w:val="15"/>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292" w:lineRule="exact"/>
        <w:rPr>
          <w:sz w:val="20"/>
          <w:szCs w:val="20"/>
          <w:color w:val="auto"/>
        </w:rPr>
      </w:pPr>
    </w:p>
    <w:p>
      <w:pPr>
        <w:ind w:right="40" w:firstLine="365"/>
        <w:spacing w:after="0" w:line="265" w:lineRule="auto"/>
        <w:rPr>
          <w:sz w:val="20"/>
          <w:szCs w:val="20"/>
          <w:color w:val="auto"/>
        </w:rPr>
      </w:pPr>
      <w:r>
        <w:rPr>
          <w:rFonts w:ascii="Times New Roman" w:cs="Times New Roman" w:eastAsia="Times New Roman" w:hAnsi="Times New Roman"/>
          <w:sz w:val="15"/>
          <w:szCs w:val="15"/>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06" w:lineRule="exact"/>
        <w:rPr>
          <w:sz w:val="20"/>
          <w:szCs w:val="20"/>
          <w:color w:val="auto"/>
        </w:rPr>
      </w:pPr>
    </w:p>
    <w:p>
      <w:pPr>
        <w:ind w:right="120" w:firstLine="365"/>
        <w:spacing w:after="0" w:line="263" w:lineRule="auto"/>
        <w:rPr>
          <w:sz w:val="20"/>
          <w:szCs w:val="20"/>
          <w:color w:val="auto"/>
        </w:rPr>
      </w:pPr>
      <w:r>
        <w:rPr>
          <w:rFonts w:ascii="Times New Roman" w:cs="Times New Roman" w:eastAsia="Times New Roman" w:hAnsi="Times New Roman"/>
          <w:sz w:val="15"/>
          <w:szCs w:val="15"/>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440"/>
          </w:cols>
          <w:pgMar w:left="240" w:top="125" w:right="219" w:bottom="1440" w:gutter="0" w:footer="0" w:header="0"/>
        </w:sectPr>
      </w:pPr>
    </w:p>
    <w:bookmarkStart w:id="29" w:name="page30"/>
    <w:bookmarkEnd w:id="29"/>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Manufacturing problems could result in delays in product shipments to customers and could adversely affect our revenue, competitive position and reputation.</w:t>
      </w:r>
    </w:p>
    <w:p>
      <w:pPr>
        <w:spacing w:after="0" w:line="151" w:lineRule="exact"/>
        <w:rPr>
          <w:sz w:val="20"/>
          <w:szCs w:val="20"/>
          <w:color w:val="auto"/>
        </w:rPr>
      </w:pPr>
    </w:p>
    <w:p>
      <w:pPr>
        <w:ind w:firstLine="365"/>
        <w:spacing w:after="0" w:line="261" w:lineRule="auto"/>
        <w:rPr>
          <w:sz w:val="20"/>
          <w:szCs w:val="20"/>
          <w:color w:val="auto"/>
        </w:rPr>
      </w:pPr>
      <w:r>
        <w:rPr>
          <w:rFonts w:ascii="Times New Roman" w:cs="Times New Roman" w:eastAsia="Times New Roman" w:hAnsi="Times New Roman"/>
          <w:sz w:val="15"/>
          <w:szCs w:val="15"/>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08" w:lineRule="exact"/>
        <w:rPr>
          <w:sz w:val="20"/>
          <w:szCs w:val="20"/>
          <w:color w:val="auto"/>
        </w:rPr>
      </w:pPr>
    </w:p>
    <w:p>
      <w:pPr>
        <w:ind w:right="240" w:firstLine="365"/>
        <w:spacing w:after="0" w:line="265" w:lineRule="auto"/>
        <w:rPr>
          <w:sz w:val="20"/>
          <w:szCs w:val="20"/>
          <w:color w:val="auto"/>
        </w:rPr>
      </w:pPr>
      <w:r>
        <w:rPr>
          <w:rFonts w:ascii="Times New Roman" w:cs="Times New Roman" w:eastAsia="Times New Roman" w:hAnsi="Times New Roman"/>
          <w:sz w:val="15"/>
          <w:szCs w:val="15"/>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06" w:lineRule="exact"/>
        <w:rPr>
          <w:sz w:val="20"/>
          <w:szCs w:val="20"/>
          <w:color w:val="auto"/>
        </w:rPr>
      </w:pPr>
    </w:p>
    <w:p>
      <w:pPr>
        <w:ind w:right="120" w:firstLine="365"/>
        <w:spacing w:after="0" w:line="263" w:lineRule="auto"/>
        <w:rPr>
          <w:sz w:val="20"/>
          <w:szCs w:val="20"/>
          <w:color w:val="auto"/>
        </w:rPr>
      </w:pPr>
      <w:r>
        <w:rPr>
          <w:rFonts w:ascii="Times New Roman" w:cs="Times New Roman" w:eastAsia="Times New Roman" w:hAnsi="Times New Roman"/>
          <w:sz w:val="15"/>
          <w:szCs w:val="15"/>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06" w:lineRule="exact"/>
        <w:rPr>
          <w:sz w:val="20"/>
          <w:szCs w:val="20"/>
          <w:color w:val="auto"/>
        </w:rPr>
      </w:pPr>
    </w:p>
    <w:p>
      <w:pPr>
        <w:ind w:right="300" w:firstLine="365"/>
        <w:spacing w:after="0" w:line="265" w:lineRule="auto"/>
        <w:rPr>
          <w:sz w:val="20"/>
          <w:szCs w:val="20"/>
          <w:color w:val="auto"/>
        </w:rPr>
      </w:pPr>
      <w:r>
        <w:rPr>
          <w:rFonts w:ascii="Times New Roman" w:cs="Times New Roman" w:eastAsia="Times New Roman" w:hAnsi="Times New Roman"/>
          <w:sz w:val="15"/>
          <w:szCs w:val="15"/>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0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84" w:lineRule="exact"/>
        <w:rPr>
          <w:sz w:val="20"/>
          <w:szCs w:val="20"/>
          <w:color w:val="auto"/>
        </w:rPr>
      </w:pPr>
    </w:p>
    <w:p>
      <w:pPr>
        <w:ind w:right="20" w:firstLine="365"/>
        <w:spacing w:after="0" w:line="259" w:lineRule="auto"/>
        <w:rPr>
          <w:sz w:val="20"/>
          <w:szCs w:val="20"/>
          <w:color w:val="auto"/>
        </w:rPr>
      </w:pPr>
      <w:r>
        <w:rPr>
          <w:rFonts w:ascii="Times New Roman" w:cs="Times New Roman" w:eastAsia="Times New Roman" w:hAnsi="Times New Roman"/>
          <w:sz w:val="15"/>
          <w:szCs w:val="15"/>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0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84" w:lineRule="exact"/>
        <w:rPr>
          <w:sz w:val="20"/>
          <w:szCs w:val="20"/>
          <w:color w:val="auto"/>
        </w:rPr>
      </w:pPr>
    </w:p>
    <w:p>
      <w:pPr>
        <w:ind w:right="140" w:firstLine="365"/>
        <w:spacing w:after="0" w:line="260" w:lineRule="auto"/>
        <w:rPr>
          <w:sz w:val="20"/>
          <w:szCs w:val="20"/>
          <w:color w:val="auto"/>
        </w:rPr>
      </w:pPr>
      <w:r>
        <w:rPr>
          <w:rFonts w:ascii="Times New Roman" w:cs="Times New Roman" w:eastAsia="Times New Roman" w:hAnsi="Times New Roman"/>
          <w:sz w:val="15"/>
          <w:szCs w:val="15"/>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40"/>
          </w:cols>
          <w:pgMar w:left="240" w:top="125" w:right="219" w:bottom="1440" w:gutter="0" w:footer="0" w:header="0"/>
        </w:sectPr>
      </w:pPr>
    </w:p>
    <w:bookmarkStart w:id="30" w:name="page31"/>
    <w:bookmarkEnd w:id="30"/>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5"/>
          <w:szCs w:val="15"/>
          <w:color w:val="auto"/>
        </w:rPr>
        <w:t>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97"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84" w:lineRule="exact"/>
        <w:rPr>
          <w:sz w:val="20"/>
          <w:szCs w:val="20"/>
          <w:color w:val="auto"/>
        </w:rPr>
      </w:pPr>
    </w:p>
    <w:p>
      <w:pPr>
        <w:ind w:right="20" w:firstLine="365"/>
        <w:spacing w:after="0" w:line="257" w:lineRule="auto"/>
        <w:rPr>
          <w:sz w:val="20"/>
          <w:szCs w:val="20"/>
          <w:color w:val="auto"/>
        </w:rPr>
      </w:pPr>
      <w:r>
        <w:rPr>
          <w:rFonts w:ascii="Times New Roman" w:cs="Times New Roman" w:eastAsia="Times New Roman" w:hAnsi="Times New Roman"/>
          <w:sz w:val="15"/>
          <w:szCs w:val="15"/>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10"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84" w:lineRule="exact"/>
        <w:rPr>
          <w:sz w:val="20"/>
          <w:szCs w:val="20"/>
          <w:color w:val="auto"/>
        </w:rPr>
      </w:pPr>
    </w:p>
    <w:p>
      <w:pPr>
        <w:ind w:right="60" w:firstLine="365"/>
        <w:spacing w:after="0" w:line="260" w:lineRule="auto"/>
        <w:rPr>
          <w:sz w:val="20"/>
          <w:szCs w:val="20"/>
          <w:color w:val="auto"/>
        </w:rPr>
      </w:pPr>
      <w:r>
        <w:rPr>
          <w:rFonts w:ascii="Times New Roman" w:cs="Times New Roman" w:eastAsia="Times New Roman" w:hAnsi="Times New Roman"/>
          <w:sz w:val="15"/>
          <w:szCs w:val="15"/>
          <w:color w:val="auto"/>
        </w:rPr>
        <w:t>We sell our microinverter systems primarily through distributors, as well as through direct sales to solar equipment installers and sales to developers of third party solar finance offerings. In 2014, Vivint Solar, Inc. and CED Greentech accounted for 24% and 16% of total net revenues, respectively. In 2013, Vivint Solar, Inc., CED Greentech and Focused Energy, Inc. accounted for 15%, 14% and 11% of total net revenues, respectively. We do not have exclusive arrangements with these third parties and, as a result, many of our customers also market and sell products from our competitors, which may reduce our sales. Our customers may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08" w:lineRule="exact"/>
        <w:rPr>
          <w:sz w:val="20"/>
          <w:szCs w:val="20"/>
          <w:color w:val="auto"/>
        </w:rPr>
      </w:pPr>
    </w:p>
    <w:p>
      <w:pPr>
        <w:ind w:right="80" w:firstLine="365"/>
        <w:spacing w:after="0" w:line="265" w:lineRule="auto"/>
        <w:rPr>
          <w:sz w:val="20"/>
          <w:szCs w:val="20"/>
          <w:color w:val="auto"/>
        </w:rPr>
      </w:pPr>
      <w:r>
        <w:rPr>
          <w:rFonts w:ascii="Times New Roman" w:cs="Times New Roman" w:eastAsia="Times New Roman" w:hAnsi="Times New Roman"/>
          <w:sz w:val="15"/>
          <w:szCs w:val="15"/>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success in an “AC module” version of our microinverter system may depend in part upon our ability to continue to work closely with leading solar module manufacturers.</w:t>
      </w:r>
    </w:p>
    <w:p>
      <w:pPr>
        <w:spacing w:after="0" w:line="151" w:lineRule="exact"/>
        <w:rPr>
          <w:sz w:val="20"/>
          <w:szCs w:val="20"/>
          <w:color w:val="auto"/>
        </w:rPr>
      </w:pPr>
    </w:p>
    <w:p>
      <w:pPr>
        <w:ind w:right="80" w:firstLine="365"/>
        <w:spacing w:after="0" w:line="261" w:lineRule="auto"/>
        <w:rPr>
          <w:sz w:val="20"/>
          <w:szCs w:val="20"/>
          <w:color w:val="auto"/>
        </w:rPr>
      </w:pPr>
      <w:r>
        <w:rPr>
          <w:rFonts w:ascii="Times New Roman" w:cs="Times New Roman" w:eastAsia="Times New Roman" w:hAnsi="Times New Roman"/>
          <w:sz w:val="15"/>
          <w:szCs w:val="15"/>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06" w:lineRule="exact"/>
        <w:rPr>
          <w:sz w:val="20"/>
          <w:szCs w:val="20"/>
          <w:color w:val="auto"/>
        </w:rPr>
      </w:pPr>
    </w:p>
    <w:p>
      <w:pPr>
        <w:ind w:right="100" w:firstLine="365"/>
        <w:spacing w:after="0" w:line="263" w:lineRule="auto"/>
        <w:rPr>
          <w:sz w:val="20"/>
          <w:szCs w:val="20"/>
          <w:color w:val="auto"/>
        </w:rPr>
      </w:pPr>
      <w:r>
        <w:rPr>
          <w:rFonts w:ascii="Times New Roman" w:cs="Times New Roman" w:eastAsia="Times New Roman" w:hAnsi="Times New Roman"/>
          <w:sz w:val="15"/>
          <w:szCs w:val="15"/>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1" w:lineRule="exact"/>
        <w:rPr>
          <w:sz w:val="20"/>
          <w:szCs w:val="20"/>
          <w:color w:val="auto"/>
        </w:rPr>
      </w:pPr>
    </w:p>
    <w:p>
      <w:pPr>
        <w:ind w:firstLine="365"/>
        <w:spacing w:after="0" w:line="260" w:lineRule="auto"/>
        <w:rPr>
          <w:sz w:val="20"/>
          <w:szCs w:val="20"/>
          <w:color w:val="auto"/>
        </w:rPr>
      </w:pPr>
      <w:r>
        <w:rPr>
          <w:rFonts w:ascii="Times New Roman" w:cs="Times New Roman" w:eastAsia="Times New Roman" w:hAnsi="Times New Roman"/>
          <w:sz w:val="15"/>
          <w:szCs w:val="15"/>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08" w:lineRule="exact"/>
        <w:rPr>
          <w:sz w:val="20"/>
          <w:szCs w:val="20"/>
          <w:color w:val="auto"/>
        </w:rPr>
      </w:pPr>
    </w:p>
    <w:p>
      <w:pPr>
        <w:ind w:right="20" w:firstLine="365"/>
        <w:spacing w:after="0" w:line="260" w:lineRule="auto"/>
        <w:rPr>
          <w:sz w:val="20"/>
          <w:szCs w:val="20"/>
          <w:color w:val="auto"/>
        </w:rPr>
      </w:pPr>
      <w:r>
        <w:rPr>
          <w:rFonts w:ascii="Times New Roman" w:cs="Times New Roman" w:eastAsia="Times New Roman" w:hAnsi="Times New Roman"/>
          <w:sz w:val="15"/>
          <w:szCs w:val="15"/>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08" w:lineRule="exact"/>
        <w:rPr>
          <w:sz w:val="20"/>
          <w:szCs w:val="20"/>
          <w:color w:val="auto"/>
        </w:rPr>
      </w:pPr>
    </w:p>
    <w:p>
      <w:pPr>
        <w:jc w:val="both"/>
        <w:ind w:right="300" w:firstLine="365"/>
        <w:spacing w:after="0" w:line="265" w:lineRule="auto"/>
        <w:rPr>
          <w:sz w:val="20"/>
          <w:szCs w:val="20"/>
          <w:color w:val="auto"/>
        </w:rPr>
      </w:pPr>
      <w:r>
        <w:rPr>
          <w:rFonts w:ascii="Times New Roman" w:cs="Times New Roman" w:eastAsia="Times New Roman" w:hAnsi="Times New Roman"/>
          <w:sz w:val="15"/>
          <w:szCs w:val="15"/>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02"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84" w:lineRule="exact"/>
        <w:rPr>
          <w:sz w:val="20"/>
          <w:szCs w:val="20"/>
          <w:color w:val="auto"/>
        </w:rPr>
      </w:pPr>
    </w:p>
    <w:p>
      <w:pPr>
        <w:ind w:firstLine="365"/>
        <w:spacing w:after="0" w:line="259" w:lineRule="auto"/>
        <w:rPr>
          <w:sz w:val="20"/>
          <w:szCs w:val="20"/>
          <w:color w:val="auto"/>
        </w:rPr>
      </w:pPr>
      <w:r>
        <w:rPr>
          <w:rFonts w:ascii="Times New Roman" w:cs="Times New Roman" w:eastAsia="Times New Roman" w:hAnsi="Times New Roman"/>
          <w:sz w:val="15"/>
          <w:szCs w:val="15"/>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64" w:lineRule="exact"/>
        <w:rPr>
          <w:sz w:val="20"/>
          <w:szCs w:val="20"/>
          <w:color w:val="auto"/>
        </w:rPr>
      </w:pPr>
    </w:p>
    <w:p>
      <w:pPr>
        <w:ind w:left="5640" w:right="1320" w:hanging="5237"/>
        <w:spacing w:after="0" w:line="575" w:lineRule="auto"/>
        <w:tabs>
          <w:tab w:leader="none" w:pos="81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from a third party claiming infringement a license to sell or use the relevant technology, which may not be available on reasonable terms, or at all; 32</w:t>
      </w:r>
    </w:p>
    <w:p>
      <w:pPr>
        <w:sectPr>
          <w:pgSz w:w="11900" w:h="16838" w:orient="portrait"/>
          <w:cols w:equalWidth="0" w:num="1">
            <w:col w:w="11440"/>
          </w:cols>
          <w:pgMar w:left="240" w:top="125" w:right="219" w:bottom="1440" w:gutter="0" w:footer="0" w:header="0"/>
        </w:sectPr>
      </w:pPr>
    </w:p>
    <w:bookmarkStart w:id="32" w:name="page33"/>
    <w:bookmarkEnd w:id="32"/>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07" w:lineRule="exact"/>
        <w:rPr>
          <w:sz w:val="20"/>
          <w:szCs w:val="20"/>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stop manufacturing, selling, incorporating or using our products that embody the asserted intellectual property;</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substantial monetary damages;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indemnify our customers pursuant to indemnification obligations under some of our customer contracts; or</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expend significant resources to redesign the products that use the infringing technology and to develop or acquire non-infringing technology.</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Any of these actions could result in a substantial reduction in our revenue and could result in losses over an extended period of time.</w:t>
      </w:r>
    </w:p>
    <w:p>
      <w:pPr>
        <w:spacing w:after="0" w:line="143"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84" w:lineRule="exact"/>
        <w:rPr>
          <w:sz w:val="20"/>
          <w:szCs w:val="20"/>
          <w:color w:val="auto"/>
        </w:rPr>
      </w:pPr>
    </w:p>
    <w:p>
      <w:pPr>
        <w:ind w:firstLine="365"/>
        <w:spacing w:after="0" w:line="257" w:lineRule="auto"/>
        <w:rPr>
          <w:sz w:val="20"/>
          <w:szCs w:val="20"/>
          <w:color w:val="auto"/>
        </w:rPr>
      </w:pPr>
      <w:r>
        <w:rPr>
          <w:rFonts w:ascii="Times New Roman" w:cs="Times New Roman" w:eastAsia="Times New Roman" w:hAnsi="Times New Roman"/>
          <w:sz w:val="15"/>
          <w:szCs w:val="15"/>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has been and could continue to be affected by seasonal trends and construction cycles.</w:t>
      </w:r>
    </w:p>
    <w:p>
      <w:pPr>
        <w:spacing w:after="0" w:line="151" w:lineRule="exact"/>
        <w:rPr>
          <w:sz w:val="20"/>
          <w:szCs w:val="20"/>
          <w:color w:val="auto"/>
        </w:rPr>
      </w:pPr>
    </w:p>
    <w:p>
      <w:pPr>
        <w:ind w:right="40" w:firstLine="365"/>
        <w:spacing w:after="0" w:line="260" w:lineRule="auto"/>
        <w:rPr>
          <w:sz w:val="20"/>
          <w:szCs w:val="20"/>
          <w:color w:val="auto"/>
        </w:rPr>
      </w:pPr>
      <w:r>
        <w:rPr>
          <w:rFonts w:ascii="Times New Roman" w:cs="Times New Roman" w:eastAsia="Times New Roman" w:hAnsi="Times New Roman"/>
          <w:sz w:val="15"/>
          <w:szCs w:val="15"/>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291"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Covenants in our credit facility may limit our flexibility in responding to business opportunities and competitive developments and increase our vulnerability to adverse economic or industry conditions.</w:t>
      </w:r>
    </w:p>
    <w:p>
      <w:pPr>
        <w:spacing w:after="0" w:line="84" w:lineRule="exact"/>
        <w:rPr>
          <w:sz w:val="20"/>
          <w:szCs w:val="20"/>
          <w:color w:val="auto"/>
        </w:rPr>
      </w:pPr>
    </w:p>
    <w:p>
      <w:pPr>
        <w:ind w:right="40" w:firstLine="365"/>
        <w:spacing w:after="0" w:line="260" w:lineRule="auto"/>
        <w:rPr>
          <w:sz w:val="20"/>
          <w:szCs w:val="20"/>
          <w:color w:val="auto"/>
        </w:rPr>
      </w:pPr>
      <w:r>
        <w:rPr>
          <w:rFonts w:ascii="Times New Roman" w:cs="Times New Roman" w:eastAsia="Times New Roman" w:hAnsi="Times New Roman"/>
          <w:sz w:val="15"/>
          <w:szCs w:val="15"/>
          <w:color w:val="auto"/>
        </w:rPr>
        <w:t>We are a party to a loan and security agreements with Wells Fargo Bank, National Association (“Wells Fargo”). The loan and security agreement with Wells Fargo restricts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 with Wells Fargo is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fail to capture customers in the new markets that we are pursuing.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40"/>
          </w:cols>
          <w:pgMar w:left="240" w:top="125" w:right="219" w:bottom="1440" w:gutter="0" w:footer="0" w:header="0"/>
        </w:sectPr>
      </w:pPr>
    </w:p>
    <w:bookmarkStart w:id="33" w:name="page34"/>
    <w:bookmarkEnd w:id="33"/>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right="140" w:firstLine="365"/>
        <w:spacing w:after="0" w:line="265" w:lineRule="auto"/>
        <w:rPr>
          <w:sz w:val="20"/>
          <w:szCs w:val="20"/>
          <w:color w:val="auto"/>
        </w:rPr>
      </w:pPr>
      <w:r>
        <w:rPr>
          <w:rFonts w:ascii="Times New Roman" w:cs="Times New Roman" w:eastAsia="Times New Roman" w:hAnsi="Times New Roman"/>
          <w:sz w:val="15"/>
          <w:szCs w:val="15"/>
          <w:color w:val="auto"/>
        </w:rPr>
        <w:t>We are pursuing opportunities in energy management and energy storage. We have made and will continue to make investments in our infrastructure, increased our operating costs and forgone other business opportunities in order to seek opportunities in these areas. If these new potential business segments fail to translate into revenue in the quantities or timeline projected it could have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02"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84" w:lineRule="exact"/>
        <w:rPr>
          <w:sz w:val="20"/>
          <w:szCs w:val="20"/>
          <w:color w:val="auto"/>
        </w:rPr>
      </w:pPr>
    </w:p>
    <w:p>
      <w:pPr>
        <w:ind w:firstLine="365"/>
        <w:spacing w:after="0" w:line="258"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09"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99" w:lineRule="exact"/>
        <w:rPr>
          <w:sz w:val="20"/>
          <w:szCs w:val="20"/>
          <w:color w:val="auto"/>
        </w:rPr>
      </w:pPr>
    </w:p>
    <w:p>
      <w:pPr>
        <w:ind w:right="80" w:firstLine="365"/>
        <w:spacing w:after="0" w:line="257" w:lineRule="auto"/>
        <w:rPr>
          <w:sz w:val="20"/>
          <w:szCs w:val="20"/>
          <w:color w:val="auto"/>
        </w:rPr>
      </w:pPr>
      <w:r>
        <w:rPr>
          <w:rFonts w:ascii="Times New Roman" w:cs="Times New Roman" w:eastAsia="Times New Roman" w:hAnsi="Times New Roman"/>
          <w:sz w:val="15"/>
          <w:szCs w:val="15"/>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12"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84" w:lineRule="exact"/>
        <w:rPr>
          <w:sz w:val="20"/>
          <w:szCs w:val="20"/>
          <w:color w:val="auto"/>
        </w:rPr>
      </w:pPr>
    </w:p>
    <w:p>
      <w:pPr>
        <w:ind w:right="40" w:firstLine="365"/>
        <w:spacing w:after="0" w:line="260" w:lineRule="auto"/>
        <w:rPr>
          <w:sz w:val="20"/>
          <w:szCs w:val="20"/>
          <w:color w:val="auto"/>
        </w:rPr>
      </w:pPr>
      <w:r>
        <w:rPr>
          <w:rFonts w:ascii="Times New Roman" w:cs="Times New Roman" w:eastAsia="Times New Roman" w:hAnsi="Times New Roman"/>
          <w:sz w:val="15"/>
          <w:szCs w:val="15"/>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440"/>
          </w:cols>
          <w:pgMar w:left="240" w:top="125" w:right="219" w:bottom="1440" w:gutter="0" w:footer="0" w:header="0"/>
        </w:sectPr>
      </w:pPr>
    </w:p>
    <w:bookmarkStart w:id="34" w:name="page35"/>
    <w:bookmarkEnd w:id="34"/>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5"/>
          <w:szCs w:val="15"/>
          <w:color w:val="auto"/>
        </w:rPr>
        <w:t>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87" w:lineRule="exact"/>
        <w:rPr>
          <w:sz w:val="20"/>
          <w:szCs w:val="20"/>
          <w:color w:val="auto"/>
        </w:rPr>
      </w:pPr>
    </w:p>
    <w:p>
      <w:pPr>
        <w:ind w:right="80" w:firstLine="365"/>
        <w:spacing w:after="0" w:line="265" w:lineRule="auto"/>
        <w:rPr>
          <w:sz w:val="20"/>
          <w:szCs w:val="20"/>
          <w:color w:val="auto"/>
        </w:rPr>
      </w:pPr>
      <w:r>
        <w:rPr>
          <w:rFonts w:ascii="Times New Roman" w:cs="Times New Roman" w:eastAsia="Times New Roman" w:hAnsi="Times New Roman"/>
          <w:sz w:val="15"/>
          <w:szCs w:val="15"/>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raise additional capital to execute on our current or future business opportunities on favorable terms, if at all, or without dilution to our stockholders.</w:t>
      </w:r>
    </w:p>
    <w:p>
      <w:pPr>
        <w:spacing w:after="0" w:line="106" w:lineRule="exact"/>
        <w:rPr>
          <w:sz w:val="20"/>
          <w:szCs w:val="20"/>
          <w:color w:val="auto"/>
        </w:rPr>
      </w:pPr>
    </w:p>
    <w:p>
      <w:pPr>
        <w:ind w:firstLine="365"/>
        <w:spacing w:after="0" w:line="289" w:lineRule="auto"/>
        <w:rPr>
          <w:sz w:val="20"/>
          <w:szCs w:val="20"/>
          <w:color w:val="auto"/>
        </w:rPr>
      </w:pPr>
      <w:r>
        <w:rPr>
          <w:rFonts w:ascii="Times New Roman" w:cs="Times New Roman" w:eastAsia="Times New Roman" w:hAnsi="Times New Roman"/>
          <w:sz w:val="15"/>
          <w:szCs w:val="15"/>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41" w:lineRule="exact"/>
        <w:rPr>
          <w:sz w:val="20"/>
          <w:szCs w:val="20"/>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 in our research and development efforts by hiring additional technical and other personnel;</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 our operations into new product markets and new geographies;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complementary businesses, products, services or technologies; or</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pursue our strategic plans and respond to competitive pressures.</w:t>
      </w:r>
    </w:p>
    <w:p>
      <w:pPr>
        <w:spacing w:after="0" w:line="147" w:lineRule="exact"/>
        <w:rPr>
          <w:sz w:val="20"/>
          <w:szCs w:val="20"/>
          <w:color w:val="auto"/>
        </w:rPr>
      </w:pPr>
    </w:p>
    <w:p>
      <w:pPr>
        <w:ind w:right="180" w:firstLine="365"/>
        <w:spacing w:after="0" w:line="263" w:lineRule="auto"/>
        <w:rPr>
          <w:sz w:val="20"/>
          <w:szCs w:val="20"/>
          <w:color w:val="auto"/>
        </w:rPr>
      </w:pPr>
      <w:r>
        <w:rPr>
          <w:rFonts w:ascii="Times New Roman" w:cs="Times New Roman" w:eastAsia="Times New Roman" w:hAnsi="Times New Roman"/>
          <w:sz w:val="15"/>
          <w:szCs w:val="15"/>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Natural disasters, terrorist or cyber attacks, or other catastrophic events could harm our operations.</w:t>
      </w:r>
    </w:p>
    <w:p>
      <w:pPr>
        <w:spacing w:after="0" w:line="151" w:lineRule="exact"/>
        <w:rPr>
          <w:sz w:val="20"/>
          <w:szCs w:val="20"/>
          <w:color w:val="auto"/>
        </w:rPr>
      </w:pPr>
    </w:p>
    <w:p>
      <w:pPr>
        <w:ind w:right="120" w:firstLine="365"/>
        <w:spacing w:after="0" w:line="261" w:lineRule="auto"/>
        <w:rPr>
          <w:sz w:val="20"/>
          <w:szCs w:val="20"/>
          <w:color w:val="auto"/>
        </w:rPr>
      </w:pPr>
      <w:r>
        <w:rPr>
          <w:rFonts w:ascii="Times New Roman" w:cs="Times New Roman" w:eastAsia="Times New Roman" w:hAnsi="Times New Roman"/>
          <w:sz w:val="15"/>
          <w:szCs w:val="15"/>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04"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84" w:lineRule="exact"/>
        <w:rPr>
          <w:sz w:val="20"/>
          <w:szCs w:val="20"/>
          <w:color w:val="auto"/>
        </w:rPr>
      </w:pPr>
    </w:p>
    <w:p>
      <w:pPr>
        <w:ind w:firstLine="365"/>
        <w:spacing w:after="0" w:line="260" w:lineRule="auto"/>
        <w:rPr>
          <w:sz w:val="20"/>
          <w:szCs w:val="20"/>
          <w:color w:val="auto"/>
        </w:rPr>
      </w:pPr>
      <w:r>
        <w:rPr>
          <w:rFonts w:ascii="Times New Roman" w:cs="Times New Roman" w:eastAsia="Times New Roman" w:hAnsi="Times New Roman"/>
          <w:sz w:val="15"/>
          <w:szCs w:val="15"/>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may also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04"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84" w:lineRule="exact"/>
        <w:rPr>
          <w:sz w:val="20"/>
          <w:szCs w:val="20"/>
          <w:color w:val="auto"/>
        </w:rPr>
      </w:pPr>
    </w:p>
    <w:p>
      <w:pPr>
        <w:ind w:right="700" w:firstLine="365"/>
        <w:spacing w:after="0" w:line="289" w:lineRule="auto"/>
        <w:rPr>
          <w:sz w:val="20"/>
          <w:szCs w:val="20"/>
          <w:color w:val="auto"/>
        </w:rPr>
      </w:pPr>
      <w:r>
        <w:rPr>
          <w:rFonts w:ascii="Times New Roman" w:cs="Times New Roman" w:eastAsia="Times New Roman" w:hAnsi="Times New Roman"/>
          <w:sz w:val="15"/>
          <w:szCs w:val="15"/>
          <w:color w:val="auto"/>
        </w:rPr>
        <w:t>We rely on commercial ocean transportation for the delivery of a large percentage of our products to our customers in North America. We also rely on more expensive air transportation when ocean transportation is not available or compatible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5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Recently, contentious negotiations between the Pacific Maritime Association and the International Longshore &amp; Warehouse Union have resulted in port slowdowns which have caused port congestion and major delays in the transfer of cargo in the United States West Coast. Accordingly, we have had to ship a higher percentage of our products to our customers in North America via air transportation. Material interruptions in service or stoppages in transportation, such as the aforementioned dispute, whether caused by strike, work stoppage, lock-out, slowdown or otherwise, could materially and adversely impact our business,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may be volatile or may decline regardless of our operating performance.</w:t>
      </w:r>
    </w:p>
    <w:p>
      <w:pPr>
        <w:spacing w:after="0" w:line="151" w:lineRule="exact"/>
        <w:rPr>
          <w:sz w:val="20"/>
          <w:szCs w:val="20"/>
          <w:color w:val="auto"/>
        </w:rPr>
      </w:pPr>
    </w:p>
    <w:p>
      <w:pPr>
        <w:ind w:firstLine="365"/>
        <w:spacing w:after="0" w:line="260" w:lineRule="auto"/>
        <w:rPr>
          <w:sz w:val="20"/>
          <w:szCs w:val="20"/>
          <w:color w:val="auto"/>
        </w:rPr>
      </w:pPr>
      <w:r>
        <w:rPr>
          <w:rFonts w:ascii="Times New Roman" w:cs="Times New Roman" w:eastAsia="Times New Roman" w:hAnsi="Times New Roman"/>
          <w:sz w:val="15"/>
          <w:szCs w:val="15"/>
          <w:color w:val="auto"/>
        </w:rPr>
        <w:t>The market price of our common stock has been and could be subject to wide fluctuations in response to, among other things, the risk factors described in “Part II. Item 1A. Risk Factors”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financial results may vary significantly from quarter to quarter due to a number of factors, which may lead to volatility in our stock price.</w:t>
      </w:r>
    </w:p>
    <w:p>
      <w:pPr>
        <w:spacing w:after="0" w:line="106" w:lineRule="exact"/>
        <w:rPr>
          <w:sz w:val="20"/>
          <w:szCs w:val="20"/>
          <w:color w:val="auto"/>
        </w:rPr>
      </w:pPr>
    </w:p>
    <w:p>
      <w:pPr>
        <w:ind w:right="200" w:firstLine="365"/>
        <w:spacing w:after="0" w:line="289" w:lineRule="auto"/>
        <w:rPr>
          <w:sz w:val="20"/>
          <w:szCs w:val="20"/>
          <w:color w:val="auto"/>
        </w:rPr>
      </w:pPr>
      <w:r>
        <w:rPr>
          <w:rFonts w:ascii="Times New Roman" w:cs="Times New Roman" w:eastAsia="Times New Roman" w:hAnsi="Times New Roman"/>
          <w:sz w:val="15"/>
          <w:szCs w:val="15"/>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1" w:lineRule="exact"/>
        <w:rPr>
          <w:sz w:val="20"/>
          <w:szCs w:val="20"/>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demand for our products;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volume and product mix of sales of our products, which may have different average selling prices or profit margins;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pricing and sales policies or the pricing and sales policies of our competitors;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design, manufacture and deliver products to our customers in a timely and cost-effective manner and that meet customer requirements;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relationships with our contract manufacturers, customers and suppliers;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quality control or yield problems in our manufacturing operations;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anticipation, announcement or introductions of new or enhanced products by our competitors and ourselves;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reductions in the retail price of electricity;</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regulations and policies applicable to our business and products, particularly those relating to government incentives for solar energy applications;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increases in costs or expenses;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and timing of operating costs and capital expenditures related to the maintenance and expansion of our business operations;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government-sponsored programs on our customers;</w:t>
      </w:r>
    </w:p>
    <w:p>
      <w:pPr>
        <w:spacing w:after="0" w:line="101" w:lineRule="exact"/>
        <w:rPr>
          <w:rFonts w:ascii="Times New Roman" w:cs="Times New Roman" w:eastAsia="Times New Roman" w:hAnsi="Times New Roman"/>
          <w:sz w:val="15"/>
          <w:szCs w:val="15"/>
          <w:color w:val="auto"/>
        </w:rPr>
      </w:pPr>
    </w:p>
    <w:p>
      <w:pPr>
        <w:ind w:left="820" w:right="400" w:hanging="417"/>
        <w:spacing w:after="0" w:line="289" w:lineRule="auto"/>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exposure to the credit risks of our customers, particularly in light of the fact that some of our customers are relatively new entrants to the solar market without long operating or credit histories;</w:t>
      </w:r>
    </w:p>
    <w:p>
      <w:pPr>
        <w:spacing w:after="0" w:line="4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estimate future warranty obligations due to product failure rates, claim rates or replacement costs;</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forecast our customer demand and manufacturing requirements, and manage our inventory;</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07" w:lineRule="exact"/>
        <w:rPr>
          <w:sz w:val="20"/>
          <w:szCs w:val="20"/>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our gross profit;</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predict our revenue and plan our expenses appropriately; and</w:t>
      </w:r>
    </w:p>
    <w:p>
      <w:pPr>
        <w:spacing w:after="0" w:line="10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foreign currency exchange rates.</w:t>
      </w:r>
    </w:p>
    <w:p>
      <w:pPr>
        <w:spacing w:after="0" w:line="147" w:lineRule="exact"/>
        <w:rPr>
          <w:sz w:val="20"/>
          <w:szCs w:val="20"/>
          <w:color w:val="auto"/>
        </w:rPr>
      </w:pPr>
    </w:p>
    <w:p>
      <w:pPr>
        <w:ind w:firstLine="365"/>
        <w:spacing w:after="0" w:line="265" w:lineRule="auto"/>
        <w:rPr>
          <w:sz w:val="20"/>
          <w:szCs w:val="20"/>
          <w:color w:val="auto"/>
        </w:rPr>
      </w:pPr>
      <w:r>
        <w:rPr>
          <w:rFonts w:ascii="Times New Roman" w:cs="Times New Roman" w:eastAsia="Times New Roman" w:hAnsi="Times New Roman"/>
          <w:sz w:val="15"/>
          <w:szCs w:val="15"/>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84" w:lineRule="exact"/>
        <w:rPr>
          <w:sz w:val="20"/>
          <w:szCs w:val="20"/>
          <w:color w:val="auto"/>
        </w:rPr>
      </w:pPr>
    </w:p>
    <w:p>
      <w:pPr>
        <w:ind w:right="60" w:firstLine="365"/>
        <w:spacing w:after="0" w:line="265" w:lineRule="auto"/>
        <w:rPr>
          <w:sz w:val="20"/>
          <w:szCs w:val="20"/>
          <w:color w:val="auto"/>
        </w:rPr>
      </w:pPr>
      <w:r>
        <w:rPr>
          <w:rFonts w:ascii="Times New Roman" w:cs="Times New Roman" w:eastAsia="Times New Roman" w:hAnsi="Times New Roman"/>
          <w:sz w:val="15"/>
          <w:szCs w:val="15"/>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affiliated stockholders, executive officers and directors own a significant percentage of our stock, and they may take actions that our stockholders may not view as beneficial.</w:t>
      </w:r>
    </w:p>
    <w:p>
      <w:pPr>
        <w:spacing w:after="0" w:line="151" w:lineRule="exact"/>
        <w:rPr>
          <w:sz w:val="20"/>
          <w:szCs w:val="20"/>
          <w:color w:val="auto"/>
        </w:rPr>
      </w:pPr>
    </w:p>
    <w:p>
      <w:pPr>
        <w:ind w:right="20" w:firstLine="365"/>
        <w:spacing w:after="0" w:line="261" w:lineRule="auto"/>
        <w:rPr>
          <w:sz w:val="20"/>
          <w:szCs w:val="20"/>
          <w:color w:val="auto"/>
        </w:rPr>
      </w:pPr>
      <w:r>
        <w:rPr>
          <w:rFonts w:ascii="Times New Roman" w:cs="Times New Roman" w:eastAsia="Times New Roman" w:hAnsi="Times New Roman"/>
          <w:sz w:val="15"/>
          <w:szCs w:val="15"/>
          <w:color w:val="auto"/>
        </w:rPr>
        <w:t>Our affiliated stockholders, executive officers and directors collectively own approximately 42%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shares of our common stock in the public market by our existing stockholders could cause our stock price to fall.</w:t>
      </w:r>
    </w:p>
    <w:p>
      <w:pPr>
        <w:spacing w:after="0" w:line="151" w:lineRule="exact"/>
        <w:rPr>
          <w:sz w:val="20"/>
          <w:szCs w:val="20"/>
          <w:color w:val="auto"/>
        </w:rPr>
      </w:pPr>
    </w:p>
    <w:p>
      <w:pPr>
        <w:ind w:right="40" w:firstLine="365"/>
        <w:spacing w:after="0" w:line="265"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06" w:lineRule="exact"/>
        <w:rPr>
          <w:sz w:val="20"/>
          <w:szCs w:val="20"/>
          <w:color w:val="auto"/>
        </w:rPr>
      </w:pPr>
    </w:p>
    <w:p>
      <w:pPr>
        <w:ind w:right="200" w:firstLine="365"/>
        <w:spacing w:after="0" w:line="271" w:lineRule="auto"/>
        <w:rPr>
          <w:sz w:val="20"/>
          <w:szCs w:val="20"/>
          <w:color w:val="auto"/>
        </w:rPr>
      </w:pPr>
      <w:r>
        <w:rPr>
          <w:rFonts w:ascii="Times New Roman" w:cs="Times New Roman" w:eastAsia="Times New Roman" w:hAnsi="Times New Roman"/>
          <w:sz w:val="15"/>
          <w:szCs w:val="15"/>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97"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84" w:lineRule="exact"/>
        <w:rPr>
          <w:sz w:val="20"/>
          <w:szCs w:val="20"/>
          <w:color w:val="auto"/>
        </w:rPr>
      </w:pPr>
    </w:p>
    <w:p>
      <w:pPr>
        <w:ind w:right="100" w:firstLine="365"/>
        <w:spacing w:after="0" w:line="271" w:lineRule="auto"/>
        <w:rPr>
          <w:sz w:val="20"/>
          <w:szCs w:val="20"/>
          <w:color w:val="auto"/>
        </w:rPr>
      </w:pPr>
      <w:r>
        <w:rPr>
          <w:rFonts w:ascii="Times New Roman" w:cs="Times New Roman" w:eastAsia="Times New Roman" w:hAnsi="Times New Roman"/>
          <w:sz w:val="15"/>
          <w:szCs w:val="15"/>
          <w:color w:val="auto"/>
        </w:rPr>
        <w:t>We currently do not plan to declare dividends on shares of our common stock in the foreseeable future. In addition, the terms of our bank loan agreement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charter documents and Delaware law could prevent a takeover that stockholders consider favorable and could also reduce the market price of our stock.</w:t>
      </w:r>
    </w:p>
    <w:p>
      <w:pPr>
        <w:spacing w:after="0" w:line="106" w:lineRule="exact"/>
        <w:rPr>
          <w:sz w:val="20"/>
          <w:szCs w:val="20"/>
          <w:color w:val="auto"/>
        </w:rPr>
      </w:pPr>
    </w:p>
    <w:p>
      <w:pPr>
        <w:ind w:right="20" w:firstLine="365"/>
        <w:spacing w:after="0" w:line="289" w:lineRule="auto"/>
        <w:rPr>
          <w:sz w:val="20"/>
          <w:szCs w:val="20"/>
          <w:color w:val="auto"/>
        </w:rPr>
      </w:pPr>
      <w:r>
        <w:rPr>
          <w:rFonts w:ascii="Times New Roman" w:cs="Times New Roman" w:eastAsia="Times New Roman" w:hAnsi="Times New Roman"/>
          <w:sz w:val="15"/>
          <w:szCs w:val="15"/>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1" w:lineRule="exact"/>
        <w:rPr>
          <w:sz w:val="20"/>
          <w:szCs w:val="20"/>
          <w:color w:val="auto"/>
        </w:rPr>
      </w:pPr>
    </w:p>
    <w:p>
      <w:pPr>
        <w:ind w:left="820" w:right="280" w:hanging="417"/>
        <w:spacing w:after="0" w:line="289"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for a classified board of directors with staggered, three-year terms, which could delay the ability of stockholders to change the membership of a majority of our board of directors;</w:t>
      </w:r>
    </w:p>
    <w:p>
      <w:pPr>
        <w:spacing w:after="0" w:line="4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providing for cumulative voting in the election of directors, which limits the ability of minority stockholders to elect director candidates;</w:t>
      </w:r>
    </w:p>
    <w:p>
      <w:pPr>
        <w:spacing w:after="0" w:line="101" w:lineRule="exact"/>
        <w:rPr>
          <w:rFonts w:ascii="Times New Roman" w:cs="Times New Roman" w:eastAsia="Times New Roman" w:hAnsi="Times New Roman"/>
          <w:sz w:val="15"/>
          <w:szCs w:val="15"/>
          <w:color w:val="auto"/>
        </w:rPr>
      </w:pPr>
    </w:p>
    <w:p>
      <w:pPr>
        <w:ind w:left="820" w:right="120" w:hanging="417"/>
        <w:spacing w:after="0" w:line="289"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authorizing our board of directors to issue, without stockholder approval, preferred stock rights senior to those of common stock, which could be used to significantly dilute the ownership of a hostile acquiror;</w:t>
      </w:r>
    </w:p>
    <w:p>
      <w:pPr>
        <w:spacing w:after="0" w:line="41" w:lineRule="exact"/>
        <w:rPr>
          <w:rFonts w:ascii="Times New Roman" w:cs="Times New Roman" w:eastAsia="Times New Roman" w:hAnsi="Times New Roman"/>
          <w:sz w:val="15"/>
          <w:szCs w:val="15"/>
          <w:color w:val="auto"/>
        </w:rPr>
      </w:pPr>
    </w:p>
    <w:p>
      <w:pPr>
        <w:ind w:left="820" w:hanging="417"/>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prohibiting stockholder action by written consent, which forces stockholder action to be taken at an annual or special meeting of our stockholders;</w:t>
      </w:r>
    </w:p>
    <w:p>
      <w:pPr>
        <w:spacing w:after="0" w:line="101" w:lineRule="exact"/>
        <w:rPr>
          <w:rFonts w:ascii="Times New Roman" w:cs="Times New Roman" w:eastAsia="Times New Roman" w:hAnsi="Times New Roman"/>
          <w:sz w:val="15"/>
          <w:szCs w:val="15"/>
          <w:color w:val="auto"/>
        </w:rPr>
      </w:pPr>
    </w:p>
    <w:p>
      <w:pPr>
        <w:ind w:left="820" w:hanging="417"/>
        <w:spacing w:after="0" w:line="265"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0" w:lineRule="exact"/>
        <w:rPr>
          <w:rFonts w:ascii="Times New Roman" w:cs="Times New Roman" w:eastAsia="Times New Roman" w:hAnsi="Times New Roman"/>
          <w:sz w:val="15"/>
          <w:szCs w:val="15"/>
          <w:color w:val="auto"/>
        </w:rPr>
      </w:pPr>
    </w:p>
    <w:p>
      <w:pPr>
        <w:ind w:left="820" w:right="280" w:hanging="417"/>
        <w:spacing w:after="0" w:line="289"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41" w:lineRule="exact"/>
        <w:rPr>
          <w:rFonts w:ascii="Times New Roman" w:cs="Times New Roman" w:eastAsia="Times New Roman" w:hAnsi="Times New Roman"/>
          <w:sz w:val="15"/>
          <w:szCs w:val="15"/>
          <w:color w:val="auto"/>
        </w:rPr>
      </w:pPr>
    </w:p>
    <w:p>
      <w:pPr>
        <w:ind w:left="820" w:right="20" w:hanging="417"/>
        <w:spacing w:after="0" w:line="289"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87" w:lineRule="exact"/>
        <w:rPr>
          <w:sz w:val="20"/>
          <w:szCs w:val="20"/>
          <w:color w:val="auto"/>
        </w:rPr>
      </w:pPr>
    </w:p>
    <w:p>
      <w:pPr>
        <w:ind w:right="420" w:firstLine="365"/>
        <w:spacing w:after="0" w:line="289" w:lineRule="auto"/>
        <w:rPr>
          <w:sz w:val="20"/>
          <w:szCs w:val="20"/>
          <w:color w:val="auto"/>
        </w:rPr>
      </w:pPr>
      <w:r>
        <w:rPr>
          <w:rFonts w:ascii="Times New Roman" w:cs="Times New Roman" w:eastAsia="Times New Roman" w:hAnsi="Times New Roman"/>
          <w:sz w:val="15"/>
          <w:szCs w:val="15"/>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87" w:lineRule="exact"/>
        <w:rPr>
          <w:sz w:val="20"/>
          <w:szCs w:val="20"/>
          <w:color w:val="auto"/>
        </w:rPr>
      </w:pPr>
    </w:p>
    <w:p>
      <w:pPr>
        <w:ind w:right="460" w:firstLine="365"/>
        <w:spacing w:after="0" w:line="289" w:lineRule="auto"/>
        <w:rPr>
          <w:sz w:val="20"/>
          <w:szCs w:val="20"/>
          <w:color w:val="auto"/>
        </w:rPr>
      </w:pPr>
      <w:r>
        <w:rPr>
          <w:rFonts w:ascii="Times New Roman" w:cs="Times New Roman" w:eastAsia="Times New Roman" w:hAnsi="Times New Roman"/>
          <w:sz w:val="15"/>
          <w:szCs w:val="15"/>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34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Unregistered Sales of Equity Securities and Use of Proceeds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None.</w:t>
      </w:r>
    </w:p>
    <w:p>
      <w:pPr>
        <w:spacing w:after="0" w:line="34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Defaults Upon Senior Securities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None.</w:t>
      </w:r>
    </w:p>
    <w:p>
      <w:pPr>
        <w:spacing w:after="0" w:line="34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Not applicable.</w:t>
      </w:r>
    </w:p>
    <w:p>
      <w:pPr>
        <w:spacing w:after="0" w:line="34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None.</w:t>
      </w:r>
    </w:p>
    <w:p>
      <w:pPr>
        <w:spacing w:after="0" w:line="34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See the Exhibit Index which follows the signature page of this Quarterly Report on Form 10-Q, which is incorporated herein by reference.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0219"/>
          </w:cols>
          <w:pgMar w:left="240" w:top="125" w:right="1440" w:bottom="1440" w:gutter="0" w:footer="0" w:header="0"/>
        </w:sectPr>
      </w:pPr>
    </w:p>
    <w:bookmarkStart w:id="39" w:name="page40"/>
    <w:bookmarkEnd w:id="39"/>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51" w:lineRule="exact"/>
        <w:rPr>
          <w:sz w:val="20"/>
          <w:szCs w:val="20"/>
          <w:color w:val="auto"/>
        </w:rPr>
      </w:pPr>
    </w:p>
    <w:p>
      <w:pPr>
        <w:ind w:firstLine="365"/>
        <w:spacing w:after="0" w:line="289"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Quarterly Report on Form 10-Q to be signed on its behalf by the undersigned, thereunto duly authorized.</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Dated: May 6, 2015</w:t>
      </w:r>
    </w:p>
    <w:p>
      <w:pPr>
        <w:spacing w:after="0" w:line="3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5"/>
          <w:szCs w:val="15"/>
          <w:b w:val="1"/>
          <w:bCs w:val="1"/>
          <w:color w:val="auto"/>
        </w:rPr>
        <w:t>ENPHASE ENERGY, INC.</w:t>
      </w:r>
    </w:p>
    <w:p>
      <w:pPr>
        <w:spacing w:after="0" w:line="163" w:lineRule="exact"/>
        <w:rPr>
          <w:sz w:val="20"/>
          <w:szCs w:val="20"/>
          <w:color w:val="auto"/>
        </w:rPr>
      </w:pPr>
    </w:p>
    <w:p>
      <w:pPr>
        <w:ind w:left="5860"/>
        <w:spacing w:after="0"/>
        <w:tabs>
          <w:tab w:leader="none" w:pos="71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30480</wp:posOffset>
            </wp:positionV>
            <wp:extent cx="275653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6535" cy="6985"/>
                    </a:xfrm>
                    <a:prstGeom prst="rect">
                      <a:avLst/>
                    </a:prstGeom>
                    <a:noFill/>
                  </pic:spPr>
                </pic:pic>
              </a:graphicData>
            </a:graphic>
          </wp:anchor>
        </w:drawing>
      </w:r>
    </w:p>
    <w:p>
      <w:pPr>
        <w:spacing w:after="0" w:line="4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color w:val="auto"/>
        </w:rPr>
        <w:t>Kris Sennesael</w:t>
      </w:r>
    </w:p>
    <w:p>
      <w:pPr>
        <w:spacing w:after="0" w:line="5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color w:val="auto"/>
        </w:rPr>
        <w:t>Vice President and Chief Financial Officer</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0640"/>
          </w:cols>
          <w:pgMar w:left="240" w:top="125" w:right="1019" w:bottom="1440" w:gutter="0" w:footer="0" w:header="0"/>
        </w:sectPr>
      </w:pPr>
    </w:p>
    <w:bookmarkStart w:id="40" w:name="page41"/>
    <w:bookmarkEnd w:id="40"/>
    <w:p>
      <w:pPr>
        <w:spacing w:after="0"/>
        <w:rPr>
          <w:rFonts w:ascii="Times New Roman" w:cs="Times New Roman" w:eastAsia="Times New Roman" w:hAnsi="Times New Roman"/>
          <w:sz w:val="15"/>
          <w:szCs w:val="15"/>
          <w:u w:val="single" w:color="auto"/>
          <w:color w:val="0000EE"/>
        </w:rPr>
      </w:pPr>
      <w:hyperlink w:anchor="page1">
        <w:r>
          <w:rPr>
            <w:rFonts w:ascii="Times New Roman" w:cs="Times New Roman" w:eastAsia="Times New Roman" w:hAnsi="Times New Roman"/>
            <w:sz w:val="15"/>
            <w:szCs w:val="15"/>
            <w:u w:val="single" w:color="auto"/>
            <w:color w:val="0000EE"/>
          </w:rPr>
          <w:t>Table of Contents</w:t>
        </w:r>
      </w:hyperlink>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60" w:type="dxa"/>
            <w:vAlign w:val="bottom"/>
            <w:gridSpan w:val="3"/>
          </w:tcPr>
          <w:p>
            <w:pPr>
              <w:ind w:left="404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0" w:type="dxa"/>
            <w:vAlign w:val="bottom"/>
          </w:tcPr>
          <w:p>
            <w:pPr>
              <w:spacing w:after="0"/>
              <w:rPr>
                <w:sz w:val="1"/>
                <w:szCs w:val="1"/>
                <w:color w:val="auto"/>
              </w:rPr>
            </w:pPr>
          </w:p>
        </w:tc>
      </w:tr>
      <w:tr>
        <w:trPr>
          <w:trHeight w:val="401"/>
        </w:trPr>
        <w:tc>
          <w:tcPr>
            <w:tcW w:w="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4880" w:type="dxa"/>
            <w:vAlign w:val="bottom"/>
          </w:tcPr>
          <w:p>
            <w:pPr>
              <w:spacing w:after="0"/>
              <w:rPr>
                <w:sz w:val="24"/>
                <w:szCs w:val="24"/>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36"/>
        </w:trPr>
        <w:tc>
          <w:tcPr>
            <w:tcW w:w="82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Number</w:t>
            </w:r>
          </w:p>
        </w:tc>
        <w:tc>
          <w:tcPr>
            <w:tcW w:w="4880" w:type="dxa"/>
            <w:vAlign w:val="bottom"/>
          </w:tcPr>
          <w:p>
            <w:pPr>
              <w:spacing w:after="0"/>
              <w:rPr>
                <w:sz w:val="11"/>
                <w:szCs w:val="11"/>
                <w:color w:val="auto"/>
              </w:rPr>
            </w:pPr>
          </w:p>
        </w:tc>
        <w:tc>
          <w:tcPr>
            <w:tcW w:w="5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3.1</w:t>
            </w: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Amended and Restated Certificate of Incorporation of Enphase Energy, Inc.</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331"/>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Amended and Restated Bylaws of Enphase Energy, Inc.</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331"/>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Specimen Common Stock Certificate of Enphase Energy, Inc.</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400" w:type="dxa"/>
            <w:vAlign w:val="bottom"/>
          </w:tcPr>
          <w:p>
            <w:pPr>
              <w:spacing w:after="0"/>
              <w:rPr>
                <w:sz w:val="20"/>
                <w:szCs w:val="20"/>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2010 Amended and Restated Investors’ Rights Agreement by and between Enphase Energy, Inc. and the investors listed on Exhibit A thereto, dated March 15,</w:t>
            </w: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2010, as amended.</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400" w:type="dxa"/>
            <w:vAlign w:val="bottom"/>
          </w:tcPr>
          <w:p>
            <w:pPr>
              <w:spacing w:after="0"/>
              <w:rPr>
                <w:sz w:val="20"/>
                <w:szCs w:val="20"/>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Form of June 2011 Warrant to Purchase Common Stock of Enphase Energy, Inc., pursuant to that certain Amended and Restated Subordinated Convertible Loan</w:t>
            </w: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Facility and Security Agreement.</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4.4</w:t>
            </w:r>
          </w:p>
        </w:tc>
        <w:tc>
          <w:tcPr>
            <w:tcW w:w="400" w:type="dxa"/>
            <w:vAlign w:val="bottom"/>
          </w:tcPr>
          <w:p>
            <w:pPr>
              <w:spacing w:after="0"/>
              <w:rPr>
                <w:sz w:val="20"/>
                <w:szCs w:val="20"/>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Form of November 2011 Warrant to Purchase Common Stock of Enphase Energy, Inc., pursuant to that certain Amended and Restated Subordinated Convertible</w:t>
            </w: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Loan Facility and Security Agreement.</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249"/>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400" w:type="dxa"/>
            <w:vAlign w:val="bottom"/>
          </w:tcPr>
          <w:p>
            <w:pPr>
              <w:spacing w:after="0"/>
              <w:rPr>
                <w:sz w:val="21"/>
                <w:szCs w:val="21"/>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Master Development &amp; Product Agreement by and between the Company and Fujitsu Microelectronics America, Inc., dated August 19, 2009.</w:t>
            </w:r>
          </w:p>
        </w:tc>
        <w:tc>
          <w:tcPr>
            <w:tcW w:w="0" w:type="dxa"/>
            <w:vAlign w:val="bottom"/>
          </w:tcPr>
          <w:p>
            <w:pPr>
              <w:spacing w:after="0"/>
              <w:rPr>
                <w:sz w:val="1"/>
                <w:szCs w:val="1"/>
                <w:color w:val="auto"/>
              </w:rPr>
            </w:pPr>
          </w:p>
        </w:tc>
      </w:tr>
      <w:tr>
        <w:trPr>
          <w:trHeight w:val="331"/>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10.2***</w:t>
            </w: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Amendment No. 1 to Long Term Product Supply Agreement by and between the Company and Vivint Solar Developer, LLC, dated March 3, 2015.</w:t>
            </w:r>
          </w:p>
        </w:tc>
        <w:tc>
          <w:tcPr>
            <w:tcW w:w="0" w:type="dxa"/>
            <w:vAlign w:val="bottom"/>
          </w:tcPr>
          <w:p>
            <w:pPr>
              <w:spacing w:after="0"/>
              <w:rPr>
                <w:sz w:val="1"/>
                <w:szCs w:val="1"/>
                <w:color w:val="auto"/>
              </w:rPr>
            </w:pPr>
          </w:p>
        </w:tc>
      </w:tr>
      <w:tr>
        <w:trPr>
          <w:trHeight w:val="316"/>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10.3</w:t>
            </w: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Amendment No. 2 to Credit Agreement by and among the Company, the lenders identified on the signature pages thereto and Wells Fargo Bank, National</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Association, dated February 2, 2015.</w:t>
            </w:r>
          </w:p>
        </w:tc>
        <w:tc>
          <w:tcPr>
            <w:tcW w:w="0" w:type="dxa"/>
            <w:vAlign w:val="bottom"/>
          </w:tcPr>
          <w:p>
            <w:pPr>
              <w:spacing w:after="0"/>
              <w:rPr>
                <w:sz w:val="1"/>
                <w:szCs w:val="1"/>
                <w:color w:val="auto"/>
              </w:rPr>
            </w:pPr>
          </w:p>
        </w:tc>
      </w:tr>
      <w:tr>
        <w:trPr>
          <w:trHeight w:val="434"/>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Certification of Chief Executive Officer pursuant to Rule 13a-14(a)/15d-14(a).</w:t>
            </w:r>
          </w:p>
        </w:tc>
        <w:tc>
          <w:tcPr>
            <w:tcW w:w="0" w:type="dxa"/>
            <w:vAlign w:val="bottom"/>
          </w:tcPr>
          <w:p>
            <w:pPr>
              <w:spacing w:after="0"/>
              <w:rPr>
                <w:sz w:val="1"/>
                <w:szCs w:val="1"/>
                <w:color w:val="auto"/>
              </w:rPr>
            </w:pPr>
          </w:p>
        </w:tc>
      </w:tr>
      <w:tr>
        <w:trPr>
          <w:trHeight w:val="331"/>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Certification of Chief Financial Officer pursuant to Rule 13a-14(a)/15d-14(a).</w:t>
            </w:r>
          </w:p>
        </w:tc>
        <w:tc>
          <w:tcPr>
            <w:tcW w:w="0" w:type="dxa"/>
            <w:vAlign w:val="bottom"/>
          </w:tcPr>
          <w:p>
            <w:pPr>
              <w:spacing w:after="0"/>
              <w:rPr>
                <w:sz w:val="1"/>
                <w:szCs w:val="1"/>
                <w:color w:val="auto"/>
              </w:rPr>
            </w:pPr>
          </w:p>
        </w:tc>
      </w:tr>
      <w:tr>
        <w:trPr>
          <w:trHeight w:val="316"/>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32.1</w:t>
            </w:r>
          </w:p>
        </w:tc>
        <w:tc>
          <w:tcPr>
            <w:tcW w:w="400" w:type="dxa"/>
            <w:vAlign w:val="bottom"/>
          </w:tcPr>
          <w:p>
            <w:pPr>
              <w:spacing w:after="0"/>
              <w:rPr>
                <w:sz w:val="24"/>
                <w:szCs w:val="24"/>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Certification of Chief Executive Officer and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Oxley Act of 2002.*</w:t>
            </w:r>
          </w:p>
        </w:tc>
        <w:tc>
          <w:tcPr>
            <w:tcW w:w="0" w:type="dxa"/>
            <w:vAlign w:val="bottom"/>
          </w:tcPr>
          <w:p>
            <w:pPr>
              <w:spacing w:after="0"/>
              <w:rPr>
                <w:sz w:val="1"/>
                <w:szCs w:val="1"/>
                <w:color w:val="auto"/>
              </w:rPr>
            </w:pPr>
          </w:p>
        </w:tc>
      </w:tr>
      <w:tr>
        <w:trPr>
          <w:trHeight w:val="331"/>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101.INS</w:t>
            </w: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XBRL Instance Document.</w:t>
            </w:r>
          </w:p>
        </w:tc>
        <w:tc>
          <w:tcPr>
            <w:tcW w:w="0" w:type="dxa"/>
            <w:vAlign w:val="bottom"/>
          </w:tcPr>
          <w:p>
            <w:pPr>
              <w:spacing w:after="0"/>
              <w:rPr>
                <w:sz w:val="1"/>
                <w:szCs w:val="1"/>
                <w:color w:val="auto"/>
              </w:rPr>
            </w:pPr>
          </w:p>
        </w:tc>
      </w:tr>
      <w:tr>
        <w:trPr>
          <w:trHeight w:val="331"/>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101.SCH</w:t>
            </w: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XBRL Taxonomy Extension Schema Document.</w:t>
            </w:r>
          </w:p>
        </w:tc>
        <w:tc>
          <w:tcPr>
            <w:tcW w:w="0" w:type="dxa"/>
            <w:vAlign w:val="bottom"/>
          </w:tcPr>
          <w:p>
            <w:pPr>
              <w:spacing w:after="0"/>
              <w:rPr>
                <w:sz w:val="1"/>
                <w:szCs w:val="1"/>
                <w:color w:val="auto"/>
              </w:rPr>
            </w:pPr>
          </w:p>
        </w:tc>
      </w:tr>
      <w:tr>
        <w:trPr>
          <w:trHeight w:val="331"/>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101.CAL</w:t>
            </w: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331"/>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101.DEF</w:t>
            </w: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c>
          <w:tcPr>
            <w:tcW w:w="0" w:type="dxa"/>
            <w:vAlign w:val="bottom"/>
          </w:tcPr>
          <w:p>
            <w:pPr>
              <w:spacing w:after="0"/>
              <w:rPr>
                <w:sz w:val="1"/>
                <w:szCs w:val="1"/>
                <w:color w:val="auto"/>
              </w:rPr>
            </w:pPr>
          </w:p>
        </w:tc>
      </w:tr>
      <w:tr>
        <w:trPr>
          <w:trHeight w:val="331"/>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101.LAB</w:t>
            </w: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tc>
        <w:tc>
          <w:tcPr>
            <w:tcW w:w="0" w:type="dxa"/>
            <w:vAlign w:val="bottom"/>
          </w:tcPr>
          <w:p>
            <w:pPr>
              <w:spacing w:after="0"/>
              <w:rPr>
                <w:sz w:val="1"/>
                <w:szCs w:val="1"/>
                <w:color w:val="auto"/>
              </w:rPr>
            </w:pPr>
          </w:p>
        </w:tc>
      </w:tr>
      <w:tr>
        <w:trPr>
          <w:trHeight w:val="331"/>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101.PRE</w:t>
            </w:r>
          </w:p>
        </w:tc>
        <w:tc>
          <w:tcPr>
            <w:tcW w:w="1006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XBRL Taxonomy Extension Presentation Document.</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w:t>
      </w:r>
    </w:p>
    <w:p>
      <w:pPr>
        <w:spacing w:after="0" w:line="262" w:lineRule="exact"/>
        <w:rPr>
          <w:sz w:val="20"/>
          <w:szCs w:val="20"/>
          <w:color w:val="auto"/>
        </w:rPr>
      </w:pPr>
    </w:p>
    <w:p>
      <w:pPr>
        <w:ind w:left="1080" w:hanging="403"/>
        <w:spacing w:after="0" w:line="289" w:lineRule="auto"/>
        <w:tabs>
          <w:tab w:leader="none" w:pos="10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as Exhibit 3.1 to the Current Report on Form 8-K (File No. 001-35480), filed with the Securities and Exchange Commission on April 6, 2012, and incorporated by reference herein.</w:t>
      </w:r>
    </w:p>
    <w:p>
      <w:pPr>
        <w:spacing w:after="0" w:line="18" w:lineRule="exact"/>
        <w:rPr>
          <w:rFonts w:ascii="Times New Roman" w:cs="Times New Roman" w:eastAsia="Times New Roman" w:hAnsi="Times New Roman"/>
          <w:sz w:val="15"/>
          <w:szCs w:val="15"/>
          <w:color w:val="auto"/>
        </w:rPr>
      </w:pPr>
    </w:p>
    <w:p>
      <w:pPr>
        <w:ind w:left="1080" w:hanging="403"/>
        <w:spacing w:after="0" w:line="289" w:lineRule="auto"/>
        <w:tabs>
          <w:tab w:leader="none" w:pos="10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as Exhibit 3.5 to Amendment No. 7 to the Registration Statement on Form S-1/A (File No. 333-174925), filed with the Securities and Exchange Commission on March 12, 2012, and incorporated by reference herein.</w:t>
      </w:r>
    </w:p>
    <w:p>
      <w:pPr>
        <w:spacing w:after="0" w:line="18" w:lineRule="exact"/>
        <w:rPr>
          <w:rFonts w:ascii="Times New Roman" w:cs="Times New Roman" w:eastAsia="Times New Roman" w:hAnsi="Times New Roman"/>
          <w:sz w:val="15"/>
          <w:szCs w:val="15"/>
          <w:color w:val="auto"/>
        </w:rPr>
      </w:pPr>
    </w:p>
    <w:p>
      <w:pPr>
        <w:ind w:left="1080" w:hanging="403"/>
        <w:spacing w:after="0"/>
        <w:tabs>
          <w:tab w:leader="none" w:pos="10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as the like-numbered exhibit to the Registration Statement on Form S-1/A (File No. 333-174925), and incorporated herein by reference.</w:t>
      </w:r>
    </w:p>
    <w:p>
      <w:pPr>
        <w:spacing w:after="0" w:line="79" w:lineRule="exact"/>
        <w:rPr>
          <w:sz w:val="20"/>
          <w:szCs w:val="20"/>
          <w:color w:val="auto"/>
        </w:rPr>
      </w:pPr>
    </w:p>
    <w:p>
      <w:pPr>
        <w:ind w:left="1080" w:hanging="403"/>
        <w:spacing w:after="0" w:line="289" w:lineRule="auto"/>
        <w:tabs>
          <w:tab w:leader="none" w:pos="10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19" w:lineRule="exact"/>
        <w:rPr>
          <w:sz w:val="20"/>
          <w:szCs w:val="20"/>
          <w:color w:val="auto"/>
        </w:rPr>
      </w:pPr>
    </w:p>
    <w:p>
      <w:pPr>
        <w:ind w:left="1080" w:hanging="403"/>
        <w:spacing w:after="0" w:line="289" w:lineRule="auto"/>
        <w:tabs>
          <w:tab w:leader="none" w:pos="10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in the exhibit marked with three asterisks (***) has been omitted pursuant to a request for confidential treatment filed with the Securities and Exchange Commission. Omitted portions have been filed separately with the Securities and Exchange Commission.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40"/>
          </w:cols>
          <w:pgMar w:left="240" w:top="125" w:right="219" w:bottom="1440" w:gutter="0" w:footer="0" w:header="0"/>
        </w:sectPr>
      </w:pPr>
    </w:p>
    <w:bookmarkStart w:id="41" w:name="page42"/>
    <w:bookmarkEnd w:id="41"/>
    <w:p>
      <w:pPr>
        <w:ind w:left="101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Enphase Energy</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201 1st Street</w:t>
      </w:r>
      <w:r>
        <w:rPr>
          <w:rFonts w:ascii="Times New Roman" w:cs="Times New Roman" w:eastAsia="Times New Roman" w:hAnsi="Times New Roman"/>
          <w:sz w:val="18"/>
          <w:szCs w:val="18"/>
          <w:color w:val="auto"/>
        </w:rPr>
        <w:t>, Suite</w:t>
      </w:r>
      <w:r>
        <w:rPr>
          <w:rFonts w:ascii="Times New Roman" w:cs="Times New Roman" w:eastAsia="Times New Roman" w:hAnsi="Times New Roman"/>
          <w:sz w:val="17"/>
          <w:szCs w:val="17"/>
          <w:color w:val="auto"/>
        </w:rPr>
        <w:t xml:space="preserve"> 300</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Petaluma, CA 94952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26"/>
          <w:szCs w:val="26"/>
          <w:color w:val="auto"/>
        </w:rPr>
        <w:t>MASTER DEVELOPMENT &amp; PRODUCTION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Arial" w:cs="Arial" w:eastAsia="Arial" w:hAnsi="Arial"/>
          <w:sz w:val="26"/>
          <w:szCs w:val="26"/>
          <w:color w:val="auto"/>
        </w:rPr>
        <w:t>APPLICATION SPECIFIC INTEGRATED CIRCUIT (ASIC)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24"/>
          <w:szCs w:val="24"/>
          <w:color w:val="auto"/>
        </w:rPr>
        <w:t>by</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26"/>
          <w:szCs w:val="26"/>
          <w:color w:val="auto"/>
        </w:rPr>
        <w:t xml:space="preserve">and </w:t>
      </w:r>
      <w:r>
        <w:rPr>
          <w:rFonts w:ascii="Arial" w:cs="Arial" w:eastAsia="Arial" w:hAnsi="Arial"/>
          <w:sz w:val="27"/>
          <w:szCs w:val="27"/>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30"/>
          <w:szCs w:val="30"/>
          <w:color w:val="auto"/>
        </w:rPr>
        <w:t>Enphase Energy, Inc.</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24"/>
          <w:szCs w:val="24"/>
          <w:color w:val="auto"/>
        </w:rPr>
        <w:t>and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auto"/>
        </w:rPr>
        <w:t>Fujitsu Microelectronics America, Inc.</w:t>
      </w:r>
    </w:p>
    <w:p>
      <w:pPr>
        <w:sectPr>
          <w:pgSz w:w="11900" w:h="16838" w:orient="portrait"/>
          <w:cols w:equalWidth="0" w:num="1">
            <w:col w:w="11120"/>
          </w:cols>
          <w:pgMar w:left="560" w:top="672" w:right="2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29" w:lineRule="exact"/>
        <w:rPr>
          <w:sz w:val="20"/>
          <w:szCs w:val="20"/>
          <w:color w:val="auto"/>
        </w:rPr>
      </w:pPr>
    </w:p>
    <w:p>
      <w:pPr>
        <w:jc w:val="both"/>
        <w:ind w:left="9"/>
        <w:spacing w:after="0" w:line="244" w:lineRule="auto"/>
        <w:rPr>
          <w:sz w:val="20"/>
          <w:szCs w:val="20"/>
          <w:color w:val="auto"/>
        </w:rPr>
      </w:pPr>
      <w:r>
        <w:rPr>
          <w:rFonts w:ascii="Times New Roman" w:cs="Times New Roman" w:eastAsia="Times New Roman" w:hAnsi="Times New Roman"/>
          <w:sz w:val="16"/>
          <w:szCs w:val="16"/>
          <w:color w:val="auto"/>
        </w:rPr>
        <w:t>This Master Development and Production Agreement (the "Agreement") is entered into this 19 day of August, 2009 ("Effective Date") by and between Enphase Energy, Inc., having its principal place of business at 201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xml:space="preserve"> St., Suite 300, Petaluma, CA 94952 (“Buyer”) and Fujitsu Microelectronics America, Inc., having its principal place of business at 1250 E. Arques Ave., Sunnyvale, CA 94085 (“Seller”). In consideration of the mutual promises herein contained, the parties hereby agree as follows:</w:t>
      </w:r>
    </w:p>
    <w:p>
      <w:pPr>
        <w:spacing w:after="0" w:line="199" w:lineRule="exact"/>
        <w:rPr>
          <w:sz w:val="20"/>
          <w:szCs w:val="20"/>
          <w:color w:val="auto"/>
        </w:rPr>
      </w:pPr>
    </w:p>
    <w:p>
      <w:pPr>
        <w:ind w:left="549" w:hanging="549"/>
        <w:spacing w:after="0"/>
        <w:tabs>
          <w:tab w:leader="none" w:pos="54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PURPOSE OF AGREEMENT</w:t>
      </w:r>
    </w:p>
    <w:p>
      <w:pPr>
        <w:spacing w:after="0" w:line="25" w:lineRule="exact"/>
        <w:rPr>
          <w:rFonts w:ascii="Times New Roman" w:cs="Times New Roman" w:eastAsia="Times New Roman" w:hAnsi="Times New Roman"/>
          <w:sz w:val="17"/>
          <w:szCs w:val="17"/>
          <w:color w:val="auto"/>
        </w:rPr>
      </w:pPr>
    </w:p>
    <w:p>
      <w:pPr>
        <w:ind w:left="549"/>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intends to place Purchase Orders with Seller for the development and production of Application Specific Integrated Circuits (“ASIC” or “Product”). This Agreement sets forth the terms and conditions that will govern the development and supply of Products by Seller and purchase of the Products by Buyer.</w:t>
      </w:r>
    </w:p>
    <w:p>
      <w:pPr>
        <w:spacing w:after="0" w:line="167" w:lineRule="exact"/>
        <w:rPr>
          <w:rFonts w:ascii="Times New Roman" w:cs="Times New Roman" w:eastAsia="Times New Roman" w:hAnsi="Times New Roman"/>
          <w:sz w:val="17"/>
          <w:szCs w:val="17"/>
          <w:color w:val="auto"/>
        </w:rPr>
      </w:pPr>
    </w:p>
    <w:p>
      <w:pPr>
        <w:ind w:left="549" w:hanging="549"/>
        <w:spacing w:after="0"/>
        <w:tabs>
          <w:tab w:leader="none" w:pos="54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DEFINITIONS</w:t>
      </w:r>
    </w:p>
    <w:p>
      <w:pPr>
        <w:spacing w:after="0" w:line="20" w:lineRule="exact"/>
        <w:rPr>
          <w:rFonts w:ascii="Times New Roman" w:cs="Times New Roman" w:eastAsia="Times New Roman" w:hAnsi="Times New Roman"/>
          <w:sz w:val="17"/>
          <w:szCs w:val="17"/>
          <w:color w:val="auto"/>
        </w:rPr>
      </w:pPr>
    </w:p>
    <w:p>
      <w:pPr>
        <w:ind w:left="5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will refer to several documents, each of which are integral to the ASIC Design and development process.</w:t>
      </w:r>
    </w:p>
    <w:p>
      <w:pPr>
        <w:spacing w:after="0" w:line="182" w:lineRule="exact"/>
        <w:rPr>
          <w:rFonts w:ascii="Times New Roman" w:cs="Times New Roman" w:eastAsia="Times New Roman" w:hAnsi="Times New Roman"/>
          <w:sz w:val="17"/>
          <w:szCs w:val="17"/>
          <w:color w:val="auto"/>
        </w:rPr>
      </w:pPr>
    </w:p>
    <w:p>
      <w:pPr>
        <w:ind w:left="869" w:right="20" w:hanging="275"/>
        <w:spacing w:after="0" w:line="269" w:lineRule="auto"/>
        <w:tabs>
          <w:tab w:leader="none" w:pos="86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Development Task Order (“Task Order” - Exhibit A): </w:t>
      </w:r>
      <w:r>
        <w:rPr>
          <w:rFonts w:ascii="Times New Roman" w:cs="Times New Roman" w:eastAsia="Times New Roman" w:hAnsi="Times New Roman"/>
          <w:sz w:val="17"/>
          <w:szCs w:val="17"/>
          <w:color w:val="auto"/>
        </w:rPr>
        <w:t>This document sets forth the terms under which Seller will develop the Product, including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 of Work and the Nonrecurring Engineering Charges (“NRE”).</w:t>
      </w:r>
    </w:p>
    <w:p>
      <w:pPr>
        <w:spacing w:after="0" w:line="178" w:lineRule="exact"/>
        <w:rPr>
          <w:rFonts w:ascii="Times New Roman" w:cs="Times New Roman" w:eastAsia="Times New Roman" w:hAnsi="Times New Roman"/>
          <w:sz w:val="17"/>
          <w:szCs w:val="17"/>
          <w:color w:val="auto"/>
        </w:rPr>
      </w:pPr>
    </w:p>
    <w:p>
      <w:pPr>
        <w:ind w:left="869" w:hanging="275"/>
        <w:spacing w:after="0"/>
        <w:tabs>
          <w:tab w:leader="none" w:pos="86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Change Order (Exhibit B): </w:t>
      </w:r>
      <w:r>
        <w:rPr>
          <w:rFonts w:ascii="Times New Roman" w:cs="Times New Roman" w:eastAsia="Times New Roman" w:hAnsi="Times New Roman"/>
          <w:sz w:val="17"/>
          <w:szCs w:val="17"/>
          <w:color w:val="auto"/>
        </w:rPr>
        <w:t>This document allows the Buyer and Seller to agree to changes to the Task Order.</w:t>
      </w:r>
    </w:p>
    <w:p>
      <w:pPr>
        <w:spacing w:after="0" w:line="192" w:lineRule="exact"/>
        <w:rPr>
          <w:rFonts w:ascii="Times New Roman" w:cs="Times New Roman" w:eastAsia="Times New Roman" w:hAnsi="Times New Roman"/>
          <w:sz w:val="17"/>
          <w:szCs w:val="17"/>
          <w:color w:val="auto"/>
        </w:rPr>
      </w:pPr>
    </w:p>
    <w:p>
      <w:pPr>
        <w:jc w:val="both"/>
        <w:ind w:left="869" w:hanging="275"/>
        <w:spacing w:after="0" w:line="254" w:lineRule="auto"/>
        <w:tabs>
          <w:tab w:leader="none" w:pos="86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Risk and annual ASIC Production Terms (“APT” - Exhibit C): </w:t>
      </w:r>
      <w:r>
        <w:rPr>
          <w:rFonts w:ascii="Times New Roman" w:cs="Times New Roman" w:eastAsia="Times New Roman" w:hAnsi="Times New Roman"/>
          <w:sz w:val="17"/>
          <w:szCs w:val="17"/>
          <w:color w:val="auto"/>
        </w:rPr>
        <w:t>This document provides the terms under which Buyer authorizes Seller to manufacture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deliver an ASIC in development under this Agreement prior to Buyer having provided written approval of engineering samples (“Engineering Samples” or “ES”'). Also, this document provides the specific terms for the production of each ASIC manufactured under this Agreement.</w:t>
      </w:r>
    </w:p>
    <w:p>
      <w:pPr>
        <w:spacing w:after="0" w:line="167" w:lineRule="exact"/>
        <w:rPr>
          <w:rFonts w:ascii="Times New Roman" w:cs="Times New Roman" w:eastAsia="Times New Roman" w:hAnsi="Times New Roman"/>
          <w:sz w:val="17"/>
          <w:szCs w:val="17"/>
          <w:color w:val="auto"/>
        </w:rPr>
      </w:pPr>
    </w:p>
    <w:p>
      <w:pPr>
        <w:ind w:left="869" w:hanging="275"/>
        <w:spacing w:after="0" w:line="269" w:lineRule="auto"/>
        <w:tabs>
          <w:tab w:leader="none" w:pos="86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Design Specifications (“Specifications”): </w:t>
      </w:r>
      <w:r>
        <w:rPr>
          <w:rFonts w:ascii="Times New Roman" w:cs="Times New Roman" w:eastAsia="Times New Roman" w:hAnsi="Times New Roman"/>
          <w:sz w:val="17"/>
          <w:szCs w:val="17"/>
          <w:color w:val="auto"/>
        </w:rPr>
        <w:t>This refers to the terms set forth in the Design Specifications Summary and in Buyer's approved post-layout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simulation results based on final netlist.</w:t>
      </w:r>
    </w:p>
    <w:p>
      <w:pPr>
        <w:spacing w:after="0" w:line="144" w:lineRule="exact"/>
        <w:rPr>
          <w:rFonts w:ascii="Times New Roman" w:cs="Times New Roman" w:eastAsia="Times New Roman" w:hAnsi="Times New Roman"/>
          <w:sz w:val="17"/>
          <w:szCs w:val="17"/>
          <w:color w:val="auto"/>
        </w:rPr>
      </w:pPr>
    </w:p>
    <w:p>
      <w:pPr>
        <w:ind w:left="869" w:hanging="275"/>
        <w:spacing w:after="0"/>
        <w:tabs>
          <w:tab w:leader="none" w:pos="86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Register Transfer Language (“RTL”): </w:t>
      </w:r>
      <w:r>
        <w:rPr>
          <w:rFonts w:ascii="Times New Roman" w:cs="Times New Roman" w:eastAsia="Times New Roman" w:hAnsi="Times New Roman"/>
          <w:sz w:val="17"/>
          <w:szCs w:val="17"/>
          <w:color w:val="auto"/>
        </w:rPr>
        <w:t>A high-level description ASIC language provided by Buyer if the interface is “ RTL Handoff.”</w:t>
      </w:r>
    </w:p>
    <w:p>
      <w:pPr>
        <w:spacing w:after="0" w:line="192" w:lineRule="exact"/>
        <w:rPr>
          <w:rFonts w:ascii="Times New Roman" w:cs="Times New Roman" w:eastAsia="Times New Roman" w:hAnsi="Times New Roman"/>
          <w:sz w:val="17"/>
          <w:szCs w:val="17"/>
          <w:color w:val="auto"/>
        </w:rPr>
      </w:pPr>
    </w:p>
    <w:p>
      <w:pPr>
        <w:ind w:left="869" w:hanging="275"/>
        <w:spacing w:after="0"/>
        <w:tabs>
          <w:tab w:leader="none" w:pos="86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Timing Constraints: </w:t>
      </w:r>
      <w:r>
        <w:rPr>
          <w:rFonts w:ascii="Times New Roman" w:cs="Times New Roman" w:eastAsia="Times New Roman" w:hAnsi="Times New Roman"/>
          <w:sz w:val="17"/>
          <w:szCs w:val="17"/>
          <w:color w:val="auto"/>
        </w:rPr>
        <w:t>Chip input, chip output and chip internal timing requirements.</w:t>
      </w:r>
    </w:p>
    <w:p>
      <w:pPr>
        <w:spacing w:after="0" w:line="192" w:lineRule="exact"/>
        <w:rPr>
          <w:rFonts w:ascii="Times New Roman" w:cs="Times New Roman" w:eastAsia="Times New Roman" w:hAnsi="Times New Roman"/>
          <w:sz w:val="17"/>
          <w:szCs w:val="17"/>
          <w:color w:val="auto"/>
        </w:rPr>
      </w:pPr>
    </w:p>
    <w:p>
      <w:pPr>
        <w:ind w:left="889" w:hanging="272"/>
        <w:spacing w:after="0"/>
        <w:tabs>
          <w:tab w:leader="none" w:pos="889"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Synthesis: </w:t>
      </w:r>
      <w:r>
        <w:rPr>
          <w:rFonts w:ascii="Times New Roman" w:cs="Times New Roman" w:eastAsia="Times New Roman" w:hAnsi="Times New Roman"/>
          <w:sz w:val="17"/>
          <w:szCs w:val="17"/>
          <w:color w:val="auto"/>
        </w:rPr>
        <w:t>This process converts RTL to a netlist based on Seller's ASIC components library. Synthesis is done by Seller since this is an RTL-Handoff.</w:t>
      </w:r>
    </w:p>
    <w:p>
      <w:pPr>
        <w:spacing w:after="0" w:line="192" w:lineRule="exact"/>
        <w:rPr>
          <w:rFonts w:ascii="Times New Roman" w:cs="Times New Roman" w:eastAsia="Times New Roman" w:hAnsi="Times New Roman"/>
          <w:sz w:val="17"/>
          <w:szCs w:val="17"/>
          <w:color w:val="auto"/>
        </w:rPr>
      </w:pPr>
    </w:p>
    <w:p>
      <w:pPr>
        <w:ind w:left="889" w:right="20" w:hanging="272"/>
        <w:spacing w:after="0" w:line="269" w:lineRule="auto"/>
        <w:tabs>
          <w:tab w:leader="none" w:pos="889"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Design Specifications Summary (Exhibit D): </w:t>
      </w:r>
      <w:r>
        <w:rPr>
          <w:rFonts w:ascii="Times New Roman" w:cs="Times New Roman" w:eastAsia="Times New Roman" w:hAnsi="Times New Roman"/>
          <w:sz w:val="17"/>
          <w:szCs w:val="17"/>
          <w:color w:val="auto"/>
        </w:rPr>
        <w:t>This document is used by Buyer to set forth the technical information necessary to define the manufacture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final Product.</w:t>
      </w:r>
    </w:p>
    <w:p>
      <w:pPr>
        <w:spacing w:after="0" w:line="144" w:lineRule="exact"/>
        <w:rPr>
          <w:rFonts w:ascii="Times New Roman" w:cs="Times New Roman" w:eastAsia="Times New Roman" w:hAnsi="Times New Roman"/>
          <w:sz w:val="17"/>
          <w:szCs w:val="17"/>
          <w:color w:val="auto"/>
        </w:rPr>
      </w:pPr>
    </w:p>
    <w:p>
      <w:pPr>
        <w:jc w:val="both"/>
        <w:ind w:left="889" w:hanging="272"/>
        <w:spacing w:after="0" w:line="254" w:lineRule="auto"/>
        <w:tabs>
          <w:tab w:leader="none" w:pos="889"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Floor Planning and Trial Place and Route Phase: </w:t>
      </w:r>
      <w:r>
        <w:rPr>
          <w:rFonts w:ascii="Times New Roman" w:cs="Times New Roman" w:eastAsia="Times New Roman" w:hAnsi="Times New Roman"/>
          <w:sz w:val="17"/>
          <w:szCs w:val="17"/>
          <w:color w:val="auto"/>
        </w:rPr>
        <w:t>Phase begins when Seller accepts or begins work on a partial or complete RTL. The RTL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synthesized and the synthesized netlist may be used to make and verify component placement information. Phase continues until Seller accepts or begins work on agreed-to final RTL.</w:t>
      </w:r>
    </w:p>
    <w:p>
      <w:pPr>
        <w:spacing w:after="0" w:line="156" w:lineRule="exact"/>
        <w:rPr>
          <w:rFonts w:ascii="Times New Roman" w:cs="Times New Roman" w:eastAsia="Times New Roman" w:hAnsi="Times New Roman"/>
          <w:sz w:val="17"/>
          <w:szCs w:val="17"/>
          <w:color w:val="auto"/>
        </w:rPr>
      </w:pPr>
    </w:p>
    <w:p>
      <w:pPr>
        <w:ind w:left="889" w:hanging="272"/>
        <w:spacing w:after="0" w:line="269" w:lineRule="auto"/>
        <w:tabs>
          <w:tab w:leader="none" w:pos="889"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Approval to Start Final Place and Route Sheet: </w:t>
      </w:r>
      <w:r>
        <w:rPr>
          <w:rFonts w:ascii="Times New Roman" w:cs="Times New Roman" w:eastAsia="Times New Roman" w:hAnsi="Times New Roman"/>
          <w:sz w:val="17"/>
          <w:szCs w:val="17"/>
          <w:color w:val="auto"/>
        </w:rPr>
        <w:t>This document authorizes Seller to begin final place and/or route when the criteria in the document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 The execution of this form is a pre-requisite lo start the final layout of the Product.</w:t>
      </w:r>
    </w:p>
    <w:p>
      <w:pPr>
        <w:sectPr>
          <w:pgSz w:w="11900" w:h="16838" w:orient="portrait"/>
          <w:cols w:equalWidth="0" w:num="1">
            <w:col w:w="11449"/>
          </w:cols>
          <w:pgMar w:left="231" w:top="672" w:right="2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25" w:lineRule="exact"/>
        <w:rPr>
          <w:sz w:val="20"/>
          <w:szCs w:val="20"/>
          <w:color w:val="auto"/>
        </w:rPr>
      </w:pPr>
    </w:p>
    <w:p>
      <w:pPr>
        <w:ind w:left="889" w:hanging="272"/>
        <w:spacing w:after="0"/>
        <w:tabs>
          <w:tab w:leader="none" w:pos="8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Final Place and Route Phase: </w:t>
      </w:r>
      <w:r>
        <w:rPr>
          <w:rFonts w:ascii="Times New Roman" w:cs="Times New Roman" w:eastAsia="Times New Roman" w:hAnsi="Times New Roman"/>
          <w:sz w:val="17"/>
          <w:szCs w:val="17"/>
          <w:color w:val="auto"/>
        </w:rPr>
        <w:t>Phase begins with Seller's acceptance of final RTL.</w:t>
      </w:r>
    </w:p>
    <w:p>
      <w:pPr>
        <w:spacing w:after="0" w:line="192" w:lineRule="exact"/>
        <w:rPr>
          <w:rFonts w:ascii="Times New Roman" w:cs="Times New Roman" w:eastAsia="Times New Roman" w:hAnsi="Times New Roman"/>
          <w:sz w:val="17"/>
          <w:szCs w:val="17"/>
          <w:color w:val="auto"/>
        </w:rPr>
      </w:pPr>
    </w:p>
    <w:p>
      <w:pPr>
        <w:ind w:left="889" w:hanging="272"/>
        <w:spacing w:after="0" w:line="269" w:lineRule="auto"/>
        <w:tabs>
          <w:tab w:leader="none" w:pos="8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Timing Data Extraction: </w:t>
      </w:r>
      <w:r>
        <w:rPr>
          <w:rFonts w:ascii="Times New Roman" w:cs="Times New Roman" w:eastAsia="Times New Roman" w:hAnsi="Times New Roman"/>
          <w:sz w:val="17"/>
          <w:szCs w:val="17"/>
          <w:color w:val="auto"/>
        </w:rPr>
        <w:t>Delay information pertaining to the ASIC, extracted from the layout. Final timing data extraction is the first one provided 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Final Place and Route Phase starts that meets the agreed to Timing Constraints set when entering the Final Place and Route Phase.</w:t>
      </w:r>
    </w:p>
    <w:p>
      <w:pPr>
        <w:spacing w:after="0" w:line="144" w:lineRule="exact"/>
        <w:rPr>
          <w:rFonts w:ascii="Times New Roman" w:cs="Times New Roman" w:eastAsia="Times New Roman" w:hAnsi="Times New Roman"/>
          <w:sz w:val="17"/>
          <w:szCs w:val="17"/>
          <w:color w:val="auto"/>
        </w:rPr>
      </w:pPr>
    </w:p>
    <w:p>
      <w:pPr>
        <w:ind w:left="889" w:hanging="272"/>
        <w:spacing w:after="0"/>
        <w:tabs>
          <w:tab w:leader="none" w:pos="8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Layout Data Verification: </w:t>
      </w:r>
      <w:r>
        <w:rPr>
          <w:rFonts w:ascii="Times New Roman" w:cs="Times New Roman" w:eastAsia="Times New Roman" w:hAnsi="Times New Roman"/>
          <w:sz w:val="17"/>
          <w:szCs w:val="17"/>
          <w:color w:val="auto"/>
        </w:rPr>
        <w:t>Seller verifies that the ASIC obeys physical manufacturing rules and the layout functionally matches the Buyer's circuit.</w:t>
      </w:r>
    </w:p>
    <w:p>
      <w:pPr>
        <w:spacing w:after="0" w:line="192" w:lineRule="exact"/>
        <w:rPr>
          <w:rFonts w:ascii="Times New Roman" w:cs="Times New Roman" w:eastAsia="Times New Roman" w:hAnsi="Times New Roman"/>
          <w:sz w:val="17"/>
          <w:szCs w:val="17"/>
          <w:color w:val="auto"/>
        </w:rPr>
      </w:pPr>
    </w:p>
    <w:p>
      <w:pPr>
        <w:jc w:val="both"/>
        <w:ind w:left="889" w:hanging="272"/>
        <w:spacing w:after="0" w:line="254" w:lineRule="auto"/>
        <w:tabs>
          <w:tab w:leader="none" w:pos="8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Post-Layout Approval Sheet: </w:t>
      </w:r>
      <w:r>
        <w:rPr>
          <w:rFonts w:ascii="Times New Roman" w:cs="Times New Roman" w:eastAsia="Times New Roman" w:hAnsi="Times New Roman"/>
          <w:sz w:val="17"/>
          <w:szCs w:val="17"/>
          <w:color w:val="auto"/>
        </w:rPr>
        <w:t>This document sets forth the post-layout output from the Seller's design verification tools and allows Buyer and Seller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 whether the data are acceptable and within the Buyer's Specifications. The execution of this form is a prerequisite to tapeout and mask making for the Product and shall be deemed to incorporate Buyer's Design Specifications Summary and Buyer's approved post-layout results.</w:t>
      </w:r>
    </w:p>
    <w:p>
      <w:pPr>
        <w:spacing w:after="0" w:line="156" w:lineRule="exact"/>
        <w:rPr>
          <w:rFonts w:ascii="Times New Roman" w:cs="Times New Roman" w:eastAsia="Times New Roman" w:hAnsi="Times New Roman"/>
          <w:sz w:val="17"/>
          <w:szCs w:val="17"/>
          <w:color w:val="auto"/>
        </w:rPr>
      </w:pPr>
    </w:p>
    <w:p>
      <w:pPr>
        <w:jc w:val="both"/>
        <w:ind w:left="889" w:hanging="272"/>
        <w:spacing w:after="0" w:line="254" w:lineRule="auto"/>
        <w:tabs>
          <w:tab w:leader="none" w:pos="8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Approval to Move to Mass Production: </w:t>
      </w:r>
      <w:r>
        <w:rPr>
          <w:rFonts w:ascii="Times New Roman" w:cs="Times New Roman" w:eastAsia="Times New Roman" w:hAnsi="Times New Roman"/>
          <w:sz w:val="17"/>
          <w:szCs w:val="17"/>
          <w:color w:val="auto"/>
        </w:rPr>
        <w:t>The Buyer must indicate approval in writing to move production control from Seller's engineering to Seller's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production control. The execution of this form is a prerequisite to mass production of the Product. This form may be signed by either the </w:t>
      </w:r>
      <w:r>
        <w:rPr>
          <w:rFonts w:ascii="Times New Roman" w:cs="Times New Roman" w:eastAsia="Times New Roman" w:hAnsi="Times New Roman"/>
          <w:sz w:val="17"/>
          <w:szCs w:val="17"/>
          <w:i w:val="1"/>
          <w:iCs w:val="1"/>
          <w:color w:val="auto"/>
        </w:rPr>
        <w:t>VP</w:t>
      </w:r>
      <w:r>
        <w:rPr>
          <w:rFonts w:ascii="Times New Roman" w:cs="Times New Roman" w:eastAsia="Times New Roman" w:hAnsi="Times New Roman"/>
          <w:sz w:val="17"/>
          <w:szCs w:val="17"/>
          <w:color w:val="auto"/>
        </w:rPr>
        <w:t xml:space="preserve"> of Operations or the Vice President of Engineering of Buyer, with the individuals currently holding such titles shown on Exhibit E.</w:t>
      </w:r>
    </w:p>
    <w:p>
      <w:pPr>
        <w:spacing w:after="0" w:line="156" w:lineRule="exact"/>
        <w:rPr>
          <w:rFonts w:ascii="Times New Roman" w:cs="Times New Roman" w:eastAsia="Times New Roman" w:hAnsi="Times New Roman"/>
          <w:sz w:val="17"/>
          <w:szCs w:val="17"/>
          <w:color w:val="auto"/>
        </w:rPr>
      </w:pPr>
    </w:p>
    <w:p>
      <w:pPr>
        <w:ind w:left="889" w:hanging="272"/>
        <w:spacing w:after="0" w:line="269" w:lineRule="auto"/>
        <w:tabs>
          <w:tab w:leader="none" w:pos="8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Statement of Work (“SOW” - Exhibit F): </w:t>
      </w:r>
      <w:r>
        <w:rPr>
          <w:rFonts w:ascii="Times New Roman" w:cs="Times New Roman" w:eastAsia="Times New Roman" w:hAnsi="Times New Roman"/>
          <w:sz w:val="17"/>
          <w:szCs w:val="17"/>
          <w:color w:val="auto"/>
        </w:rPr>
        <w:t>It defines technical deliverables and responsibilities. It contains detailed schedules of ASIC design project.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Subsequent SOWs may be executed as Exhibit F-1, F-2, etc.</w:t>
      </w:r>
    </w:p>
    <w:p>
      <w:pPr>
        <w:spacing w:after="0" w:line="144" w:lineRule="exact"/>
        <w:rPr>
          <w:rFonts w:ascii="Times New Roman" w:cs="Times New Roman" w:eastAsia="Times New Roman" w:hAnsi="Times New Roman"/>
          <w:sz w:val="17"/>
          <w:szCs w:val="17"/>
          <w:color w:val="auto"/>
        </w:rPr>
      </w:pPr>
    </w:p>
    <w:p>
      <w:pPr>
        <w:ind w:left="889" w:right="20" w:hanging="272"/>
        <w:spacing w:after="0" w:line="269" w:lineRule="auto"/>
        <w:tabs>
          <w:tab w:leader="none" w:pos="88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Product: </w:t>
      </w:r>
      <w:r>
        <w:rPr>
          <w:rFonts w:ascii="Times New Roman" w:cs="Times New Roman" w:eastAsia="Times New Roman" w:hAnsi="Times New Roman"/>
          <w:sz w:val="17"/>
          <w:szCs w:val="17"/>
          <w:color w:val="auto"/>
        </w:rPr>
        <w:t>Semiconductor ASIC (Application Specific Integrated Circuit) device supplied by Seller in accordance with the terms and conditions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w:t>
      </w:r>
    </w:p>
    <w:p>
      <w:pPr>
        <w:spacing w:after="0" w:line="148" w:lineRule="exact"/>
        <w:rPr>
          <w:rFonts w:ascii="Times New Roman" w:cs="Times New Roman" w:eastAsia="Times New Roman" w:hAnsi="Times New Roman"/>
          <w:sz w:val="17"/>
          <w:szCs w:val="17"/>
          <w:color w:val="auto"/>
        </w:rPr>
      </w:pPr>
    </w:p>
    <w:p>
      <w:pPr>
        <w:ind w:left="549" w:hanging="549"/>
        <w:spacing w:after="0"/>
        <w:tabs>
          <w:tab w:leader="none" w:pos="5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w:t>
      </w:r>
    </w:p>
    <w:p>
      <w:pPr>
        <w:spacing w:after="0" w:line="16" w:lineRule="exact"/>
        <w:rPr>
          <w:rFonts w:ascii="Times New Roman" w:cs="Times New Roman" w:eastAsia="Times New Roman" w:hAnsi="Times New Roman"/>
          <w:sz w:val="17"/>
          <w:szCs w:val="17"/>
          <w:color w:val="auto"/>
        </w:rPr>
      </w:pPr>
    </w:p>
    <w:p>
      <w:pPr>
        <w:ind w:left="549"/>
        <w:spacing w:after="0" w:line="2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will commence on the Effective Date and will remain in effect for five (5) years, followed by automatic one-year renewals, unless and until either party provides the other with at least six (6) months prior written notice of termination of this Agreement.</w:t>
      </w:r>
    </w:p>
    <w:p>
      <w:pPr>
        <w:spacing w:after="0" w:line="170" w:lineRule="exact"/>
        <w:rPr>
          <w:rFonts w:ascii="Times New Roman" w:cs="Times New Roman" w:eastAsia="Times New Roman" w:hAnsi="Times New Roman"/>
          <w:sz w:val="17"/>
          <w:szCs w:val="17"/>
          <w:color w:val="auto"/>
        </w:rPr>
      </w:pPr>
    </w:p>
    <w:p>
      <w:pPr>
        <w:ind w:left="549" w:hanging="549"/>
        <w:spacing w:after="0"/>
        <w:tabs>
          <w:tab w:leader="none" w:pos="5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PRODUCT</w:t>
      </w:r>
    </w:p>
    <w:p>
      <w:pPr>
        <w:spacing w:after="0" w:line="192" w:lineRule="exact"/>
        <w:rPr>
          <w:rFonts w:ascii="Times New Roman" w:cs="Times New Roman" w:eastAsia="Times New Roman" w:hAnsi="Times New Roman"/>
          <w:sz w:val="17"/>
          <w:szCs w:val="17"/>
          <w:color w:val="auto"/>
        </w:rPr>
      </w:pPr>
    </w:p>
    <w:p>
      <w:pPr>
        <w:ind w:left="5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terms and conditions apply to Products that are in the development stage:</w:t>
      </w:r>
    </w:p>
    <w:p>
      <w:pPr>
        <w:spacing w:after="0" w:line="223" w:lineRule="exact"/>
        <w:rPr>
          <w:sz w:val="20"/>
          <w:szCs w:val="20"/>
          <w:color w:val="auto"/>
        </w:rPr>
      </w:pPr>
    </w:p>
    <w:p>
      <w:pPr>
        <w:ind w:left="589"/>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b w:val="1"/>
          <w:bCs w:val="1"/>
          <w:color w:val="auto"/>
        </w:rPr>
        <w:t>Development Task Order</w:t>
      </w:r>
    </w:p>
    <w:p>
      <w:pPr>
        <w:spacing w:after="0" w:line="26" w:lineRule="exact"/>
        <w:rPr>
          <w:sz w:val="20"/>
          <w:szCs w:val="20"/>
          <w:color w:val="auto"/>
        </w:rPr>
      </w:pPr>
    </w:p>
    <w:p>
      <w:pPr>
        <w:jc w:val="both"/>
        <w:ind w:left="1109" w:firstLine="11"/>
        <w:spacing w:after="0" w:line="266" w:lineRule="auto"/>
        <w:rPr>
          <w:sz w:val="20"/>
          <w:szCs w:val="20"/>
          <w:color w:val="auto"/>
        </w:rPr>
      </w:pPr>
      <w:r>
        <w:rPr>
          <w:rFonts w:ascii="Times New Roman" w:cs="Times New Roman" w:eastAsia="Times New Roman" w:hAnsi="Times New Roman"/>
          <w:sz w:val="17"/>
          <w:szCs w:val="17"/>
          <w:color w:val="auto"/>
        </w:rPr>
        <w:t>For each Product in development, Buyer will execute a Task Order. Seller is authorized to proceed with Final Place &amp; Route Phase only after the Task Order has</w:t>
      </w:r>
    </w:p>
    <w:p>
      <w:pPr>
        <w:spacing w:after="0" w:line="1" w:lineRule="exact"/>
        <w:rPr>
          <w:sz w:val="20"/>
          <w:szCs w:val="20"/>
          <w:color w:val="auto"/>
        </w:rPr>
      </w:pPr>
    </w:p>
    <w:p>
      <w:pPr>
        <w:ind w:left="1109"/>
        <w:spacing w:after="0"/>
        <w:rPr>
          <w:sz w:val="20"/>
          <w:szCs w:val="20"/>
          <w:color w:val="auto"/>
        </w:rPr>
      </w:pPr>
      <w:r>
        <w:rPr>
          <w:rFonts w:ascii="Times New Roman" w:cs="Times New Roman" w:eastAsia="Times New Roman" w:hAnsi="Times New Roman"/>
          <w:sz w:val="17"/>
          <w:szCs w:val="17"/>
          <w:color w:val="auto"/>
        </w:rPr>
        <w:t>been signed by Buyer and Seller.</w:t>
      </w:r>
    </w:p>
    <w:p>
      <w:pPr>
        <w:spacing w:after="0" w:line="212" w:lineRule="exact"/>
        <w:rPr>
          <w:sz w:val="20"/>
          <w:szCs w:val="20"/>
          <w:color w:val="auto"/>
        </w:rPr>
      </w:pPr>
    </w:p>
    <w:p>
      <w:pPr>
        <w:ind w:left="589"/>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Change Orders</w:t>
      </w:r>
    </w:p>
    <w:p>
      <w:pPr>
        <w:spacing w:after="0" w:line="21" w:lineRule="exact"/>
        <w:rPr>
          <w:sz w:val="20"/>
          <w:szCs w:val="20"/>
          <w:color w:val="auto"/>
        </w:rPr>
      </w:pPr>
    </w:p>
    <w:p>
      <w:pPr>
        <w:jc w:val="both"/>
        <w:ind w:left="1089" w:firstLine="11"/>
        <w:spacing w:after="0" w:line="239" w:lineRule="auto"/>
        <w:rPr>
          <w:sz w:val="20"/>
          <w:szCs w:val="20"/>
          <w:color w:val="auto"/>
        </w:rPr>
      </w:pPr>
      <w:r>
        <w:rPr>
          <w:rFonts w:ascii="Times New Roman" w:cs="Times New Roman" w:eastAsia="Times New Roman" w:hAnsi="Times New Roman"/>
          <w:sz w:val="17"/>
          <w:szCs w:val="17"/>
          <w:color w:val="auto"/>
        </w:rPr>
        <w:t>Buyer may request changes to the then-current Task Order by submitting a Change Order to Seller. Seller will be obligated to proceed with development under the Change Order as of the date that both parties have signed the Change Order. Seller will not unreasonably, taking into consideration the significance of the change, withhold or delay its signing of each such Change Order submitted by Buyer. Once the Change Order is signed by Buyer and Seller, then work pursuant to the Change Order will be undertaken in accordance with the schedule set forth in the Change Order and any applicable Task Order and/or Statement of Work.</w:t>
      </w:r>
    </w:p>
    <w:p>
      <w:pPr>
        <w:sectPr>
          <w:pgSz w:w="11900" w:h="16838" w:orient="portrait"/>
          <w:cols w:equalWidth="0" w:num="1">
            <w:col w:w="11449"/>
          </w:cols>
          <w:pgMar w:left="231" w:top="672" w:right="2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7" w:lineRule="exact"/>
        <w:rPr>
          <w:sz w:val="20"/>
          <w:szCs w:val="20"/>
          <w:color w:val="auto"/>
        </w:rPr>
      </w:pPr>
    </w:p>
    <w:p>
      <w:pPr>
        <w:ind w:left="760" w:hanging="152"/>
        <w:spacing w:after="0"/>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w:t>
      </w:r>
    </w:p>
    <w:p>
      <w:pPr>
        <w:spacing w:after="0" w:line="26" w:lineRule="exact"/>
        <w:rPr>
          <w:sz w:val="20"/>
          <w:szCs w:val="20"/>
          <w:color w:val="auto"/>
        </w:rPr>
      </w:pPr>
    </w:p>
    <w:p>
      <w:pPr>
        <w:jc w:val="both"/>
        <w:ind w:left="1140" w:firstLine="11"/>
        <w:spacing w:after="0" w:line="228" w:lineRule="auto"/>
        <w:rPr>
          <w:sz w:val="20"/>
          <w:szCs w:val="20"/>
          <w:color w:val="auto"/>
        </w:rPr>
      </w:pPr>
      <w:r>
        <w:rPr>
          <w:rFonts w:ascii="Times New Roman" w:cs="Times New Roman" w:eastAsia="Times New Roman" w:hAnsi="Times New Roman"/>
          <w:sz w:val="17"/>
          <w:szCs w:val="17"/>
          <w:color w:val="auto"/>
        </w:rPr>
        <w:t>Subject to credit approval by Seller (which shall be consistent with Seller's standard credit approval practices), as of the date of execution of this Agreement, Buyer has paid Seller fifty percent (50%) of NRE for development of the ASICs referred to by the parties as “Raven” and “Jay”, respectively, and payment for Item 2 for Jay in Table 1 below (in the amount of $48.000). The remaining NRE payments (those not paid by Buyer as of the date of execution of this Agreement) will be based on Seller's achievement of the milestones set forth in the below tables. Seller shall notify Buyer in writing of each achievement of a milestone set forth in the table below, which notice shall be accompanied by an invoice for the corresponding NRE payment. Payment terms for all invoices issued under this Agreement shall be net 30 days after Buyer's receipt of invoice, which will be issued electronically.</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Table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Jay</w:t>
      </w:r>
      <w:r>
        <w:rPr>
          <w:rFonts w:ascii="Times New Roman" w:cs="Times New Roman" w:eastAsia="Times New Roman" w:hAnsi="Times New Roman"/>
          <w:sz w:val="18"/>
          <w:szCs w:val="18"/>
          <w:color w:val="auto"/>
        </w:rPr>
        <w:t xml:space="preserve"> NRE Payment Schedule</w:t>
      </w:r>
    </w:p>
    <w:p>
      <w:pPr>
        <w:spacing w:after="0" w:line="200" w:lineRule="exact"/>
        <w:rPr>
          <w:sz w:val="20"/>
          <w:szCs w:val="20"/>
          <w:color w:val="auto"/>
        </w:rPr>
      </w:pPr>
    </w:p>
    <w:p>
      <w:pPr>
        <w:spacing w:after="0" w:line="308"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Item</w:t>
            </w:r>
          </w:p>
        </w:tc>
        <w:tc>
          <w:tcPr>
            <w:tcW w:w="100" w:type="dxa"/>
            <w:vAlign w:val="bottom"/>
          </w:tcPr>
          <w:p>
            <w:pPr>
              <w:spacing w:after="0"/>
              <w:rPr>
                <w:sz w:val="16"/>
                <w:szCs w:val="16"/>
                <w:color w:val="auto"/>
              </w:rPr>
            </w:pPr>
          </w:p>
        </w:tc>
        <w:tc>
          <w:tcPr>
            <w:tcW w:w="692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Activity</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Cost</w:t>
            </w:r>
          </w:p>
        </w:tc>
      </w:tr>
      <w:tr>
        <w:trPr>
          <w:trHeight w:val="202"/>
        </w:trPr>
        <w:tc>
          <w:tcPr>
            <w:tcW w:w="92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020" w:type="dxa"/>
            <w:vAlign w:val="bottom"/>
            <w:gridSpan w:val="2"/>
          </w:tcPr>
          <w:p>
            <w:pPr>
              <w:ind w:left="300"/>
              <w:spacing w:after="0"/>
              <w:rPr>
                <w:sz w:val="20"/>
                <w:szCs w:val="20"/>
                <w:color w:val="auto"/>
              </w:rPr>
            </w:pPr>
            <w:r>
              <w:rPr>
                <w:rFonts w:ascii="Arial" w:cs="Arial" w:eastAsia="Arial" w:hAnsi="Arial"/>
                <w:sz w:val="14"/>
                <w:szCs w:val="14"/>
                <w:color w:val="auto"/>
              </w:rPr>
              <w:t>Project Kickoff (paid)</w:t>
            </w:r>
          </w:p>
        </w:tc>
        <w:tc>
          <w:tcPr>
            <w:tcW w:w="50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80,000.00</w:t>
            </w:r>
          </w:p>
        </w:tc>
      </w:tr>
      <w:tr>
        <w:trPr>
          <w:trHeight w:val="228"/>
        </w:trPr>
        <w:tc>
          <w:tcPr>
            <w:tcW w:w="92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7020" w:type="dxa"/>
            <w:vAlign w:val="bottom"/>
            <w:gridSpan w:val="2"/>
          </w:tcPr>
          <w:p>
            <w:pPr>
              <w:ind w:left="320"/>
              <w:spacing w:after="0"/>
              <w:rPr>
                <w:sz w:val="20"/>
                <w:szCs w:val="20"/>
                <w:color w:val="auto"/>
              </w:rPr>
            </w:pPr>
            <w:r>
              <w:rPr>
                <w:rFonts w:ascii="Arial" w:cs="Arial" w:eastAsia="Arial" w:hAnsi="Arial"/>
                <w:sz w:val="14"/>
                <w:szCs w:val="14"/>
                <w:color w:val="auto"/>
              </w:rPr>
              <w:t>RTL Handoff (paid)</w:t>
            </w:r>
          </w:p>
        </w:tc>
        <w:tc>
          <w:tcPr>
            <w:tcW w:w="50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48,000.00</w:t>
            </w:r>
          </w:p>
        </w:tc>
      </w:tr>
      <w:tr>
        <w:trPr>
          <w:trHeight w:val="228"/>
        </w:trPr>
        <w:tc>
          <w:tcPr>
            <w:tcW w:w="92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7020" w:type="dxa"/>
            <w:vAlign w:val="bottom"/>
            <w:gridSpan w:val="2"/>
          </w:tcPr>
          <w:p>
            <w:pPr>
              <w:ind w:left="300"/>
              <w:spacing w:after="0"/>
              <w:rPr>
                <w:sz w:val="20"/>
                <w:szCs w:val="20"/>
                <w:color w:val="auto"/>
              </w:rPr>
            </w:pPr>
            <w:r>
              <w:rPr>
                <w:rFonts w:ascii="Arial" w:cs="Arial" w:eastAsia="Arial" w:hAnsi="Arial"/>
                <w:sz w:val="14"/>
                <w:szCs w:val="14"/>
                <w:color w:val="auto"/>
              </w:rPr>
              <w:t>IP Development</w:t>
            </w:r>
          </w:p>
        </w:tc>
        <w:tc>
          <w:tcPr>
            <w:tcW w:w="50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8,000.00</w:t>
            </w:r>
          </w:p>
        </w:tc>
      </w:tr>
      <w:tr>
        <w:trPr>
          <w:trHeight w:val="228"/>
        </w:trPr>
        <w:tc>
          <w:tcPr>
            <w:tcW w:w="92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7020" w:type="dxa"/>
            <w:vAlign w:val="bottom"/>
            <w:gridSpan w:val="2"/>
          </w:tcPr>
          <w:p>
            <w:pPr>
              <w:ind w:left="300"/>
              <w:spacing w:after="0"/>
              <w:rPr>
                <w:sz w:val="20"/>
                <w:szCs w:val="20"/>
                <w:color w:val="auto"/>
              </w:rPr>
            </w:pPr>
            <w:r>
              <w:rPr>
                <w:rFonts w:ascii="Arial" w:cs="Arial" w:eastAsia="Arial" w:hAnsi="Arial"/>
                <w:sz w:val="14"/>
                <w:szCs w:val="14"/>
                <w:color w:val="auto"/>
              </w:rPr>
              <w:t>SDF Delivery &amp; Timing Closure</w:t>
            </w:r>
          </w:p>
        </w:tc>
        <w:tc>
          <w:tcPr>
            <w:tcW w:w="50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8,000.00</w:t>
            </w:r>
          </w:p>
        </w:tc>
      </w:tr>
      <w:tr>
        <w:trPr>
          <w:trHeight w:val="228"/>
        </w:trPr>
        <w:tc>
          <w:tcPr>
            <w:tcW w:w="92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7020" w:type="dxa"/>
            <w:vAlign w:val="bottom"/>
            <w:gridSpan w:val="2"/>
          </w:tcPr>
          <w:p>
            <w:pPr>
              <w:ind w:left="300"/>
              <w:spacing w:after="0"/>
              <w:rPr>
                <w:sz w:val="20"/>
                <w:szCs w:val="20"/>
                <w:color w:val="auto"/>
              </w:rPr>
            </w:pPr>
            <w:r>
              <w:rPr>
                <w:rFonts w:ascii="Arial" w:cs="Arial" w:eastAsia="Arial" w:hAnsi="Arial"/>
                <w:sz w:val="14"/>
                <w:szCs w:val="14"/>
                <w:color w:val="auto"/>
              </w:rPr>
              <w:t>Tapeout</w:t>
            </w:r>
          </w:p>
        </w:tc>
        <w:tc>
          <w:tcPr>
            <w:tcW w:w="50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8,000.00</w:t>
            </w:r>
          </w:p>
        </w:tc>
      </w:tr>
      <w:tr>
        <w:trPr>
          <w:trHeight w:val="235"/>
        </w:trPr>
        <w:tc>
          <w:tcPr>
            <w:tcW w:w="92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0"/>
                <w:szCs w:val="20"/>
                <w:color w:val="auto"/>
              </w:rPr>
            </w:pPr>
          </w:p>
        </w:tc>
        <w:tc>
          <w:tcPr>
            <w:tcW w:w="7020" w:type="dxa"/>
            <w:vAlign w:val="bottom"/>
            <w:gridSpan w:val="2"/>
          </w:tcPr>
          <w:p>
            <w:pPr>
              <w:ind w:left="300"/>
              <w:spacing w:after="0"/>
              <w:rPr>
                <w:sz w:val="20"/>
                <w:szCs w:val="20"/>
                <w:color w:val="auto"/>
              </w:rPr>
            </w:pPr>
            <w:r>
              <w:rPr>
                <w:rFonts w:ascii="Arial" w:cs="Arial" w:eastAsia="Arial" w:hAnsi="Arial"/>
                <w:sz w:val="14"/>
                <w:szCs w:val="14"/>
                <w:color w:val="auto"/>
              </w:rPr>
              <w:t>Engineering Samples</w:t>
            </w:r>
          </w:p>
        </w:tc>
        <w:tc>
          <w:tcPr>
            <w:tcW w:w="5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8,000.00</w:t>
            </w:r>
          </w:p>
        </w:tc>
      </w:tr>
      <w:tr>
        <w:trPr>
          <w:trHeight w:val="202"/>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2"/>
          </w:tcPr>
          <w:p>
            <w:pPr>
              <w:ind w:left="400"/>
              <w:spacing w:after="0"/>
              <w:rPr>
                <w:sz w:val="20"/>
                <w:szCs w:val="20"/>
                <w:color w:val="auto"/>
              </w:rPr>
            </w:pPr>
            <w:r>
              <w:rPr>
                <w:rFonts w:ascii="Arial" w:cs="Arial" w:eastAsia="Arial" w:hAnsi="Arial"/>
                <w:sz w:val="14"/>
                <w:szCs w:val="14"/>
                <w:color w:val="auto"/>
              </w:rPr>
              <w:t>Total</w:t>
            </w:r>
          </w:p>
        </w:tc>
        <w:tc>
          <w:tcPr>
            <w:tcW w:w="50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color w:val="auto"/>
              </w:rPr>
              <w:t>160,000.00</w:t>
            </w: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Table 2 Raven NRE Payment Schedule</w:t>
      </w:r>
    </w:p>
    <w:p>
      <w:pPr>
        <w:spacing w:after="0" w:line="200" w:lineRule="exact"/>
        <w:rPr>
          <w:sz w:val="20"/>
          <w:szCs w:val="20"/>
          <w:color w:val="auto"/>
        </w:rPr>
      </w:pPr>
    </w:p>
    <w:p>
      <w:pPr>
        <w:spacing w:after="0" w:line="308"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Item</w:t>
            </w:r>
          </w:p>
        </w:tc>
        <w:tc>
          <w:tcPr>
            <w:tcW w:w="100" w:type="dxa"/>
            <w:vAlign w:val="bottom"/>
          </w:tcPr>
          <w:p>
            <w:pPr>
              <w:spacing w:after="0"/>
              <w:rPr>
                <w:sz w:val="16"/>
                <w:szCs w:val="16"/>
                <w:color w:val="auto"/>
              </w:rPr>
            </w:pPr>
          </w:p>
        </w:tc>
        <w:tc>
          <w:tcPr>
            <w:tcW w:w="328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Activity</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Cost</w:t>
            </w:r>
          </w:p>
        </w:tc>
      </w:tr>
      <w:tr>
        <w:trPr>
          <w:trHeight w:val="202"/>
        </w:trPr>
        <w:tc>
          <w:tcPr>
            <w:tcW w:w="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17"/>
                <w:szCs w:val="17"/>
                <w:color w:val="auto"/>
              </w:rPr>
            </w:pPr>
          </w:p>
        </w:tc>
        <w:tc>
          <w:tcPr>
            <w:tcW w:w="3360" w:type="dxa"/>
            <w:vAlign w:val="bottom"/>
            <w:gridSpan w:val="2"/>
          </w:tcPr>
          <w:p>
            <w:pPr>
              <w:ind w:left="300"/>
              <w:spacing w:after="0"/>
              <w:rPr>
                <w:sz w:val="20"/>
                <w:szCs w:val="20"/>
                <w:color w:val="auto"/>
              </w:rPr>
            </w:pPr>
            <w:r>
              <w:rPr>
                <w:rFonts w:ascii="Arial" w:cs="Arial" w:eastAsia="Arial" w:hAnsi="Arial"/>
                <w:sz w:val="14"/>
                <w:szCs w:val="14"/>
                <w:color w:val="auto"/>
              </w:rPr>
              <w:t>Project Kickoff (paid)</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100,000.00</w:t>
            </w:r>
          </w:p>
        </w:tc>
      </w:tr>
      <w:tr>
        <w:trPr>
          <w:trHeight w:val="228"/>
        </w:trPr>
        <w:tc>
          <w:tcPr>
            <w:tcW w:w="4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9"/>
                <w:szCs w:val="19"/>
                <w:color w:val="auto"/>
              </w:rPr>
            </w:pPr>
          </w:p>
        </w:tc>
        <w:tc>
          <w:tcPr>
            <w:tcW w:w="3360" w:type="dxa"/>
            <w:vAlign w:val="bottom"/>
            <w:gridSpan w:val="2"/>
          </w:tcPr>
          <w:p>
            <w:pPr>
              <w:ind w:left="320"/>
              <w:spacing w:after="0"/>
              <w:rPr>
                <w:sz w:val="20"/>
                <w:szCs w:val="20"/>
                <w:color w:val="auto"/>
              </w:rPr>
            </w:pPr>
            <w:r>
              <w:rPr>
                <w:rFonts w:ascii="Arial" w:cs="Arial" w:eastAsia="Arial" w:hAnsi="Arial"/>
                <w:sz w:val="14"/>
                <w:szCs w:val="14"/>
                <w:color w:val="auto"/>
              </w:rPr>
              <w:t>RTL Handoff (paid)</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60,000.00</w:t>
            </w:r>
          </w:p>
        </w:tc>
      </w:tr>
      <w:tr>
        <w:trPr>
          <w:trHeight w:val="228"/>
        </w:trPr>
        <w:tc>
          <w:tcPr>
            <w:tcW w:w="42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tcPr>
          <w:p>
            <w:pPr>
              <w:spacing w:after="0"/>
              <w:rPr>
                <w:sz w:val="19"/>
                <w:szCs w:val="19"/>
                <w:color w:val="auto"/>
              </w:rPr>
            </w:pPr>
          </w:p>
        </w:tc>
        <w:tc>
          <w:tcPr>
            <w:tcW w:w="3360" w:type="dxa"/>
            <w:vAlign w:val="bottom"/>
            <w:gridSpan w:val="2"/>
          </w:tcPr>
          <w:p>
            <w:pPr>
              <w:ind w:left="300"/>
              <w:spacing w:after="0"/>
              <w:rPr>
                <w:sz w:val="20"/>
                <w:szCs w:val="20"/>
                <w:color w:val="auto"/>
              </w:rPr>
            </w:pPr>
            <w:r>
              <w:rPr>
                <w:rFonts w:ascii="Arial" w:cs="Arial" w:eastAsia="Arial" w:hAnsi="Arial"/>
                <w:sz w:val="14"/>
                <w:szCs w:val="14"/>
                <w:color w:val="auto"/>
              </w:rPr>
              <w:t>IP Development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228"/>
        </w:trPr>
        <w:tc>
          <w:tcPr>
            <w:tcW w:w="42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tcPr>
          <w:p>
            <w:pPr>
              <w:spacing w:after="0"/>
              <w:rPr>
                <w:sz w:val="19"/>
                <w:szCs w:val="19"/>
                <w:color w:val="auto"/>
              </w:rPr>
            </w:pPr>
          </w:p>
        </w:tc>
        <w:tc>
          <w:tcPr>
            <w:tcW w:w="3360" w:type="dxa"/>
            <w:vAlign w:val="bottom"/>
            <w:gridSpan w:val="2"/>
          </w:tcPr>
          <w:p>
            <w:pPr>
              <w:ind w:left="300"/>
              <w:spacing w:after="0"/>
              <w:rPr>
                <w:sz w:val="20"/>
                <w:szCs w:val="20"/>
                <w:color w:val="auto"/>
              </w:rPr>
            </w:pPr>
            <w:r>
              <w:rPr>
                <w:rFonts w:ascii="Arial" w:cs="Arial" w:eastAsia="Arial" w:hAnsi="Arial"/>
                <w:sz w:val="14"/>
                <w:szCs w:val="14"/>
                <w:color w:val="auto"/>
              </w:rPr>
              <w:t>SDF Delivery &amp; Timing Closure</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228"/>
        </w:trPr>
        <w:tc>
          <w:tcPr>
            <w:tcW w:w="4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9"/>
                <w:szCs w:val="19"/>
                <w:color w:val="auto"/>
              </w:rPr>
            </w:pPr>
          </w:p>
        </w:tc>
        <w:tc>
          <w:tcPr>
            <w:tcW w:w="3360" w:type="dxa"/>
            <w:vAlign w:val="bottom"/>
            <w:gridSpan w:val="2"/>
          </w:tcPr>
          <w:p>
            <w:pPr>
              <w:ind w:left="300"/>
              <w:spacing w:after="0"/>
              <w:rPr>
                <w:sz w:val="20"/>
                <w:szCs w:val="20"/>
                <w:color w:val="auto"/>
              </w:rPr>
            </w:pPr>
            <w:r>
              <w:rPr>
                <w:rFonts w:ascii="Arial" w:cs="Arial" w:eastAsia="Arial" w:hAnsi="Arial"/>
                <w:sz w:val="14"/>
                <w:szCs w:val="14"/>
                <w:color w:val="auto"/>
              </w:rPr>
              <w:t>Tapeout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235"/>
        </w:trPr>
        <w:tc>
          <w:tcPr>
            <w:tcW w:w="42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20"/>
                <w:szCs w:val="20"/>
                <w:color w:val="auto"/>
              </w:rPr>
            </w:pPr>
          </w:p>
        </w:tc>
        <w:tc>
          <w:tcPr>
            <w:tcW w:w="3360" w:type="dxa"/>
            <w:vAlign w:val="bottom"/>
            <w:gridSpan w:val="2"/>
          </w:tcPr>
          <w:p>
            <w:pPr>
              <w:ind w:left="300"/>
              <w:spacing w:after="0"/>
              <w:rPr>
                <w:sz w:val="20"/>
                <w:szCs w:val="20"/>
                <w:color w:val="auto"/>
              </w:rPr>
            </w:pPr>
            <w:r>
              <w:rPr>
                <w:rFonts w:ascii="Arial" w:cs="Arial" w:eastAsia="Arial" w:hAnsi="Arial"/>
                <w:sz w:val="14"/>
                <w:szCs w:val="14"/>
                <w:color w:val="auto"/>
              </w:rPr>
              <w:t>Engineering Samples</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r>
      <w:tr>
        <w:trPr>
          <w:trHeight w:val="202"/>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200,000.00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*Invoiced 6/20/09, payment due by 8/19/09 as previously agreed.</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b w:val="1"/>
          <w:bCs w:val="1"/>
          <w:color w:val="auto"/>
        </w:rPr>
        <w:t>NRE Costs</w:t>
      </w:r>
    </w:p>
    <w:p>
      <w:pPr>
        <w:spacing w:after="0" w:line="26" w:lineRule="exact"/>
        <w:rPr>
          <w:sz w:val="20"/>
          <w:szCs w:val="20"/>
          <w:color w:val="auto"/>
        </w:rPr>
      </w:pPr>
    </w:p>
    <w:p>
      <w:pPr>
        <w:ind w:left="1020" w:hanging="92"/>
        <w:spacing w:after="0"/>
        <w:tabs>
          <w:tab w:leader="none" w:pos="10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NRE costs (Jay and Raven) - $360.000</w:t>
      </w:r>
    </w:p>
    <w:p>
      <w:pPr>
        <w:spacing w:after="0" w:line="10" w:lineRule="exact"/>
        <w:rPr>
          <w:rFonts w:ascii="Times New Roman" w:cs="Times New Roman" w:eastAsia="Times New Roman" w:hAnsi="Times New Roman"/>
          <w:sz w:val="17"/>
          <w:szCs w:val="17"/>
          <w:color w:val="auto"/>
        </w:rPr>
      </w:pPr>
    </w:p>
    <w:p>
      <w:pPr>
        <w:ind w:left="1120" w:right="140" w:hanging="192"/>
        <w:spacing w:after="0" w:line="245" w:lineRule="auto"/>
        <w:tabs>
          <w:tab w:leader="none" w:pos="1038"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Engineering Cost of ASIC Synthesis. IP Development. Backend Design DFT insertion, Physical Layout, Physical Verification, ATPG, Logic Verification for testing), Timing Closure, Equivalency Checking, IR Drop Analysis, Package Design &amp; Development.</w:t>
      </w:r>
    </w:p>
    <w:p>
      <w:pPr>
        <w:ind w:left="1020" w:hanging="92"/>
        <w:spacing w:after="0"/>
        <w:tabs>
          <w:tab w:leader="none" w:pos="10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Mask Costs (180nm), Load Boards, Test Boards, Test sockets, IP licensing</w:t>
      </w:r>
    </w:p>
    <w:p>
      <w:pPr>
        <w:spacing w:after="0" w:line="10" w:lineRule="exact"/>
        <w:rPr>
          <w:rFonts w:ascii="Times New Roman" w:cs="Times New Roman" w:eastAsia="Times New Roman" w:hAnsi="Times New Roman"/>
          <w:sz w:val="17"/>
          <w:szCs w:val="17"/>
          <w:color w:val="auto"/>
        </w:rPr>
      </w:pPr>
    </w:p>
    <w:p>
      <w:pPr>
        <w:ind w:left="400" w:right="6760" w:firstLine="528"/>
        <w:spacing w:after="0" w:line="392" w:lineRule="auto"/>
        <w:tabs>
          <w:tab w:leader="none" w:pos="102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20 Engineering Samples (10 for Raven and 10 for Jay) e. </w:t>
      </w:r>
      <w:r>
        <w:rPr>
          <w:rFonts w:ascii="Times New Roman" w:cs="Times New Roman" w:eastAsia="Times New Roman" w:hAnsi="Times New Roman"/>
          <w:sz w:val="17"/>
          <w:szCs w:val="17"/>
          <w:b w:val="1"/>
          <w:bCs w:val="1"/>
          <w:color w:val="auto"/>
        </w:rPr>
        <w:t>Modification and Re-spin NRE Costs</w:t>
      </w:r>
    </w:p>
    <w:p>
      <w:pPr>
        <w:spacing w:after="0" w:line="1" w:lineRule="exact"/>
        <w:rPr>
          <w:sz w:val="20"/>
          <w:szCs w:val="20"/>
          <w:color w:val="auto"/>
        </w:rPr>
      </w:pPr>
    </w:p>
    <w:p>
      <w:pPr>
        <w:ind w:left="900" w:right="140" w:firstLine="11"/>
        <w:spacing w:after="0" w:line="250" w:lineRule="auto"/>
        <w:rPr>
          <w:sz w:val="20"/>
          <w:szCs w:val="20"/>
          <w:color w:val="auto"/>
        </w:rPr>
      </w:pPr>
      <w:r>
        <w:rPr>
          <w:rFonts w:ascii="Times New Roman" w:cs="Times New Roman" w:eastAsia="Times New Roman" w:hAnsi="Times New Roman"/>
          <w:sz w:val="17"/>
          <w:szCs w:val="17"/>
          <w:color w:val="auto"/>
        </w:rPr>
        <w:t>If re-spin is required because of package. IP or back-end issues (other than those attributable to Buyer's written instructions or specific requests), then there will be no</w:t>
      </w:r>
    </w:p>
    <w:p>
      <w:pPr>
        <w:sectPr>
          <w:pgSz w:w="11900" w:h="16838" w:orient="portrait"/>
          <w:cols w:equalWidth="0" w:num="1">
            <w:col w:w="11440"/>
          </w:cols>
          <w:pgMar w:left="240" w:top="672" w:right="219" w:bottom="1440" w:gutter="0" w:footer="0" w:header="0"/>
        </w:sectPr>
      </w:pPr>
    </w:p>
    <w:bookmarkStart w:id="45" w:name="page46"/>
    <w:bookmarkEnd w:id="45"/>
    <w:p>
      <w:pPr>
        <w:ind w:left="560" w:right="140"/>
        <w:spacing w:after="0" w:line="247" w:lineRule="auto"/>
        <w:rPr>
          <w:sz w:val="20"/>
          <w:szCs w:val="20"/>
          <w:color w:val="auto"/>
        </w:rPr>
      </w:pPr>
      <w:r>
        <w:rPr>
          <w:rFonts w:ascii="Times New Roman" w:cs="Times New Roman" w:eastAsia="Times New Roman" w:hAnsi="Times New Roman"/>
          <w:sz w:val="17"/>
          <w:szCs w:val="17"/>
          <w:color w:val="auto"/>
        </w:rPr>
        <w:t>cost to the Buyer and Seller will bear all costs. Assuming package remains the same as during initial spin, and if the re-spin is required by the Buyer's written instructions or specific requests, then the below costs will apply for each ASIC re- spin so required by the Buyer. For incremental changes to the feature set of the device, when such Buyer-initiated respin requires changes to Seller's analog and/or digital macros, the engineering cost will be mutually agreed upon in writing by Buyer and Seller.</w:t>
      </w:r>
    </w:p>
    <w:p>
      <w:pPr>
        <w:spacing w:after="0" w:line="223" w:lineRule="exact"/>
        <w:rPr>
          <w:sz w:val="20"/>
          <w:szCs w:val="20"/>
          <w:color w:val="auto"/>
        </w:rPr>
      </w:pPr>
    </w:p>
    <w:p>
      <w:pPr>
        <w:ind w:left="560"/>
        <w:spacing w:after="0" w:line="265" w:lineRule="auto"/>
        <w:rPr>
          <w:sz w:val="20"/>
          <w:szCs w:val="20"/>
          <w:color w:val="auto"/>
        </w:rPr>
      </w:pPr>
      <w:r>
        <w:rPr>
          <w:rFonts w:ascii="Times New Roman" w:cs="Times New Roman" w:eastAsia="Times New Roman" w:hAnsi="Times New Roman"/>
          <w:sz w:val="17"/>
          <w:szCs w:val="17"/>
          <w:color w:val="auto"/>
        </w:rPr>
        <w:t>Additionally, engineering development costs of any such Buyer-initiated respin of the package and I/O bonding of the pads will be mutually agreed upon in writing by Buyer and Seller.</w:t>
      </w:r>
    </w:p>
    <w:p>
      <w:pPr>
        <w:spacing w:after="0" w:line="254" w:lineRule="exact"/>
        <w:rPr>
          <w:sz w:val="20"/>
          <w:szCs w:val="20"/>
          <w:color w:val="auto"/>
        </w:rPr>
      </w:pPr>
    </w:p>
    <w:p>
      <w:pPr>
        <w:ind w:left="540" w:right="320" w:firstLine="11"/>
        <w:spacing w:after="0" w:line="265" w:lineRule="auto"/>
        <w:rPr>
          <w:sz w:val="20"/>
          <w:szCs w:val="20"/>
          <w:color w:val="auto"/>
        </w:rPr>
      </w:pPr>
      <w:r>
        <w:rPr>
          <w:rFonts w:ascii="Times New Roman" w:cs="Times New Roman" w:eastAsia="Times New Roman" w:hAnsi="Times New Roman"/>
          <w:sz w:val="17"/>
          <w:szCs w:val="17"/>
          <w:color w:val="auto"/>
        </w:rPr>
        <w:t>Seller will provide a quotation for the total NRE cost of the respins; provided that the quoted total NRE cost for a given respin shall not exceed Seller's actual cost to perform such respin.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Metal layers change only $45.000</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All layers change $75.000</w:t>
      </w:r>
    </w:p>
    <w:p>
      <w:pPr>
        <w:ind w:left="540"/>
        <w:spacing w:after="0"/>
        <w:rPr>
          <w:sz w:val="20"/>
          <w:szCs w:val="20"/>
          <w:color w:val="auto"/>
        </w:rPr>
      </w:pPr>
      <w:r>
        <w:rPr>
          <w:rFonts w:ascii="Times New Roman" w:cs="Times New Roman" w:eastAsia="Times New Roman" w:hAnsi="Times New Roman"/>
          <w:sz w:val="17"/>
          <w:szCs w:val="17"/>
          <w:color w:val="auto"/>
        </w:rPr>
        <w:t>Engineering design cost TBD by mutual written agreement of Buyer and Seller</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b w:val="1"/>
          <w:bCs w:val="1"/>
          <w:color w:val="auto"/>
        </w:rPr>
        <w:t>Re-spin payment terms:</w:t>
      </w:r>
    </w:p>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re-spin occurs:</w:t>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 time of placement of purchase order: 25% of applicable re-spin NRE costs</w:t>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 time of delivery of final RTL: 25% of applicable re-spin NRE costs</w:t>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At time of tape-out: 25% of applicable re-spin NRE costs</w:t>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 time of delivery of all ES parts 25% of applicable re-spin NRE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b w:val="1"/>
          <w:bCs w:val="1"/>
          <w:color w:val="auto"/>
        </w:rPr>
        <w:t>Additional Engineering Samples; Risk Commercial Samples:</w:t>
      </w:r>
    </w:p>
    <w:p>
      <w:pPr>
        <w:spacing w:after="0" w:line="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Buyer may purchase Additional Engineering Samples (“AES”) at 1.5 X unit price</w:t>
      </w:r>
    </w:p>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(up to 150 pcs)</w:t>
      </w:r>
    </w:p>
    <w:p>
      <w:pPr>
        <w:ind w:left="520"/>
        <w:spacing w:after="0" w:line="238" w:lineRule="auto"/>
        <w:rPr>
          <w:sz w:val="20"/>
          <w:szCs w:val="20"/>
          <w:color w:val="auto"/>
        </w:rPr>
      </w:pPr>
      <w:r>
        <w:rPr>
          <w:rFonts w:ascii="Times New Roman" w:cs="Times New Roman" w:eastAsia="Times New Roman" w:hAnsi="Times New Roman"/>
          <w:sz w:val="17"/>
          <w:szCs w:val="17"/>
          <w:color w:val="auto"/>
        </w:rPr>
        <w:t>Buyer may purchase risk commercial samples (Risk CS) at 1.25 X unit price (up</w:t>
      </w:r>
    </w:p>
    <w:p>
      <w:pPr>
        <w:ind w:left="520"/>
        <w:spacing w:after="0"/>
        <w:rPr>
          <w:sz w:val="20"/>
          <w:szCs w:val="20"/>
          <w:color w:val="auto"/>
        </w:rPr>
      </w:pPr>
      <w:r>
        <w:rPr>
          <w:rFonts w:ascii="Times New Roman" w:cs="Times New Roman" w:eastAsia="Times New Roman" w:hAnsi="Times New Roman"/>
          <w:sz w:val="17"/>
          <w:szCs w:val="17"/>
          <w:color w:val="auto"/>
        </w:rPr>
        <w:t>to 500 pcs)</w:t>
      </w:r>
    </w:p>
    <w:p>
      <w:pPr>
        <w:sectPr>
          <w:pgSz w:w="11900" w:h="16838" w:orient="portrait"/>
          <w:cols w:equalWidth="0" w:num="1">
            <w:col w:w="10980"/>
          </w:cols>
          <w:pgMar w:left="580" w:top="338" w:right="339" w:bottom="1440" w:gutter="0" w:footer="0" w:header="0"/>
        </w:sectPr>
      </w:pPr>
    </w:p>
    <w:bookmarkStart w:id="46" w:name="page47"/>
    <w:bookmarkEnd w:id="46"/>
    <w:p>
      <w:pPr>
        <w:ind w:left="735" w:hanging="278"/>
        <w:spacing w:after="0"/>
        <w:tabs>
          <w:tab w:leader="none" w:pos="73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Risk CS is a production graded commercial sample that Buyer may take at its own risk before complete ES approval</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orders for Risk CS are non-cancelable</w:t>
      </w:r>
    </w:p>
    <w:p>
      <w:pPr>
        <w:spacing w:after="0" w:line="101" w:lineRule="exact"/>
        <w:rPr>
          <w:rFonts w:ascii="Times New Roman" w:cs="Times New Roman" w:eastAsia="Times New Roman" w:hAnsi="Times New Roman"/>
          <w:sz w:val="17"/>
          <w:szCs w:val="17"/>
          <w:color w:val="auto"/>
        </w:rPr>
      </w:pPr>
    </w:p>
    <w:p>
      <w:pPr>
        <w:ind w:left="55" w:right="360" w:firstLine="402"/>
        <w:spacing w:after="0" w:line="603" w:lineRule="auto"/>
        <w:tabs>
          <w:tab w:leader="none" w:pos="7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Risk CS materials will be purchased at or before the tape out, and are expected to be fabricated at the same time as the first ES/AES fabrication h. </w:t>
      </w:r>
      <w:r>
        <w:rPr>
          <w:rFonts w:ascii="Times New Roman" w:cs="Times New Roman" w:eastAsia="Times New Roman" w:hAnsi="Times New Roman"/>
          <w:sz w:val="17"/>
          <w:szCs w:val="17"/>
          <w:b w:val="1"/>
          <w:bCs w:val="1"/>
          <w:color w:val="auto"/>
        </w:rPr>
        <w:t>Activities &amp; Deliverables Included in the Design Support NRE Charge</w:t>
      </w:r>
    </w:p>
    <w:p>
      <w:pPr>
        <w:ind w:left="735" w:hanging="278"/>
        <w:spacing w:after="0"/>
        <w:tabs>
          <w:tab w:leader="none" w:pos="73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a separate agreement, Seller has provided its 180nm cell based design kit to Buyer, who will use this design kit to verify the design.</w:t>
      </w:r>
    </w:p>
    <w:p>
      <w:pPr>
        <w:spacing w:after="0" w:line="341" w:lineRule="exact"/>
        <w:rPr>
          <w:sz w:val="20"/>
          <w:szCs w:val="20"/>
          <w:color w:val="auto"/>
        </w:rPr>
      </w:pPr>
    </w:p>
    <w:p>
      <w:pPr>
        <w:ind w:left="115"/>
        <w:spacing w:after="0"/>
        <w:rPr>
          <w:sz w:val="20"/>
          <w:szCs w:val="20"/>
          <w:color w:val="auto"/>
        </w:rPr>
      </w:pPr>
      <w:r>
        <w:rPr>
          <w:rFonts w:ascii="Times New Roman" w:cs="Times New Roman" w:eastAsia="Times New Roman" w:hAnsi="Times New Roman"/>
          <w:sz w:val="17"/>
          <w:szCs w:val="17"/>
          <w:color w:val="auto"/>
        </w:rPr>
        <w:t>Design Verification &amp; Layout:</w:t>
      </w:r>
    </w:p>
    <w:p>
      <w:pPr>
        <w:spacing w:after="0" w:line="101" w:lineRule="exact"/>
        <w:rPr>
          <w:sz w:val="20"/>
          <w:szCs w:val="20"/>
          <w:color w:val="auto"/>
        </w:rPr>
      </w:pPr>
    </w:p>
    <w:p>
      <w:pPr>
        <w:ind w:left="735" w:hanging="278"/>
        <w:spacing w:after="0"/>
        <w:tabs>
          <w:tab w:leader="none" w:pos="7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to perform logic and design rule checks.</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to review and validate the design.</w:t>
      </w:r>
    </w:p>
    <w:p>
      <w:pPr>
        <w:spacing w:after="0" w:line="101" w:lineRule="exact"/>
        <w:rPr>
          <w:rFonts w:ascii="Times New Roman" w:cs="Times New Roman" w:eastAsia="Times New Roman" w:hAnsi="Times New Roman"/>
          <w:sz w:val="17"/>
          <w:szCs w:val="17"/>
          <w:color w:val="auto"/>
        </w:rPr>
      </w:pPr>
    </w:p>
    <w:p>
      <w:pPr>
        <w:ind w:left="735" w:right="420" w:hanging="278"/>
        <w:spacing w:after="0" w:line="265" w:lineRule="auto"/>
        <w:tabs>
          <w:tab w:leader="none" w:pos="7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final layout and post layout simulation, Seller will complete the Final Post-Layout approval sheet and Design Specifications of the design for Buyer approval and signature.</w:t>
      </w:r>
    </w:p>
    <w:p>
      <w:pPr>
        <w:spacing w:after="0" w:line="276" w:lineRule="exact"/>
        <w:rPr>
          <w:sz w:val="20"/>
          <w:szCs w:val="20"/>
          <w:color w:val="auto"/>
        </w:rPr>
      </w:pPr>
    </w:p>
    <w:p>
      <w:pPr>
        <w:ind w:left="115"/>
        <w:spacing w:after="0"/>
        <w:rPr>
          <w:sz w:val="20"/>
          <w:szCs w:val="20"/>
          <w:color w:val="auto"/>
        </w:rPr>
      </w:pPr>
      <w:r>
        <w:rPr>
          <w:rFonts w:ascii="Times New Roman" w:cs="Times New Roman" w:eastAsia="Times New Roman" w:hAnsi="Times New Roman"/>
          <w:sz w:val="17"/>
          <w:szCs w:val="17"/>
          <w:color w:val="auto"/>
        </w:rPr>
        <w:t>Test Vectors &amp; Test Program:</w:t>
      </w:r>
    </w:p>
    <w:p>
      <w:pPr>
        <w:spacing w:after="0" w:line="101" w:lineRule="exact"/>
        <w:rPr>
          <w:sz w:val="20"/>
          <w:szCs w:val="20"/>
          <w:color w:val="auto"/>
        </w:rPr>
      </w:pPr>
    </w:p>
    <w:p>
      <w:pPr>
        <w:ind w:left="735" w:hanging="278"/>
        <w:spacing w:after="0"/>
        <w:tabs>
          <w:tab w:leader="none" w:pos="7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Buyer to supply functional vectors if necessary.</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Seller to provide logic SCAN/RAM BJST/JTAG/test bus (PLL).</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Seller to perform ATPG and Fault Simulation if necessary.</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Seller to develop wafer sort and final test programs.</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Seller will perform analog IP testing.</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Seller will provide the test RTL required for testing the parts on wafer and Buyer will integrate the RTL and deliver the final RTL to Seller.</w:t>
      </w:r>
    </w:p>
    <w:p>
      <w:pPr>
        <w:spacing w:after="0" w:line="398" w:lineRule="exact"/>
        <w:rPr>
          <w:sz w:val="20"/>
          <w:szCs w:val="20"/>
          <w:color w:val="auto"/>
        </w:rPr>
      </w:pPr>
    </w:p>
    <w:p>
      <w:pPr>
        <w:ind w:left="115"/>
        <w:spacing w:after="0"/>
        <w:rPr>
          <w:sz w:val="20"/>
          <w:szCs w:val="20"/>
          <w:color w:val="auto"/>
        </w:rPr>
      </w:pPr>
      <w:r>
        <w:rPr>
          <w:rFonts w:ascii="Times New Roman" w:cs="Times New Roman" w:eastAsia="Times New Roman" w:hAnsi="Times New Roman"/>
          <w:sz w:val="17"/>
          <w:szCs w:val="17"/>
          <w:color w:val="auto"/>
        </w:rPr>
        <w:t>Prototyping:</w:t>
      </w:r>
    </w:p>
    <w:p>
      <w:pPr>
        <w:spacing w:after="0" w:line="102" w:lineRule="exact"/>
        <w:rPr>
          <w:sz w:val="20"/>
          <w:szCs w:val="20"/>
          <w:color w:val="auto"/>
        </w:rPr>
      </w:pPr>
    </w:p>
    <w:p>
      <w:pPr>
        <w:ind w:left="735" w:hanging="278"/>
        <w:spacing w:after="0"/>
        <w:tabs>
          <w:tab w:leader="none" w:pos="73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will generate the photo masks, and fabricate prototype wafers.</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will generate the specific production test program if required.</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will deliver 20 Engineering Samples (10 of Raven and 10 of Jay) to Customer.</w:t>
      </w:r>
    </w:p>
    <w:p>
      <w:pPr>
        <w:spacing w:after="0" w:line="101" w:lineRule="exact"/>
        <w:rPr>
          <w:rFonts w:ascii="Times New Roman" w:cs="Times New Roman" w:eastAsia="Times New Roman" w:hAnsi="Times New Roman"/>
          <w:sz w:val="17"/>
          <w:szCs w:val="17"/>
          <w:color w:val="auto"/>
        </w:rPr>
      </w:pPr>
    </w:p>
    <w:p>
      <w:pPr>
        <w:ind w:left="735" w:hanging="278"/>
        <w:spacing w:after="0"/>
        <w:tabs>
          <w:tab w:leader="none" w:pos="73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may deliver AES to Customer upon request prior to tape-out.</w:t>
      </w:r>
    </w:p>
    <w:p>
      <w:pPr>
        <w:spacing w:after="0" w:line="314" w:lineRule="exact"/>
        <w:rPr>
          <w:rFonts w:ascii="Times New Roman" w:cs="Times New Roman" w:eastAsia="Times New Roman" w:hAnsi="Times New Roman"/>
          <w:sz w:val="17"/>
          <w:szCs w:val="17"/>
          <w:color w:val="auto"/>
        </w:rPr>
      </w:pPr>
    </w:p>
    <w:p>
      <w:pPr>
        <w:ind w:left="135" w:hanging="135"/>
        <w:spacing w:after="0"/>
        <w:tabs>
          <w:tab w:leader="none" w:pos="1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Lead times</w:t>
      </w:r>
    </w:p>
    <w:p>
      <w:pPr>
        <w:spacing w:after="0" w:line="26" w:lineRule="exact"/>
        <w:rPr>
          <w:sz w:val="20"/>
          <w:szCs w:val="20"/>
          <w:color w:val="auto"/>
        </w:rPr>
      </w:pPr>
    </w:p>
    <w:p>
      <w:pPr>
        <w:ind w:left="495" w:firstLine="11"/>
        <w:spacing w:after="0" w:line="259" w:lineRule="auto"/>
        <w:rPr>
          <w:sz w:val="20"/>
          <w:szCs w:val="20"/>
          <w:color w:val="auto"/>
        </w:rPr>
      </w:pPr>
      <w:r>
        <w:rPr>
          <w:rFonts w:ascii="Times New Roman" w:cs="Times New Roman" w:eastAsia="Times New Roman" w:hAnsi="Times New Roman"/>
          <w:sz w:val="17"/>
          <w:szCs w:val="17"/>
          <w:color w:val="auto"/>
        </w:rPr>
        <w:t>Seller will exercise commercially reasonable efforts to achieve the following lead times; provided, however, if Seller's achievement of the following lead times will be delayed, Seller must notify Buyer in writing of the length of the anticipated</w:t>
      </w:r>
    </w:p>
    <w:p>
      <w:pPr>
        <w:spacing w:after="0" w:line="1" w:lineRule="exact"/>
        <w:rPr>
          <w:sz w:val="20"/>
          <w:szCs w:val="20"/>
          <w:color w:val="auto"/>
        </w:rPr>
      </w:pPr>
    </w:p>
    <w:p>
      <w:pPr>
        <w:ind w:left="495" w:right="160"/>
        <w:spacing w:after="0" w:line="311" w:lineRule="auto"/>
        <w:rPr>
          <w:sz w:val="20"/>
          <w:szCs w:val="20"/>
          <w:color w:val="auto"/>
        </w:rPr>
      </w:pPr>
      <w:r>
        <w:rPr>
          <w:rFonts w:ascii="Times New Roman" w:cs="Times New Roman" w:eastAsia="Times New Roman" w:hAnsi="Times New Roman"/>
          <w:sz w:val="16"/>
          <w:szCs w:val="16"/>
          <w:color w:val="auto"/>
        </w:rPr>
        <w:t>delay and the reasons for the delay. For clarity, the exercise of “commercially reasonable efforts” under this subsection (i) does not allow Seller to delay Buyer's lead times in order to preferentially perform under other contracts, but would encompass delays attributable to unanticipated technical difficulties.</w:t>
      </w:r>
    </w:p>
    <w:p>
      <w:pPr>
        <w:sectPr>
          <w:pgSz w:w="11900" w:h="16838" w:orient="portrait"/>
          <w:cols w:equalWidth="0" w:num="1">
            <w:col w:w="10995"/>
          </w:cols>
          <w:pgMar w:left="665" w:top="338" w:right="239" w:bottom="1440" w:gutter="0" w:footer="0" w:header="0"/>
        </w:sectPr>
      </w:pPr>
    </w:p>
    <w:bookmarkStart w:id="47" w:name="page48"/>
    <w:bookmarkEnd w:id="47"/>
    <w:p>
      <w:pPr>
        <w:ind w:left="780" w:hanging="169"/>
        <w:spacing w:after="0"/>
        <w:tabs>
          <w:tab w:leader="none" w:pos="780"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Tapeout to ES delivery (for both Jay and Raven) 6 weeks</w:t>
      </w:r>
    </w:p>
    <w:p>
      <w:pPr>
        <w:spacing w:after="0" w:line="16" w:lineRule="exact"/>
        <w:rPr>
          <w:rFonts w:ascii="Times New Roman" w:cs="Times New Roman" w:eastAsia="Times New Roman" w:hAnsi="Times New Roman"/>
          <w:sz w:val="17"/>
          <w:szCs w:val="17"/>
          <w:color w:val="auto"/>
        </w:rPr>
      </w:pPr>
    </w:p>
    <w:p>
      <w:pPr>
        <w:ind w:left="780" w:right="6780" w:hanging="192"/>
        <w:spacing w:after="0" w:line="288" w:lineRule="auto"/>
        <w:tabs>
          <w:tab w:leader="none" w:pos="76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(after ES sign-off, Purchase Order release and twelve month rolling forecast) 7-9 weeks</w:t>
      </w:r>
    </w:p>
    <w:p>
      <w:pPr>
        <w:spacing w:after="0" w:line="130" w:lineRule="exact"/>
        <w:rPr>
          <w:rFonts w:ascii="Times New Roman" w:cs="Times New Roman" w:eastAsia="Times New Roman" w:hAnsi="Times New Roman"/>
          <w:sz w:val="16"/>
          <w:szCs w:val="16"/>
          <w:color w:val="auto"/>
        </w:rPr>
      </w:pPr>
    </w:p>
    <w:p>
      <w:pPr>
        <w:ind w:left="200" w:hanging="137"/>
        <w:spacing w:after="0"/>
        <w:tabs>
          <w:tab w:leader="none" w:pos="2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IP Support/ Qualification</w:t>
      </w:r>
    </w:p>
    <w:p>
      <w:pPr>
        <w:spacing w:after="0" w:line="220" w:lineRule="exact"/>
        <w:rPr>
          <w:sz w:val="20"/>
          <w:szCs w:val="20"/>
          <w:color w:val="auto"/>
        </w:rPr>
      </w:pPr>
    </w:p>
    <w:p>
      <w:pPr>
        <w:ind w:left="580" w:firstLine="8"/>
        <w:spacing w:after="0" w:line="293" w:lineRule="auto"/>
        <w:tabs>
          <w:tab w:leader="none" w:pos="68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terms of separate written agreement(s), Seller will provide support for all the IP including existing IP and new custom IP being developed for Buyer.</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IP Qualification</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Seller will ensure that its IP meets Seller’s applicable specifications for the IP</w:t>
      </w:r>
    </w:p>
    <w:p>
      <w:pPr>
        <w:spacing w:after="0" w:line="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(as disclosed to Buyer) and provide support for the current process technology for the same duration as the process life time.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Development Types</w:t>
      </w: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 RTL HANDOFF</w:t>
      </w:r>
    </w:p>
    <w:p>
      <w:pPr>
        <w:spacing w:after="0" w:line="26" w:lineRule="exact"/>
        <w:rPr>
          <w:sz w:val="20"/>
          <w:szCs w:val="20"/>
          <w:color w:val="auto"/>
        </w:rPr>
      </w:pPr>
    </w:p>
    <w:p>
      <w:pPr>
        <w:jc w:val="both"/>
        <w:ind w:left="560" w:right="20" w:firstLine="11"/>
        <w:spacing w:after="0" w:line="244" w:lineRule="auto"/>
        <w:rPr>
          <w:sz w:val="20"/>
          <w:szCs w:val="20"/>
          <w:color w:val="auto"/>
        </w:rPr>
      </w:pPr>
      <w:r>
        <w:rPr>
          <w:rFonts w:ascii="Times New Roman" w:cs="Times New Roman" w:eastAsia="Times New Roman" w:hAnsi="Times New Roman"/>
          <w:sz w:val="17"/>
          <w:szCs w:val="17"/>
          <w:color w:val="auto"/>
        </w:rPr>
        <w:t>Buyer submits to Seller functionally verified RTL. Timing Constraints, verification test benches, written approval to start Final Place and Route Phase, and written approval of post-layout results. Seller provides logic synthesis, test insertion, layout, Timing Data Extraction, Layout Data Verification, maskmaking, test generation and Engineering Samples in accordance with agreed to Specifications.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18"/>
          <w:szCs w:val="18"/>
          <w:b w:val="1"/>
          <w:bCs w:val="1"/>
          <w:color w:val="auto"/>
        </w:rPr>
        <w:t>Cancellation; Buyer's Approval of Post-Layout Simulation</w:t>
      </w:r>
    </w:p>
    <w:p>
      <w:pPr>
        <w:spacing w:after="0" w:line="34" w:lineRule="exact"/>
        <w:rPr>
          <w:sz w:val="20"/>
          <w:szCs w:val="20"/>
          <w:color w:val="auto"/>
        </w:rPr>
      </w:pPr>
    </w:p>
    <w:p>
      <w:pPr>
        <w:jc w:val="both"/>
        <w:ind w:left="540" w:firstLine="11"/>
        <w:spacing w:after="0" w:line="264" w:lineRule="auto"/>
        <w:rPr>
          <w:sz w:val="20"/>
          <w:szCs w:val="20"/>
          <w:color w:val="auto"/>
        </w:rPr>
      </w:pPr>
      <w:r>
        <w:rPr>
          <w:rFonts w:ascii="Times New Roman" w:cs="Times New Roman" w:eastAsia="Times New Roman" w:hAnsi="Times New Roman"/>
          <w:sz w:val="17"/>
          <w:szCs w:val="17"/>
          <w:color w:val="auto"/>
        </w:rPr>
        <w:t>If Buyer cancels the development of any specific Product without cause, Buyer will pay Seller for work completed and milestones achieved as of the date of cancellation in accordance with this Agreement and Buyer also will pay for the next milestone payment that would have been earned if Seller had completed the</w:t>
      </w:r>
    </w:p>
    <w:p>
      <w:pPr>
        <w:spacing w:after="0" w:line="2" w:lineRule="exact"/>
        <w:rPr>
          <w:sz w:val="20"/>
          <w:szCs w:val="20"/>
          <w:color w:val="auto"/>
        </w:rPr>
      </w:pPr>
    </w:p>
    <w:p>
      <w:pPr>
        <w:jc w:val="both"/>
        <w:ind w:left="540" w:firstLine="11"/>
        <w:spacing w:after="0" w:line="243" w:lineRule="auto"/>
        <w:rPr>
          <w:sz w:val="20"/>
          <w:szCs w:val="20"/>
          <w:color w:val="auto"/>
        </w:rPr>
      </w:pPr>
      <w:r>
        <w:rPr>
          <w:rFonts w:ascii="Times New Roman" w:cs="Times New Roman" w:eastAsia="Times New Roman" w:hAnsi="Times New Roman"/>
          <w:sz w:val="17"/>
          <w:szCs w:val="17"/>
          <w:color w:val="auto"/>
        </w:rPr>
        <w:t>then-current phase of Product development which was underway at the time of cancellation. Any monies previously paid by Buyer that are in excess of the foregoing amounts due will be refunded to Buyer. On or before the date of Buyer's approval of post-layout simulation, Seller will honor the changes requested by Buyer and these changes will be part of the existing Task Order. In the absence of receipt by Seller of Buyer’s written approval or rejection of post-layout simulation within forty-five (45) working days of Buyer's receipt of post-layout simulation data, such post-layout simulation will be deemed approved by Buyer. If Buyer wants such specific Product to be redesigned after Buyer's receipt of such post- layout simulation data, Buyer and Seller will negotiate a new Task Order to cover the redesign.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 </w:t>
      </w:r>
      <w:r>
        <w:rPr>
          <w:rFonts w:ascii="Times New Roman" w:cs="Times New Roman" w:eastAsia="Times New Roman" w:hAnsi="Times New Roman"/>
          <w:sz w:val="17"/>
          <w:szCs w:val="17"/>
          <w:b w:val="1"/>
          <w:bCs w:val="1"/>
          <w:color w:val="auto"/>
        </w:rPr>
        <w:t>Approval to Start Final Place and Route Phase</w:t>
      </w:r>
    </w:p>
    <w:p>
      <w:pPr>
        <w:spacing w:after="0" w:line="26"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7"/>
          <w:szCs w:val="17"/>
          <w:color w:val="auto"/>
        </w:rPr>
        <w:t>Each Product under development will be Floor Planned by Seller. Seller will ensure that chip timing is capable of being met in the Final Place and Route Phase.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provided Buyer has provided RTL that is capable of delivering the specified</w:t>
      </w:r>
    </w:p>
    <w:p>
      <w:pPr>
        <w:sectPr>
          <w:pgSz w:w="11900" w:h="16838" w:orient="portrait"/>
          <w:cols w:equalWidth="0" w:num="1">
            <w:col w:w="11100"/>
          </w:cols>
          <w:pgMar w:left="580" w:top="349" w:right="219" w:bottom="1440" w:gutter="0" w:footer="0" w:header="0"/>
        </w:sectPr>
      </w:pPr>
    </w:p>
    <w:bookmarkStart w:id="48" w:name="page49"/>
    <w:bookmarkEnd w:id="48"/>
    <w:p>
      <w:pPr>
        <w:jc w:val="both"/>
        <w:ind w:left="620" w:firstLine="12"/>
        <w:spacing w:after="0" w:line="238" w:lineRule="auto"/>
        <w:rPr>
          <w:sz w:val="20"/>
          <w:szCs w:val="20"/>
          <w:color w:val="auto"/>
        </w:rPr>
      </w:pPr>
      <w:r>
        <w:rPr>
          <w:rFonts w:ascii="Times New Roman" w:cs="Times New Roman" w:eastAsia="Times New Roman" w:hAnsi="Times New Roman"/>
          <w:sz w:val="17"/>
          <w:szCs w:val="17"/>
          <w:color w:val="auto"/>
        </w:rPr>
        <w:t>timing. Buyer's RTL will be complete and functionally verified. Timing requirements will also be complete. Seller will begin Final Place &amp; Route Phase upon receipt of Buyer's Approval to Start Final Place and Route Sheet. Buyer's Approval to Start Final Place and Route Sheet confirms that criteria to proceed were met. Seller will accept signature of Director of Engineering or a Vice President from Buyer’s organization as approval to proceed.</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b w:val="1"/>
          <w:bCs w:val="1"/>
          <w:color w:val="auto"/>
        </w:rPr>
        <w:t>Post-Layout Approval</w:t>
      </w:r>
    </w:p>
    <w:p>
      <w:pPr>
        <w:spacing w:after="0" w:line="26" w:lineRule="exact"/>
        <w:rPr>
          <w:sz w:val="20"/>
          <w:szCs w:val="20"/>
          <w:color w:val="auto"/>
        </w:rPr>
      </w:pPr>
    </w:p>
    <w:p>
      <w:pPr>
        <w:jc w:val="both"/>
        <w:ind w:left="580" w:firstLine="11"/>
        <w:spacing w:after="0" w:line="234" w:lineRule="auto"/>
        <w:rPr>
          <w:sz w:val="20"/>
          <w:szCs w:val="20"/>
          <w:color w:val="auto"/>
        </w:rPr>
      </w:pPr>
      <w:r>
        <w:rPr>
          <w:rFonts w:ascii="Times New Roman" w:cs="Times New Roman" w:eastAsia="Times New Roman" w:hAnsi="Times New Roman"/>
          <w:sz w:val="17"/>
          <w:szCs w:val="17"/>
          <w:color w:val="auto"/>
        </w:rPr>
        <w:t>Tapeout and mask making will not begin until Seller has received Buyer's written approval of the Seller's post-layout results and the Buyer's final Design Specifications Summary, which shall be provided at least one (1) month prior to tapeout unless the parties otherwise mutually agree (for the Jay ASIC, the parties have agreed to a shorter time period). Buyer will use Post-Layout Approval Sheet for approval of the post-layout results. Unless otherwise specified in writing by Buyer. Seller will accept signature of Director of Engineering or a Vice President from Buyer’s organization.</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b w:val="1"/>
          <w:bCs w:val="1"/>
          <w:color w:val="auto"/>
        </w:rPr>
        <w:t>Approval to Move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b w:val="1"/>
          <w:bCs w:val="1"/>
          <w:color w:val="auto"/>
        </w:rPr>
        <w:t>Mass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Production</w:t>
      </w:r>
    </w:p>
    <w:p>
      <w:pPr>
        <w:spacing w:after="0" w:line="34" w:lineRule="exact"/>
        <w:rPr>
          <w:sz w:val="20"/>
          <w:szCs w:val="20"/>
          <w:color w:val="auto"/>
        </w:rPr>
      </w:pPr>
    </w:p>
    <w:p>
      <w:pPr>
        <w:jc w:val="both"/>
        <w:ind w:left="620"/>
        <w:spacing w:after="0" w:line="226" w:lineRule="auto"/>
        <w:rPr>
          <w:sz w:val="20"/>
          <w:szCs w:val="20"/>
          <w:color w:val="auto"/>
        </w:rPr>
      </w:pPr>
      <w:r>
        <w:rPr>
          <w:rFonts w:ascii="Times New Roman" w:cs="Times New Roman" w:eastAsia="Times New Roman" w:hAnsi="Times New Roman"/>
          <w:sz w:val="17"/>
          <w:szCs w:val="17"/>
          <w:color w:val="auto"/>
        </w:rPr>
        <w:t>For each Product. Seller shall provide Buyer with Engineering Samples as specified in the applicable Task Order relating to the Product. Seller will be responsible for ensuring that the ES meet the requirements of the Post-Layout Approval Sheet. Buyer must accept or reject the ES in writing by completing Seller’s Approval to Move to Mass Production within thirty (30) days of Buyer's receipt of all such ES shipped by Seller. In the absence of receipt by Seller of Buyer's written notice of acceptance or rejection of such ES within such thirty (30) days, all such ES will be deemed accepted by Buyer. FMA warrants that ES will conform to the Post-Layout Approval Form for thirty (30) days following delivery to Buyer. If Buyer requests additional ES based on new design requirements or for any reason other than non-conformity of the ES to the Post-Layout Approval Sheet, Buyer and Seller may negotiate a new NRE. If the cause for the Buyer’s rejection is due to non-conformity of the ES to the Post-Layout Approval Sheet, then Seller will redesign the Product at no charge to Buyer. If there are IP and/or Product/process production issues that require additional time for board changes, then Buyer or Seller (as applicable) will request additional time. Any issues that Buyer identified during Product production that can be attributed to Seller’s acts, omissions, or processes (or to other causes within Seller’s control) will be promptly resolved by Seller.</w:t>
      </w:r>
    </w:p>
    <w:p>
      <w:pPr>
        <w:spacing w:after="0" w:line="2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p,</w:t>
      </w:r>
      <w:r>
        <w:rPr>
          <w:sz w:val="20"/>
          <w:szCs w:val="20"/>
          <w:color w:val="auto"/>
        </w:rPr>
        <w:tab/>
      </w:r>
      <w:r>
        <w:rPr>
          <w:rFonts w:ascii="Times New Roman" w:cs="Times New Roman" w:eastAsia="Times New Roman" w:hAnsi="Times New Roman"/>
          <w:sz w:val="17"/>
          <w:szCs w:val="17"/>
          <w:b w:val="1"/>
          <w:bCs w:val="1"/>
          <w:color w:val="auto"/>
        </w:rPr>
        <w:t>THE ENGINEERING SAMPLES DELIVERED TO BUYER HEREUNDER ARE FOR VALIDATION PURPOSES ONLY. EXCEPT FOR THE</w:t>
      </w:r>
    </w:p>
    <w:p>
      <w:pPr>
        <w:spacing w:after="0" w:line="21" w:lineRule="exact"/>
        <w:rPr>
          <w:sz w:val="20"/>
          <w:szCs w:val="20"/>
          <w:color w:val="auto"/>
        </w:rPr>
      </w:pPr>
    </w:p>
    <w:p>
      <w:pPr>
        <w:ind w:left="540" w:right="720" w:hanging="11"/>
        <w:spacing w:after="0" w:line="302" w:lineRule="auto"/>
        <w:rPr>
          <w:sz w:val="20"/>
          <w:szCs w:val="20"/>
          <w:color w:val="auto"/>
        </w:rPr>
      </w:pPr>
      <w:r>
        <w:rPr>
          <w:rFonts w:ascii="Times New Roman" w:cs="Times New Roman" w:eastAsia="Times New Roman" w:hAnsi="Times New Roman"/>
          <w:sz w:val="16"/>
          <w:szCs w:val="16"/>
          <w:b w:val="1"/>
          <w:bCs w:val="1"/>
          <w:color w:val="auto"/>
        </w:rPr>
        <w:t>EXPRESS WARRANTIES SET FORTH IN SECTION 4 (o) OF THIS AGREEMENT, ALL WARRANTIES WITH RESPECT TO ENGINEERING SAMPLES, WHETHER EXPRESS OR IMPLIED, AND ALL GUARANTIES AND ALL REPRESENTATIONS AS TO</w:t>
      </w:r>
    </w:p>
    <w:p>
      <w:pPr>
        <w:sectPr>
          <w:pgSz w:w="11900" w:h="16838" w:orient="portrait"/>
          <w:cols w:equalWidth="0" w:num="1">
            <w:col w:w="11100"/>
          </w:cols>
          <w:pgMar w:left="580" w:top="532" w:right="219" w:bottom="1440" w:gutter="0" w:footer="0" w:header="0"/>
        </w:sectPr>
      </w:pPr>
    </w:p>
    <w:bookmarkStart w:id="49" w:name="page50"/>
    <w:bookmarkEnd w:id="49"/>
    <w:p>
      <w:pPr>
        <w:ind w:left="1057" w:right="40" w:firstLine="11"/>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PERFORMANCE OF ENGINEERING SAMPLES, INCLUDING ALL WARRANTIESWHICH, BUT FOR THIS PROVISION, MIGHT ARISE FROM COURSE OF DEALING OR CUSTOM OF TRADE AND INCLUDING ALL IMPLIED WARRANTIES OF MERCHANTABILITY, FITNESS FOR A PARTICULAR PURPOSE, AND OF NON-INFRINGEMENT ARE DISCLAIMED. Any rejection of Engineering Samples by Buyer must be in writing and based on a detailed description of the ES’s failure to meet the functional and parametric specifications that have been mutually agreed to in the Post-Layout Approval Sheet. Upon receipt of such rejection, Seller shall ban a period of thirty (30) days to cure the defects set forth in such notice of rejection. In the event that Seller is unable to cure the defect within such 30-day period or any extension of such period as may be agreed to by the parties in writing, Buyer may cancel further development without penalty or additional charges. </w:t>
      </w:r>
      <w:r>
        <w:rPr>
          <w:rFonts w:ascii="Times New Roman" w:cs="Times New Roman" w:eastAsia="Times New Roman" w:hAnsi="Times New Roman"/>
          <w:sz w:val="16"/>
          <w:szCs w:val="16"/>
          <w:color w:val="auto"/>
        </w:rPr>
        <w:t>Seller will perform thorough testing of ES, including Scan, DC. Boundary Scan, 1DDQ, Connectivity, Analog Testing,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Functional Testing. Buyer’s exclusive remedy and Seller’s entire liability under this Agreement with respect to non-conforming ES is to use reasonable efforts to replace any detective ES, or, in the event Seller is unable after such efforts to replace such ES, to issue a credit or refund for the purchase price of such ES. The warranty obligation does not apply to any defects which arise from (i) misuse, neglect, improper installation, repair, alteration or accident by Buyer or its customers or agents; (ii) any modification to the part made by Buyer or its customers or agents; (iii) Buyer’s own logic design for the ES; or (iv) the equipment, systems or software used by Buyer or its customers or agents in connection with the ES.</w:t>
      </w:r>
    </w:p>
    <w:p>
      <w:pPr>
        <w:spacing w:after="0" w:line="214" w:lineRule="exact"/>
        <w:rPr>
          <w:sz w:val="20"/>
          <w:szCs w:val="20"/>
          <w:color w:val="auto"/>
        </w:rPr>
      </w:pPr>
    </w:p>
    <w:p>
      <w:pPr>
        <w:ind w:left="177" w:hanging="177"/>
        <w:spacing w:after="0"/>
        <w:tabs>
          <w:tab w:leader="none" w:pos="17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MASS PRODUCTION PRODUCTS</w:t>
      </w:r>
    </w:p>
    <w:p>
      <w:pPr>
        <w:spacing w:after="0" w:line="277" w:lineRule="exact"/>
        <w:rPr>
          <w:sz w:val="20"/>
          <w:szCs w:val="20"/>
          <w:color w:val="auto"/>
        </w:rPr>
      </w:pPr>
    </w:p>
    <w:p>
      <w:pPr>
        <w:jc w:val="both"/>
        <w:ind w:left="497" w:firstLine="11"/>
        <w:spacing w:after="0" w:line="270" w:lineRule="auto"/>
        <w:rPr>
          <w:sz w:val="20"/>
          <w:szCs w:val="20"/>
          <w:color w:val="auto"/>
        </w:rPr>
      </w:pPr>
      <w:r>
        <w:rPr>
          <w:rFonts w:ascii="Times New Roman" w:cs="Times New Roman" w:eastAsia="Times New Roman" w:hAnsi="Times New Roman"/>
          <w:sz w:val="17"/>
          <w:szCs w:val="17"/>
          <w:color w:val="auto"/>
        </w:rPr>
        <w:t xml:space="preserve">The following terms apply to mass production Products only. Risk Production products require the execution of a separate Risk Production Task Order. Production testing shall be </w:t>
      </w:r>
      <w:r>
        <w:rPr>
          <w:rFonts w:ascii="Times New Roman" w:cs="Times New Roman" w:eastAsia="Times New Roman" w:hAnsi="Times New Roman"/>
          <w:sz w:val="18"/>
          <w:szCs w:val="18"/>
          <w:color w:val="auto"/>
        </w:rPr>
        <w:t>performed</w:t>
      </w:r>
      <w:r>
        <w:rPr>
          <w:rFonts w:ascii="Times New Roman" w:cs="Times New Roman" w:eastAsia="Times New Roman" w:hAnsi="Times New Roman"/>
          <w:sz w:val="17"/>
          <w:szCs w:val="17"/>
          <w:color w:val="auto"/>
        </w:rPr>
        <w:t xml:space="preserve"> by Seller </w:t>
      </w:r>
      <w:r>
        <w:rPr>
          <w:rFonts w:ascii="Times New Roman" w:cs="Times New Roman" w:eastAsia="Times New Roman" w:hAnsi="Times New Roman"/>
          <w:sz w:val="18"/>
          <w:szCs w:val="18"/>
          <w:color w:val="auto"/>
        </w:rPr>
        <w:t>in all operating conditions</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8"/>
          <w:szCs w:val="18"/>
          <w:color w:val="auto"/>
        </w:rPr>
        <w:t>are</w:t>
      </w:r>
      <w:r>
        <w:rPr>
          <w:rFonts w:ascii="Times New Roman" w:cs="Times New Roman" w:eastAsia="Times New Roman" w:hAnsi="Times New Roman"/>
          <w:sz w:val="17"/>
          <w:szCs w:val="17"/>
          <w:color w:val="auto"/>
        </w:rPr>
        <w:t xml:space="preserve"> specified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7"/>
          <w:szCs w:val="17"/>
          <w:color w:val="auto"/>
        </w:rPr>
        <w:t xml:space="preserve"> Design Specifications. For clarity, Purchase Orders for Products may be submitted to Seller by Buyer or </w:t>
      </w:r>
      <w:r>
        <w:rPr>
          <w:rFonts w:ascii="Times New Roman" w:cs="Times New Roman" w:eastAsia="Times New Roman" w:hAnsi="Times New Roman"/>
          <w:sz w:val="18"/>
          <w:szCs w:val="18"/>
          <w:color w:val="auto"/>
        </w:rPr>
        <w:t>by</w:t>
      </w:r>
      <w:r>
        <w:rPr>
          <w:rFonts w:ascii="Times New Roman" w:cs="Times New Roman" w:eastAsia="Times New Roman" w:hAnsi="Times New Roman"/>
          <w:sz w:val="17"/>
          <w:szCs w:val="17"/>
          <w:color w:val="auto"/>
        </w:rPr>
        <w:t xml:space="preserve"> a third party designated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7"/>
          <w:szCs w:val="17"/>
          <w:color w:val="auto"/>
        </w:rPr>
        <w:t xml:space="preserve"> Buyer which is </w:t>
      </w:r>
      <w:r>
        <w:rPr>
          <w:rFonts w:ascii="Times New Roman" w:cs="Times New Roman" w:eastAsia="Times New Roman" w:hAnsi="Times New Roman"/>
          <w:sz w:val="18"/>
          <w:szCs w:val="18"/>
          <w:color w:val="auto"/>
        </w:rPr>
        <w:t>performing</w:t>
      </w:r>
      <w:r>
        <w:rPr>
          <w:rFonts w:ascii="Times New Roman" w:cs="Times New Roman" w:eastAsia="Times New Roman" w:hAnsi="Times New Roman"/>
          <w:sz w:val="17"/>
          <w:szCs w:val="17"/>
          <w:color w:val="auto"/>
        </w:rPr>
        <w:t xml:space="preserve"> manufacturing or other services on behalf of Buyer. Seller retains the right to qualify such third party contract manufacturers and service providers on the basis of Seller's credit evaluation, and may determine the payment terms (in accordance with objectively reasonable standard criteria that Seller generally uses to establish payment terms) applicable to such third party contract manufacturers and service providers, including cash in advance </w:t>
      </w:r>
      <w:r>
        <w:rPr>
          <w:rFonts w:ascii="Arial" w:cs="Arial" w:eastAsia="Arial" w:hAnsi="Arial"/>
          <w:sz w:val="17"/>
          <w:szCs w:val="17"/>
          <w:color w:val="auto"/>
        </w:rPr>
        <w:t>if</w:t>
      </w:r>
      <w:r>
        <w:rPr>
          <w:rFonts w:ascii="Times New Roman" w:cs="Times New Roman" w:eastAsia="Times New Roman" w:hAnsi="Times New Roman"/>
          <w:sz w:val="17"/>
          <w:szCs w:val="17"/>
          <w:color w:val="auto"/>
        </w:rPr>
        <w:t xml:space="preserve"> such payment term is consistent with such standard criteria of Seller, in its sole discretion.</w:t>
      </w:r>
    </w:p>
    <w:p>
      <w:pPr>
        <w:spacing w:after="0" w:line="212" w:lineRule="exact"/>
        <w:rPr>
          <w:sz w:val="20"/>
          <w:szCs w:val="20"/>
          <w:color w:val="auto"/>
        </w:rPr>
      </w:pPr>
    </w:p>
    <w:p>
      <w:pPr>
        <w:ind w:left="657" w:hanging="155"/>
        <w:spacing w:after="0"/>
        <w:tabs>
          <w:tab w:leader="none" w:pos="65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Price</w:t>
      </w:r>
    </w:p>
    <w:p>
      <w:pPr>
        <w:spacing w:after="0" w:line="26" w:lineRule="exact"/>
        <w:rPr>
          <w:sz w:val="20"/>
          <w:szCs w:val="20"/>
          <w:color w:val="auto"/>
        </w:rPr>
      </w:pPr>
    </w:p>
    <w:p>
      <w:pPr>
        <w:ind w:left="1017" w:right="20"/>
        <w:spacing w:after="0" w:line="250" w:lineRule="auto"/>
        <w:rPr>
          <w:sz w:val="20"/>
          <w:szCs w:val="20"/>
          <w:color w:val="auto"/>
        </w:rPr>
      </w:pPr>
      <w:r>
        <w:rPr>
          <w:rFonts w:ascii="Times New Roman" w:cs="Times New Roman" w:eastAsia="Times New Roman" w:hAnsi="Times New Roman"/>
          <w:sz w:val="17"/>
          <w:szCs w:val="17"/>
          <w:color w:val="auto"/>
        </w:rPr>
        <w:t>The Product price is set forth in the APT. Seller does not have the right to increase the prices in the APT, including any increase which may be attributable to any additional duty, tariff, tax, or other charge imposed as a result of any action by any</w:t>
      </w:r>
    </w:p>
    <w:p>
      <w:pPr>
        <w:sectPr>
          <w:pgSz w:w="11900" w:h="16838" w:orient="portrait"/>
          <w:cols w:equalWidth="0" w:num="1">
            <w:col w:w="11357"/>
          </w:cols>
          <w:pgMar w:left="323" w:top="562" w:right="219" w:bottom="1440" w:gutter="0" w:footer="0" w:header="0"/>
        </w:sectPr>
      </w:pPr>
    </w:p>
    <w:bookmarkStart w:id="50" w:name="page51"/>
    <w:bookmarkEnd w:id="50"/>
    <w:p>
      <w:pPr>
        <w:jc w:val="both"/>
        <w:ind w:left="520" w:firstLine="11"/>
        <w:spacing w:after="0" w:line="259" w:lineRule="auto"/>
        <w:rPr>
          <w:sz w:val="20"/>
          <w:szCs w:val="20"/>
          <w:color w:val="auto"/>
        </w:rPr>
      </w:pPr>
      <w:r>
        <w:rPr>
          <w:rFonts w:ascii="Times New Roman" w:cs="Times New Roman" w:eastAsia="Times New Roman" w:hAnsi="Times New Roman"/>
          <w:sz w:val="17"/>
          <w:szCs w:val="17"/>
          <w:color w:val="auto"/>
        </w:rPr>
        <w:t>national or federal government, any state or local government, or any agent or agency thereof. Unless otherwise agreed to in writing by Buyer and Seller or as required by applicable laws, all amounts payable by Buyer will be itemized separately on invoices. If exempt from taxes, Buyer must provide a Certificate of Exemption prior to the time a given Purchase Order is submitted to Seller; provided that, once such Certificate of Exemption has been submitted to Seller, Buyer is not obligated to submit another Certificate of Exemption unless and until the originally submitted Certificate of Exemption is no longer applicable or valid.</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Terms of Payment</w:t>
      </w:r>
    </w:p>
    <w:p>
      <w:pPr>
        <w:spacing w:after="0" w:line="21" w:lineRule="exact"/>
        <w:rPr>
          <w:sz w:val="20"/>
          <w:szCs w:val="20"/>
          <w:color w:val="auto"/>
        </w:rPr>
      </w:pPr>
    </w:p>
    <w:p>
      <w:pPr>
        <w:ind w:left="540"/>
        <w:spacing w:after="0" w:line="242" w:lineRule="auto"/>
        <w:rPr>
          <w:sz w:val="20"/>
          <w:szCs w:val="20"/>
          <w:color w:val="auto"/>
        </w:rPr>
      </w:pPr>
      <w:r>
        <w:rPr>
          <w:rFonts w:ascii="Times New Roman" w:cs="Times New Roman" w:eastAsia="Times New Roman" w:hAnsi="Times New Roman"/>
          <w:sz w:val="17"/>
          <w:szCs w:val="17"/>
          <w:color w:val="auto"/>
        </w:rPr>
        <w:t>Subject to credit approval by Seller (which shall be consistent with Seller’s standard credit approval practices), payment terms are net thirty (30) days from the date of Buyer’s receipt of Seller’s invoice, which will be issued electronically.</w:t>
      </w:r>
    </w:p>
    <w:p>
      <w:pPr>
        <w:spacing w:after="0" w:line="182" w:lineRule="exact"/>
        <w:rPr>
          <w:sz w:val="20"/>
          <w:szCs w:val="20"/>
          <w:color w:val="auto"/>
        </w:rPr>
      </w:pPr>
    </w:p>
    <w:p>
      <w:pPr>
        <w:jc w:val="both"/>
        <w:ind w:left="520" w:firstLine="11"/>
        <w:spacing w:after="0" w:line="242" w:lineRule="auto"/>
        <w:rPr>
          <w:sz w:val="20"/>
          <w:szCs w:val="20"/>
          <w:color w:val="auto"/>
        </w:rPr>
      </w:pPr>
      <w:r>
        <w:rPr>
          <w:rFonts w:ascii="Times New Roman" w:cs="Times New Roman" w:eastAsia="Times New Roman" w:hAnsi="Times New Roman"/>
          <w:sz w:val="17"/>
          <w:szCs w:val="17"/>
          <w:color w:val="auto"/>
        </w:rPr>
        <w:t xml:space="preserve">Each shipment by Seller to Buyer pursuant to this Agreement will be a separate and independent transaction and will be invoiced separately, and Buyer will pay for each shipment separately and as invoiced (unless such shipment and/or invoice is disputed by Buyer). Buyer will notify Seller of any incorrect or incomplete invoices within ten (10) business days after receipt of the invoice. Seller wil1 issue corrected invoices within two (2) business days after receipt of Buyer's notification. Should Buyer fail to notify Seller of an incorrect invoice within the ten (10) business days. Buyer shall pay the invoice in accordance with the above payment terms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issue a separate request for credit. Should Seller fail to issue a corrected invoice within the above-described two (2) business days period, then Seller will accept Buyer's partial payment of an invoice in an amount less than the full amount of any invoice. The Seller’s acceptance of partial payment does not constitute a waiver of Seller’s right to collect the balance or an accord and satisfaction notwithstanding Seller’s endorsement of a check or other instrument.</w:t>
      </w:r>
    </w:p>
    <w:p>
      <w:pPr>
        <w:spacing w:after="0" w:line="201"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Title</w:t>
      </w:r>
    </w:p>
    <w:p>
      <w:pPr>
        <w:spacing w:after="0" w:line="21" w:lineRule="exact"/>
        <w:rPr>
          <w:sz w:val="20"/>
          <w:szCs w:val="20"/>
          <w:color w:val="auto"/>
        </w:rPr>
      </w:pPr>
    </w:p>
    <w:p>
      <w:pPr>
        <w:jc w:val="both"/>
        <w:ind w:left="520"/>
        <w:spacing w:after="0" w:line="239" w:lineRule="auto"/>
        <w:rPr>
          <w:sz w:val="20"/>
          <w:szCs w:val="20"/>
          <w:color w:val="auto"/>
        </w:rPr>
      </w:pPr>
      <w:r>
        <w:rPr>
          <w:rFonts w:ascii="Times New Roman" w:cs="Times New Roman" w:eastAsia="Times New Roman" w:hAnsi="Times New Roman"/>
          <w:sz w:val="17"/>
          <w:szCs w:val="17"/>
          <w:color w:val="auto"/>
        </w:rPr>
        <w:t>Seller will ship by the method requested by Buyer. All Products purchased by Buyer will be shipped FOB Seller’s warehouse in Texas or Sellers parent company’s warehouse in Japan, unless otherwise agreed by Seller and Buyer. Title passes to Buyer and Seller’s liability as to delivery will cease upon delivery of Products to the carrier. Seller will have no obligation to ship via a carrier that does not comply with applicable U.S. law; provided that, if Buyer requests that Seller ship via such carrier, Seller shall provide prompt written notice to Buyer, so that Buyer may rebut Seller’s determination of non-compliance or may select another carrier that does comply with applicable U.S.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Property Rights</w:t>
      </w:r>
    </w:p>
    <w:p>
      <w:pPr>
        <w:spacing w:after="0" w:line="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intellectual property created by Seller in designing and developing Products for Buyer hereunder, or in the process of manufacturing Products for Buyer,</w:t>
      </w:r>
    </w:p>
    <w:p>
      <w:pPr>
        <w:sectPr>
          <w:pgSz w:w="11900" w:h="16838" w:orient="portrait"/>
          <w:cols w:equalWidth="0" w:num="1">
            <w:col w:w="11080"/>
          </w:cols>
          <w:pgMar w:left="600" w:top="589" w:right="219" w:bottom="1440" w:gutter="0" w:footer="0" w:header="0"/>
        </w:sectPr>
      </w:pPr>
    </w:p>
    <w:bookmarkStart w:id="51" w:name="page52"/>
    <w:bookmarkEnd w:id="51"/>
    <w:p>
      <w:pPr>
        <w:jc w:val="both"/>
        <w:ind w:left="520" w:firstLine="11"/>
        <w:spacing w:after="0" w:line="242" w:lineRule="auto"/>
        <w:rPr>
          <w:sz w:val="20"/>
          <w:szCs w:val="20"/>
          <w:color w:val="auto"/>
        </w:rPr>
      </w:pPr>
      <w:r>
        <w:rPr>
          <w:rFonts w:ascii="Times New Roman" w:cs="Times New Roman" w:eastAsia="Times New Roman" w:hAnsi="Times New Roman"/>
          <w:sz w:val="17"/>
          <w:szCs w:val="17"/>
          <w:color w:val="auto"/>
        </w:rPr>
        <w:t>including the basic ASIC design software and processing technology utilized in the development and manufacture of ASIC’s for Buyer and excluding the ASIC logic circuit connection pattern of Buyer's design embedded in the Fujitsu Logic Description Language (“FLDL”), will not be deemed to produce a work made for hire (collectively, “Seller IP”). Buyer shall not have any copyright, trademark, patent, trade secret or other intellectual property rights in the Seller IP, including the mask works relating to the Products which are created by Seller. All such rights in Seller IP will remain the property of Seller and no license of any type, express or implied, under Seller IP is granted to Buyer under this Agreement, Seller will also retain all such right, title and interest to any Seller-provided cells or macros that Seller incorporates into the ASIC design or furnishes to Buyer for use in its design, unless otherwise mutually agreed between the parties. No license, express or implied, with regard to any trademark of Seller or its affiliated companies is granted to Buyer under this Agreement. No license, express or implied, with regard to any trademark of Buyer or its affiliated companies is granted to Seller under this Agreement.</w:t>
      </w:r>
    </w:p>
    <w:p>
      <w:pPr>
        <w:spacing w:after="0" w:line="194" w:lineRule="exact"/>
        <w:rPr>
          <w:sz w:val="20"/>
          <w:szCs w:val="20"/>
          <w:color w:val="auto"/>
        </w:rPr>
      </w:pPr>
    </w:p>
    <w:p>
      <w:pPr>
        <w:jc w:val="both"/>
        <w:ind w:left="520" w:firstLine="11"/>
        <w:spacing w:after="0" w:line="256" w:lineRule="auto"/>
        <w:rPr>
          <w:sz w:val="20"/>
          <w:szCs w:val="20"/>
          <w:color w:val="auto"/>
        </w:rPr>
      </w:pPr>
      <w:r>
        <w:rPr>
          <w:rFonts w:ascii="Times New Roman" w:cs="Times New Roman" w:eastAsia="Times New Roman" w:hAnsi="Times New Roman"/>
          <w:sz w:val="17"/>
          <w:szCs w:val="17"/>
          <w:color w:val="auto"/>
        </w:rPr>
        <w:t>Notwithstanding anything to the contrary in the foregoing paragraph or elsewhere in this Agreement, Seller will provide the Products exclusively to Buyer, and shall not use Seller IP (including the mask works relating to the Products) to design, develop or manufacture similar products for the benefit of any third party. Buyer solely owns and will retain, all intellectual property rights to the Products themselves. excluding Seller IP. Seller will retain possession of all masks relating to the Products, but all such masks which are customized to meet Buyer’s Design Specifications will be made, used and held by Seller solely for Buyer’s exclusive use and exploitation. Seller will not use such masks for the benefit of any third party without prior written authorization from Buyer (such authorization within Buyer’s sole discretion). For the avoidance of doubt, Seller will supply to any third party products which are identical or substantially similar to the Products manufactured for Buyer under this Agreement.</w:t>
      </w:r>
    </w:p>
    <w:p>
      <w:pPr>
        <w:spacing w:after="0" w:line="185" w:lineRule="exact"/>
        <w:rPr>
          <w:sz w:val="20"/>
          <w:szCs w:val="20"/>
          <w:color w:val="auto"/>
        </w:rPr>
      </w:pPr>
    </w:p>
    <w:p>
      <w:pPr>
        <w:jc w:val="both"/>
        <w:ind w:left="500" w:firstLine="11"/>
        <w:spacing w:after="0" w:line="261" w:lineRule="auto"/>
        <w:rPr>
          <w:sz w:val="20"/>
          <w:szCs w:val="20"/>
          <w:color w:val="auto"/>
        </w:rPr>
      </w:pPr>
      <w:r>
        <w:rPr>
          <w:rFonts w:ascii="Times New Roman" w:cs="Times New Roman" w:eastAsia="Times New Roman" w:hAnsi="Times New Roman"/>
          <w:sz w:val="17"/>
          <w:szCs w:val="17"/>
          <w:color w:val="auto"/>
        </w:rPr>
        <w:t>If Buyer places no Purchase Orders for any Product for twelve (12) months from the date of Buyer’s ES approval. or for twelve (12) months from the date of last delivery of Products), Seller will keep the masks relating to the Products for Buyer’s exclusive use for a period of 5 years from such applicable date, provided Seller has not discontinued manufacture of the Product or the Product manufacturing process (and in such event, Section 6.b. shall apply and govern).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b w:val="1"/>
          <w:bCs w:val="1"/>
          <w:color w:val="auto"/>
        </w:rPr>
        <w:t>Warranty and Sole Remedy</w:t>
      </w:r>
    </w:p>
    <w:p>
      <w:pPr>
        <w:spacing w:after="0" w:line="21" w:lineRule="exact"/>
        <w:rPr>
          <w:sz w:val="20"/>
          <w:szCs w:val="20"/>
          <w:color w:val="auto"/>
        </w:rPr>
      </w:pPr>
    </w:p>
    <w:p>
      <w:pPr>
        <w:jc w:val="both"/>
        <w:ind w:left="520"/>
        <w:spacing w:after="0"/>
        <w:rPr>
          <w:sz w:val="20"/>
          <w:szCs w:val="20"/>
          <w:color w:val="auto"/>
        </w:rPr>
      </w:pPr>
      <w:r>
        <w:rPr>
          <w:rFonts w:ascii="Times New Roman" w:cs="Times New Roman" w:eastAsia="Times New Roman" w:hAnsi="Times New Roman"/>
          <w:sz w:val="17"/>
          <w:szCs w:val="17"/>
          <w:color w:val="auto"/>
        </w:rPr>
        <w:t>For the warrant period specified below, Seller warrants that the Products delivered hereunder will (1) be free from defects in materials and workmanship under normal use and service, and (2) will comply with the Post-Layout Approval Sheet. Seller disclaims any warranty for defects to the extent such defects primarily result from designs or Specifications provided by the Buyer and used by</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060"/>
          </w:cols>
          <w:pgMar w:left="620" w:top="578" w:right="219" w:bottom="1440" w:gutter="0" w:footer="0" w:header="0"/>
        </w:sectPr>
      </w:pPr>
    </w:p>
    <w:bookmarkStart w:id="52" w:name="page53"/>
    <w:bookmarkEnd w:id="52"/>
    <w:p>
      <w:pPr>
        <w:jc w:val="both"/>
        <w:ind w:left="80" w:firstLine="12"/>
        <w:spacing w:after="0" w:line="261" w:lineRule="auto"/>
        <w:rPr>
          <w:sz w:val="20"/>
          <w:szCs w:val="20"/>
          <w:color w:val="auto"/>
        </w:rPr>
      </w:pPr>
      <w:r>
        <w:rPr>
          <w:rFonts w:ascii="Times New Roman" w:cs="Times New Roman" w:eastAsia="Times New Roman" w:hAnsi="Times New Roman"/>
          <w:sz w:val="17"/>
          <w:szCs w:val="17"/>
          <w:color w:val="auto"/>
        </w:rPr>
        <w:t>Seller, including but not limited to Buyer’s function and logic design, and RTL. The warranty obligation of Seller does not apply to any defects to the extent such defects primarily result from (i) Product misuse, neglect, improper installation, Repair, alteration or accident by Buyer or its customers or agents after delivery of Product(s) to the Buyer; (ii) any modification to the Product(s) made by Buyer or its customers or agents after delivery of Product(s) to the Buyer: or (iii) the equipment, systems or software used by Buyer or its customers or agents in connection with the Products.</w:t>
      </w:r>
    </w:p>
    <w:p>
      <w:pPr>
        <w:spacing w:after="0" w:line="189" w:lineRule="exact"/>
        <w:rPr>
          <w:sz w:val="20"/>
          <w:szCs w:val="20"/>
          <w:color w:val="auto"/>
        </w:rPr>
      </w:pPr>
    </w:p>
    <w:p>
      <w:pPr>
        <w:jc w:val="both"/>
        <w:ind w:left="80"/>
        <w:spacing w:after="0" w:line="265" w:lineRule="auto"/>
        <w:rPr>
          <w:sz w:val="20"/>
          <w:szCs w:val="20"/>
          <w:color w:val="auto"/>
        </w:rPr>
      </w:pPr>
      <w:r>
        <w:rPr>
          <w:rFonts w:ascii="Times New Roman" w:cs="Times New Roman" w:eastAsia="Times New Roman" w:hAnsi="Times New Roman"/>
          <w:sz w:val="17"/>
          <w:szCs w:val="17"/>
          <w:color w:val="auto"/>
        </w:rPr>
        <w:t>Seller’s warranty obligations are limited to replacement of any detective Product(s), or in the event Seller is unable to replace such Product(s), to issue, at the election of Buyer, a credit or refund for the purchase price of such Product(s).</w:t>
      </w:r>
    </w:p>
    <w:p>
      <w:pPr>
        <w:spacing w:after="0" w:line="113" w:lineRule="exact"/>
        <w:rPr>
          <w:sz w:val="20"/>
          <w:szCs w:val="20"/>
          <w:color w:val="auto"/>
        </w:rPr>
      </w:pPr>
    </w:p>
    <w:p>
      <w:pPr>
        <w:jc w:val="both"/>
        <w:ind w:left="40" w:firstLine="11"/>
        <w:spacing w:after="0" w:line="233" w:lineRule="auto"/>
        <w:rPr>
          <w:sz w:val="20"/>
          <w:szCs w:val="20"/>
          <w:color w:val="auto"/>
        </w:rPr>
      </w:pPr>
      <w:r>
        <w:rPr>
          <w:rFonts w:ascii="Times New Roman" w:cs="Times New Roman" w:eastAsia="Times New Roman" w:hAnsi="Times New Roman"/>
          <w:sz w:val="17"/>
          <w:szCs w:val="17"/>
          <w:b w:val="1"/>
          <w:bCs w:val="1"/>
          <w:color w:val="auto"/>
        </w:rPr>
        <w:t>EXCEPT FOR THE EXPRESS WARRANTIES PROVIDED IN THIS SECTION 5.e., ALL WARRANTIES WITH RESPECT TO PRODUCTS, WHETHER EXPRESS OR IMPLIED, AND ALL GUARANTIES AND ALL REPRESENTATIONS AS TO PERFORMANCE OF PRODUCTS, INCLUDING ALL WARRANTIES THAT MIGHT ARISE FROM COURSE OF DEALING OR CUSTOM OF TRADE, INCLUDING ALL IMPLIED WARRANTIES OF MERCHANTABILITY, FITNESS FOR A PARTICULAR PURPOSE, AND OF NON-INFRINGEMENT ARE EXPRESSLY EXCLUDED AND DISCLAIMED BY SELLER</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7"/>
          <w:szCs w:val="17"/>
          <w:color w:val="auto"/>
        </w:rPr>
        <w:t>No agent, employee or representative of Seller has any authority to bind Seller to any affirmation, representation or warranty relating to the Products other than as specifically provided herein. An officer of Seller is deemed to have such authority to bind Seller.</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warranty provided for herein is subject to the following conditions:</w:t>
      </w:r>
    </w:p>
    <w:p>
      <w:pPr>
        <w:spacing w:after="0" w:line="227" w:lineRule="exact"/>
        <w:rPr>
          <w:sz w:val="20"/>
          <w:szCs w:val="20"/>
          <w:color w:val="auto"/>
        </w:rPr>
      </w:pPr>
    </w:p>
    <w:p>
      <w:pPr>
        <w:ind w:left="280" w:hanging="278"/>
        <w:spacing w:after="0"/>
        <w:tabs>
          <w:tab w:leader="none" w:pos="2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will notify Seller promptly in writing of any claims if a Product is or becomes defective during the warranty period.</w:t>
      </w:r>
    </w:p>
    <w:p>
      <w:pPr>
        <w:spacing w:after="0" w:line="90"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will follow Seller’s Return Material Authorization procedures if Seller advises Buyer to return a defective Product for replacement.</w:t>
      </w:r>
    </w:p>
    <w:p>
      <w:pPr>
        <w:spacing w:after="0" w:line="90" w:lineRule="exact"/>
        <w:rPr>
          <w:rFonts w:ascii="Times New Roman" w:cs="Times New Roman" w:eastAsia="Times New Roman" w:hAnsi="Times New Roman"/>
          <w:sz w:val="17"/>
          <w:szCs w:val="17"/>
          <w:color w:val="auto"/>
        </w:rPr>
      </w:pPr>
    </w:p>
    <w:p>
      <w:pPr>
        <w:jc w:val="both"/>
        <w:ind w:left="280" w:hanging="278"/>
        <w:spacing w:after="0" w:line="267" w:lineRule="auto"/>
        <w:tabs>
          <w:tab w:leader="none" w:pos="2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Buyer will reimburse Seller for all reasonable expenses incurred by Seller for shipping, handling, and inspection of such Product alleged by Buyer to be defective if such Product is either (i) not under warranty, or (ii) is finally determined not to be defective, or (iii) is defective due to any cause or condition not covered under the warranty provided herein. With respect to clause (ii), if Seller disagrees with Buyer’s determination that such Product is defective, Seller shall so notify Buyer in writing within thirty (30) days. In such event, Seller and Buyer shall meet in good faith to attempt to resolve the</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60"/>
          </w:cols>
          <w:pgMar w:left="1120" w:top="429" w:right="219" w:bottom="1440" w:gutter="0" w:footer="0" w:header="0"/>
        </w:sectPr>
      </w:pPr>
    </w:p>
    <w:bookmarkStart w:id="53" w:name="page54"/>
    <w:bookmarkEnd w:id="53"/>
    <w:p>
      <w:pPr>
        <w:jc w:val="both"/>
        <w:ind w:left="832" w:firstLine="11"/>
        <w:spacing w:after="0" w:line="265" w:lineRule="auto"/>
        <w:rPr>
          <w:sz w:val="20"/>
          <w:szCs w:val="20"/>
          <w:color w:val="auto"/>
        </w:rPr>
      </w:pPr>
      <w:r>
        <w:rPr>
          <w:rFonts w:ascii="Times New Roman" w:cs="Times New Roman" w:eastAsia="Times New Roman" w:hAnsi="Times New Roman"/>
          <w:sz w:val="17"/>
          <w:szCs w:val="17"/>
          <w:color w:val="auto"/>
        </w:rPr>
        <w:t>issue in a manner agreeable lo both parties (and if circumstances are appropriate, the parties may agree to send such alleged defective Product to an outside Laboratory or consultant for testing, in order to achieve the parties· mutual objective of avoiding material delays to pre-agreed Product timelines and/or delivery dates).</w:t>
      </w:r>
    </w:p>
    <w:p>
      <w:pPr>
        <w:spacing w:after="0" w:line="175" w:lineRule="exact"/>
        <w:rPr>
          <w:sz w:val="20"/>
          <w:szCs w:val="20"/>
          <w:color w:val="auto"/>
        </w:rPr>
      </w:pPr>
    </w:p>
    <w:p>
      <w:pPr>
        <w:ind w:left="812" w:right="200" w:hanging="263"/>
        <w:spacing w:after="0" w:line="279" w:lineRule="auto"/>
        <w:tabs>
          <w:tab w:leader="none" w:pos="73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will pay all transportation charges for returned Product. Seller will reimburse Buyer for all such transportation charges incurred by Buyer, unless the returned Product is finally determined not to be defective in accordance with paragraph (3) above.</w:t>
      </w:r>
    </w:p>
    <w:p>
      <w:pPr>
        <w:spacing w:after="0" w:line="162" w:lineRule="exact"/>
        <w:rPr>
          <w:rFonts w:ascii="Times New Roman" w:cs="Times New Roman" w:eastAsia="Times New Roman" w:hAnsi="Times New Roman"/>
          <w:sz w:val="17"/>
          <w:szCs w:val="17"/>
          <w:color w:val="auto"/>
        </w:rPr>
      </w:pPr>
    </w:p>
    <w:p>
      <w:pPr>
        <w:ind w:left="812" w:right="180" w:hanging="263"/>
        <w:spacing w:after="0" w:line="265" w:lineRule="auto"/>
        <w:tabs>
          <w:tab w:leader="none" w:pos="73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will Seller be liable for any defective Products if it is finally determined that the detect primarily resulted (i) after delivery of Products to Buyer and (ii) from misuse, abuse, improper installation or application, improper maintenance or repair, assembly by Buyer or a third party, alteration, accident or negligence in use, storage, transportation or handling.</w:t>
      </w:r>
    </w:p>
    <w:p>
      <w:pPr>
        <w:spacing w:after="0" w:line="174" w:lineRule="exact"/>
        <w:rPr>
          <w:rFonts w:ascii="Times New Roman" w:cs="Times New Roman" w:eastAsia="Times New Roman" w:hAnsi="Times New Roman"/>
          <w:sz w:val="17"/>
          <w:szCs w:val="17"/>
          <w:color w:val="auto"/>
        </w:rPr>
      </w:pPr>
    </w:p>
    <w:p>
      <w:pPr>
        <w:ind w:left="812" w:right="20" w:hanging="263"/>
        <w:spacing w:after="0" w:line="279" w:lineRule="auto"/>
        <w:tabs>
          <w:tab w:leader="none" w:pos="73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returned Products which were electrically or mechanically damaged while under the control of Buyer or its customers or agents will not be covered by this warranty, unless the reason for the destruction was a defect in the Product itself.</w:t>
      </w:r>
    </w:p>
    <w:p>
      <w:pPr>
        <w:spacing w:after="0" w:line="162" w:lineRule="exact"/>
        <w:rPr>
          <w:rFonts w:ascii="Times New Roman" w:cs="Times New Roman" w:eastAsia="Times New Roman" w:hAnsi="Times New Roman"/>
          <w:sz w:val="17"/>
          <w:szCs w:val="17"/>
          <w:color w:val="auto"/>
        </w:rPr>
      </w:pPr>
    </w:p>
    <w:p>
      <w:pPr>
        <w:ind w:left="812" w:hanging="263"/>
        <w:spacing w:after="0" w:line="279" w:lineRule="auto"/>
        <w:tabs>
          <w:tab w:leader="none" w:pos="73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warranty will exist for a period of twelve (12) months after the date of Buyer’s receipt of Product shipment. No other warranty period is expressed or implied.</w:t>
      </w:r>
    </w:p>
    <w:p>
      <w:pPr>
        <w:spacing w:after="0" w:line="162" w:lineRule="exact"/>
        <w:rPr>
          <w:rFonts w:ascii="Times New Roman" w:cs="Times New Roman" w:eastAsia="Times New Roman" w:hAnsi="Times New Roman"/>
          <w:sz w:val="17"/>
          <w:szCs w:val="17"/>
          <w:color w:val="auto"/>
        </w:rPr>
      </w:pPr>
    </w:p>
    <w:p>
      <w:pPr>
        <w:ind w:left="732" w:hanging="183"/>
        <w:spacing w:after="0"/>
        <w:tabs>
          <w:tab w:leader="none" w:pos="732"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Seller material or Products do not conform to the applicable specifications. then Seller owns responsibility under the terms of this Section 5.e.</w:t>
      </w:r>
    </w:p>
    <w:p>
      <w:pPr>
        <w:spacing w:after="0" w:line="200" w:lineRule="exact"/>
        <w:rPr>
          <w:rFonts w:ascii="Times New Roman" w:cs="Times New Roman" w:eastAsia="Times New Roman" w:hAnsi="Times New Roman"/>
          <w:sz w:val="17"/>
          <w:szCs w:val="17"/>
          <w:color w:val="auto"/>
        </w:rPr>
      </w:pPr>
    </w:p>
    <w:p>
      <w:pPr>
        <w:spacing w:after="0" w:line="274" w:lineRule="exact"/>
        <w:rPr>
          <w:rFonts w:ascii="Times New Roman" w:cs="Times New Roman" w:eastAsia="Times New Roman" w:hAnsi="Times New Roman"/>
          <w:sz w:val="17"/>
          <w:szCs w:val="17"/>
          <w:color w:val="auto"/>
        </w:rPr>
      </w:pPr>
    </w:p>
    <w:p>
      <w:pPr>
        <w:ind w:left="132" w:hanging="132"/>
        <w:spacing w:after="0"/>
        <w:tabs>
          <w:tab w:leader="none" w:pos="132"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Intellectual Property Indemnification</w:t>
      </w:r>
    </w:p>
    <w:p>
      <w:pPr>
        <w:spacing w:after="0" w:line="231" w:lineRule="exact"/>
        <w:rPr>
          <w:rFonts w:ascii="Times New Roman" w:cs="Times New Roman" w:eastAsia="Times New Roman" w:hAnsi="Times New Roman"/>
          <w:sz w:val="17"/>
          <w:szCs w:val="17"/>
          <w:b w:val="1"/>
          <w:bCs w:val="1"/>
          <w:color w:val="auto"/>
        </w:rPr>
      </w:pPr>
    </w:p>
    <w:p>
      <w:pPr>
        <w:jc w:val="both"/>
        <w:ind w:left="812" w:hanging="263"/>
        <w:spacing w:after="0" w:line="256" w:lineRule="auto"/>
        <w:tabs>
          <w:tab w:leader="none" w:pos="812"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retains all intellectual property rights in its own intellectual property. Seller will indemnify, defend and hold Buyer harmless against all expenses, damages, costs or losses, including reasonable attorneys’ fees, resulting from a suit or proceeding brought by a third party which claims that the Product or any part thereof, or the Seller IP or any part thereof, or the process technology or methodology used to manufacture the Product, infringes any copyright, patent trademark, mask work, trade secret, or other intellectual property right. For clarity, Seller will indemnify Buyer for such claims if Seller-selected processes, materials or IP and/or Seller-selected claim elements (collectively, “Seller Selections”) are sufficient (in and of themselves. and not requiring combination with Buyer Selections (as defined in subparagraph (2) below)) to support such alleged infringement claim. Seller will have no duty</w:t>
      </w:r>
    </w:p>
    <w:p>
      <w:pPr>
        <w:sectPr>
          <w:pgSz w:w="11900" w:h="16838" w:orient="portrait"/>
          <w:cols w:equalWidth="0" w:num="1">
            <w:col w:w="11072"/>
          </w:cols>
          <w:pgMar w:left="608" w:top="612" w:right="219" w:bottom="1440" w:gutter="0" w:footer="0" w:header="0"/>
        </w:sectPr>
      </w:pPr>
    </w:p>
    <w:bookmarkStart w:id="54" w:name="page55"/>
    <w:bookmarkEnd w:id="54"/>
    <w:p>
      <w:pPr>
        <w:jc w:val="both"/>
        <w:ind w:left="286"/>
        <w:spacing w:after="0" w:line="243" w:lineRule="auto"/>
        <w:rPr>
          <w:sz w:val="20"/>
          <w:szCs w:val="20"/>
          <w:color w:val="auto"/>
        </w:rPr>
      </w:pPr>
      <w:r>
        <w:rPr>
          <w:rFonts w:ascii="Times New Roman" w:cs="Times New Roman" w:eastAsia="Times New Roman" w:hAnsi="Times New Roman"/>
          <w:sz w:val="17"/>
          <w:szCs w:val="17"/>
          <w:color w:val="auto"/>
        </w:rPr>
        <w:t>to indemnify Buyer for any claims arising out of the circumstances described in subparagraph (2), below. Seller may not sell the Raven or Jay finished Products in any form to any third party. except to Buyer’s designated third party contract manufacturers and service providers. Notwithstanding the foregoing, this Agreement shall not limit the right of Seller to develop, have developed, procure and/or market any products or services whatsoever now or in the future. including any products which perform the same function as Products, so long as such products and services do not incorporate or utilize any of Buyer's designs. Buyer IP, as defined below, or any Confidential Information of Buyer under the terms of the Mutual Non-Disclosure Agreement between parties, effective November 13, 2008.</w:t>
      </w:r>
    </w:p>
    <w:p>
      <w:pPr>
        <w:spacing w:after="0" w:line="206" w:lineRule="exact"/>
        <w:rPr>
          <w:sz w:val="20"/>
          <w:szCs w:val="20"/>
          <w:color w:val="auto"/>
        </w:rPr>
      </w:pPr>
    </w:p>
    <w:p>
      <w:pPr>
        <w:ind w:left="246" w:hanging="246"/>
        <w:spacing w:after="0" w:line="242" w:lineRule="auto"/>
        <w:tabs>
          <w:tab w:leader="none" w:pos="17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retains all intellectual property rights in its own intellectual property (“Buyer IP”), and will own the Product (i.e., the tangible property delivered to Buyer). Buyer will indemnify, defend and hold Seller harmless against all expenses, damages, costs or losses, including reasonable attorneys· fees. resulting from a suit or proceeding brought by a third party which claims that the practice or use of Buyer IP or of any design provided or specifically requested by Buyer, infringes any copyright, patent, trademark, trade secret, or other intellectual property right. For clarity, Buyer will indemnify Seller for such claims (i) if Buyer-selected processes, materials or IP and/or Buyer-selected claim elements (collectively. "Buyer Selections") are sufficient (in and of themselves, and not requiring combination with Seller Selections) to support such alleged infringement claim. or (ii) if the combination of Buyer Selections and Seller Selections is necessary to support such alleged infringement claim. Buyer will have no duty to indemnify Seller for any claims arising out of the circumstances described in subparagraph (I). above.</w:t>
      </w:r>
    </w:p>
    <w:p>
      <w:pPr>
        <w:spacing w:after="0" w:line="204" w:lineRule="exact"/>
        <w:rPr>
          <w:rFonts w:ascii="Times New Roman" w:cs="Times New Roman" w:eastAsia="Times New Roman" w:hAnsi="Times New Roman"/>
          <w:sz w:val="17"/>
          <w:szCs w:val="17"/>
          <w:color w:val="auto"/>
        </w:rPr>
      </w:pPr>
    </w:p>
    <w:p>
      <w:pPr>
        <w:ind w:left="246" w:hanging="246"/>
        <w:spacing w:after="0" w:line="245" w:lineRule="auto"/>
        <w:tabs>
          <w:tab w:leader="none" w:pos="17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obtain a defense and indemnification under this subparagraph t~ the party seeking a defense and indemnity will: (i) give prompt written notice of the claim to the other party: (ii) give the other party sole control of the defense and settlement of the claim: and (iii) provide to the other party all reasonably available information and assistance, at the other party’s cost and expense. Neither party will enter into any settlement or compromise that materially affects the other party without the other party’s prior written approval, and any such settlement or compromise shall release such other party from all liability in respect of such claim.</w:t>
      </w:r>
    </w:p>
    <w:p>
      <w:pPr>
        <w:spacing w:after="0" w:line="167" w:lineRule="exact"/>
        <w:rPr>
          <w:rFonts w:ascii="Times New Roman" w:cs="Times New Roman" w:eastAsia="Times New Roman" w:hAnsi="Times New Roman"/>
          <w:sz w:val="17"/>
          <w:szCs w:val="17"/>
          <w:color w:val="auto"/>
        </w:rPr>
      </w:pPr>
    </w:p>
    <w:p>
      <w:pPr>
        <w:ind w:left="246" w:hanging="246"/>
        <w:spacing w:after="0" w:line="251" w:lineRule="auto"/>
        <w:tabs>
          <w:tab w:leader="none" w:pos="18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the manufacture, use, sale, offer for sale and/or import of a Product be enjoined or become the subject of a claim of infringement for which indemnity is provided by Seller under subparagraph (1) above, Seller shall elect to (a) procure for Buyer the rights to continue to use and distribute the same. or (b) replace or modify the same to make it non-infringing without materially changing the form, fit, or function of the Product: provided that</w:t>
      </w:r>
    </w:p>
    <w:p>
      <w:pPr>
        <w:sectPr>
          <w:pgSz w:w="11900" w:h="16838" w:orient="portrait"/>
          <w:cols w:equalWidth="0" w:num="1">
            <w:col w:w="10546"/>
          </w:cols>
          <w:pgMar w:left="1134" w:top="338" w:right="219" w:bottom="1440" w:gutter="0" w:footer="0" w:header="0"/>
        </w:sectPr>
      </w:pPr>
    </w:p>
    <w:bookmarkStart w:id="55" w:name="page56"/>
    <w:bookmarkEnd w:id="55"/>
    <w:p>
      <w:pPr>
        <w:ind w:left="1320"/>
        <w:spacing w:after="0"/>
        <w:rPr>
          <w:sz w:val="20"/>
          <w:szCs w:val="20"/>
          <w:color w:val="auto"/>
        </w:rPr>
      </w:pPr>
      <w:r>
        <w:rPr>
          <w:rFonts w:ascii="Times New Roman" w:cs="Times New Roman" w:eastAsia="Times New Roman" w:hAnsi="Times New Roman"/>
          <w:sz w:val="16"/>
          <w:szCs w:val="16"/>
          <w:color w:val="auto"/>
        </w:rPr>
        <w:t>such replacement or modification shall be subject to Buyer’s prior written approval (such approval to be granted or denied in Buyer’s sole discretion).</w:t>
      </w:r>
    </w:p>
    <w:p>
      <w:pPr>
        <w:spacing w:after="0" w:line="227" w:lineRule="exact"/>
        <w:rPr>
          <w:sz w:val="20"/>
          <w:szCs w:val="20"/>
          <w:color w:val="auto"/>
        </w:rPr>
      </w:pPr>
    </w:p>
    <w:p>
      <w:pPr>
        <w:ind w:left="1320" w:right="20" w:hanging="258"/>
        <w:spacing w:after="0" w:line="265" w:lineRule="auto"/>
        <w:tabs>
          <w:tab w:leader="none" w:pos="123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will Seller’s total liability for an indemnified claim under this subparagraph f exceed two times the total amount paid or payable by Buyer to Seller under this Agreement.</w:t>
      </w:r>
    </w:p>
    <w:p>
      <w:pPr>
        <w:spacing w:after="0" w:line="158" w:lineRule="exact"/>
        <w:rPr>
          <w:rFonts w:ascii="Times New Roman" w:cs="Times New Roman" w:eastAsia="Times New Roman" w:hAnsi="Times New Roman"/>
          <w:sz w:val="17"/>
          <w:szCs w:val="17"/>
          <w:color w:val="auto"/>
        </w:rPr>
      </w:pPr>
    </w:p>
    <w:p>
      <w:pPr>
        <w:jc w:val="both"/>
        <w:ind w:left="1320" w:right="20" w:hanging="258"/>
        <w:spacing w:after="0" w:line="254" w:lineRule="auto"/>
        <w:tabs>
          <w:tab w:leader="none" w:pos="126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FOREGOING STATES THE EXCLUSIVE INDEMNIFICATION OBLIGATIONS OF THE PARTIES WITH RESPECT TO ANY ALLEGED COPYRIGHT, PATENT, TRADEMARK, MASK WORK, TRADE SECRET OR OTHER INTELLECTUAL PROPERTY RIGHT INFRINGEMENT BY SUCH PRODUCTS OR PARTS THEREOF</w:t>
      </w:r>
      <w:r>
        <w:rPr>
          <w:rFonts w:ascii="Times New Roman" w:cs="Times New Roman" w:eastAsia="Times New Roman" w:hAnsi="Times New Roman"/>
          <w:sz w:val="17"/>
          <w:szCs w:val="17"/>
          <w:color w:val="auto"/>
        </w:rPr>
        <w:t>.</w:t>
      </w:r>
    </w:p>
    <w:p>
      <w:pPr>
        <w:spacing w:after="0" w:line="190" w:lineRule="exact"/>
        <w:rPr>
          <w:rFonts w:ascii="Times New Roman" w:cs="Times New Roman" w:eastAsia="Times New Roman" w:hAnsi="Times New Roman"/>
          <w:sz w:val="17"/>
          <w:szCs w:val="17"/>
          <w:color w:val="auto"/>
        </w:rPr>
      </w:pPr>
    </w:p>
    <w:p>
      <w:pPr>
        <w:ind w:left="200" w:hanging="166"/>
        <w:spacing w:after="0"/>
        <w:tabs>
          <w:tab w:leader="none" w:pos="2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 AND PRODUCT DISCONTINUANCE</w:t>
      </w:r>
    </w:p>
    <w:p>
      <w:pPr>
        <w:spacing w:after="0" w:line="2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b w:val="1"/>
          <w:bCs w:val="1"/>
          <w:color w:val="auto"/>
        </w:rPr>
        <w:t>Termination</w:t>
      </w:r>
    </w:p>
    <w:p>
      <w:pPr>
        <w:spacing w:after="0" w:line="30" w:lineRule="exact"/>
        <w:rPr>
          <w:sz w:val="20"/>
          <w:szCs w:val="20"/>
          <w:color w:val="auto"/>
        </w:rPr>
      </w:pPr>
    </w:p>
    <w:p>
      <w:pPr>
        <w:jc w:val="both"/>
        <w:ind w:left="1080"/>
        <w:spacing w:after="0" w:line="239" w:lineRule="auto"/>
        <w:rPr>
          <w:sz w:val="20"/>
          <w:szCs w:val="20"/>
          <w:color w:val="auto"/>
        </w:rPr>
      </w:pPr>
      <w:r>
        <w:rPr>
          <w:rFonts w:ascii="Times New Roman" w:cs="Times New Roman" w:eastAsia="Times New Roman" w:hAnsi="Times New Roman"/>
          <w:sz w:val="17"/>
          <w:szCs w:val="17"/>
          <w:color w:val="auto"/>
        </w:rPr>
        <w:t>Should Buyer wish to terminate the development of a Product under a specific line item in a Task Order, or the production of a Product under a specific line item in an Annual APT for the Product (hereinafter collectively referred to as a "collateral agreement"), Buyer may cancel performance under the particular line item. Notwithstanding such cancellation by Buyer, Seller will honor the quantity of Product for which Seller has received and acknowledged a Purchase Order from Buyer. Buyer shall be obligated to pay for finished Product and work-in• process that has commenced in the manufacturing line at the time of any such cancellation. in accordance with the Annual Production Terms, and all such Product and work-in-process shall be delivered to Buyer at Buyers request.</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Product Discontinuance</w:t>
      </w:r>
    </w:p>
    <w:p>
      <w:pPr>
        <w:spacing w:after="0" w:line="26" w:lineRule="exact"/>
        <w:rPr>
          <w:sz w:val="20"/>
          <w:szCs w:val="20"/>
          <w:color w:val="auto"/>
        </w:rPr>
      </w:pPr>
    </w:p>
    <w:p>
      <w:pPr>
        <w:jc w:val="both"/>
        <w:ind w:left="1040" w:firstLine="11"/>
        <w:spacing w:after="0" w:line="268" w:lineRule="auto"/>
        <w:rPr>
          <w:sz w:val="20"/>
          <w:szCs w:val="20"/>
          <w:color w:val="auto"/>
        </w:rPr>
      </w:pPr>
      <w:r>
        <w:rPr>
          <w:rFonts w:ascii="Times New Roman" w:cs="Times New Roman" w:eastAsia="Times New Roman" w:hAnsi="Times New Roman"/>
          <w:sz w:val="17"/>
          <w:szCs w:val="17"/>
          <w:color w:val="auto"/>
        </w:rPr>
        <w:t>Seller reserves the right to discontinue production of any Product at anytime, subject to the following conditions. In the event that production of a Product is to be discontinued by Seller, Seller will provide notice to Buyer in writing at least six (6) months in advance of each such discontinuation. At a minimum, for five (5) years after Seller’s first delivery of the Product that is the subject of such discontinuance by Seller, Seller will provide such Product for Buyer in accordance with Buyer’s Purchase Orders for such Product. If the Product production process is slated for end-of-life while this Agreement is in effect, Buyer may continue its use of all licensed IP and custom-developed IP for purposes of supporting Products sold to Buyer’s customers; and (ii) Seller will provide support for all licensed IP and custom developed IP for a period of at least one (1) year after the last shipment of discontinued Product in accordance with the support terms specified in the applicable license agreement.</w:t>
      </w:r>
    </w:p>
    <w:p>
      <w:pPr>
        <w:spacing w:after="0" w:line="375" w:lineRule="exact"/>
        <w:rPr>
          <w:sz w:val="20"/>
          <w:szCs w:val="20"/>
          <w:color w:val="auto"/>
        </w:rPr>
      </w:pPr>
    </w:p>
    <w:p>
      <w:pPr>
        <w:ind w:left="180" w:hanging="180"/>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ADDITIONAL TERMS AND CONDITIONS</w:t>
      </w:r>
    </w:p>
    <w:p>
      <w:pPr>
        <w:spacing w:after="0" w:line="181" w:lineRule="exact"/>
        <w:rPr>
          <w:sz w:val="20"/>
          <w:szCs w:val="20"/>
          <w:color w:val="auto"/>
        </w:rPr>
      </w:pPr>
    </w:p>
    <w:p>
      <w:pPr>
        <w:ind w:left="480" w:hanging="149"/>
        <w:spacing w:after="0"/>
        <w:tabs>
          <w:tab w:leader="none" w:pos="4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Precedence</w:t>
      </w:r>
    </w:p>
    <w:p>
      <w:pPr>
        <w:spacing w:after="0" w:line="21" w:lineRule="exact"/>
        <w:rPr>
          <w:sz w:val="20"/>
          <w:szCs w:val="20"/>
          <w:color w:val="auto"/>
        </w:rPr>
      </w:pPr>
    </w:p>
    <w:p>
      <w:pPr>
        <w:jc w:val="both"/>
        <w:ind w:left="860" w:firstLine="11"/>
        <w:spacing w:after="0"/>
        <w:rPr>
          <w:sz w:val="20"/>
          <w:szCs w:val="20"/>
          <w:color w:val="auto"/>
        </w:rPr>
      </w:pPr>
      <w:r>
        <w:rPr>
          <w:rFonts w:ascii="Times New Roman" w:cs="Times New Roman" w:eastAsia="Times New Roman" w:hAnsi="Times New Roman"/>
          <w:sz w:val="17"/>
          <w:szCs w:val="17"/>
          <w:color w:val="auto"/>
        </w:rPr>
        <w:t>Purchase Orders placed during the term of this Agreement will be governed by and subject to the terms and conditions of this Agreement and applicable Change Orders or Task Orders/ APT. If any inconsistency or conflict should arise between the express terms of this Agreement and the express terms of the applicable Change Order</w:t>
      </w:r>
    </w:p>
    <w:p>
      <w:pPr>
        <w:sectPr>
          <w:pgSz w:w="11900" w:h="16838" w:orient="portrait"/>
          <w:cols w:equalWidth="0" w:num="1">
            <w:col w:w="11380"/>
          </w:cols>
          <w:pgMar w:left="300" w:top="600" w:right="219" w:bottom="1440" w:gutter="0" w:footer="0" w:header="0"/>
        </w:sectPr>
      </w:pPr>
    </w:p>
    <w:bookmarkStart w:id="56" w:name="page57"/>
    <w:bookmarkEnd w:id="56"/>
    <w:p>
      <w:pPr>
        <w:ind w:left="520" w:right="20"/>
        <w:spacing w:after="0" w:line="265" w:lineRule="auto"/>
        <w:rPr>
          <w:sz w:val="20"/>
          <w:szCs w:val="20"/>
          <w:color w:val="auto"/>
        </w:rPr>
      </w:pPr>
      <w:r>
        <w:rPr>
          <w:rFonts w:ascii="Times New Roman" w:cs="Times New Roman" w:eastAsia="Times New Roman" w:hAnsi="Times New Roman"/>
          <w:sz w:val="17"/>
          <w:szCs w:val="17"/>
          <w:color w:val="auto"/>
        </w:rPr>
        <w:t>or Task Order/ APT, and if such inconsistent or conflicting Change Order or Task Order/ APT does not expressly state that this Agreement is intended to be amended by such Change Order or Task Order/ APT, the order of precedence in resolving such express inconsistency or conflict will be:</w:t>
      </w:r>
    </w:p>
    <w:p>
      <w:pPr>
        <w:spacing w:after="0" w:line="151" w:lineRule="exact"/>
        <w:rPr>
          <w:sz w:val="20"/>
          <w:szCs w:val="20"/>
          <w:color w:val="auto"/>
        </w:rPr>
      </w:pPr>
    </w:p>
    <w:p>
      <w:pPr>
        <w:ind w:left="800" w:hanging="660"/>
        <w:spacing w:after="0"/>
        <w:tabs>
          <w:tab w:leader="none" w:pos="8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w:t>
      </w:r>
    </w:p>
    <w:p>
      <w:pPr>
        <w:spacing w:after="0" w:line="32" w:lineRule="exact"/>
        <w:rPr>
          <w:rFonts w:ascii="Times New Roman" w:cs="Times New Roman" w:eastAsia="Times New Roman" w:hAnsi="Times New Roman"/>
          <w:sz w:val="17"/>
          <w:szCs w:val="17"/>
          <w:color w:val="auto"/>
        </w:rPr>
      </w:pPr>
    </w:p>
    <w:p>
      <w:pPr>
        <w:ind w:left="820" w:hanging="669"/>
        <w:spacing w:after="0"/>
        <w:tabs>
          <w:tab w:leader="none" w:pos="8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Task Order/APT</w:t>
      </w:r>
    </w:p>
    <w:p>
      <w:pPr>
        <w:spacing w:after="0" w:line="32" w:lineRule="exact"/>
        <w:rPr>
          <w:rFonts w:ascii="Times New Roman" w:cs="Times New Roman" w:eastAsia="Times New Roman" w:hAnsi="Times New Roman"/>
          <w:sz w:val="17"/>
          <w:szCs w:val="17"/>
          <w:color w:val="auto"/>
        </w:rPr>
      </w:pPr>
    </w:p>
    <w:p>
      <w:pPr>
        <w:ind w:left="880" w:hanging="729"/>
        <w:spacing w:after="0"/>
        <w:tabs>
          <w:tab w:leader="none" w:pos="88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Orders.</w:t>
      </w:r>
    </w:p>
    <w:p>
      <w:pPr>
        <w:spacing w:after="0" w:line="216" w:lineRule="exact"/>
        <w:rPr>
          <w:sz w:val="20"/>
          <w:szCs w:val="20"/>
          <w:color w:val="auto"/>
        </w:rPr>
      </w:pPr>
    </w:p>
    <w:p>
      <w:pPr>
        <w:jc w:val="both"/>
        <w:ind w:left="500" w:firstLine="11"/>
        <w:spacing w:after="0" w:line="238" w:lineRule="auto"/>
        <w:rPr>
          <w:sz w:val="20"/>
          <w:szCs w:val="20"/>
          <w:color w:val="auto"/>
        </w:rPr>
      </w:pPr>
      <w:r>
        <w:rPr>
          <w:rFonts w:ascii="Times New Roman" w:cs="Times New Roman" w:eastAsia="Times New Roman" w:hAnsi="Times New Roman"/>
          <w:sz w:val="17"/>
          <w:szCs w:val="17"/>
          <w:color w:val="auto"/>
        </w:rPr>
        <w:t>In the event such inconsistent or conflicting Change Order or Task Order/ APT does expressly state that this Agreement is intended to be amended by such Change Order or Task Order/ APT, then such amendment shall apply only with respect to such Change Order or Task Order/ APT and not with respect to any other Change Order or Task Order/ APT, unless such other Change Order or Task Order/ APT expressly provides otherwise.</w:t>
      </w:r>
    </w:p>
    <w:p>
      <w:pPr>
        <w:spacing w:after="0" w:line="172" w:lineRule="exact"/>
        <w:rPr>
          <w:sz w:val="20"/>
          <w:szCs w:val="20"/>
          <w:color w:val="auto"/>
        </w:rPr>
      </w:pPr>
    </w:p>
    <w:p>
      <w:pPr>
        <w:jc w:val="both"/>
        <w:ind w:left="500" w:firstLine="11"/>
        <w:spacing w:after="0" w:line="265" w:lineRule="auto"/>
        <w:rPr>
          <w:sz w:val="20"/>
          <w:szCs w:val="20"/>
          <w:color w:val="auto"/>
        </w:rPr>
      </w:pPr>
      <w:r>
        <w:rPr>
          <w:rFonts w:ascii="Times New Roman" w:cs="Times New Roman" w:eastAsia="Times New Roman" w:hAnsi="Times New Roman"/>
          <w:sz w:val="17"/>
          <w:szCs w:val="17"/>
          <w:color w:val="auto"/>
        </w:rPr>
        <w:t>It is expressly agreed that any lack of reference to this Agreement on any Purchase Order issued by Buyer will not affect the applicability of this Agreement to such Purchase Order.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Force Majeure</w:t>
      </w:r>
    </w:p>
    <w:p>
      <w:pPr>
        <w:spacing w:after="0" w:line="21" w:lineRule="exact"/>
        <w:rPr>
          <w:sz w:val="20"/>
          <w:szCs w:val="20"/>
          <w:color w:val="auto"/>
        </w:rPr>
      </w:pPr>
    </w:p>
    <w:p>
      <w:pPr>
        <w:jc w:val="both"/>
        <w:ind w:left="500" w:right="20" w:firstLine="11"/>
        <w:spacing w:after="0" w:line="242" w:lineRule="auto"/>
        <w:rPr>
          <w:sz w:val="20"/>
          <w:szCs w:val="20"/>
          <w:color w:val="auto"/>
        </w:rPr>
      </w:pPr>
      <w:r>
        <w:rPr>
          <w:rFonts w:ascii="Times New Roman" w:cs="Times New Roman" w:eastAsia="Times New Roman" w:hAnsi="Times New Roman"/>
          <w:sz w:val="17"/>
          <w:szCs w:val="17"/>
          <w:color w:val="auto"/>
        </w:rPr>
        <w:t>Except for Buyer’s payment obligations under this Agreement, neither Seller nor Buyer will be responsible for any failure to perform resulting from unforeseen circumstances or causes beyond Seller’s or Buyer’s (respectively) reasonable control (for example, an act of God or a force majeure event).</w:t>
      </w:r>
    </w:p>
    <w:p>
      <w:pPr>
        <w:spacing w:after="0" w:line="170" w:lineRule="exact"/>
        <w:rPr>
          <w:sz w:val="20"/>
          <w:szCs w:val="20"/>
          <w:color w:val="auto"/>
        </w:rPr>
      </w:pPr>
    </w:p>
    <w:p>
      <w:pPr>
        <w:ind w:left="480" w:firstLine="11"/>
        <w:spacing w:after="0" w:line="265" w:lineRule="auto"/>
        <w:rPr>
          <w:sz w:val="20"/>
          <w:szCs w:val="20"/>
          <w:color w:val="auto"/>
        </w:rPr>
      </w:pPr>
      <w:r>
        <w:rPr>
          <w:rFonts w:ascii="Times New Roman" w:cs="Times New Roman" w:eastAsia="Times New Roman" w:hAnsi="Times New Roman"/>
          <w:sz w:val="17"/>
          <w:szCs w:val="17"/>
          <w:color w:val="auto"/>
        </w:rPr>
        <w:t>In the event of any delay caused by such event, the date of delivery or performance will, at the request of the affected party, be deferred for a period equal to the period of the delay.</w:t>
      </w:r>
    </w:p>
    <w:p>
      <w:pPr>
        <w:spacing w:after="0" w:line="170" w:lineRule="exact"/>
        <w:rPr>
          <w:sz w:val="20"/>
          <w:szCs w:val="20"/>
          <w:color w:val="auto"/>
        </w:rPr>
      </w:pPr>
    </w:p>
    <w:p>
      <w:pPr>
        <w:jc w:val="both"/>
        <w:ind w:left="480" w:hanging="477"/>
        <w:spacing w:after="0" w:line="254" w:lineRule="auto"/>
        <w:tabs>
          <w:tab w:leader="none" w:pos="4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INDEPENDENT OF ANY OTHER LIMITATION HEREIN AND REGARDLESS OF WHETHER THE PURPOSE OF SUCH LIMITATION IS SERVED, IT IS AGREED THAT IN NO EVENT WILL EITHER PARTY BE LIABLE FOR SPECIAL, INCIDENTAL, CONSEQUENTIAL, PUNITIVE OR INDIRECT DAMAGES. FOR CLARITY, THERE IS NO LIMITATION ON EITHER PARTY’S (1) LIABILITY FOR BREACH OR OTHER VIOLATION OF ITS OBLIGATIONS REGARDING THE OTHER PARTY’S CONFIDENTIAL INFORMATION AND/OR</w:t>
      </w:r>
    </w:p>
    <w:p>
      <w:pPr>
        <w:sectPr>
          <w:pgSz w:w="11900" w:h="16838" w:orient="portrait"/>
          <w:cols w:equalWidth="0" w:num="1">
            <w:col w:w="11040"/>
          </w:cols>
          <w:pgMar w:left="640" w:top="326" w:right="219" w:bottom="1440" w:gutter="0" w:footer="0" w:header="0"/>
        </w:sectPr>
      </w:pPr>
    </w:p>
    <w:bookmarkStart w:id="57" w:name="page58"/>
    <w:bookmarkEnd w:id="57"/>
    <w:p>
      <w:pPr>
        <w:ind w:left="560"/>
        <w:spacing w:after="0"/>
        <w:rPr>
          <w:sz w:val="20"/>
          <w:szCs w:val="20"/>
          <w:color w:val="auto"/>
        </w:rPr>
      </w:pPr>
      <w:r>
        <w:rPr>
          <w:rFonts w:ascii="Times New Roman" w:cs="Times New Roman" w:eastAsia="Times New Roman" w:hAnsi="Times New Roman"/>
          <w:sz w:val="17"/>
          <w:szCs w:val="17"/>
          <w:b w:val="1"/>
          <w:bCs w:val="1"/>
          <w:color w:val="auto"/>
        </w:rPr>
        <w:t>PROPRIETARY PROPERTY,  OR  (2)  LIABILITY  FOR  ITS  INTELLECTUAL  PROPERTY  INFRINGEMENT  INDEMNIFICATION</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OBLIGATIONS UNDER THIS AGREEMENT. EXCLUDING THE LIABILITIES DESCRIBED IN THE FOREGOING SENTENCE (WHICH</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ARE NOT SUBJECT TO ANY LIMITATION), SELLER’S TOTAL LIABILITY ARISING OUT OF OR DIRECTLY RELATED TO THIS</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AGREEMENT (INCLUDING BUT NOT LIMITED TO ANY WARRANTY CLAIMS HEREUNDER) REGARDLESS OF THE FORUM AND</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REGARDLESS OF WHETHER THE ACTION IS BASED ON CONTRACT, TORT OR OTHERWISE, SHALL NOT EXCEED THE TOTAL</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AMOUNT PAID BY BUYER TO SELLER UNDER THE</w:t>
      </w:r>
    </w:p>
    <w:p>
      <w:pPr>
        <w:spacing w:after="0" w:line="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b w:val="1"/>
          <w:bCs w:val="1"/>
          <w:color w:val="auto"/>
        </w:rPr>
        <w:t>Limitations of Actions</w:t>
      </w:r>
    </w:p>
    <w:p>
      <w:pPr>
        <w:spacing w:after="0" w:line="26" w:lineRule="exact"/>
        <w:rPr>
          <w:sz w:val="20"/>
          <w:szCs w:val="20"/>
          <w:color w:val="auto"/>
        </w:rPr>
      </w:pPr>
    </w:p>
    <w:p>
      <w:pPr>
        <w:jc w:val="both"/>
        <w:ind w:left="560" w:right="20"/>
        <w:spacing w:after="0" w:line="292" w:lineRule="auto"/>
        <w:rPr>
          <w:sz w:val="20"/>
          <w:szCs w:val="20"/>
          <w:color w:val="auto"/>
        </w:rPr>
      </w:pPr>
      <w:r>
        <w:rPr>
          <w:rFonts w:ascii="Times New Roman" w:cs="Times New Roman" w:eastAsia="Times New Roman" w:hAnsi="Times New Roman"/>
          <w:sz w:val="17"/>
          <w:szCs w:val="17"/>
          <w:color w:val="auto"/>
        </w:rPr>
        <w:t>No action against a party for breach will be commenced more than one (1) year after the accrual of the cause of action or a party’s knowledge that such cause of action exists, whichever occurs later.</w:t>
      </w:r>
    </w:p>
    <w:p>
      <w:pPr>
        <w:spacing w:after="0" w:line="148" w:lineRule="exact"/>
        <w:rPr>
          <w:sz w:val="20"/>
          <w:szCs w:val="20"/>
          <w:color w:val="auto"/>
        </w:rPr>
      </w:pPr>
    </w:p>
    <w:p>
      <w:pPr>
        <w:ind w:left="180" w:hanging="155"/>
        <w:spacing w:after="0"/>
        <w:tabs>
          <w:tab w:leader="none" w:pos="1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Assignment</w:t>
      </w:r>
    </w:p>
    <w:p>
      <w:pPr>
        <w:spacing w:after="0" w:line="26" w:lineRule="exact"/>
        <w:rPr>
          <w:sz w:val="20"/>
          <w:szCs w:val="20"/>
          <w:color w:val="auto"/>
        </w:rPr>
      </w:pPr>
    </w:p>
    <w:p>
      <w:pPr>
        <w:jc w:val="both"/>
        <w:ind w:left="560" w:right="20"/>
        <w:spacing w:after="0" w:line="280" w:lineRule="auto"/>
        <w:rPr>
          <w:sz w:val="20"/>
          <w:szCs w:val="20"/>
          <w:color w:val="auto"/>
        </w:rPr>
      </w:pPr>
      <w:r>
        <w:rPr>
          <w:rFonts w:ascii="Times New Roman" w:cs="Times New Roman" w:eastAsia="Times New Roman" w:hAnsi="Times New Roman"/>
          <w:sz w:val="16"/>
          <w:szCs w:val="16"/>
          <w:color w:val="auto"/>
        </w:rPr>
        <w:t>Neither party will assign this Agreement or any interest or rights thereunder without the prior written consent of the other party, such consent not be unreasonably withheld. Notwithstanding the foregoing, so long as Buyer’s intended assignee (i) is not a company that at that time of such proposed assignment is a competitor of Seller or Seller’s parent company with respect to Seller’s line of business to which this Agreement relates, or (ii) is not a company that would reasonably be expected to raise material issues for Seller regarding export control matters, then Buyer may assign this Agreement without Seller's consent (a) to an affiliate of Buyer; (b) to a third party that succeeds to all or substantially all of Buyer's business relating to this Agreement;</w:t>
      </w:r>
    </w:p>
    <w:p>
      <w:pPr>
        <w:ind w:left="560" w:hanging="9"/>
        <w:spacing w:after="0" w:line="292" w:lineRule="auto"/>
        <w:tabs>
          <w:tab w:leader="none" w:pos="82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third party purchaser of all or substantially all of Buyer’s assets related to this Agreement; or (d) incident to the merger, consolidation, reorganization or acquisition of Buyer's stock or assets affecting substantially all of the assets or actual voting control of Buyer.</w:t>
      </w:r>
    </w:p>
    <w:p>
      <w:pPr>
        <w:spacing w:after="0" w:line="148" w:lineRule="exact"/>
        <w:rPr>
          <w:rFonts w:ascii="Times New Roman" w:cs="Times New Roman" w:eastAsia="Times New Roman" w:hAnsi="Times New Roman"/>
          <w:sz w:val="17"/>
          <w:szCs w:val="17"/>
          <w:color w:val="auto"/>
        </w:rPr>
      </w:pPr>
    </w:p>
    <w:p>
      <w:pPr>
        <w:ind w:left="140" w:hanging="137"/>
        <w:spacing w:after="0"/>
        <w:tabs>
          <w:tab w:leader="none" w:pos="1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Fair Labor Standards Act</w:t>
      </w:r>
    </w:p>
    <w:p>
      <w:pPr>
        <w:spacing w:after="0" w:line="26" w:lineRule="exact"/>
        <w:rPr>
          <w:sz w:val="20"/>
          <w:szCs w:val="20"/>
          <w:color w:val="auto"/>
        </w:rPr>
      </w:pPr>
    </w:p>
    <w:p>
      <w:pPr>
        <w:ind w:left="520" w:firstLine="11"/>
        <w:spacing w:after="0" w:line="250" w:lineRule="auto"/>
        <w:rPr>
          <w:sz w:val="20"/>
          <w:szCs w:val="20"/>
          <w:color w:val="auto"/>
        </w:rPr>
      </w:pPr>
      <w:r>
        <w:rPr>
          <w:rFonts w:ascii="Times New Roman" w:cs="Times New Roman" w:eastAsia="Times New Roman" w:hAnsi="Times New Roman"/>
          <w:sz w:val="17"/>
          <w:szCs w:val="17"/>
          <w:color w:val="auto"/>
        </w:rPr>
        <w:t>The Seller represents that with respect to the production of the Products and/or the performance of the services covered: it will fully comply with all requirements of the Fair Labor Standards Act of 1938 as amended.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b w:val="1"/>
          <w:bCs w:val="1"/>
          <w:color w:val="auto"/>
        </w:rPr>
        <w:t>Local Currency</w:t>
      </w:r>
    </w:p>
    <w:p>
      <w:pPr>
        <w:spacing w:after="0" w:line="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Any order placed and payment for such order will be in U.S. Dollars.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b w:val="1"/>
          <w:bCs w:val="1"/>
          <w:color w:val="auto"/>
        </w:rPr>
        <w:t>Governing Law</w:t>
      </w:r>
    </w:p>
    <w:p>
      <w:pPr>
        <w:sectPr>
          <w:pgSz w:w="11900" w:h="16838" w:orient="portrait"/>
          <w:cols w:equalWidth="0" w:num="1">
            <w:col w:w="11040"/>
          </w:cols>
          <w:pgMar w:left="640" w:top="585" w:right="219" w:bottom="1440" w:gutter="0" w:footer="0" w:header="0"/>
        </w:sectPr>
      </w:pPr>
    </w:p>
    <w:bookmarkStart w:id="58" w:name="page59"/>
    <w:bookmarkEnd w:id="58"/>
    <w:p>
      <w:pPr>
        <w:jc w:val="both"/>
        <w:ind w:left="560" w:firstLine="11"/>
        <w:spacing w:after="0" w:line="251" w:lineRule="auto"/>
        <w:rPr>
          <w:sz w:val="20"/>
          <w:szCs w:val="20"/>
          <w:color w:val="auto"/>
        </w:rPr>
      </w:pPr>
      <w:r>
        <w:rPr>
          <w:rFonts w:ascii="Times New Roman" w:cs="Times New Roman" w:eastAsia="Times New Roman" w:hAnsi="Times New Roman"/>
          <w:sz w:val="17"/>
          <w:szCs w:val="17"/>
          <w:color w:val="auto"/>
        </w:rPr>
        <w:t>The laws of the State of California will govern this Agreement. Any provisions hereof which are unenforceable in any jurisdiction will not affect the remaining provisions or affect the enforceability of such provisions in any other jurisdiction. Each of Buyer and Seller consents to the exercise of jurisdiction over it by any state court in Santa Clara County, California or federal district court within the Northern District of California.</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Dispute Resolution</w:t>
      </w:r>
    </w:p>
    <w:p>
      <w:pPr>
        <w:spacing w:after="0" w:line="26" w:lineRule="exact"/>
        <w:rPr>
          <w:sz w:val="20"/>
          <w:szCs w:val="20"/>
          <w:color w:val="auto"/>
        </w:rPr>
      </w:pPr>
    </w:p>
    <w:p>
      <w:pPr>
        <w:jc w:val="both"/>
        <w:ind w:left="560"/>
        <w:spacing w:after="0" w:line="268" w:lineRule="auto"/>
        <w:rPr>
          <w:sz w:val="20"/>
          <w:szCs w:val="20"/>
          <w:color w:val="auto"/>
        </w:rPr>
      </w:pPr>
      <w:r>
        <w:rPr>
          <w:rFonts w:ascii="Times New Roman" w:cs="Times New Roman" w:eastAsia="Times New Roman" w:hAnsi="Times New Roman"/>
          <w:sz w:val="17"/>
          <w:szCs w:val="17"/>
          <w:color w:val="auto"/>
        </w:rPr>
        <w:t>If a disagreement whether in tort, contract or otherwise arises between Buyer and Seller, the parties will meet to attempt to resolve the disagreement. If the parties cannot resolve the disagreement among themselves, they will submit the matter to mediation. The parties will agree on a suitable mediator. At least 10 business days before the mediation each side will provide the mediator with a statement of its position and copies of all supporting documents. Each party will send to the mediation a person who has authority to bind the party. If the disagreement cannot be resolved at mediation, a binding arbitration will be conducted by a single arbitrator in San Jose, California, USA in accordance with the then-current commercial arbitration rules of the American Arbitration Association (“AAA”) To the extent that Buyer and Seller cannot agree on a single arbitrator, the arbitrator shall be appointed by AAA. Neither party will sue the other except for enforcement of the arbitrator’s decision. Any arbitration proceeding must be commenced within one (1) year after the first meeting of the parties to attempt to resolve the disagreement. Nothing in this Agreement shall be deemed as preventing either party from seeking injunctive relief (or any other provisional remedy).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17"/>
          <w:szCs w:val="17"/>
          <w:b w:val="1"/>
          <w:bCs w:val="1"/>
          <w:color w:val="auto"/>
        </w:rPr>
        <w:t>Waiver</w:t>
      </w:r>
    </w:p>
    <w:p>
      <w:pPr>
        <w:spacing w:after="0" w:line="26" w:lineRule="exact"/>
        <w:rPr>
          <w:sz w:val="20"/>
          <w:szCs w:val="20"/>
          <w:color w:val="auto"/>
        </w:rPr>
      </w:pPr>
    </w:p>
    <w:p>
      <w:pPr>
        <w:jc w:val="both"/>
        <w:ind w:left="520" w:firstLine="11"/>
        <w:spacing w:after="0" w:line="242" w:lineRule="auto"/>
        <w:rPr>
          <w:sz w:val="20"/>
          <w:szCs w:val="20"/>
          <w:color w:val="auto"/>
        </w:rPr>
      </w:pPr>
      <w:r>
        <w:rPr>
          <w:rFonts w:ascii="Times New Roman" w:cs="Times New Roman" w:eastAsia="Times New Roman" w:hAnsi="Times New Roman"/>
          <w:sz w:val="17"/>
          <w:szCs w:val="17"/>
          <w:color w:val="auto"/>
        </w:rPr>
        <w:t>No provision of or right under this Agreement shall be deemed to have been waived by any act or acquiescence on the part of any party, its agents or employees, but only by an instrument in writing signed by an authorized officer of such party. A waiver by either party of any default or of any of the terms and conditions of this Agreement will not be deemed to be a continuing waiver of any other default or of any other of these terms and conditions. It will apply solely to the instance to which the waiver is directed.</w:t>
      </w:r>
    </w:p>
    <w:p>
      <w:pPr>
        <w:spacing w:after="0" w:line="167"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Export</w:t>
      </w:r>
    </w:p>
    <w:p>
      <w:pPr>
        <w:spacing w:after="0" w:line="26" w:lineRule="exact"/>
        <w:rPr>
          <w:sz w:val="20"/>
          <w:szCs w:val="20"/>
          <w:color w:val="auto"/>
        </w:rPr>
      </w:pPr>
    </w:p>
    <w:p>
      <w:pPr>
        <w:jc w:val="both"/>
        <w:ind w:left="520"/>
        <w:spacing w:after="0" w:line="242" w:lineRule="auto"/>
        <w:rPr>
          <w:sz w:val="20"/>
          <w:szCs w:val="20"/>
          <w:color w:val="auto"/>
        </w:rPr>
      </w:pPr>
      <w:r>
        <w:rPr>
          <w:rFonts w:ascii="Times New Roman" w:cs="Times New Roman" w:eastAsia="Times New Roman" w:hAnsi="Times New Roman"/>
          <w:sz w:val="17"/>
          <w:szCs w:val="17"/>
          <w:color w:val="auto"/>
        </w:rPr>
        <w:t>The parties shall comply with applicable export laws and regulations. For “items” and “technologies” controlled under the Export Administration Regulations (“EAR”) (l5 C.F.R. 730-774) of the U.S. Department of Commerce, Bureau of Industry &amp; Security, each party will notify the other party of the applicable Export Control Classification Numbers ("ECCN") for each item and/or technology prior to transfer or release to the other party. For items and technologies controlled under the International Traffic in Arms Regulations (22 C.F.R. 120-130). each</w:t>
      </w:r>
    </w:p>
    <w:p>
      <w:pPr>
        <w:sectPr>
          <w:pgSz w:w="11900" w:h="16838" w:orient="portrait"/>
          <w:cols w:equalWidth="0" w:num="1">
            <w:col w:w="11080"/>
          </w:cols>
          <w:pgMar w:left="600" w:top="589" w:right="219" w:bottom="1440" w:gutter="0" w:footer="0" w:header="0"/>
        </w:sectPr>
      </w:pPr>
    </w:p>
    <w:bookmarkStart w:id="59" w:name="page60"/>
    <w:bookmarkEnd w:id="59"/>
    <w:p>
      <w:pPr>
        <w:ind w:left="600"/>
        <w:spacing w:after="0"/>
        <w:rPr>
          <w:sz w:val="20"/>
          <w:szCs w:val="20"/>
          <w:color w:val="auto"/>
        </w:rPr>
      </w:pPr>
      <w:r>
        <w:rPr>
          <w:rFonts w:ascii="Times New Roman" w:cs="Times New Roman" w:eastAsia="Times New Roman" w:hAnsi="Times New Roman"/>
          <w:sz w:val="17"/>
          <w:szCs w:val="17"/>
          <w:color w:val="auto"/>
        </w:rPr>
        <w:t>party will inform the other party of such items and technologies prior to transfer or release to the ocher party.</w:t>
      </w:r>
    </w:p>
    <w:p>
      <w:pPr>
        <w:spacing w:after="0" w:line="200" w:lineRule="exact"/>
        <w:rPr>
          <w:sz w:val="20"/>
          <w:szCs w:val="20"/>
          <w:color w:val="auto"/>
        </w:rPr>
      </w:pPr>
    </w:p>
    <w:p>
      <w:pPr>
        <w:ind w:left="200" w:hanging="135"/>
        <w:spacing w:after="0"/>
        <w:tabs>
          <w:tab w:leader="none" w:pos="2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Publicity</w:t>
      </w:r>
    </w:p>
    <w:p>
      <w:pPr>
        <w:spacing w:after="0" w:line="26" w:lineRule="exact"/>
        <w:rPr>
          <w:sz w:val="20"/>
          <w:szCs w:val="20"/>
          <w:color w:val="auto"/>
        </w:rPr>
      </w:pPr>
    </w:p>
    <w:p>
      <w:pPr>
        <w:jc w:val="both"/>
        <w:ind w:left="560"/>
        <w:spacing w:after="0" w:line="259" w:lineRule="auto"/>
        <w:rPr>
          <w:sz w:val="20"/>
          <w:szCs w:val="20"/>
          <w:color w:val="auto"/>
        </w:rPr>
      </w:pPr>
      <w:r>
        <w:rPr>
          <w:rFonts w:ascii="Times New Roman" w:cs="Times New Roman" w:eastAsia="Times New Roman" w:hAnsi="Times New Roman"/>
          <w:sz w:val="17"/>
          <w:szCs w:val="17"/>
          <w:color w:val="auto"/>
        </w:rPr>
        <w:t>Neither party will publicize or disclose the existence or terms and conditions of this Agreement, or any transactions hereunder, without the express, prior written</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consent of the other party.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m. Government Contracts</w:t>
      </w:r>
    </w:p>
    <w:p>
      <w:pPr>
        <w:spacing w:after="0" w:line="26" w:lineRule="exact"/>
        <w:rPr>
          <w:sz w:val="20"/>
          <w:szCs w:val="20"/>
          <w:color w:val="auto"/>
        </w:rPr>
      </w:pPr>
    </w:p>
    <w:p>
      <w:pPr>
        <w:jc w:val="both"/>
        <w:ind w:left="560"/>
        <w:spacing w:after="0" w:line="272" w:lineRule="auto"/>
        <w:rPr>
          <w:sz w:val="20"/>
          <w:szCs w:val="20"/>
          <w:color w:val="auto"/>
        </w:rPr>
      </w:pPr>
      <w:r>
        <w:rPr>
          <w:rFonts w:ascii="Times New Roman" w:cs="Times New Roman" w:eastAsia="Times New Roman" w:hAnsi="Times New Roman"/>
          <w:sz w:val="17"/>
          <w:szCs w:val="17"/>
          <w:color w:val="auto"/>
        </w:rPr>
        <w:t>If Buyer's original Purchase Order indicates by contract number that it is placed under a government contract, Buyer will notify Seller of the Federal Acquisition Regulations (FAR) requirement applicable to the P.O. "Contracting Officer" will mean "Buyer." "Contractor" will mean "Seller," and the term "Contract" will mean this Agreement.</w:t>
      </w:r>
    </w:p>
    <w:p>
      <w:pPr>
        <w:spacing w:after="0" w:line="176" w:lineRule="exact"/>
        <w:rPr>
          <w:sz w:val="20"/>
          <w:szCs w:val="20"/>
          <w:color w:val="auto"/>
        </w:rPr>
      </w:pPr>
    </w:p>
    <w:p>
      <w:pPr>
        <w:ind w:left="220" w:hanging="177"/>
        <w:spacing w:after="0"/>
        <w:tabs>
          <w:tab w:leader="none" w:pos="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w:t>
      </w:r>
    </w:p>
    <w:p>
      <w:pPr>
        <w:spacing w:after="0" w:line="26" w:lineRule="exact"/>
        <w:rPr>
          <w:sz w:val="20"/>
          <w:szCs w:val="20"/>
          <w:color w:val="auto"/>
        </w:rPr>
      </w:pPr>
    </w:p>
    <w:p>
      <w:pPr>
        <w:ind w:left="560" w:right="20"/>
        <w:spacing w:after="0" w:line="292" w:lineRule="auto"/>
        <w:rPr>
          <w:sz w:val="20"/>
          <w:szCs w:val="20"/>
          <w:color w:val="auto"/>
        </w:rPr>
      </w:pPr>
      <w:r>
        <w:rPr>
          <w:rFonts w:ascii="Times New Roman" w:cs="Times New Roman" w:eastAsia="Times New Roman" w:hAnsi="Times New Roman"/>
          <w:sz w:val="17"/>
          <w:szCs w:val="17"/>
          <w:color w:val="auto"/>
        </w:rPr>
        <w:t>This Agreement may not be modified or amended except in a writing signed by an authorized representative of each of the parties. Any changes made to this Agreement, other than by Task Order, Change Order, or APT, will be made by amendment attached hereto and incorporated by reference.</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 Prohibited Uses</w:t>
      </w:r>
    </w:p>
    <w:p>
      <w:pPr>
        <w:spacing w:after="0" w:line="26" w:lineRule="exact"/>
        <w:rPr>
          <w:sz w:val="20"/>
          <w:szCs w:val="20"/>
          <w:color w:val="auto"/>
        </w:rPr>
      </w:pPr>
    </w:p>
    <w:p>
      <w:pPr>
        <w:jc w:val="both"/>
        <w:ind w:left="520" w:firstLine="11"/>
        <w:spacing w:after="0" w:line="241" w:lineRule="auto"/>
        <w:rPr>
          <w:sz w:val="20"/>
          <w:szCs w:val="20"/>
          <w:color w:val="auto"/>
        </w:rPr>
      </w:pPr>
      <w:r>
        <w:rPr>
          <w:rFonts w:ascii="Times New Roman" w:cs="Times New Roman" w:eastAsia="Times New Roman" w:hAnsi="Times New Roman"/>
          <w:sz w:val="17"/>
          <w:szCs w:val="17"/>
          <w:color w:val="auto"/>
        </w:rPr>
        <w:t>Parties agree that Product is designed and intended for commercial use only. Product is not authorized for use as a critical component in military or medical applications, nuclear facilities or systems, or any other application where Product failure could lead to loss of life or catastrophic property damage. Product is not authorized for use as "critical components” in “life support systems” without the written consent of an officer of Seller. “Life support systems” are either systems intended for surgical implant in the body or systems which sustain Life. A</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"critical component" is any component of a lite support system whose failure to</w:t>
      </w:r>
    </w:p>
    <w:p>
      <w:pPr>
        <w:spacing w:after="0" w:line="10" w:lineRule="exact"/>
        <w:rPr>
          <w:sz w:val="20"/>
          <w:szCs w:val="20"/>
          <w:color w:val="auto"/>
        </w:rPr>
      </w:pPr>
    </w:p>
    <w:p>
      <w:pPr>
        <w:jc w:val="both"/>
        <w:ind w:left="520" w:firstLine="11"/>
        <w:spacing w:after="0" w:line="266" w:lineRule="auto"/>
        <w:rPr>
          <w:sz w:val="20"/>
          <w:szCs w:val="20"/>
          <w:color w:val="auto"/>
        </w:rPr>
      </w:pPr>
      <w:r>
        <w:rPr>
          <w:rFonts w:ascii="Times New Roman" w:cs="Times New Roman" w:eastAsia="Times New Roman" w:hAnsi="Times New Roman"/>
          <w:sz w:val="17"/>
          <w:szCs w:val="17"/>
          <w:color w:val="auto"/>
        </w:rPr>
        <w:t>perform may cause a malfunction or failure of the lite support system or may affect its safety or effectiveness. The inclusion of Product in life support systems without the express written approval of an officer of Seller implies that the Buyer</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assumes all risk of such use and in so doing indemnifies Seller against all</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damages and attorneys· foes.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 </w:t>
      </w:r>
      <w:r>
        <w:rPr>
          <w:rFonts w:ascii="Times New Roman" w:cs="Times New Roman" w:eastAsia="Times New Roman" w:hAnsi="Times New Roman"/>
          <w:sz w:val="17"/>
          <w:szCs w:val="17"/>
          <w:b w:val="1"/>
          <w:bCs w:val="1"/>
          <w:color w:val="auto"/>
        </w:rPr>
        <w:t>Entire Agreement</w:t>
      </w:r>
    </w:p>
    <w:p>
      <w:pPr>
        <w:spacing w:after="0" w:line="26"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7"/>
          <w:szCs w:val="17"/>
          <w:color w:val="auto"/>
        </w:rPr>
        <w:t>This Agreement, including its Exhibits, sets forth the entire Agreement between Buyer and Seller regarding the development and production of Product and the subject matter of this Agreement, and supersedes all prior oral or written agreements, discussions and understandings, express or implied, and prevails over any conflicting or additional terms of any quote, printed terms of any P.O. or acknowledgment, or similar communication between the parties during the term of this Agreement. However, notwithstanding the foregoing, the provisions of the</w:t>
      </w:r>
    </w:p>
    <w:p>
      <w:pPr>
        <w:sectPr>
          <w:pgSz w:w="11900" w:h="16838" w:orient="portrait"/>
          <w:cols w:equalWidth="0" w:num="1">
            <w:col w:w="11080"/>
          </w:cols>
          <w:pgMar w:left="600" w:top="372" w:right="219" w:bottom="1440" w:gutter="0" w:footer="0" w:header="0"/>
        </w:sectPr>
      </w:pPr>
    </w:p>
    <w:bookmarkStart w:id="60" w:name="page61"/>
    <w:bookmarkEnd w:id="60"/>
    <w:p>
      <w:pPr>
        <w:jc w:val="both"/>
        <w:ind w:left="535"/>
        <w:spacing w:after="0" w:line="247" w:lineRule="auto"/>
        <w:rPr>
          <w:sz w:val="20"/>
          <w:szCs w:val="20"/>
          <w:color w:val="auto"/>
        </w:rPr>
      </w:pPr>
      <w:r>
        <w:rPr>
          <w:rFonts w:ascii="Times New Roman" w:cs="Times New Roman" w:eastAsia="Times New Roman" w:hAnsi="Times New Roman"/>
          <w:sz w:val="17"/>
          <w:szCs w:val="17"/>
          <w:color w:val="auto"/>
        </w:rPr>
        <w:t>Mutual Non-Disclosure Agreement between Buyer and Seller, dated November 13,2008 (“NDA”), shall survive with respect to disclosures made pursuant to the NDA prior to the Effective Date of this Agreement. On and after the Effective Date of this Agreement, (1) the “Business Purpose” described in the NDA shall be amended to include the subject matter of this Agreement, and (2) the term of the NDA shall be extended to end on the date that is five (5) years after expiration or termination of this Agreement.</w:t>
      </w:r>
    </w:p>
    <w:p>
      <w:pPr>
        <w:spacing w:after="0" w:line="185" w:lineRule="exact"/>
        <w:rPr>
          <w:sz w:val="20"/>
          <w:szCs w:val="20"/>
          <w:color w:val="auto"/>
        </w:rPr>
      </w:pPr>
    </w:p>
    <w:p>
      <w:pPr>
        <w:ind w:left="175" w:hanging="175"/>
        <w:spacing w:after="0"/>
        <w:tabs>
          <w:tab w:leader="none" w:pos="17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p>
    <w:p>
      <w:pPr>
        <w:spacing w:after="0" w:line="26" w:lineRule="exact"/>
        <w:rPr>
          <w:sz w:val="20"/>
          <w:szCs w:val="20"/>
          <w:color w:val="auto"/>
        </w:rPr>
      </w:pPr>
    </w:p>
    <w:p>
      <w:pPr>
        <w:jc w:val="both"/>
        <w:ind w:left="495"/>
        <w:spacing w:after="0" w:line="244" w:lineRule="auto"/>
        <w:rPr>
          <w:sz w:val="20"/>
          <w:szCs w:val="20"/>
          <w:color w:val="auto"/>
        </w:rPr>
      </w:pPr>
      <w:r>
        <w:rPr>
          <w:rFonts w:ascii="Times New Roman" w:cs="Times New Roman" w:eastAsia="Times New Roman" w:hAnsi="Times New Roman"/>
          <w:sz w:val="17"/>
          <w:szCs w:val="17"/>
          <w:color w:val="auto"/>
        </w:rPr>
        <w:t>All notices required to be sent to either party under this Agreement shall be sent by overnight commercial courier, or properly transmitted facsimile. to the respective addresses of the parties set forth in the preamble of this Agreement, or to such other address which may hereinafter be designated in writing by the addressee party, and shall be effective upon receipt as demonstrated by reasonable proof of delivery.</w:t>
      </w:r>
    </w:p>
    <w:p>
      <w:pPr>
        <w:spacing w:after="0" w:line="176" w:lineRule="exact"/>
        <w:rPr>
          <w:sz w:val="20"/>
          <w:szCs w:val="20"/>
          <w:color w:val="auto"/>
        </w:rPr>
      </w:pPr>
    </w:p>
    <w:p>
      <w:pPr>
        <w:ind w:left="1915" w:hanging="235"/>
        <w:spacing w:after="0"/>
        <w:tabs>
          <w:tab w:leader="none" w:pos="19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Signature Page Follows&gt;&gt;</w:t>
      </w:r>
    </w:p>
    <w:p>
      <w:pPr>
        <w:sectPr>
          <w:pgSz w:w="11900" w:h="16838" w:orient="portrait"/>
          <w:cols w:equalWidth="0" w:num="1">
            <w:col w:w="11015"/>
          </w:cols>
          <w:pgMar w:left="665" w:top="532" w:right="219" w:bottom="1440" w:gutter="0" w:footer="0" w:header="0"/>
        </w:sectPr>
      </w:pPr>
    </w:p>
    <w:bookmarkStart w:id="61" w:name="page62"/>
    <w:bookmarkEnd w:id="61"/>
    <w:p>
      <w:pPr>
        <w:ind w:left="100"/>
        <w:spacing w:after="0"/>
        <w:rPr>
          <w:sz w:val="20"/>
          <w:szCs w:val="20"/>
          <w:color w:val="auto"/>
        </w:rPr>
      </w:pPr>
      <w:r>
        <w:rPr>
          <w:rFonts w:ascii="Times New Roman" w:cs="Times New Roman" w:eastAsia="Times New Roman" w:hAnsi="Times New Roman"/>
          <w:sz w:val="17"/>
          <w:szCs w:val="17"/>
          <w:color w:val="auto"/>
        </w:rPr>
        <w:t xml:space="preserve">IN WITNESS WHEREOF, this Agreement has </w:t>
      </w:r>
      <w:r>
        <w:rPr>
          <w:rFonts w:ascii="Times New Roman" w:cs="Times New Roman" w:eastAsia="Times New Roman" w:hAnsi="Times New Roman"/>
          <w:sz w:val="18"/>
          <w:szCs w:val="18"/>
          <w:color w:val="auto"/>
        </w:rPr>
        <w:t>been</w:t>
      </w:r>
      <w:r>
        <w:rPr>
          <w:rFonts w:ascii="Times New Roman" w:cs="Times New Roman" w:eastAsia="Times New Roman" w:hAnsi="Times New Roman"/>
          <w:sz w:val="17"/>
          <w:szCs w:val="17"/>
          <w:color w:val="auto"/>
        </w:rPr>
        <w:t xml:space="preserve"> executed </w:t>
      </w:r>
      <w:r>
        <w:rPr>
          <w:rFonts w:ascii="Times New Roman" w:cs="Times New Roman" w:eastAsia="Times New Roman" w:hAnsi="Times New Roman"/>
          <w:sz w:val="18"/>
          <w:szCs w:val="18"/>
          <w:color w:val="auto"/>
        </w:rPr>
        <w:t>effective</w:t>
      </w:r>
      <w:r>
        <w:rPr>
          <w:rFonts w:ascii="Times New Roman" w:cs="Times New Roman" w:eastAsia="Times New Roman" w:hAnsi="Times New Roman"/>
          <w:sz w:val="17"/>
          <w:szCs w:val="17"/>
          <w:color w:val="auto"/>
        </w:rPr>
        <w:t xml:space="preserve"> as of the</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Effective Date.</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BUYER:</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Enphase Energy, Inc.</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SELLER:</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Fujitsu Microelectronics America, Inc</w:t>
            </w:r>
          </w:p>
        </w:tc>
      </w:tr>
      <w:tr>
        <w:trPr>
          <w:trHeight w:val="29"/>
        </w:trPr>
        <w:tc>
          <w:tcPr>
            <w:tcW w:w="18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Paul Nahi</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Steve Della Rocchetta</w:t>
            </w:r>
          </w:p>
        </w:tc>
      </w:tr>
      <w:tr>
        <w:trPr>
          <w:trHeight w:val="29"/>
        </w:trPr>
        <w:tc>
          <w:tcPr>
            <w:tcW w:w="18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PRINT NAME:</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Paul Nahi</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PRINT NAME:</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Steve Della Rocchetta</w:t>
            </w:r>
          </w:p>
        </w:tc>
      </w:tr>
      <w:tr>
        <w:trPr>
          <w:trHeight w:val="29"/>
        </w:trPr>
        <w:tc>
          <w:tcPr>
            <w:tcW w:w="18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PRINT TITLE:</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CEO</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PRINT TITLE:</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VP Sales &amp; Marketing</w:t>
            </w:r>
          </w:p>
        </w:tc>
      </w:tr>
      <w:tr>
        <w:trPr>
          <w:trHeight w:val="29"/>
        </w:trPr>
        <w:tc>
          <w:tcPr>
            <w:tcW w:w="18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8/27/2009</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8/27/2009</w:t>
            </w:r>
          </w:p>
        </w:tc>
      </w:tr>
      <w:tr>
        <w:trPr>
          <w:trHeight w:val="29"/>
        </w:trPr>
        <w:tc>
          <w:tcPr>
            <w:tcW w:w="18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Exhibits:</w:t>
      </w:r>
      <w:r>
        <w:rPr>
          <w:sz w:val="20"/>
          <w:szCs w:val="20"/>
          <w:color w:val="auto"/>
        </w:rPr>
        <w:tab/>
      </w:r>
      <w:r>
        <w:rPr>
          <w:rFonts w:ascii="Times New Roman" w:cs="Times New Roman" w:eastAsia="Times New Roman" w:hAnsi="Times New Roman"/>
          <w:sz w:val="16"/>
          <w:szCs w:val="16"/>
          <w:color w:val="auto"/>
        </w:rPr>
        <w:t>A. Development Task Order</w:t>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B. Change Order</w:t>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C. Risk and Annual </w:t>
      </w:r>
      <w:r>
        <w:rPr>
          <w:rFonts w:ascii="Times New Roman" w:cs="Times New Roman" w:eastAsia="Times New Roman" w:hAnsi="Times New Roman"/>
          <w:sz w:val="16"/>
          <w:szCs w:val="16"/>
          <w:color w:val="auto"/>
        </w:rPr>
        <w:t>Production Terms</w:t>
      </w:r>
    </w:p>
    <w:p>
      <w:pPr>
        <w:spacing w:after="0" w:line="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 Designated Signatories to Approval to Move to Mass Production</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 Statement of Work</w:t>
      </w:r>
    </w:p>
    <w:p>
      <w:pPr>
        <w:sectPr>
          <w:pgSz w:w="11900" w:h="16838" w:orient="portrait"/>
          <w:cols w:equalWidth="0" w:num="1">
            <w:col w:w="11440"/>
          </w:cols>
          <w:pgMar w:left="240" w:top="745" w:right="2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EXHIBIT E: Designated Buyer Signatories to Approval to Move to Mass Production</w:t>
      </w:r>
    </w:p>
    <w:p>
      <w:pPr>
        <w:sectPr>
          <w:pgSz w:w="11900" w:h="16838" w:orient="portrait"/>
          <w:cols w:equalWidth="0" w:num="1">
            <w:col w:w="10139"/>
          </w:cols>
          <w:pgMar w:left="320" w:top="646"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Vice President of Operations - Greg Steele</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Vice President of Engineering - Nelu Mihai</w:t>
      </w:r>
    </w:p>
    <w:p>
      <w:pPr>
        <w:sectPr>
          <w:pgSz w:w="11900" w:h="16838" w:orient="portrait"/>
          <w:cols w:equalWidth="0" w:num="1">
            <w:col w:w="10139"/>
          </w:cols>
          <w:pgMar w:left="320" w:top="646" w:right="1440" w:bottom="1440" w:gutter="0" w:footer="0" w:header="0"/>
          <w:type w:val="continuous"/>
        </w:sectPr>
      </w:pPr>
    </w:p>
    <w:bookmarkStart w:id="63" w:name="page64"/>
    <w:bookmarkEnd w:id="63"/>
    <w:p>
      <w:pPr>
        <w:ind w:left="9" w:hanging="9"/>
        <w:spacing w:after="0" w:line="294" w:lineRule="auto"/>
        <w:tabs>
          <w:tab w:leader="none" w:pos="382" w:val="left"/>
        </w:tabs>
        <w:numPr>
          <w:ilvl w:val="0"/>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9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w:t>
      </w:r>
    </w:p>
    <w:p>
      <w:pPr>
        <w:spacing w:after="0" w:line="3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TO</w:t>
      </w:r>
    </w:p>
    <w:p>
      <w:pPr>
        <w:spacing w:after="0" w:line="2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u w:val="single" w:color="auto"/>
          <w:color w:val="auto"/>
        </w:rPr>
        <w:t>LONG TERM PRODUCT SUPPLY AGREEMENT</w:t>
      </w:r>
    </w:p>
    <w:p>
      <w:pPr>
        <w:spacing w:after="0" w:line="180" w:lineRule="exact"/>
        <w:rPr>
          <w:sz w:val="20"/>
          <w:szCs w:val="20"/>
          <w:color w:val="auto"/>
        </w:rPr>
      </w:pPr>
    </w:p>
    <w:p>
      <w:pPr>
        <w:jc w:val="both"/>
        <w:ind w:left="9" w:firstLine="548"/>
        <w:spacing w:after="0" w:line="27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 TO LONG TERM PRODUCT SUPPLY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as of March 3, 2015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VIVINT SOLAR DEVELOPER, LLC, a Delaware limited liability company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and ENPHASE ENERGY, INC., a Delaware corporation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Buyer and Seller are referred to herein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193" w:lineRule="exact"/>
        <w:rPr>
          <w:sz w:val="20"/>
          <w:szCs w:val="20"/>
          <w:color w:val="auto"/>
        </w:rPr>
      </w:pPr>
    </w:p>
    <w:p>
      <w:pPr>
        <w:ind w:left="9" w:right="20" w:firstLine="540"/>
        <w:spacing w:after="0" w:line="286" w:lineRule="auto"/>
        <w:tabs>
          <w:tab w:leader="none" w:pos="12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Parties entered into that certain Long Term Product Supply Agreement, dated as of August 11, 2014 (as amended, restated, supplemented or otherwise modified from time to time,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w:t>
      </w:r>
    </w:p>
    <w:p>
      <w:pPr>
        <w:spacing w:after="0" w:line="123" w:lineRule="exact"/>
        <w:rPr>
          <w:rFonts w:ascii="Times New Roman" w:cs="Times New Roman" w:eastAsia="Times New Roman" w:hAnsi="Times New Roman"/>
          <w:sz w:val="18"/>
          <w:szCs w:val="18"/>
          <w:color w:val="auto"/>
        </w:rPr>
      </w:pPr>
    </w:p>
    <w:p>
      <w:pPr>
        <w:ind w:left="9" w:firstLine="540"/>
        <w:spacing w:after="0" w:line="286" w:lineRule="auto"/>
        <w:tabs>
          <w:tab w:leader="none" w:pos="12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pursuant to Section 18.8 of the Agreement, the Parties desire to make certain changes to the Agreement, more fully described herein, and are willing to amend the Agreement, subject to the terms and conditions set forth in this Amendment.</w:t>
      </w:r>
    </w:p>
    <w:p>
      <w:pPr>
        <w:spacing w:after="0" w:line="123" w:lineRule="exact"/>
        <w:rPr>
          <w:sz w:val="20"/>
          <w:szCs w:val="20"/>
          <w:color w:val="auto"/>
        </w:rPr>
      </w:pPr>
    </w:p>
    <w:p>
      <w:pPr>
        <w:ind w:left="5169"/>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193"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NOW, THEREFORE, in consideration of the foregoing Recitals and intending to be legally bound, the Parties hereto agree as follows:</w:t>
      </w:r>
    </w:p>
    <w:p>
      <w:pPr>
        <w:spacing w:after="0" w:line="193" w:lineRule="exact"/>
        <w:rPr>
          <w:sz w:val="20"/>
          <w:szCs w:val="20"/>
          <w:color w:val="auto"/>
        </w:rPr>
      </w:pPr>
    </w:p>
    <w:p>
      <w:pPr>
        <w:ind w:left="1229" w:hanging="680"/>
        <w:spacing w:after="0"/>
        <w:tabs>
          <w:tab w:leader="none" w:pos="12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Any capitalized term used but not defined in this Amendment shall have the meaning ascribed to such term in the Agreement.</w:t>
      </w:r>
    </w:p>
    <w:p>
      <w:pPr>
        <w:spacing w:after="0" w:line="192" w:lineRule="exact"/>
        <w:rPr>
          <w:rFonts w:ascii="Times New Roman" w:cs="Times New Roman" w:eastAsia="Times New Roman" w:hAnsi="Times New Roman"/>
          <w:sz w:val="18"/>
          <w:szCs w:val="18"/>
          <w:color w:val="auto"/>
        </w:rPr>
      </w:pPr>
    </w:p>
    <w:p>
      <w:pPr>
        <w:ind w:left="829" w:hanging="280"/>
        <w:spacing w:after="0"/>
        <w:tabs>
          <w:tab w:leader="none" w:pos="8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Agreement</w:t>
      </w:r>
      <w:r>
        <w:rPr>
          <w:rFonts w:ascii="Times New Roman" w:cs="Times New Roman" w:eastAsia="Times New Roman" w:hAnsi="Times New Roman"/>
          <w:sz w:val="18"/>
          <w:szCs w:val="18"/>
          <w:color w:val="auto"/>
        </w:rPr>
        <w:t>. The Parties hereby agree to amend the Agreement as follows:</w:t>
      </w:r>
    </w:p>
    <w:p>
      <w:pPr>
        <w:spacing w:after="0" w:line="200" w:lineRule="exact"/>
        <w:rPr>
          <w:rFonts w:ascii="Times New Roman" w:cs="Times New Roman" w:eastAsia="Times New Roman" w:hAnsi="Times New Roman"/>
          <w:sz w:val="18"/>
          <w:szCs w:val="18"/>
          <w:color w:val="auto"/>
        </w:rPr>
      </w:pPr>
    </w:p>
    <w:p>
      <w:pPr>
        <w:ind w:left="1449" w:hanging="352"/>
        <w:spacing w:after="0"/>
        <w:tabs>
          <w:tab w:leader="none" w:pos="144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Hosting. </w:t>
      </w:r>
      <w:r>
        <w:rPr>
          <w:rFonts w:ascii="Times New Roman" w:cs="Times New Roman" w:eastAsia="Times New Roman" w:hAnsi="Times New Roman"/>
          <w:sz w:val="18"/>
          <w:szCs w:val="18"/>
          <w:color w:val="auto"/>
        </w:rPr>
        <w:t>The first sentence of Section 17.1.1 of the Agreement is hereby deleted and replaced in its entirety by the following:</w:t>
      </w:r>
    </w:p>
    <w:p>
      <w:pPr>
        <w:spacing w:after="0" w:line="204" w:lineRule="exact"/>
        <w:rPr>
          <w:sz w:val="20"/>
          <w:szCs w:val="20"/>
          <w:color w:val="auto"/>
        </w:rPr>
      </w:pPr>
    </w:p>
    <w:p>
      <w:pPr>
        <w:jc w:val="both"/>
        <w:ind w:left="1089"/>
        <w:spacing w:after="0" w:line="264" w:lineRule="auto"/>
        <w:rPr>
          <w:sz w:val="20"/>
          <w:szCs w:val="20"/>
          <w:color w:val="auto"/>
        </w:rPr>
      </w:pPr>
      <w:r>
        <w:rPr>
          <w:rFonts w:ascii="Times New Roman" w:cs="Times New Roman" w:eastAsia="Times New Roman" w:hAnsi="Times New Roman"/>
          <w:sz w:val="18"/>
          <w:szCs w:val="18"/>
          <w:color w:val="auto"/>
        </w:rPr>
        <w:t>“For the life of every Envoy purchased under this Agreement (the “</w:t>
      </w:r>
      <w:r>
        <w:rPr>
          <w:rFonts w:ascii="Times New Roman" w:cs="Times New Roman" w:eastAsia="Times New Roman" w:hAnsi="Times New Roman"/>
          <w:sz w:val="18"/>
          <w:szCs w:val="18"/>
          <w:b w:val="1"/>
          <w:bCs w:val="1"/>
          <w:i w:val="1"/>
          <w:iCs w:val="1"/>
          <w:color w:val="auto"/>
        </w:rPr>
        <w:t>Hosting Period</w:t>
      </w:r>
      <w:r>
        <w:rPr>
          <w:rFonts w:ascii="Times New Roman" w:cs="Times New Roman" w:eastAsia="Times New Roman" w:hAnsi="Times New Roman"/>
          <w:sz w:val="18"/>
          <w:szCs w:val="18"/>
          <w:color w:val="auto"/>
        </w:rPr>
        <w:t xml:space="preserve">”), for no additional cost to Buyer (except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Seller shall (a) host and operate the Enlighten monitoring software service for all monitored Systems, and (b) provide access to such Enlighten monitoring software service to end users via a web-based online interface and to Buyer via Seller’s application programming interface (“</w:t>
      </w:r>
      <w:r>
        <w:rPr>
          <w:rFonts w:ascii="Times New Roman" w:cs="Times New Roman" w:eastAsia="Times New Roman" w:hAnsi="Times New Roman"/>
          <w:sz w:val="18"/>
          <w:szCs w:val="18"/>
          <w:b w:val="1"/>
          <w:bCs w:val="1"/>
          <w:i w:val="1"/>
          <w:iCs w:val="1"/>
          <w:color w:val="auto"/>
        </w:rPr>
        <w:t>API</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3569"/>
        <w:spacing w:after="0"/>
        <w:rPr>
          <w:sz w:val="20"/>
          <w:szCs w:val="20"/>
          <w:color w:val="auto"/>
        </w:rPr>
      </w:pPr>
      <w:r>
        <w:rPr>
          <w:rFonts w:ascii="Times New Roman" w:cs="Times New Roman" w:eastAsia="Times New Roman" w:hAnsi="Times New Roman"/>
          <w:sz w:val="15"/>
          <w:szCs w:val="15"/>
          <w:color w:val="auto"/>
        </w:rPr>
        <w:t>1</w:t>
      </w:r>
    </w:p>
    <w:p>
      <w:pPr>
        <w:spacing w:after="0" w:line="79" w:lineRule="exact"/>
        <w:rPr>
          <w:sz w:val="20"/>
          <w:szCs w:val="20"/>
          <w:color w:val="auto"/>
        </w:rPr>
      </w:pPr>
    </w:p>
    <w:p>
      <w:pPr>
        <w:ind w:left="9" w:right="20" w:hanging="9"/>
        <w:spacing w:after="0" w:line="289" w:lineRule="auto"/>
        <w:tabs>
          <w:tab w:leader="none" w:pos="3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9"/>
          </w:cols>
          <w:pgMar w:left="231" w:top="327" w:right="219" w:bottom="1440" w:gutter="0" w:footer="0" w:header="0"/>
        </w:sectPr>
      </w:pPr>
    </w:p>
    <w:bookmarkStart w:id="64" w:name="page65"/>
    <w:bookmarkEnd w:id="64"/>
    <w:p>
      <w:pPr>
        <w:ind w:left="1469" w:hanging="372"/>
        <w:spacing w:after="0"/>
        <w:tabs>
          <w:tab w:leader="none" w:pos="146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to the Agreement is hereby deleted and replaced in its entirety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to this Amendment.</w:t>
      </w:r>
    </w:p>
    <w:p>
      <w:pPr>
        <w:spacing w:after="0" w:line="204" w:lineRule="exact"/>
        <w:rPr>
          <w:rFonts w:ascii="Times New Roman" w:cs="Times New Roman" w:eastAsia="Times New Roman" w:hAnsi="Times New Roman"/>
          <w:sz w:val="18"/>
          <w:szCs w:val="18"/>
          <w:color w:val="auto"/>
        </w:rPr>
      </w:pPr>
    </w:p>
    <w:p>
      <w:pPr>
        <w:ind w:left="9" w:firstLine="1088"/>
        <w:spacing w:after="0" w:line="304" w:lineRule="auto"/>
        <w:tabs>
          <w:tab w:leader="none" w:pos="155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Envoy Warranty</w:t>
      </w:r>
      <w:r>
        <w:rPr>
          <w:rFonts w:ascii="Times New Roman" w:cs="Times New Roman" w:eastAsia="Times New Roman" w:hAnsi="Times New Roman"/>
          <w:sz w:val="18"/>
          <w:szCs w:val="18"/>
          <w:color w:val="auto"/>
        </w:rPr>
        <w:t>. The Limited Envoy Warranty found in Exhibit G of the Agreement is hereby deleted and replaced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entirety by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to this Amendment.</w:t>
      </w:r>
    </w:p>
    <w:p>
      <w:pPr>
        <w:spacing w:after="0" w:line="107" w:lineRule="exact"/>
        <w:rPr>
          <w:rFonts w:ascii="Times New Roman" w:cs="Times New Roman" w:eastAsia="Times New Roman" w:hAnsi="Times New Roman"/>
          <w:sz w:val="18"/>
          <w:szCs w:val="18"/>
          <w:color w:val="auto"/>
        </w:rPr>
      </w:pPr>
    </w:p>
    <w:p>
      <w:pPr>
        <w:ind w:left="9" w:right="20" w:firstLine="540"/>
        <w:spacing w:after="0" w:line="299" w:lineRule="auto"/>
        <w:tabs>
          <w:tab w:leader="none" w:pos="9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Notwithstanding anything to the contrary in Section 3.4 of the Agreement, for all Products delivered to the Delivery Point beginning [***] through [***], payment will not be due from Buyer until [***] days after receipt of an Invoice from Seller.</w:t>
      </w:r>
    </w:p>
    <w:p>
      <w:pPr>
        <w:spacing w:after="0" w:line="112" w:lineRule="exact"/>
        <w:rPr>
          <w:rFonts w:ascii="Times New Roman" w:cs="Times New Roman" w:eastAsia="Times New Roman" w:hAnsi="Times New Roman"/>
          <w:sz w:val="18"/>
          <w:szCs w:val="18"/>
          <w:color w:val="auto"/>
        </w:rPr>
      </w:pPr>
    </w:p>
    <w:p>
      <w:pPr>
        <w:jc w:val="both"/>
        <w:ind w:left="9" w:right="20" w:firstLine="540"/>
        <w:spacing w:after="0" w:line="271" w:lineRule="auto"/>
        <w:tabs>
          <w:tab w:leader="none" w:pos="8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Pricing</w:t>
      </w:r>
      <w:r>
        <w:rPr>
          <w:rFonts w:ascii="Times New Roman" w:cs="Times New Roman" w:eastAsia="Times New Roman" w:hAnsi="Times New Roman"/>
          <w:sz w:val="18"/>
          <w:szCs w:val="18"/>
          <w:color w:val="auto"/>
        </w:rPr>
        <w:t xml:space="preserve">. The Unit Price for all Products delivered by Seller to Buyer after [***] shall be [***] to reflect the Unit Price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Amendment. Seller shall, within five (5) Business Days from the Effective Date, issue a credit in an amount equal to the difference between the original Unit Price invoiced for any Products ordered between [***] and the Effective Date and the new Unit Price set forth in this Amendment.</w:t>
      </w:r>
    </w:p>
    <w:p>
      <w:pPr>
        <w:spacing w:after="0" w:line="361" w:lineRule="exact"/>
        <w:rPr>
          <w:rFonts w:ascii="Times New Roman" w:cs="Times New Roman" w:eastAsia="Times New Roman" w:hAnsi="Times New Roman"/>
          <w:sz w:val="18"/>
          <w:szCs w:val="18"/>
          <w:color w:val="auto"/>
        </w:rPr>
      </w:pPr>
    </w:p>
    <w:p>
      <w:pPr>
        <w:ind w:left="9" w:firstLine="540"/>
        <w:spacing w:after="0" w:line="299" w:lineRule="auto"/>
        <w:tabs>
          <w:tab w:leader="none" w:pos="9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Payment</w:t>
      </w:r>
      <w:r>
        <w:rPr>
          <w:rFonts w:ascii="Times New Roman" w:cs="Times New Roman" w:eastAsia="Times New Roman" w:hAnsi="Times New Roman"/>
          <w:sz w:val="18"/>
          <w:szCs w:val="18"/>
          <w:color w:val="auto"/>
        </w:rPr>
        <w:t>. Simultaneously with the execution of this Amendment on the Effective Date, Seller shall make a one-time payment to Buyer in an amount equal to [***].</w:t>
      </w:r>
    </w:p>
    <w:p>
      <w:pPr>
        <w:spacing w:after="0" w:line="112" w:lineRule="exact"/>
        <w:rPr>
          <w:rFonts w:ascii="Times New Roman" w:cs="Times New Roman" w:eastAsia="Times New Roman" w:hAnsi="Times New Roman"/>
          <w:sz w:val="18"/>
          <w:szCs w:val="18"/>
          <w:color w:val="auto"/>
        </w:rPr>
      </w:pPr>
    </w:p>
    <w:p>
      <w:pPr>
        <w:jc w:val="both"/>
        <w:ind w:left="9" w:firstLine="540"/>
        <w:spacing w:after="0" w:line="275" w:lineRule="auto"/>
        <w:tabs>
          <w:tab w:leader="none" w:pos="8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2015 Commitment</w:t>
      </w:r>
      <w:r>
        <w:rPr>
          <w:rFonts w:ascii="Times New Roman" w:cs="Times New Roman" w:eastAsia="Times New Roman" w:hAnsi="Times New Roman"/>
          <w:sz w:val="18"/>
          <w:szCs w:val="18"/>
          <w:color w:val="auto"/>
        </w:rPr>
        <w:t>. Pursuant to Section 2.1.2 of the Agreement, between [***] and [***], Buyer agrees to submit Purchase Orders to Seller for the purchase of an aggregate of [***] Microinverters, with quantities of [***] Microinverters in the [***] and [***] Microinverters in the [***]. The Parties agree that the foregoing purchase(s) of Microinverters shall count towards the anticipated annual volumes set forth in Section 2.3 of the Agreement.</w:t>
      </w:r>
    </w:p>
    <w:p>
      <w:pPr>
        <w:spacing w:after="0" w:line="133" w:lineRule="exact"/>
        <w:rPr>
          <w:rFonts w:ascii="Times New Roman" w:cs="Times New Roman" w:eastAsia="Times New Roman" w:hAnsi="Times New Roman"/>
          <w:sz w:val="18"/>
          <w:szCs w:val="18"/>
          <w:color w:val="auto"/>
        </w:rPr>
      </w:pPr>
    </w:p>
    <w:p>
      <w:pPr>
        <w:jc w:val="both"/>
        <w:ind w:left="9" w:firstLine="540"/>
        <w:spacing w:after="0" w:line="261" w:lineRule="auto"/>
        <w:tabs>
          <w:tab w:leader="none" w:pos="8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The amendments and modifications set forth in this Amendment shall be limited precisely as written and shall not be deemed (a) to be a waiver or modification of any other term or condition of the Agreement or of any other instrument or agreement referred to therein or to prejudice any right or remedy which the Parties may now have or may have in the future under or in connection with the Agreement or any instrument or agreement referred to therein; or (b) to be a consent to any future amendment or modification or waiver to any instrument or agreement the execution and delivery of which is consented to hereby, or to any waiver of any of the provisions thereof. Except as expressly amended hereby, the Agreement shall continue in full force and effect.</w:t>
      </w:r>
    </w:p>
    <w:p>
      <w:pPr>
        <w:spacing w:after="0" w:line="145" w:lineRule="exact"/>
        <w:rPr>
          <w:rFonts w:ascii="Times New Roman" w:cs="Times New Roman" w:eastAsia="Times New Roman" w:hAnsi="Times New Roman"/>
          <w:sz w:val="18"/>
          <w:szCs w:val="18"/>
          <w:color w:val="auto"/>
        </w:rPr>
      </w:pPr>
    </w:p>
    <w:p>
      <w:pPr>
        <w:jc w:val="both"/>
        <w:ind w:left="9" w:firstLine="540"/>
        <w:spacing w:after="0" w:line="275" w:lineRule="auto"/>
        <w:tabs>
          <w:tab w:leader="none" w:pos="8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signed in any number of counterparts and each counterpart shall represent a fully executed original as if signed by both Parties. Delivery of this Amendment may be accomplished by means of an exchange of facsimile or emailed signatures, which shall be deemed originals for all purposes.</w:t>
      </w:r>
    </w:p>
    <w:p>
      <w:pPr>
        <w:spacing w:after="0" w:line="133" w:lineRule="exact"/>
        <w:rPr>
          <w:rFonts w:ascii="Times New Roman" w:cs="Times New Roman" w:eastAsia="Times New Roman" w:hAnsi="Times New Roman"/>
          <w:sz w:val="18"/>
          <w:szCs w:val="18"/>
          <w:color w:val="auto"/>
        </w:rPr>
      </w:pPr>
    </w:p>
    <w:p>
      <w:pPr>
        <w:jc w:val="both"/>
        <w:ind w:left="9" w:firstLine="540"/>
        <w:spacing w:after="0" w:line="267" w:lineRule="auto"/>
        <w:tabs>
          <w:tab w:leader="none" w:pos="8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Amendment, the Agreement, and any documents executed in connection herewith or therewith or pursuant hereto or thereto contain the entire agreement between the Parties with respect to the subject matter hereof and supersede all prior agreements, understandings, offers and negotiations, oral or written, with respect thereto and no extrinsic evidence whatsoever may be introduced in any judicial or arbitration proceeding, if any, involving this Amendment.</w:t>
      </w:r>
    </w:p>
    <w:p>
      <w:pPr>
        <w:spacing w:after="0" w:line="332" w:lineRule="exact"/>
        <w:rPr>
          <w:sz w:val="20"/>
          <w:szCs w:val="20"/>
          <w:color w:val="auto"/>
        </w:rPr>
      </w:pPr>
    </w:p>
    <w:p>
      <w:pPr>
        <w:ind w:left="3569"/>
        <w:spacing w:after="0"/>
        <w:rPr>
          <w:sz w:val="20"/>
          <w:szCs w:val="20"/>
          <w:color w:val="auto"/>
        </w:rPr>
      </w:pPr>
      <w:r>
        <w:rPr>
          <w:rFonts w:ascii="Times New Roman" w:cs="Times New Roman" w:eastAsia="Times New Roman" w:hAnsi="Times New Roman"/>
          <w:sz w:val="15"/>
          <w:szCs w:val="15"/>
          <w:color w:val="auto"/>
        </w:rPr>
        <w:t>2</w:t>
      </w:r>
    </w:p>
    <w:p>
      <w:pPr>
        <w:spacing w:after="0" w:line="79" w:lineRule="exact"/>
        <w:rPr>
          <w:sz w:val="20"/>
          <w:szCs w:val="20"/>
          <w:color w:val="auto"/>
        </w:rPr>
      </w:pPr>
    </w:p>
    <w:p>
      <w:pPr>
        <w:ind w:left="9" w:right="20" w:hanging="9"/>
        <w:spacing w:after="0" w:line="289" w:lineRule="auto"/>
        <w:tabs>
          <w:tab w:leader="none" w:pos="3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9"/>
          </w:cols>
          <w:pgMar w:left="231" w:top="330" w:right="219" w:bottom="1440" w:gutter="0" w:footer="0" w:header="0"/>
        </w:sectPr>
      </w:pPr>
    </w:p>
    <w:bookmarkStart w:id="65" w:name="page66"/>
    <w:bookmarkEnd w:id="65"/>
    <w:p>
      <w:pPr>
        <w:ind w:left="929" w:hanging="380"/>
        <w:spacing w:after="0"/>
        <w:tabs>
          <w:tab w:leader="none" w:pos="9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become effective as of the Effective Date.</w:t>
      </w:r>
    </w:p>
    <w:p>
      <w:pPr>
        <w:spacing w:after="0" w:line="204" w:lineRule="exact"/>
        <w:rPr>
          <w:rFonts w:ascii="Times New Roman" w:cs="Times New Roman" w:eastAsia="Times New Roman" w:hAnsi="Times New Roman"/>
          <w:sz w:val="18"/>
          <w:szCs w:val="18"/>
          <w:color w:val="auto"/>
        </w:rPr>
      </w:pPr>
    </w:p>
    <w:p>
      <w:pPr>
        <w:jc w:val="both"/>
        <w:ind w:left="9" w:firstLine="540"/>
        <w:spacing w:after="0" w:line="267" w:lineRule="auto"/>
        <w:tabs>
          <w:tab w:leader="none" w:pos="9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Pursuant to Section 18.3 of the Agreement, this Amendment, and the rights and obligations of the Parties and any dispute arising under or relating thereto (whether in contract, tort or otherwise) shall be governed by, and construed in accordance with, the laws of the State of New York, without giving effect to the conflict of law rules thereof or any other statute or doctrine that might call for the application of the laws of any other jurisdiction.</w:t>
      </w:r>
    </w:p>
    <w:p>
      <w:pPr>
        <w:spacing w:after="0" w:line="3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1" w:lineRule="exact"/>
        <w:rPr>
          <w:sz w:val="20"/>
          <w:szCs w:val="20"/>
          <w:color w:val="auto"/>
        </w:rPr>
      </w:pPr>
    </w:p>
    <w:p>
      <w:pPr>
        <w:ind w:left="3569"/>
        <w:spacing w:after="0"/>
        <w:rPr>
          <w:sz w:val="20"/>
          <w:szCs w:val="20"/>
          <w:color w:val="auto"/>
        </w:rPr>
      </w:pPr>
      <w:r>
        <w:rPr>
          <w:rFonts w:ascii="Times New Roman" w:cs="Times New Roman" w:eastAsia="Times New Roman" w:hAnsi="Times New Roman"/>
          <w:sz w:val="15"/>
          <w:szCs w:val="15"/>
          <w:color w:val="auto"/>
        </w:rPr>
        <w:t>3</w:t>
      </w:r>
    </w:p>
    <w:p>
      <w:pPr>
        <w:spacing w:after="0" w:line="79" w:lineRule="exact"/>
        <w:rPr>
          <w:sz w:val="20"/>
          <w:szCs w:val="20"/>
          <w:color w:val="auto"/>
        </w:rPr>
      </w:pPr>
    </w:p>
    <w:p>
      <w:pPr>
        <w:ind w:left="9" w:right="20" w:hanging="9"/>
        <w:spacing w:after="0" w:line="289" w:lineRule="auto"/>
        <w:tabs>
          <w:tab w:leader="none" w:pos="3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9"/>
          </w:cols>
          <w:pgMar w:left="231" w:top="334" w:right="219" w:bottom="1440" w:gutter="0" w:footer="0" w:header="0"/>
        </w:sectPr>
      </w:pPr>
    </w:p>
    <w:bookmarkStart w:id="66" w:name="page67"/>
    <w:bookmarkEnd w:id="66"/>
    <w:p>
      <w:pPr>
        <w:ind w:left="549"/>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have entered into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89"/>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00" w:lineRule="exact"/>
        <w:rPr>
          <w:sz w:val="20"/>
          <w:szCs w:val="20"/>
          <w:color w:val="auto"/>
        </w:rPr>
      </w:pPr>
    </w:p>
    <w:p>
      <w:pPr>
        <w:spacing w:after="0" w:line="214" w:lineRule="exact"/>
        <w:rPr>
          <w:sz w:val="20"/>
          <w:szCs w:val="20"/>
          <w:color w:val="auto"/>
        </w:rPr>
      </w:pPr>
    </w:p>
    <w:p>
      <w:pPr>
        <w:ind w:left="3289"/>
        <w:spacing w:after="0"/>
        <w:rPr>
          <w:sz w:val="20"/>
          <w:szCs w:val="20"/>
          <w:color w:val="auto"/>
        </w:rPr>
      </w:pPr>
      <w:r>
        <w:rPr>
          <w:rFonts w:ascii="Times New Roman" w:cs="Times New Roman" w:eastAsia="Times New Roman" w:hAnsi="Times New Roman"/>
          <w:sz w:val="18"/>
          <w:szCs w:val="18"/>
          <w:color w:val="auto"/>
        </w:rPr>
        <w:t>ENPHASE ENERGY, INC.</w:t>
      </w:r>
    </w:p>
    <w:p>
      <w:pPr>
        <w:spacing w:after="0" w:line="200" w:lineRule="exact"/>
        <w:rPr>
          <w:sz w:val="20"/>
          <w:szCs w:val="20"/>
          <w:color w:val="auto"/>
        </w:rPr>
      </w:pPr>
    </w:p>
    <w:p>
      <w:pPr>
        <w:spacing w:after="0" w:line="244" w:lineRule="exact"/>
        <w:rPr>
          <w:sz w:val="20"/>
          <w:szCs w:val="20"/>
          <w:color w:val="auto"/>
        </w:rPr>
      </w:pPr>
    </w:p>
    <w:p>
      <w:pPr>
        <w:ind w:left="3289"/>
        <w:spacing w:after="0"/>
        <w:tabs>
          <w:tab w:leader="none" w:pos="3768" w:val="left"/>
        </w:tabs>
        <w:rPr>
          <w:sz w:val="20"/>
          <w:szCs w:val="20"/>
          <w:color w:val="auto"/>
        </w:rPr>
      </w:pPr>
      <w:r>
        <w:rPr>
          <w:rFonts w:ascii="Times New Roman" w:cs="Times New Roman" w:eastAsia="Times New Roman" w:hAnsi="Times New Roman"/>
          <w:sz w:val="18"/>
          <w:szCs w:val="18"/>
          <w:color w:val="auto"/>
        </w:rPr>
        <w:t>By:</w:t>
        <w:tab/>
        <w:t>/s/ Taylor Browning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-7620</wp:posOffset>
            </wp:positionV>
            <wp:extent cx="131000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10" w:lineRule="exact"/>
        <w:rPr>
          <w:sz w:val="20"/>
          <w:szCs w:val="20"/>
          <w:color w:val="auto"/>
        </w:rPr>
      </w:pPr>
    </w:p>
    <w:p>
      <w:pPr>
        <w:ind w:left="3289"/>
        <w:spacing w:after="0"/>
        <w:rPr>
          <w:sz w:val="20"/>
          <w:szCs w:val="20"/>
          <w:color w:val="auto"/>
        </w:rPr>
      </w:pPr>
      <w:r>
        <w:rPr>
          <w:rFonts w:ascii="Times New Roman" w:cs="Times New Roman" w:eastAsia="Times New Roman" w:hAnsi="Times New Roman"/>
          <w:sz w:val="18"/>
          <w:szCs w:val="18"/>
          <w:color w:val="auto"/>
        </w:rPr>
        <w:t>Name: J. Taylor Browning</w:t>
      </w:r>
    </w:p>
    <w:p>
      <w:pPr>
        <w:spacing w:after="0" w:line="10" w:lineRule="exact"/>
        <w:rPr>
          <w:sz w:val="20"/>
          <w:szCs w:val="20"/>
          <w:color w:val="auto"/>
        </w:rPr>
      </w:pPr>
    </w:p>
    <w:p>
      <w:pPr>
        <w:ind w:left="3289"/>
        <w:spacing w:after="0"/>
        <w:tabs>
          <w:tab w:leader="none" w:pos="3808" w:val="left"/>
        </w:tabs>
        <w:rPr>
          <w:sz w:val="20"/>
          <w:szCs w:val="20"/>
          <w:color w:val="auto"/>
        </w:rPr>
      </w:pPr>
      <w:r>
        <w:rPr>
          <w:rFonts w:ascii="Times New Roman" w:cs="Times New Roman" w:eastAsia="Times New Roman" w:hAnsi="Times New Roman"/>
          <w:sz w:val="18"/>
          <w:szCs w:val="18"/>
          <w:color w:val="auto"/>
        </w:rPr>
        <w:t>Title:</w:t>
        <w:tab/>
        <w:t>Associate General Counsel and Assistant Secretary</w:t>
      </w:r>
    </w:p>
    <w:p>
      <w:pPr>
        <w:spacing w:after="0" w:line="207"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8"/>
          <w:szCs w:val="18"/>
          <w:color w:val="auto"/>
        </w:rPr>
        <w:t>[SIGNATURE PAGES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69"/>
        <w:spacing w:after="0"/>
        <w:rPr>
          <w:sz w:val="20"/>
          <w:szCs w:val="20"/>
          <w:color w:val="auto"/>
        </w:rPr>
      </w:pPr>
      <w:r>
        <w:rPr>
          <w:rFonts w:ascii="Times New Roman" w:cs="Times New Roman" w:eastAsia="Times New Roman" w:hAnsi="Times New Roman"/>
          <w:sz w:val="15"/>
          <w:szCs w:val="15"/>
          <w:color w:val="auto"/>
        </w:rPr>
        <w:t>[SIGNATURE PAGE]</w:t>
      </w:r>
    </w:p>
    <w:p>
      <w:pPr>
        <w:spacing w:after="0" w:line="79" w:lineRule="exact"/>
        <w:rPr>
          <w:sz w:val="20"/>
          <w:szCs w:val="20"/>
          <w:color w:val="auto"/>
        </w:rPr>
      </w:pPr>
    </w:p>
    <w:p>
      <w:pPr>
        <w:ind w:left="9" w:hanging="9"/>
        <w:spacing w:after="0" w:line="289" w:lineRule="auto"/>
        <w:tabs>
          <w:tab w:leader="none" w:pos="376"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349"/>
          </w:cols>
          <w:pgMar w:left="231" w:top="547" w:right="319" w:bottom="1440" w:gutter="0" w:footer="0" w:header="0"/>
        </w:sectPr>
      </w:pPr>
    </w:p>
    <w:bookmarkStart w:id="67" w:name="page68"/>
    <w:bookmarkEnd w:id="67"/>
    <w:p>
      <w:pPr>
        <w:ind w:left="3289"/>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31" w:lineRule="exact"/>
        <w:rPr>
          <w:sz w:val="20"/>
          <w:szCs w:val="20"/>
          <w:color w:val="auto"/>
        </w:rPr>
      </w:pPr>
    </w:p>
    <w:p>
      <w:pPr>
        <w:ind w:left="3289"/>
        <w:spacing w:after="0"/>
        <w:rPr>
          <w:sz w:val="20"/>
          <w:szCs w:val="20"/>
          <w:color w:val="auto"/>
        </w:rPr>
      </w:pPr>
      <w:r>
        <w:rPr>
          <w:rFonts w:ascii="Times New Roman" w:cs="Times New Roman" w:eastAsia="Times New Roman" w:hAnsi="Times New Roman"/>
          <w:sz w:val="18"/>
          <w:szCs w:val="18"/>
          <w:color w:val="auto"/>
        </w:rPr>
        <w:t>VIVINT SOLAR DEVELOPER, LLC</w:t>
      </w:r>
    </w:p>
    <w:p>
      <w:pPr>
        <w:spacing w:after="0" w:line="200" w:lineRule="exact"/>
        <w:rPr>
          <w:sz w:val="20"/>
          <w:szCs w:val="20"/>
          <w:color w:val="auto"/>
        </w:rPr>
      </w:pPr>
    </w:p>
    <w:p>
      <w:pPr>
        <w:spacing w:after="0" w:line="231" w:lineRule="exact"/>
        <w:rPr>
          <w:sz w:val="20"/>
          <w:szCs w:val="20"/>
          <w:color w:val="auto"/>
        </w:rPr>
      </w:pPr>
    </w:p>
    <w:tbl>
      <w:tblPr>
        <w:tblLayout w:type="fixed"/>
        <w:tblInd w:w="3289"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Newman</w:t>
            </w:r>
          </w:p>
        </w:tc>
        <w:tc>
          <w:tcPr>
            <w:tcW w:w="1200" w:type="dxa"/>
            <w:vAlign w:val="bottom"/>
          </w:tcPr>
          <w:p>
            <w:pPr>
              <w:spacing w:after="0"/>
              <w:rPr>
                <w:sz w:val="17"/>
                <w:szCs w:val="17"/>
                <w:color w:val="auto"/>
              </w:rPr>
            </w:pPr>
          </w:p>
        </w:tc>
      </w:tr>
      <w:tr>
        <w:trPr>
          <w:trHeight w:val="220"/>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 Newman</w:t>
            </w:r>
          </w:p>
        </w:tc>
      </w:tr>
      <w:tr>
        <w:trPr>
          <w:trHeight w:val="237"/>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Vice President, Business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69"/>
        <w:spacing w:after="0"/>
        <w:rPr>
          <w:sz w:val="20"/>
          <w:szCs w:val="20"/>
          <w:color w:val="auto"/>
        </w:rPr>
      </w:pPr>
      <w:r>
        <w:rPr>
          <w:rFonts w:ascii="Times New Roman" w:cs="Times New Roman" w:eastAsia="Times New Roman" w:hAnsi="Times New Roman"/>
          <w:sz w:val="15"/>
          <w:szCs w:val="15"/>
          <w:color w:val="auto"/>
        </w:rPr>
        <w:t>[SIGNATURE PAGE]</w:t>
      </w:r>
    </w:p>
    <w:p>
      <w:pPr>
        <w:spacing w:after="0" w:line="79" w:lineRule="exact"/>
        <w:rPr>
          <w:sz w:val="20"/>
          <w:szCs w:val="20"/>
          <w:color w:val="auto"/>
        </w:rPr>
      </w:pPr>
    </w:p>
    <w:p>
      <w:pPr>
        <w:ind w:left="9" w:hanging="9"/>
        <w:spacing w:after="0" w:line="289" w:lineRule="auto"/>
        <w:tabs>
          <w:tab w:leader="none" w:pos="376"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349"/>
          </w:cols>
          <w:pgMar w:left="231" w:top="547" w:right="319" w:bottom="1440" w:gutter="0" w:footer="0" w:header="0"/>
        </w:sectPr>
      </w:pPr>
    </w:p>
    <w:bookmarkStart w:id="68" w:name="page69"/>
    <w:bookmarkEnd w:id="68"/>
    <w:p>
      <w:pPr>
        <w:jc w:val="center"/>
        <w:ind w:right="71"/>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0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PRODUCTS AND UNIT PRICE</w:t>
      </w:r>
    </w:p>
    <w:p>
      <w:pPr>
        <w:spacing w:after="0" w:line="211" w:lineRule="exact"/>
        <w:rPr>
          <w:sz w:val="20"/>
          <w:szCs w:val="20"/>
          <w:color w:val="auto"/>
        </w:rPr>
      </w:pPr>
    </w:p>
    <w:tbl>
      <w:tblPr>
        <w:tblLayout w:type="fixed"/>
        <w:tblInd w:w="19" w:type="dxa"/>
        <w:tblCellMar>
          <w:top w:w="0" w:type="dxa"/>
          <w:left w:w="0" w:type="dxa"/>
          <w:bottom w:w="0" w:type="dxa"/>
          <w:right w:w="0" w:type="dxa"/>
        </w:tblCellMar>
      </w:tblPr>
      <w:tr>
        <w:trPr>
          <w:trHeight w:val="243"/>
        </w:trPr>
        <w:tc>
          <w:tcPr>
            <w:tcW w:w="2300" w:type="dxa"/>
            <w:vAlign w:val="bottom"/>
            <w:tcBorders>
              <w:top w:val="single" w:sz="8" w:color="auto"/>
              <w:left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7"/>
                <w:szCs w:val="17"/>
                <w:b w:val="1"/>
                <w:bCs w:val="1"/>
                <w:color w:val="auto"/>
              </w:rPr>
              <w:t>Model Number</w:t>
            </w:r>
          </w:p>
        </w:tc>
        <w:tc>
          <w:tcPr>
            <w:tcW w:w="5840" w:type="dxa"/>
            <w:vAlign w:val="bottom"/>
            <w:tcBorders>
              <w:top w:val="single" w:sz="8" w:color="auto"/>
              <w:bottom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600" w:type="dxa"/>
            <w:vAlign w:val="bottom"/>
            <w:tcBorders>
              <w:top w:val="single" w:sz="8" w:color="auto"/>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7"/>
                <w:szCs w:val="17"/>
                <w:b w:val="1"/>
                <w:bCs w:val="1"/>
                <w:color w:val="auto"/>
              </w:rPr>
              <w:t>Unit Price</w:t>
            </w:r>
          </w:p>
        </w:tc>
        <w:tc>
          <w:tcPr>
            <w:tcW w:w="1720" w:type="dxa"/>
            <w:vAlign w:val="bottom"/>
            <w:tcBorders>
              <w:top w:val="single" w:sz="8" w:color="auto"/>
              <w:bottom w:val="single" w:sz="8" w:color="auto"/>
              <w:right w:val="single" w:sz="8" w:color="auto"/>
            </w:tcBorders>
            <w:gridSpan w:val="2"/>
            <w:shd w:val="clear" w:color="auto" w:fill="BFBFBF"/>
          </w:tcPr>
          <w:p>
            <w:pPr>
              <w:ind w:left="80"/>
              <w:spacing w:after="0"/>
              <w:rPr>
                <w:sz w:val="20"/>
                <w:szCs w:val="20"/>
                <w:color w:val="auto"/>
              </w:rPr>
            </w:pPr>
            <w:r>
              <w:rPr>
                <w:rFonts w:ascii="Times New Roman" w:cs="Times New Roman" w:eastAsia="Times New Roman" w:hAnsi="Times New Roman"/>
                <w:sz w:val="17"/>
                <w:szCs w:val="17"/>
                <w:b w:val="1"/>
                <w:bCs w:val="1"/>
                <w:color w:val="auto"/>
              </w:rPr>
              <w:t>MOQ</w:t>
            </w:r>
          </w:p>
        </w:tc>
      </w:tr>
      <w:tr>
        <w:trPr>
          <w:trHeight w:val="231"/>
        </w:trPr>
        <w:tc>
          <w:tcPr>
            <w:tcW w:w="2300" w:type="dxa"/>
            <w:vAlign w:val="bottom"/>
            <w:tcBorders>
              <w:left w:val="single" w:sz="8" w:color="auto"/>
              <w:bottom w:val="single" w:sz="8" w:color="auto"/>
              <w:right w:val="single" w:sz="8" w:color="auto"/>
            </w:tcBorders>
            <w:shd w:val="clear" w:color="auto" w:fill="FDE9D9"/>
          </w:tcPr>
          <w:p>
            <w:pPr>
              <w:ind w:left="20"/>
              <w:spacing w:after="0"/>
              <w:rPr>
                <w:sz w:val="20"/>
                <w:szCs w:val="20"/>
                <w:color w:val="auto"/>
              </w:rPr>
            </w:pPr>
            <w:r>
              <w:rPr>
                <w:rFonts w:ascii="Times New Roman" w:cs="Times New Roman" w:eastAsia="Times New Roman" w:hAnsi="Times New Roman"/>
                <w:sz w:val="17"/>
                <w:szCs w:val="17"/>
                <w:b w:val="1"/>
                <w:bCs w:val="1"/>
                <w:color w:val="auto"/>
              </w:rPr>
              <w:t>Microinverters</w:t>
            </w:r>
          </w:p>
        </w:tc>
        <w:tc>
          <w:tcPr>
            <w:tcW w:w="5840" w:type="dxa"/>
            <w:vAlign w:val="bottom"/>
            <w:tcBorders>
              <w:bottom w:val="single" w:sz="8" w:color="auto"/>
              <w:right w:val="single" w:sz="8" w:color="auto"/>
            </w:tcBorders>
            <w:shd w:val="clear" w:color="auto" w:fill="FDE9D9"/>
          </w:tcPr>
          <w:p>
            <w:pPr>
              <w:spacing w:after="0"/>
              <w:rPr>
                <w:sz w:val="20"/>
                <w:szCs w:val="20"/>
                <w:color w:val="auto"/>
              </w:rPr>
            </w:pPr>
          </w:p>
        </w:tc>
        <w:tc>
          <w:tcPr>
            <w:tcW w:w="1600" w:type="dxa"/>
            <w:vAlign w:val="bottom"/>
            <w:tcBorders>
              <w:bottom w:val="single" w:sz="8" w:color="auto"/>
              <w:right w:val="single" w:sz="8" w:color="auto"/>
            </w:tcBorders>
            <w:shd w:val="clear" w:color="auto" w:fill="FDE9D9"/>
          </w:tcPr>
          <w:p>
            <w:pPr>
              <w:spacing w:after="0"/>
              <w:rPr>
                <w:sz w:val="20"/>
                <w:szCs w:val="20"/>
                <w:color w:val="auto"/>
              </w:rPr>
            </w:pPr>
          </w:p>
        </w:tc>
        <w:tc>
          <w:tcPr>
            <w:tcW w:w="200" w:type="dxa"/>
            <w:vAlign w:val="bottom"/>
            <w:tcBorders>
              <w:bottom w:val="single" w:sz="8" w:color="auto"/>
            </w:tcBorders>
            <w:shd w:val="clear" w:color="auto" w:fill="FDE9D9"/>
          </w:tcPr>
          <w:p>
            <w:pPr>
              <w:spacing w:after="0"/>
              <w:rPr>
                <w:sz w:val="20"/>
                <w:szCs w:val="20"/>
                <w:color w:val="auto"/>
              </w:rPr>
            </w:pPr>
          </w:p>
        </w:tc>
        <w:tc>
          <w:tcPr>
            <w:tcW w:w="1520" w:type="dxa"/>
            <w:vAlign w:val="bottom"/>
            <w:tcBorders>
              <w:bottom w:val="single" w:sz="8" w:color="auto"/>
              <w:right w:val="single" w:sz="8" w:color="auto"/>
            </w:tcBorders>
            <w:shd w:val="clear" w:color="auto" w:fill="FDE9D9"/>
          </w:tcPr>
          <w:p>
            <w:pPr>
              <w:spacing w:after="0"/>
              <w:rPr>
                <w:sz w:val="20"/>
                <w:szCs w:val="20"/>
                <w:color w:val="auto"/>
              </w:rPr>
            </w:pPr>
          </w:p>
        </w:tc>
      </w:tr>
      <w:tr>
        <w:trPr>
          <w:trHeight w:val="240"/>
        </w:trPr>
        <w:tc>
          <w:tcPr>
            <w:tcW w:w="2300" w:type="dxa"/>
            <w:vAlign w:val="bottom"/>
            <w:tcBorders>
              <w:left w:val="single" w:sz="8" w:color="auto"/>
              <w:bottom w:val="single" w:sz="8" w:color="auto"/>
              <w:right w:val="single" w:sz="8" w:color="auto"/>
            </w:tcBorders>
          </w:tcPr>
          <w:p>
            <w:pPr>
              <w:ind w:left="80"/>
              <w:spacing w:after="0" w:line="240" w:lineRule="exact"/>
              <w:rPr>
                <w:sz w:val="20"/>
                <w:szCs w:val="20"/>
                <w:color w:val="auto"/>
              </w:rPr>
            </w:pPr>
            <w:r>
              <w:rPr>
                <w:rFonts w:ascii="Times New Roman" w:cs="Times New Roman" w:eastAsia="Times New Roman" w:hAnsi="Times New Roman"/>
                <w:sz w:val="17"/>
                <w:szCs w:val="17"/>
                <w:color w:val="auto"/>
              </w:rPr>
              <w:t>M215-60-2LL-S22</w:t>
            </w:r>
            <w:r>
              <w:rPr>
                <w:rFonts w:ascii="Times New Roman" w:cs="Times New Roman" w:eastAsia="Times New Roman" w:hAnsi="Times New Roman"/>
                <w:sz w:val="21"/>
                <w:szCs w:val="21"/>
                <w:color w:val="auto"/>
                <w:vertAlign w:val="superscript"/>
              </w:rPr>
              <w:t>1</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Microinverter, 240 &amp; 208Vac, for 60-cell modules, MC-style PV connector</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x 12 Units</w:t>
            </w:r>
          </w:p>
        </w:tc>
      </w:tr>
      <w:tr>
        <w:trPr>
          <w:trHeight w:val="231"/>
        </w:trPr>
        <w:tc>
          <w:tcPr>
            <w:tcW w:w="2300" w:type="dxa"/>
            <w:vAlign w:val="bottom"/>
            <w:tcBorders>
              <w:left w:val="single" w:sz="8" w:color="auto"/>
              <w:bottom w:val="single" w:sz="8" w:color="auto"/>
              <w:right w:val="single" w:sz="8" w:color="auto"/>
            </w:tcBorders>
          </w:tcPr>
          <w:p>
            <w:pPr>
              <w:ind w:left="80"/>
              <w:spacing w:after="0" w:line="231" w:lineRule="exact"/>
              <w:rPr>
                <w:sz w:val="20"/>
                <w:szCs w:val="20"/>
                <w:color w:val="auto"/>
              </w:rPr>
            </w:pPr>
            <w:r>
              <w:rPr>
                <w:rFonts w:ascii="Times New Roman" w:cs="Times New Roman" w:eastAsia="Times New Roman" w:hAnsi="Times New Roman"/>
                <w:sz w:val="17"/>
                <w:szCs w:val="17"/>
                <w:color w:val="auto"/>
              </w:rPr>
              <w:t>M250-60-2LL-S22</w:t>
            </w:r>
            <w:r>
              <w:rPr>
                <w:rFonts w:ascii="Times New Roman" w:cs="Times New Roman" w:eastAsia="Times New Roman" w:hAnsi="Times New Roman"/>
                <w:sz w:val="21"/>
                <w:szCs w:val="21"/>
                <w:color w:val="auto"/>
                <w:vertAlign w:val="superscript"/>
              </w:rPr>
              <w:t>2</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Microinverter, 240 &amp; 208Vac, for 60-cell modules, MC-style PV connector</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x 12 Units</w:t>
            </w:r>
          </w:p>
        </w:tc>
      </w:tr>
      <w:tr>
        <w:trPr>
          <w:trHeight w:val="22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5 Year Extended Warranty Upgrade</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31"/>
        </w:trPr>
        <w:tc>
          <w:tcPr>
            <w:tcW w:w="2300" w:type="dxa"/>
            <w:vAlign w:val="bottom"/>
            <w:tcBorders>
              <w:left w:val="single" w:sz="8" w:color="auto"/>
              <w:bottom w:val="single" w:sz="8" w:color="auto"/>
              <w:right w:val="single" w:sz="8" w:color="auto"/>
            </w:tcBorders>
            <w:shd w:val="clear" w:color="auto" w:fill="FDE9D9"/>
          </w:tcPr>
          <w:p>
            <w:pPr>
              <w:ind w:left="20"/>
              <w:spacing w:after="0"/>
              <w:rPr>
                <w:sz w:val="20"/>
                <w:szCs w:val="20"/>
                <w:color w:val="auto"/>
              </w:rPr>
            </w:pPr>
            <w:r>
              <w:rPr>
                <w:rFonts w:ascii="Times New Roman" w:cs="Times New Roman" w:eastAsia="Times New Roman" w:hAnsi="Times New Roman"/>
                <w:sz w:val="17"/>
                <w:szCs w:val="17"/>
                <w:b w:val="1"/>
                <w:bCs w:val="1"/>
                <w:color w:val="auto"/>
              </w:rPr>
              <w:t>Communications Gateway</w:t>
            </w:r>
          </w:p>
        </w:tc>
        <w:tc>
          <w:tcPr>
            <w:tcW w:w="5840" w:type="dxa"/>
            <w:vAlign w:val="bottom"/>
            <w:tcBorders>
              <w:bottom w:val="single" w:sz="8" w:color="auto"/>
              <w:right w:val="single" w:sz="8" w:color="auto"/>
            </w:tcBorders>
            <w:shd w:val="clear" w:color="auto" w:fill="FDE9D9"/>
          </w:tcPr>
          <w:p>
            <w:pPr>
              <w:spacing w:after="0"/>
              <w:rPr>
                <w:sz w:val="20"/>
                <w:szCs w:val="20"/>
                <w:color w:val="auto"/>
              </w:rPr>
            </w:pPr>
          </w:p>
        </w:tc>
        <w:tc>
          <w:tcPr>
            <w:tcW w:w="1600" w:type="dxa"/>
            <w:vAlign w:val="bottom"/>
            <w:tcBorders>
              <w:bottom w:val="single" w:sz="8" w:color="auto"/>
              <w:right w:val="single" w:sz="8" w:color="auto"/>
            </w:tcBorders>
            <w:shd w:val="clear" w:color="auto" w:fill="FDE9D9"/>
          </w:tcPr>
          <w:p>
            <w:pPr>
              <w:spacing w:after="0"/>
              <w:rPr>
                <w:sz w:val="20"/>
                <w:szCs w:val="20"/>
                <w:color w:val="auto"/>
              </w:rPr>
            </w:pPr>
          </w:p>
        </w:tc>
        <w:tc>
          <w:tcPr>
            <w:tcW w:w="200" w:type="dxa"/>
            <w:vAlign w:val="bottom"/>
            <w:tcBorders>
              <w:bottom w:val="single" w:sz="8" w:color="auto"/>
            </w:tcBorders>
            <w:shd w:val="clear" w:color="auto" w:fill="FDE9D9"/>
          </w:tcPr>
          <w:p>
            <w:pPr>
              <w:spacing w:after="0"/>
              <w:rPr>
                <w:sz w:val="20"/>
                <w:szCs w:val="20"/>
                <w:color w:val="auto"/>
              </w:rPr>
            </w:pPr>
          </w:p>
        </w:tc>
        <w:tc>
          <w:tcPr>
            <w:tcW w:w="1520" w:type="dxa"/>
            <w:vAlign w:val="bottom"/>
            <w:tcBorders>
              <w:bottom w:val="single" w:sz="8" w:color="auto"/>
              <w:right w:val="single" w:sz="8" w:color="auto"/>
            </w:tcBorders>
            <w:shd w:val="clear" w:color="auto" w:fill="FDE9D9"/>
          </w:tcPr>
          <w:p>
            <w:pPr>
              <w:spacing w:after="0"/>
              <w:rPr>
                <w:sz w:val="20"/>
                <w:szCs w:val="20"/>
                <w:color w:val="auto"/>
              </w:rPr>
            </w:pPr>
          </w:p>
        </w:tc>
      </w:tr>
      <w:tr>
        <w:trPr>
          <w:trHeight w:val="240"/>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ENV-120-01 VM</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Envoy Communications Gateway,120VAC, with Ethernet Bridge pair</w:t>
            </w:r>
          </w:p>
        </w:tc>
        <w:tc>
          <w:tcPr>
            <w:tcW w:w="1600" w:type="dxa"/>
            <w:vAlign w:val="bottom"/>
            <w:tcBorders>
              <w:bottom w:val="single" w:sz="8" w:color="auto"/>
              <w:right w:val="single" w:sz="8" w:color="auto"/>
            </w:tcBorders>
          </w:tcPr>
          <w:p>
            <w:pPr>
              <w:ind w:left="140"/>
              <w:spacing w:after="0" w:line="24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x 6 Units</w:t>
            </w:r>
          </w:p>
        </w:tc>
      </w:tr>
      <w:tr>
        <w:trPr>
          <w:trHeight w:val="190"/>
        </w:trPr>
        <w:tc>
          <w:tcPr>
            <w:tcW w:w="2300" w:type="dxa"/>
            <w:vAlign w:val="bottom"/>
            <w:tcBorders>
              <w:left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RGM-MTR-01</w:t>
            </w:r>
          </w:p>
        </w:tc>
        <w:tc>
          <w:tcPr>
            <w:tcW w:w="5840" w:type="dxa"/>
            <w:vAlign w:val="bottom"/>
            <w:tcBorders>
              <w:right w:val="single" w:sz="8" w:color="auto"/>
            </w:tcBorders>
          </w:tcPr>
          <w:p>
            <w:pPr>
              <w:ind w:left="140"/>
              <w:spacing w:after="0" w:line="189" w:lineRule="exact"/>
              <w:rPr>
                <w:sz w:val="20"/>
                <w:szCs w:val="20"/>
                <w:color w:val="auto"/>
              </w:rPr>
            </w:pPr>
            <w:r>
              <w:rPr>
                <w:rFonts w:ascii="Times New Roman" w:cs="Times New Roman" w:eastAsia="Times New Roman" w:hAnsi="Times New Roman"/>
                <w:sz w:val="17"/>
                <w:szCs w:val="17"/>
                <w:color w:val="auto"/>
              </w:rPr>
              <w:t>Enphase-compatible GE i210+ Revenue Grade Meter (RGM) with integrated</w:t>
            </w:r>
          </w:p>
        </w:tc>
        <w:tc>
          <w:tcPr>
            <w:tcW w:w="16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Box x 4 Units</w:t>
            </w:r>
          </w:p>
        </w:tc>
      </w:tr>
      <w:tr>
        <w:trPr>
          <w:trHeight w:val="236"/>
        </w:trPr>
        <w:tc>
          <w:tcPr>
            <w:tcW w:w="2300" w:type="dxa"/>
            <w:vAlign w:val="bottom"/>
            <w:tcBorders>
              <w:left w:val="single" w:sz="8" w:color="auto"/>
              <w:bottom w:val="single" w:sz="8" w:color="auto"/>
              <w:right w:val="single" w:sz="8" w:color="auto"/>
            </w:tcBorders>
          </w:tcPr>
          <w:p>
            <w:pPr>
              <w:spacing w:after="0"/>
              <w:rPr>
                <w:sz w:val="20"/>
                <w:szCs w:val="20"/>
                <w:color w:val="auto"/>
              </w:rPr>
            </w:pPr>
          </w:p>
        </w:tc>
        <w:tc>
          <w:tcPr>
            <w:tcW w:w="5840" w:type="dxa"/>
            <w:vAlign w:val="bottom"/>
            <w:tcBorders>
              <w:bottom w:val="single" w:sz="8" w:color="auto"/>
              <w:right w:val="single" w:sz="8" w:color="auto"/>
            </w:tcBorders>
          </w:tcPr>
          <w:p>
            <w:pPr>
              <w:ind w:left="140"/>
              <w:spacing w:after="0" w:line="236" w:lineRule="exact"/>
              <w:rPr>
                <w:sz w:val="20"/>
                <w:szCs w:val="20"/>
                <w:color w:val="auto"/>
              </w:rPr>
            </w:pPr>
            <w:r>
              <w:rPr>
                <w:rFonts w:ascii="Times New Roman" w:cs="Times New Roman" w:eastAsia="Times New Roman" w:hAnsi="Times New Roman"/>
                <w:sz w:val="17"/>
                <w:szCs w:val="17"/>
                <w:color w:val="auto"/>
              </w:rPr>
              <w:t>ZigBee wireless</w:t>
            </w:r>
            <w:r>
              <w:rPr>
                <w:rFonts w:ascii="Times New Roman" w:cs="Times New Roman" w:eastAsia="Times New Roman" w:hAnsi="Times New Roman"/>
                <w:sz w:val="21"/>
                <w:szCs w:val="21"/>
                <w:color w:val="auto"/>
                <w:vertAlign w:val="superscript"/>
              </w:rPr>
              <w:t>4</w:t>
            </w:r>
          </w:p>
        </w:tc>
        <w:tc>
          <w:tcPr>
            <w:tcW w:w="16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r>
      <w:tr>
        <w:trPr>
          <w:trHeight w:val="22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RGM-ZGB-01</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ZigBee USB stick for Enphase Envoy communication with RGM</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1 Box x 4 Units</w:t>
            </w:r>
          </w:p>
        </w:tc>
      </w:tr>
      <w:tr>
        <w:trPr>
          <w:trHeight w:val="231"/>
        </w:trPr>
        <w:tc>
          <w:tcPr>
            <w:tcW w:w="2300" w:type="dxa"/>
            <w:vAlign w:val="bottom"/>
            <w:tcBorders>
              <w:left w:val="single" w:sz="8" w:color="auto"/>
              <w:bottom w:val="single" w:sz="8" w:color="auto"/>
              <w:right w:val="single" w:sz="8" w:color="auto"/>
            </w:tcBorders>
            <w:shd w:val="clear" w:color="auto" w:fill="FDE9D9"/>
          </w:tcPr>
          <w:p>
            <w:pPr>
              <w:ind w:left="20"/>
              <w:spacing w:after="0"/>
              <w:rPr>
                <w:sz w:val="20"/>
                <w:szCs w:val="20"/>
                <w:color w:val="auto"/>
              </w:rPr>
            </w:pPr>
            <w:r>
              <w:rPr>
                <w:rFonts w:ascii="Times New Roman" w:cs="Times New Roman" w:eastAsia="Times New Roman" w:hAnsi="Times New Roman"/>
                <w:sz w:val="17"/>
                <w:szCs w:val="17"/>
                <w:b w:val="1"/>
                <w:bCs w:val="1"/>
                <w:color w:val="auto"/>
              </w:rPr>
              <w:t>Service Fee for Enlighten</w:t>
            </w:r>
          </w:p>
        </w:tc>
        <w:tc>
          <w:tcPr>
            <w:tcW w:w="5840" w:type="dxa"/>
            <w:vAlign w:val="bottom"/>
            <w:tcBorders>
              <w:bottom w:val="single" w:sz="8" w:color="auto"/>
              <w:right w:val="single" w:sz="8" w:color="auto"/>
            </w:tcBorders>
            <w:shd w:val="clear" w:color="auto" w:fill="FDE9D9"/>
          </w:tcPr>
          <w:p>
            <w:pPr>
              <w:spacing w:after="0"/>
              <w:rPr>
                <w:sz w:val="20"/>
                <w:szCs w:val="20"/>
                <w:color w:val="auto"/>
              </w:rPr>
            </w:pPr>
          </w:p>
        </w:tc>
        <w:tc>
          <w:tcPr>
            <w:tcW w:w="1600" w:type="dxa"/>
            <w:vAlign w:val="bottom"/>
            <w:tcBorders>
              <w:bottom w:val="single" w:sz="8" w:color="auto"/>
              <w:right w:val="single" w:sz="8" w:color="auto"/>
            </w:tcBorders>
            <w:shd w:val="clear" w:color="auto" w:fill="FDE9D9"/>
          </w:tcPr>
          <w:p>
            <w:pPr>
              <w:spacing w:after="0"/>
              <w:rPr>
                <w:sz w:val="20"/>
                <w:szCs w:val="20"/>
                <w:color w:val="auto"/>
              </w:rPr>
            </w:pPr>
          </w:p>
        </w:tc>
        <w:tc>
          <w:tcPr>
            <w:tcW w:w="200" w:type="dxa"/>
            <w:vAlign w:val="bottom"/>
            <w:tcBorders>
              <w:bottom w:val="single" w:sz="8" w:color="auto"/>
            </w:tcBorders>
            <w:shd w:val="clear" w:color="auto" w:fill="FDE9D9"/>
          </w:tcPr>
          <w:p>
            <w:pPr>
              <w:spacing w:after="0"/>
              <w:rPr>
                <w:sz w:val="20"/>
                <w:szCs w:val="20"/>
                <w:color w:val="auto"/>
              </w:rPr>
            </w:pPr>
          </w:p>
        </w:tc>
        <w:tc>
          <w:tcPr>
            <w:tcW w:w="1520" w:type="dxa"/>
            <w:vAlign w:val="bottom"/>
            <w:tcBorders>
              <w:bottom w:val="single" w:sz="8" w:color="auto"/>
              <w:right w:val="single" w:sz="8" w:color="auto"/>
            </w:tcBorders>
            <w:shd w:val="clear" w:color="auto" w:fill="FDE9D9"/>
          </w:tcPr>
          <w:p>
            <w:pPr>
              <w:spacing w:after="0"/>
              <w:rPr>
                <w:sz w:val="20"/>
                <w:szCs w:val="20"/>
                <w:color w:val="auto"/>
              </w:rPr>
            </w:pPr>
          </w:p>
        </w:tc>
      </w:tr>
      <w:tr>
        <w:trPr>
          <w:trHeight w:val="240"/>
        </w:trPr>
        <w:tc>
          <w:tcPr>
            <w:tcW w:w="2300" w:type="dxa"/>
            <w:vAlign w:val="bottom"/>
            <w:tcBorders>
              <w:left w:val="single" w:sz="8" w:color="auto"/>
              <w:bottom w:val="single" w:sz="8" w:color="auto"/>
              <w:right w:val="single" w:sz="8" w:color="auto"/>
            </w:tcBorders>
          </w:tcPr>
          <w:p>
            <w:pPr>
              <w:spacing w:after="0"/>
              <w:rPr>
                <w:sz w:val="20"/>
                <w:szCs w:val="20"/>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Per Envoy per year for [***] years</w:t>
            </w:r>
          </w:p>
        </w:tc>
        <w:tc>
          <w:tcPr>
            <w:tcW w:w="1600" w:type="dxa"/>
            <w:vAlign w:val="bottom"/>
            <w:tcBorders>
              <w:bottom w:val="single" w:sz="8" w:color="auto"/>
              <w:right w:val="single" w:sz="8" w:color="auto"/>
            </w:tcBorders>
          </w:tcPr>
          <w:p>
            <w:pPr>
              <w:ind w:left="140"/>
              <w:spacing w:after="0" w:line="24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vertAlign w:val="superscript"/>
              </w:rPr>
              <w:t>5</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r>
      <w:tr>
        <w:trPr>
          <w:trHeight w:val="223"/>
        </w:trPr>
        <w:tc>
          <w:tcPr>
            <w:tcW w:w="2300" w:type="dxa"/>
            <w:vAlign w:val="bottom"/>
            <w:tcBorders>
              <w:left w:val="single" w:sz="8" w:color="auto"/>
              <w:bottom w:val="single" w:sz="8" w:color="auto"/>
              <w:right w:val="single" w:sz="8" w:color="auto"/>
            </w:tcBorders>
            <w:shd w:val="clear" w:color="auto" w:fill="FDE9D9"/>
          </w:tcPr>
          <w:p>
            <w:pPr>
              <w:ind w:left="20"/>
              <w:spacing w:after="0"/>
              <w:rPr>
                <w:sz w:val="20"/>
                <w:szCs w:val="20"/>
                <w:color w:val="auto"/>
              </w:rPr>
            </w:pPr>
            <w:r>
              <w:rPr>
                <w:rFonts w:ascii="Times New Roman" w:cs="Times New Roman" w:eastAsia="Times New Roman" w:hAnsi="Times New Roman"/>
                <w:sz w:val="17"/>
                <w:szCs w:val="17"/>
                <w:b w:val="1"/>
                <w:bCs w:val="1"/>
                <w:color w:val="auto"/>
              </w:rPr>
              <w:t>Cables</w:t>
            </w:r>
          </w:p>
        </w:tc>
        <w:tc>
          <w:tcPr>
            <w:tcW w:w="5840" w:type="dxa"/>
            <w:vAlign w:val="bottom"/>
            <w:tcBorders>
              <w:bottom w:val="single" w:sz="8" w:color="auto"/>
              <w:right w:val="single" w:sz="8" w:color="auto"/>
            </w:tcBorders>
            <w:shd w:val="clear" w:color="auto" w:fill="FDE9D9"/>
          </w:tcPr>
          <w:p>
            <w:pPr>
              <w:spacing w:after="0"/>
              <w:rPr>
                <w:sz w:val="19"/>
                <w:szCs w:val="19"/>
                <w:color w:val="auto"/>
              </w:rPr>
            </w:pPr>
          </w:p>
        </w:tc>
        <w:tc>
          <w:tcPr>
            <w:tcW w:w="1600" w:type="dxa"/>
            <w:vAlign w:val="bottom"/>
            <w:tcBorders>
              <w:bottom w:val="single" w:sz="8" w:color="auto"/>
              <w:right w:val="single" w:sz="8" w:color="auto"/>
            </w:tcBorders>
            <w:shd w:val="clear" w:color="auto" w:fill="FDE9D9"/>
          </w:tcPr>
          <w:p>
            <w:pPr>
              <w:spacing w:after="0"/>
              <w:rPr>
                <w:sz w:val="19"/>
                <w:szCs w:val="19"/>
                <w:color w:val="auto"/>
              </w:rPr>
            </w:pPr>
          </w:p>
        </w:tc>
        <w:tc>
          <w:tcPr>
            <w:tcW w:w="200" w:type="dxa"/>
            <w:vAlign w:val="bottom"/>
            <w:tcBorders>
              <w:bottom w:val="single" w:sz="8" w:color="auto"/>
            </w:tcBorders>
            <w:shd w:val="clear" w:color="auto" w:fill="FDE9D9"/>
          </w:tcPr>
          <w:p>
            <w:pPr>
              <w:spacing w:after="0"/>
              <w:rPr>
                <w:sz w:val="19"/>
                <w:szCs w:val="19"/>
                <w:color w:val="auto"/>
              </w:rPr>
            </w:pPr>
          </w:p>
        </w:tc>
        <w:tc>
          <w:tcPr>
            <w:tcW w:w="1520" w:type="dxa"/>
            <w:vAlign w:val="bottom"/>
            <w:tcBorders>
              <w:bottom w:val="single" w:sz="8" w:color="auto"/>
              <w:right w:val="single" w:sz="8" w:color="auto"/>
            </w:tcBorders>
            <w:shd w:val="clear" w:color="auto" w:fill="FDE9D9"/>
          </w:tcPr>
          <w:p>
            <w:pPr>
              <w:spacing w:after="0"/>
              <w:rPr>
                <w:sz w:val="19"/>
                <w:szCs w:val="19"/>
                <w:color w:val="auto"/>
              </w:rPr>
            </w:pPr>
          </w:p>
        </w:tc>
      </w:tr>
      <w:tr>
        <w:trPr>
          <w:trHeight w:val="198"/>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ET10-240-BULK</w:t>
            </w: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240VAC Trunk Cable, 240 Connectors, Portrait</w:t>
            </w:r>
          </w:p>
        </w:tc>
        <w:tc>
          <w:tcPr>
            <w:tcW w:w="1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(240</w:t>
            </w:r>
          </w:p>
        </w:tc>
      </w:tr>
      <w:tr>
        <w:trPr>
          <w:trHeight w:val="227"/>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584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Connectors)</w:t>
            </w:r>
          </w:p>
        </w:tc>
      </w:tr>
      <w:tr>
        <w:trPr>
          <w:trHeight w:val="198"/>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ET17-240-BULK</w:t>
            </w:r>
          </w:p>
        </w:tc>
        <w:tc>
          <w:tcPr>
            <w:tcW w:w="5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240VAC Trunk Cable, 240 Connectors, Landscape</w:t>
            </w:r>
          </w:p>
        </w:tc>
        <w:tc>
          <w:tcPr>
            <w:tcW w:w="1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(240</w:t>
            </w:r>
          </w:p>
        </w:tc>
      </w:tr>
      <w:tr>
        <w:trPr>
          <w:trHeight w:val="226"/>
        </w:trPr>
        <w:tc>
          <w:tcPr>
            <w:tcW w:w="2300" w:type="dxa"/>
            <w:vAlign w:val="bottom"/>
            <w:tcBorders>
              <w:left w:val="single" w:sz="8" w:color="auto"/>
              <w:right w:val="single" w:sz="8" w:color="auto"/>
            </w:tcBorders>
          </w:tcPr>
          <w:p>
            <w:pPr>
              <w:spacing w:after="0"/>
              <w:rPr>
                <w:sz w:val="19"/>
                <w:szCs w:val="19"/>
                <w:color w:val="auto"/>
              </w:rPr>
            </w:pPr>
          </w:p>
        </w:tc>
        <w:tc>
          <w:tcPr>
            <w:tcW w:w="584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Connectors)</w:t>
            </w:r>
          </w:p>
        </w:tc>
      </w:tr>
      <w:tr>
        <w:trPr>
          <w:trHeight w:val="241"/>
        </w:trPr>
        <w:tc>
          <w:tcPr>
            <w:tcW w:w="2300" w:type="dxa"/>
            <w:vAlign w:val="bottom"/>
            <w:tcBorders>
              <w:left w:val="single" w:sz="8" w:color="auto"/>
              <w:bottom w:val="single" w:sz="8" w:color="auto"/>
              <w:right w:val="single" w:sz="8" w:color="auto"/>
            </w:tcBorders>
            <w:shd w:val="clear" w:color="auto" w:fill="FDE9D9"/>
          </w:tcPr>
          <w:p>
            <w:pPr>
              <w:ind w:left="20"/>
              <w:spacing w:after="0"/>
              <w:rPr>
                <w:sz w:val="20"/>
                <w:szCs w:val="20"/>
                <w:color w:val="auto"/>
              </w:rPr>
            </w:pPr>
            <w:r>
              <w:rPr>
                <w:rFonts w:ascii="Times New Roman" w:cs="Times New Roman" w:eastAsia="Times New Roman" w:hAnsi="Times New Roman"/>
                <w:sz w:val="17"/>
                <w:szCs w:val="17"/>
                <w:b w:val="1"/>
                <w:bCs w:val="1"/>
                <w:color w:val="auto"/>
              </w:rPr>
              <w:t>Cables</w:t>
            </w:r>
          </w:p>
        </w:tc>
        <w:tc>
          <w:tcPr>
            <w:tcW w:w="5840" w:type="dxa"/>
            <w:vAlign w:val="bottom"/>
            <w:tcBorders>
              <w:bottom w:val="single" w:sz="8" w:color="auto"/>
              <w:right w:val="single" w:sz="8" w:color="auto"/>
            </w:tcBorders>
            <w:shd w:val="clear" w:color="auto" w:fill="FDE9D9"/>
          </w:tcPr>
          <w:p>
            <w:pPr>
              <w:spacing w:after="0"/>
              <w:rPr>
                <w:sz w:val="20"/>
                <w:szCs w:val="20"/>
                <w:color w:val="auto"/>
              </w:rPr>
            </w:pPr>
          </w:p>
        </w:tc>
        <w:tc>
          <w:tcPr>
            <w:tcW w:w="1600" w:type="dxa"/>
            <w:vAlign w:val="bottom"/>
            <w:tcBorders>
              <w:bottom w:val="single" w:sz="8" w:color="auto"/>
              <w:right w:val="single" w:sz="8" w:color="auto"/>
            </w:tcBorders>
            <w:shd w:val="clear" w:color="auto" w:fill="FDE9D9"/>
          </w:tcPr>
          <w:p>
            <w:pPr>
              <w:spacing w:after="0"/>
              <w:rPr>
                <w:sz w:val="20"/>
                <w:szCs w:val="20"/>
                <w:color w:val="auto"/>
              </w:rPr>
            </w:pPr>
          </w:p>
        </w:tc>
        <w:tc>
          <w:tcPr>
            <w:tcW w:w="200" w:type="dxa"/>
            <w:vAlign w:val="bottom"/>
            <w:tcBorders>
              <w:bottom w:val="single" w:sz="8" w:color="auto"/>
            </w:tcBorders>
            <w:shd w:val="clear" w:color="auto" w:fill="FDE9D9"/>
          </w:tcPr>
          <w:p>
            <w:pPr>
              <w:spacing w:after="0"/>
              <w:rPr>
                <w:sz w:val="20"/>
                <w:szCs w:val="20"/>
                <w:color w:val="auto"/>
              </w:rPr>
            </w:pPr>
          </w:p>
        </w:tc>
        <w:tc>
          <w:tcPr>
            <w:tcW w:w="1520" w:type="dxa"/>
            <w:vAlign w:val="bottom"/>
            <w:tcBorders>
              <w:bottom w:val="single" w:sz="8" w:color="auto"/>
              <w:right w:val="single" w:sz="8" w:color="auto"/>
            </w:tcBorders>
            <w:shd w:val="clear" w:color="auto" w:fill="FDE9D9"/>
          </w:tcPr>
          <w:p>
            <w:pPr>
              <w:spacing w:after="0"/>
              <w:rPr>
                <w:sz w:val="20"/>
                <w:szCs w:val="20"/>
                <w:color w:val="auto"/>
              </w:rPr>
            </w:pPr>
          </w:p>
        </w:tc>
      </w:tr>
      <w:tr>
        <w:trPr>
          <w:trHeight w:val="231"/>
        </w:trPr>
        <w:tc>
          <w:tcPr>
            <w:tcW w:w="2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ET-TERM-10</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Branch Terminator - (QTY 10 Units/Bag)</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x 10 Bags</w:t>
            </w:r>
          </w:p>
        </w:tc>
      </w:tr>
      <w:tr>
        <w:trPr>
          <w:trHeight w:val="231"/>
        </w:trPr>
        <w:tc>
          <w:tcPr>
            <w:tcW w:w="2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ET-DISC-05</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Table Disconnect Tool - (QTY 5 Units/Bag)</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x 20 Bags</w:t>
            </w:r>
          </w:p>
        </w:tc>
      </w:tr>
      <w:tr>
        <w:trPr>
          <w:trHeight w:val="231"/>
        </w:trPr>
        <w:tc>
          <w:tcPr>
            <w:tcW w:w="2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ET-SEAL-10</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Sealing Cap - (QTY 10 Units/Bag)</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x 10 Bags</w:t>
            </w:r>
          </w:p>
        </w:tc>
      </w:tr>
      <w:tr>
        <w:trPr>
          <w:trHeight w:val="231"/>
        </w:trPr>
        <w:tc>
          <w:tcPr>
            <w:tcW w:w="2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ET-SPLK-05</w:t>
            </w:r>
          </w:p>
        </w:tc>
        <w:tc>
          <w:tcPr>
            <w:tcW w:w="5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Engage Coupled - (QTY 5 Units/Bag)</w:t>
            </w:r>
          </w:p>
        </w:tc>
        <w:tc>
          <w:tcPr>
            <w:tcW w:w="1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Box x 5 Bags</w:t>
            </w:r>
          </w:p>
        </w:tc>
      </w:tr>
    </w:tbl>
    <w:p>
      <w:pPr>
        <w:spacing w:after="0" w:line="127" w:lineRule="exact"/>
        <w:rPr>
          <w:sz w:val="20"/>
          <w:szCs w:val="20"/>
          <w:color w:val="auto"/>
        </w:rPr>
      </w:pPr>
    </w:p>
    <w:p>
      <w:pPr>
        <w:ind w:left="1209" w:hanging="283"/>
        <w:spacing w:after="0"/>
        <w:tabs>
          <w:tab w:leader="none" w:pos="120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integrated ground.</w:t>
      </w:r>
    </w:p>
    <w:p>
      <w:pPr>
        <w:spacing w:after="0" w:line="56" w:lineRule="exact"/>
        <w:rPr>
          <w:rFonts w:ascii="Times New Roman" w:cs="Times New Roman" w:eastAsia="Times New Roman" w:hAnsi="Times New Roman"/>
          <w:sz w:val="14"/>
          <w:szCs w:val="14"/>
          <w:color w:val="auto"/>
        </w:rPr>
      </w:pPr>
    </w:p>
    <w:p>
      <w:pPr>
        <w:ind w:left="1209" w:hanging="283"/>
        <w:spacing w:after="0"/>
        <w:tabs>
          <w:tab w:leader="none" w:pos="120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integrated ground.</w:t>
      </w:r>
    </w:p>
    <w:p>
      <w:pPr>
        <w:spacing w:after="0" w:line="56" w:lineRule="exact"/>
        <w:rPr>
          <w:rFonts w:ascii="Times New Roman" w:cs="Times New Roman" w:eastAsia="Times New Roman" w:hAnsi="Times New Roman"/>
          <w:sz w:val="14"/>
          <w:szCs w:val="14"/>
          <w:color w:val="auto"/>
        </w:rPr>
      </w:pPr>
    </w:p>
    <w:p>
      <w:pPr>
        <w:ind w:left="1209" w:hanging="283"/>
        <w:spacing w:after="0"/>
        <w:tabs>
          <w:tab w:leader="none" w:pos="120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will provide the Envoy Communications Gateway to Buyer [***].</w:t>
      </w:r>
    </w:p>
    <w:p>
      <w:pPr>
        <w:spacing w:after="0" w:line="56" w:lineRule="exact"/>
        <w:rPr>
          <w:rFonts w:ascii="Times New Roman" w:cs="Times New Roman" w:eastAsia="Times New Roman" w:hAnsi="Times New Roman"/>
          <w:sz w:val="14"/>
          <w:szCs w:val="14"/>
          <w:color w:val="auto"/>
        </w:rPr>
      </w:pPr>
    </w:p>
    <w:p>
      <w:pPr>
        <w:ind w:left="1209" w:hanging="283"/>
        <w:spacing w:after="0"/>
        <w:tabs>
          <w:tab w:leader="none" w:pos="120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will sell to Buyer [***] RGMs at [***].</w:t>
      </w:r>
    </w:p>
    <w:p>
      <w:pPr>
        <w:spacing w:after="0" w:line="56" w:lineRule="exact"/>
        <w:rPr>
          <w:rFonts w:ascii="Times New Roman" w:cs="Times New Roman" w:eastAsia="Times New Roman" w:hAnsi="Times New Roman"/>
          <w:sz w:val="14"/>
          <w:szCs w:val="14"/>
          <w:color w:val="auto"/>
        </w:rPr>
      </w:pPr>
    </w:p>
    <w:p>
      <w:pPr>
        <w:ind w:left="1169" w:right="420" w:hanging="243"/>
        <w:spacing w:after="0" w:line="259" w:lineRule="auto"/>
        <w:tabs>
          <w:tab w:leader="none" w:pos="116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System incorporating an Envoy Communications Gateway, Seller will provide to Buyer access to Enlighten, a non-cancellable, non-refundable service provided by Seller. For the Enlighten service, Buyer will pay to Seller [***] per System per year for [***] even if Buyer discontinues use of the Enlighten service. The Enlighten service will commence upon activation of an Envoy and continue for the life of the Envoy. Buyer will have access to Enlighten and Enlighten API for the life of the Envoy, provided that the Envoy is connected to the Internet. Seller will send an invoice to Buyer each year on the anniversary of the date each System was activated with the Enlighten service. For example, for all Envoys delivered to Buyer during the month of [***], Seller will send an invoice to Buyer at the [***]. Seller shall deliver such invoices for the foregoing Enlighten service fees separate from any other invoice delivered to Buyer.</w:t>
      </w:r>
    </w:p>
    <w:p>
      <w:pPr>
        <w:spacing w:after="0" w:line="191"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Exhibit A</w:t>
      </w:r>
    </w:p>
    <w:p>
      <w:pPr>
        <w:jc w:val="right"/>
        <w:spacing w:after="0" w:line="206" w:lineRule="auto"/>
        <w:rPr>
          <w:sz w:val="20"/>
          <w:szCs w:val="20"/>
          <w:color w:val="auto"/>
        </w:rPr>
      </w:pPr>
      <w:r>
        <w:rPr>
          <w:rFonts w:ascii="Times New Roman" w:cs="Times New Roman" w:eastAsia="Times New Roman" w:hAnsi="Times New Roman"/>
          <w:sz w:val="15"/>
          <w:szCs w:val="15"/>
          <w:i w:val="1"/>
          <w:iCs w:val="1"/>
          <w:color w:val="auto"/>
        </w:rPr>
        <w:t>(Enphase</w:t>
      </w:r>
    </w:p>
    <w:p>
      <w:pPr>
        <w:ind w:left="9"/>
        <w:spacing w:after="0"/>
        <w:rPr>
          <w:sz w:val="20"/>
          <w:szCs w:val="20"/>
          <w:color w:val="auto"/>
        </w:rPr>
      </w:pPr>
      <w:r>
        <w:rPr>
          <w:rFonts w:ascii="Times New Roman" w:cs="Times New Roman" w:eastAsia="Times New Roman" w:hAnsi="Times New Roman"/>
          <w:sz w:val="15"/>
          <w:szCs w:val="15"/>
          <w:i w:val="1"/>
          <w:iCs w:val="1"/>
          <w:color w:val="auto"/>
        </w:rPr>
        <w:t>– Vivint Solar)</w:t>
      </w:r>
    </w:p>
    <w:p>
      <w:pPr>
        <w:spacing w:after="0" w:line="63" w:lineRule="exact"/>
        <w:rPr>
          <w:sz w:val="20"/>
          <w:szCs w:val="20"/>
          <w:color w:val="auto"/>
        </w:rPr>
      </w:pPr>
    </w:p>
    <w:p>
      <w:pPr>
        <w:ind w:left="9" w:right="180" w:hanging="9"/>
        <w:spacing w:after="0" w:line="289" w:lineRule="auto"/>
        <w:tabs>
          <w:tab w:leader="none" w:pos="37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529"/>
          </w:cols>
          <w:pgMar w:left="231" w:top="547" w:right="139" w:bottom="1440" w:gutter="0" w:footer="0" w:header="0"/>
        </w:sectPr>
      </w:pPr>
    </w:p>
    <w:bookmarkStart w:id="69" w:name="page70"/>
    <w:bookmarkEnd w:id="69"/>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LIMITED ENVOY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132080</wp:posOffset>
            </wp:positionV>
            <wp:extent cx="5657215" cy="442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215"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240" w:right="300"/>
        <w:spacing w:after="0" w:line="230" w:lineRule="auto"/>
        <w:rPr>
          <w:sz w:val="20"/>
          <w:szCs w:val="20"/>
          <w:color w:val="auto"/>
        </w:rPr>
      </w:pPr>
      <w:r>
        <w:rPr>
          <w:rFonts w:ascii="Times New Roman" w:cs="Times New Roman" w:eastAsia="Times New Roman" w:hAnsi="Times New Roman"/>
          <w:sz w:val="18"/>
          <w:szCs w:val="18"/>
          <w:b w:val="1"/>
          <w:bCs w:val="1"/>
          <w:u w:val="single" w:color="auto"/>
          <w:color w:val="auto"/>
        </w:rPr>
        <w:t>ENPHASE ENERGY ENVOY</w:t>
      </w:r>
      <w:r>
        <w:rPr>
          <w:rFonts w:ascii="Times New Roman" w:cs="Times New Roman" w:eastAsia="Times New Roman" w:hAnsi="Times New Roman"/>
          <w:sz w:val="24"/>
          <w:szCs w:val="24"/>
          <w:b w:val="1"/>
          <w:bCs w:val="1"/>
          <w:u w:val="single" w:color="auto"/>
          <w:color w:val="auto"/>
          <w:vertAlign w:val="superscript"/>
        </w:rPr>
        <w:t>TM</w:t>
      </w:r>
      <w:r>
        <w:rPr>
          <w:rFonts w:ascii="Times New Roman" w:cs="Times New Roman" w:eastAsia="Times New Roman" w:hAnsi="Times New Roman"/>
          <w:sz w:val="18"/>
          <w:szCs w:val="18"/>
          <w:b w:val="1"/>
          <w:bCs w:val="1"/>
          <w:u w:val="single" w:color="auto"/>
          <w:color w:val="auto"/>
        </w:rPr>
        <w:t xml:space="preserve"> COMMUNICATIONS GATEWAY [***] LIMITED WARRANTY – FOR INSTALLATIONS IN NORTH AMERICA</w:t>
      </w:r>
    </w:p>
    <w:p>
      <w:pPr>
        <w:spacing w:after="0" w:line="153" w:lineRule="exact"/>
        <w:rPr>
          <w:sz w:val="20"/>
          <w:szCs w:val="20"/>
          <w:color w:val="auto"/>
        </w:rPr>
      </w:pPr>
    </w:p>
    <w:p>
      <w:pPr>
        <w:jc w:val="both"/>
        <w:ind w:left="9"/>
        <w:spacing w:after="0" w:line="243" w:lineRule="auto"/>
        <w:rPr>
          <w:sz w:val="20"/>
          <w:szCs w:val="20"/>
          <w:color w:val="auto"/>
        </w:rPr>
      </w:pPr>
      <w:r>
        <w:rPr>
          <w:rFonts w:ascii="Times New Roman" w:cs="Times New Roman" w:eastAsia="Times New Roman" w:hAnsi="Times New Roman"/>
          <w:sz w:val="17"/>
          <w:szCs w:val="17"/>
          <w:color w:val="auto"/>
        </w:rPr>
        <w:t>Enphase Energy, Inc. (“</w:t>
      </w:r>
      <w:r>
        <w:rPr>
          <w:rFonts w:ascii="Times New Roman" w:cs="Times New Roman" w:eastAsia="Times New Roman" w:hAnsi="Times New Roman"/>
          <w:sz w:val="17"/>
          <w:szCs w:val="17"/>
          <w:b w:val="1"/>
          <w:bCs w:val="1"/>
          <w:i w:val="1"/>
          <w:iCs w:val="1"/>
          <w:color w:val="auto"/>
        </w:rPr>
        <w:t>Enphase</w:t>
      </w:r>
      <w:r>
        <w:rPr>
          <w:rFonts w:ascii="Times New Roman" w:cs="Times New Roman" w:eastAsia="Times New Roman" w:hAnsi="Times New Roman"/>
          <w:sz w:val="17"/>
          <w:szCs w:val="17"/>
          <w:color w:val="auto"/>
        </w:rPr>
        <w:t>”) has developed a highly reliable Envoy Communications Gateway (“</w:t>
      </w:r>
      <w:r>
        <w:rPr>
          <w:rFonts w:ascii="Times New Roman" w:cs="Times New Roman" w:eastAsia="Times New Roman" w:hAnsi="Times New Roman"/>
          <w:sz w:val="17"/>
          <w:szCs w:val="17"/>
          <w:b w:val="1"/>
          <w:bCs w:val="1"/>
          <w:i w:val="1"/>
          <w:iCs w:val="1"/>
          <w:color w:val="auto"/>
        </w:rPr>
        <w:t>Envoy</w:t>
      </w:r>
      <w:r>
        <w:rPr>
          <w:rFonts w:ascii="Times New Roman" w:cs="Times New Roman" w:eastAsia="Times New Roman" w:hAnsi="Times New Roman"/>
          <w:sz w:val="17"/>
          <w:szCs w:val="17"/>
          <w:color w:val="auto"/>
        </w:rPr>
        <w:t>”) that is designed to withstand normal operating conditions when used for its originally intended purpose in compliance with the Enphase User Manual made available with the originally shipped system. Enphase hereby represents and warrants that all Envoys shall be free of defects in workmanship, materials and design, shall meet the applicable Specification, shall comply with all applicable Laws, and shall be fit for its intended purpose (“</w:t>
      </w:r>
      <w:r>
        <w:rPr>
          <w:rFonts w:ascii="Times New Roman" w:cs="Times New Roman" w:eastAsia="Times New Roman" w:hAnsi="Times New Roman"/>
          <w:sz w:val="17"/>
          <w:szCs w:val="17"/>
          <w:b w:val="1"/>
          <w:bCs w:val="1"/>
          <w:i w:val="1"/>
          <w:iCs w:val="1"/>
          <w:color w:val="auto"/>
        </w:rPr>
        <w:t>Limited Envoy Warranty</w:t>
      </w:r>
      <w:r>
        <w:rPr>
          <w:rFonts w:ascii="Times New Roman" w:cs="Times New Roman" w:eastAsia="Times New Roman" w:hAnsi="Times New Roman"/>
          <w:sz w:val="17"/>
          <w:szCs w:val="17"/>
          <w:color w:val="auto"/>
        </w:rPr>
        <w:t>”). The Limited Envoy Warranty covers any failure of an Envoy that is defective or otherwise does not conform to the Limited Envoy Warranty (“</w:t>
      </w:r>
      <w:r>
        <w:rPr>
          <w:rFonts w:ascii="Times New Roman" w:cs="Times New Roman" w:eastAsia="Times New Roman" w:hAnsi="Times New Roman"/>
          <w:sz w:val="17"/>
          <w:szCs w:val="17"/>
          <w:b w:val="1"/>
          <w:bCs w:val="1"/>
          <w:i w:val="1"/>
          <w:iCs w:val="1"/>
          <w:color w:val="auto"/>
        </w:rPr>
        <w:t>Defective Product</w:t>
      </w:r>
      <w:r>
        <w:rPr>
          <w:rFonts w:ascii="Times New Roman" w:cs="Times New Roman" w:eastAsia="Times New Roman" w:hAnsi="Times New Roman"/>
          <w:sz w:val="17"/>
          <w:szCs w:val="17"/>
          <w:color w:val="auto"/>
        </w:rPr>
        <w:t>”) for a period of [***] ([***]) years from the date of original purchase of such Envoy at point of sale to system owner (the “</w:t>
      </w:r>
      <w:r>
        <w:rPr>
          <w:rFonts w:ascii="Times New Roman" w:cs="Times New Roman" w:eastAsia="Times New Roman" w:hAnsi="Times New Roman"/>
          <w:sz w:val="17"/>
          <w:szCs w:val="17"/>
          <w:b w:val="1"/>
          <w:bCs w:val="1"/>
          <w:i w:val="1"/>
          <w:iCs w:val="1"/>
          <w:color w:val="auto"/>
        </w:rPr>
        <w:t>Warranty Holder</w:t>
      </w:r>
      <w:r>
        <w:rPr>
          <w:rFonts w:ascii="Times New Roman" w:cs="Times New Roman" w:eastAsia="Times New Roman" w:hAnsi="Times New Roman"/>
          <w:sz w:val="17"/>
          <w:szCs w:val="17"/>
          <w:color w:val="auto"/>
        </w:rPr>
        <w:t>”) at the originally-installed end user location (the “</w:t>
      </w:r>
      <w:r>
        <w:rPr>
          <w:rFonts w:ascii="Times New Roman" w:cs="Times New Roman" w:eastAsia="Times New Roman" w:hAnsi="Times New Roman"/>
          <w:sz w:val="17"/>
          <w:szCs w:val="17"/>
          <w:b w:val="1"/>
          <w:bCs w:val="1"/>
          <w:i w:val="1"/>
          <w:iCs w:val="1"/>
          <w:color w:val="auto"/>
        </w:rPr>
        <w:t>Warranty Period</w:t>
      </w:r>
      <w:r>
        <w:rPr>
          <w:rFonts w:ascii="Times New Roman" w:cs="Times New Roman" w:eastAsia="Times New Roman" w:hAnsi="Times New Roman"/>
          <w:sz w:val="17"/>
          <w:szCs w:val="17"/>
          <w:color w:val="auto"/>
        </w:rPr>
        <w:t>”) in locations where we have approved our Envoy for installation as listed on our website at http://www.enphase.com/warranty.</w:t>
      </w:r>
    </w:p>
    <w:p>
      <w:pPr>
        <w:spacing w:after="0" w:line="157" w:lineRule="exact"/>
        <w:rPr>
          <w:sz w:val="20"/>
          <w:szCs w:val="20"/>
          <w:color w:val="auto"/>
        </w:rPr>
      </w:pPr>
    </w:p>
    <w:p>
      <w:pPr>
        <w:jc w:val="both"/>
        <w:ind w:left="9" w:right="20"/>
        <w:spacing w:after="0" w:line="269" w:lineRule="auto"/>
        <w:rPr>
          <w:sz w:val="20"/>
          <w:szCs w:val="20"/>
          <w:color w:val="auto"/>
        </w:rPr>
      </w:pPr>
      <w:r>
        <w:rPr>
          <w:rFonts w:ascii="Times New Roman" w:cs="Times New Roman" w:eastAsia="Times New Roman" w:hAnsi="Times New Roman"/>
          <w:sz w:val="17"/>
          <w:szCs w:val="17"/>
          <w:color w:val="auto"/>
        </w:rPr>
        <w:t>During the Warranty Period, the Limited Envoy Warranty is transferable to a different owner (“</w:t>
      </w:r>
      <w:r>
        <w:rPr>
          <w:rFonts w:ascii="Times New Roman" w:cs="Times New Roman" w:eastAsia="Times New Roman" w:hAnsi="Times New Roman"/>
          <w:sz w:val="17"/>
          <w:szCs w:val="17"/>
          <w:b w:val="1"/>
          <w:bCs w:val="1"/>
          <w:i w:val="1"/>
          <w:iCs w:val="1"/>
          <w:color w:val="auto"/>
        </w:rPr>
        <w:t>Transferee</w:t>
      </w:r>
      <w:r>
        <w:rPr>
          <w:rFonts w:ascii="Times New Roman" w:cs="Times New Roman" w:eastAsia="Times New Roman" w:hAnsi="Times New Roman"/>
          <w:sz w:val="17"/>
          <w:szCs w:val="17"/>
          <w:color w:val="auto"/>
        </w:rPr>
        <w:t>”) as long as the Envoy remains installed at the originally-installed end user location (“</w:t>
      </w:r>
      <w:r>
        <w:rPr>
          <w:rFonts w:ascii="Times New Roman" w:cs="Times New Roman" w:eastAsia="Times New Roman" w:hAnsi="Times New Roman"/>
          <w:sz w:val="17"/>
          <w:szCs w:val="17"/>
          <w:b w:val="1"/>
          <w:bCs w:val="1"/>
          <w:i w:val="1"/>
          <w:iCs w:val="1"/>
          <w:color w:val="auto"/>
        </w:rPr>
        <w:t>Original Location</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jc w:val="both"/>
        <w:ind w:left="9"/>
        <w:spacing w:after="0" w:line="251" w:lineRule="auto"/>
        <w:rPr>
          <w:sz w:val="20"/>
          <w:szCs w:val="20"/>
          <w:color w:val="auto"/>
        </w:rPr>
      </w:pPr>
      <w:r>
        <w:rPr>
          <w:rFonts w:ascii="Times New Roman" w:cs="Times New Roman" w:eastAsia="Times New Roman" w:hAnsi="Times New Roman"/>
          <w:sz w:val="17"/>
          <w:szCs w:val="17"/>
          <w:color w:val="auto"/>
        </w:rPr>
        <w:t>During the Warranty Period, if Enphase establishes, through inspection, the existence of a defect that is covered by the Limited Envoy Warranty, Enphase will, at its option, either (1) repair or replace the Defective Product free of charge, or (2) issue a credit or refund for the Defective Product to the Warranty Holder of the system in an amount up to its actual value at the time the Warranty Holder notifies Enphase of the defect, as determined by Enphase.</w:t>
      </w:r>
    </w:p>
    <w:p>
      <w:pPr>
        <w:spacing w:after="0" w:line="152" w:lineRule="exact"/>
        <w:rPr>
          <w:sz w:val="20"/>
          <w:szCs w:val="20"/>
          <w:color w:val="auto"/>
        </w:rPr>
      </w:pPr>
    </w:p>
    <w:p>
      <w:pPr>
        <w:jc w:val="both"/>
        <w:ind w:left="9"/>
        <w:spacing w:after="0" w:line="241" w:lineRule="auto"/>
        <w:rPr>
          <w:sz w:val="20"/>
          <w:szCs w:val="20"/>
          <w:color w:val="auto"/>
        </w:rPr>
      </w:pPr>
      <w:r>
        <w:rPr>
          <w:rFonts w:ascii="Times New Roman" w:cs="Times New Roman" w:eastAsia="Times New Roman" w:hAnsi="Times New Roman"/>
          <w:sz w:val="17"/>
          <w:szCs w:val="17"/>
          <w:color w:val="auto"/>
        </w:rPr>
        <w:t>If Enphase elects to repair or replace the Defective Product, Enphase will, at its option, use new and/or reconditioned parts in repairing or replacing the Defective Product. Enphase reserves the right to use parts or products of original or improved design in the repair or replacement of Defective Product. If Enphase repairs or replaces a Defective Product, the Limited Envoy Warranty continues on the repaired or replacement product for the remainder of the original Warranty Period or ninety (90) days from the date of Enphase’s return shipment of the repaired or replacement product, whichever is later. The Limited Envoy Warranty covers a replacement unit to replace the Defective Product, but does not include labor costs related to (1) un-installing the Defective Product or (2) if applicable, re-installing a repaired or replacement product. To the extent applicable, the Limited Envoy Warranty also covers the costs of returning the Defective Product via Enphase’s RMA policy and procedure described further below, as well as shipping a repaired or replacement product from Enphase, via a non-expedited freight carrier selected by Enphase, to locations specified by the Warranty Holder of the Defective Product. The Limited Envoy Warranty does not cover, and Enphase will not be responsible for, shipping damage or damage caused by mishandling by the freight carrier and any such damage is the responsibility of the freight carrier.</w:t>
      </w:r>
    </w:p>
    <w:p>
      <w:pPr>
        <w:spacing w:after="0" w:line="171" w:lineRule="exact"/>
        <w:rPr>
          <w:sz w:val="20"/>
          <w:szCs w:val="20"/>
          <w:color w:val="auto"/>
        </w:rPr>
      </w:pPr>
    </w:p>
    <w:p>
      <w:pPr>
        <w:ind w:left="3569"/>
        <w:spacing w:after="0"/>
        <w:tabs>
          <w:tab w:leader="none" w:pos="4308" w:val="left"/>
        </w:tabs>
        <w:rPr>
          <w:sz w:val="20"/>
          <w:szCs w:val="20"/>
          <w:color w:val="auto"/>
        </w:rPr>
      </w:pPr>
      <w:r>
        <w:rPr>
          <w:rFonts w:ascii="Times New Roman" w:cs="Times New Roman" w:eastAsia="Times New Roman" w:hAnsi="Times New Roman"/>
          <w:sz w:val="15"/>
          <w:szCs w:val="15"/>
          <w:color w:val="auto"/>
        </w:rPr>
        <w:t>Exhibit B</w:t>
        <w:tab/>
        <w:t>AMENDMENT NO. 1 TO SUPPLY AGREEMENT</w:t>
      </w:r>
    </w:p>
    <w:p>
      <w:pPr>
        <w:ind w:left="7129"/>
        <w:spacing w:after="0"/>
        <w:rPr>
          <w:sz w:val="20"/>
          <w:szCs w:val="20"/>
          <w:color w:val="auto"/>
        </w:rPr>
      </w:pPr>
      <w:r>
        <w:rPr>
          <w:rFonts w:ascii="Times New Roman" w:cs="Times New Roman" w:eastAsia="Times New Roman" w:hAnsi="Times New Roman"/>
          <w:sz w:val="15"/>
          <w:szCs w:val="15"/>
          <w:i w:val="1"/>
          <w:iCs w:val="1"/>
          <w:color w:val="auto"/>
        </w:rPr>
        <w:t>(Enphase – Vivint Solar)</w:t>
      </w:r>
    </w:p>
    <w:p>
      <w:pPr>
        <w:spacing w:after="0" w:line="63" w:lineRule="exact"/>
        <w:rPr>
          <w:sz w:val="20"/>
          <w:szCs w:val="20"/>
          <w:color w:val="auto"/>
        </w:rPr>
      </w:pPr>
    </w:p>
    <w:p>
      <w:pPr>
        <w:ind w:left="9" w:right="100" w:hanging="9"/>
        <w:spacing w:after="0" w:line="289" w:lineRule="auto"/>
        <w:tabs>
          <w:tab w:leader="none" w:pos="376"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9"/>
          </w:cols>
          <w:pgMar w:left="231" w:top="729" w:right="219" w:bottom="1440" w:gutter="0" w:footer="0" w:header="0"/>
        </w:sectPr>
      </w:pPr>
    </w:p>
    <w:bookmarkStart w:id="70" w:name="page71"/>
    <w:bookmarkEnd w:id="70"/>
    <w:p>
      <w:pPr>
        <w:jc w:val="both"/>
        <w:ind w:left="9"/>
        <w:spacing w:after="0" w:line="241" w:lineRule="auto"/>
        <w:rPr>
          <w:sz w:val="20"/>
          <w:szCs w:val="20"/>
          <w:color w:val="auto"/>
        </w:rPr>
      </w:pPr>
      <w:r>
        <w:rPr>
          <w:rFonts w:ascii="Times New Roman" w:cs="Times New Roman" w:eastAsia="Times New Roman" w:hAnsi="Times New Roman"/>
          <w:sz w:val="17"/>
          <w:szCs w:val="17"/>
          <w:color w:val="auto"/>
        </w:rPr>
        <w:t>Envoys are designed to withstand normal operating conditions and typical wear and tear when used for their original intent and in compliance with the installation and operating instructions supplied with the original equipment. The Limited Envoy Warranty does not apply to, and Enphase will not be responsible for, any defect in or damage to any Envoy: (1) that has been misused, neglected, tampered with, altered, or otherwise damaged, either internally or externally; (2) that has been improperly installed, operated, handled or used, including use under conditions for which the product was not designed, use in an unsuitable environment, or use in a manner contrary to the Enphase User Manual (as supplied to the Warranty Holder) or applicable laws or regulations; (3) that has been subjected to fire, water, generalized corrosion, biological infestations, acts of nature, or input voltage that creates operating conditions beyond the maximum or minimum limits listed in the Enphase Envoy specifications, including high input voltage from generators or lightning strikes; (4) that has been subjected to incidental or consequential damage caused by defects of other components of the solar system; or (5) if the original identification markings (including trademark or serial number) of such Envoy have been defaced, altered, or removed. This Limited Envoy Warranty does not cover cosmetic, technical or design defects, or shortcomings which do not materially influence or affect the energy production or degrade form, fit, or function of the Envoy. The Limited Envoy Warranty does not cover costs related to the removal, installation or troubleshooting of the Warranty Holder’s electrical systems. The Limited Envoy Warranty does not extend beyond the original cost of the Enphase Envoy.</w:t>
      </w:r>
    </w:p>
    <w:p>
      <w:pPr>
        <w:spacing w:after="0" w:line="159" w:lineRule="exact"/>
        <w:rPr>
          <w:sz w:val="20"/>
          <w:szCs w:val="20"/>
          <w:color w:val="auto"/>
        </w:rPr>
      </w:pPr>
    </w:p>
    <w:p>
      <w:pPr>
        <w:jc w:val="both"/>
        <w:ind w:left="9"/>
        <w:spacing w:after="0" w:line="265" w:lineRule="auto"/>
        <w:rPr>
          <w:sz w:val="20"/>
          <w:szCs w:val="20"/>
          <w:color w:val="auto"/>
        </w:rPr>
      </w:pPr>
      <w:r>
        <w:rPr>
          <w:rFonts w:ascii="Times New Roman" w:cs="Times New Roman" w:eastAsia="Times New Roman" w:hAnsi="Times New Roman"/>
          <w:sz w:val="17"/>
          <w:szCs w:val="17"/>
          <w:color w:val="auto"/>
        </w:rPr>
        <w:t>To obtain repair or replacement service, credit or refund (as applicable) under this Limited Envoy Warranty, the Warranty Holder must comply with the Return Merchandise Authorization Number (RMA) policy and procedure http://www.enphase.com/rma.</w:t>
      </w:r>
    </w:p>
    <w:p>
      <w:pPr>
        <w:spacing w:after="0" w:line="139" w:lineRule="exact"/>
        <w:rPr>
          <w:sz w:val="20"/>
          <w:szCs w:val="20"/>
          <w:color w:val="auto"/>
        </w:rPr>
      </w:pPr>
    </w:p>
    <w:p>
      <w:pPr>
        <w:jc w:val="both"/>
        <w:ind w:left="9"/>
        <w:spacing w:after="0" w:line="242" w:lineRule="auto"/>
        <w:rPr>
          <w:sz w:val="20"/>
          <w:szCs w:val="20"/>
          <w:color w:val="auto"/>
        </w:rPr>
      </w:pPr>
      <w:r>
        <w:rPr>
          <w:rFonts w:ascii="Times New Roman" w:cs="Times New Roman" w:eastAsia="Times New Roman" w:hAnsi="Times New Roman"/>
          <w:sz w:val="17"/>
          <w:szCs w:val="17"/>
          <w:color w:val="auto"/>
        </w:rPr>
        <w:t>THE LIMITED ENVOY WARRANTY IS THE SOLE AND EXCLUSIVE WARRANTY GIVEN BY ENPHASE AND, WHERE PERMITTED BY LAW, IS MADE EXPRESSLY IN LIEU OF ALL OTHER WARRANTIES, EXPRESS OR IMPLIED, STATUTORY OR OTHERWISE, INCLUDING, WITHOUT LIMITATION, WARRANTIES OF TITLE, QUALITY, MERCHANTABILITY, FITNESS FOR A PARTICULAR PURPOSE OR NON-INFRINGEMENT OR WARRANTIES AS TO THE ACCURACY, SUFFICIENCY OR SUITABILITY OF ANY TECHNICAL OR OTHER INFORMATION PROVIDED IN MANUALS OR OTHER DOCUMENTATION. IN NO EVENT WILL ENPHASE BE LIABLE FOR ANY SPECIAL, DIRECT, INDIRECT, INCIDENTAL OR CONSEQUENTIAL DAMAGES, LOSSES, COSTS OR EXPENSES HOWEVER ARISING, WHETHER IN CONTRACT OR TORT, INCLUDING WITHOUT LIMITATION ANY ECONOMIC LOSSES OF ANY KIND, ANY LOSS OR DAMAGE TO PROPERTY, OR ANY PERSONAL INJURY.</w:t>
      </w:r>
    </w:p>
    <w:p>
      <w:pPr>
        <w:spacing w:after="0" w:line="162" w:lineRule="exact"/>
        <w:rPr>
          <w:sz w:val="20"/>
          <w:szCs w:val="20"/>
          <w:color w:val="auto"/>
        </w:rPr>
      </w:pPr>
    </w:p>
    <w:p>
      <w:pPr>
        <w:jc w:val="both"/>
        <w:ind w:left="9"/>
        <w:spacing w:after="0" w:line="247" w:lineRule="auto"/>
        <w:rPr>
          <w:sz w:val="20"/>
          <w:szCs w:val="20"/>
          <w:color w:val="auto"/>
        </w:rPr>
      </w:pPr>
      <w:r>
        <w:rPr>
          <w:rFonts w:ascii="Times New Roman" w:cs="Times New Roman" w:eastAsia="Times New Roman" w:hAnsi="Times New Roman"/>
          <w:sz w:val="17"/>
          <w:szCs w:val="17"/>
          <w:color w:val="auto"/>
        </w:rPr>
        <w:t>To the extent any implied warranties are required under applicable law to apply to the Envoy, such implied warranties shall be limited in duration to the Warranty Period, to the extent permitted by applicable law. Some regions do not allow limitations or exclusions on implied warranties or on the duration of an implied warranty or on the limitation or exclusion of incidental or consequential damages, so the above limitation(s) or exclusion(s) may not apply. This Limited Envoy Warranty gives the Warranty Holder specific legal rights, and the Warranty Holder may have other rights that may vary from region to region.</w:t>
      </w:r>
    </w:p>
    <w:p>
      <w:pPr>
        <w:spacing w:after="0" w:line="200" w:lineRule="exact"/>
        <w:rPr>
          <w:sz w:val="20"/>
          <w:szCs w:val="20"/>
          <w:color w:val="auto"/>
        </w:rPr>
      </w:pPr>
    </w:p>
    <w:p>
      <w:pPr>
        <w:spacing w:after="0" w:line="362" w:lineRule="exact"/>
        <w:rPr>
          <w:sz w:val="20"/>
          <w:szCs w:val="20"/>
          <w:color w:val="auto"/>
        </w:rPr>
      </w:pPr>
    </w:p>
    <w:p>
      <w:pPr>
        <w:ind w:left="3569"/>
        <w:spacing w:after="0"/>
        <w:tabs>
          <w:tab w:leader="none" w:pos="4308" w:val="left"/>
        </w:tabs>
        <w:rPr>
          <w:sz w:val="20"/>
          <w:szCs w:val="20"/>
          <w:color w:val="auto"/>
        </w:rPr>
      </w:pPr>
      <w:r>
        <w:rPr>
          <w:rFonts w:ascii="Times New Roman" w:cs="Times New Roman" w:eastAsia="Times New Roman" w:hAnsi="Times New Roman"/>
          <w:sz w:val="15"/>
          <w:szCs w:val="15"/>
          <w:color w:val="auto"/>
        </w:rPr>
        <w:t>Exhibit B</w:t>
        <w:tab/>
        <w:t>AMENDMENT NO. 1 TO SUPPLY AGREEMENT</w:t>
      </w:r>
    </w:p>
    <w:p>
      <w:pPr>
        <w:ind w:left="7129"/>
        <w:spacing w:after="0"/>
        <w:rPr>
          <w:sz w:val="20"/>
          <w:szCs w:val="20"/>
          <w:color w:val="auto"/>
        </w:rPr>
      </w:pPr>
      <w:r>
        <w:rPr>
          <w:rFonts w:ascii="Times New Roman" w:cs="Times New Roman" w:eastAsia="Times New Roman" w:hAnsi="Times New Roman"/>
          <w:sz w:val="15"/>
          <w:szCs w:val="15"/>
          <w:i w:val="1"/>
          <w:iCs w:val="1"/>
          <w:color w:val="auto"/>
        </w:rPr>
        <w:t>(Enphase – Vivint Solar)</w:t>
      </w:r>
    </w:p>
    <w:p>
      <w:pPr>
        <w:spacing w:after="0" w:line="63" w:lineRule="exact"/>
        <w:rPr>
          <w:sz w:val="20"/>
          <w:szCs w:val="20"/>
          <w:color w:val="auto"/>
        </w:rPr>
      </w:pPr>
    </w:p>
    <w:p>
      <w:pPr>
        <w:ind w:left="9" w:right="100" w:hanging="9"/>
        <w:spacing w:after="0" w:line="289" w:lineRule="auto"/>
        <w:tabs>
          <w:tab w:leader="none" w:pos="376"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49"/>
          </w:cols>
          <w:pgMar w:left="231" w:top="726" w:right="2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5"/>
          <w:szCs w:val="15"/>
          <w:b w:val="1"/>
          <w:bCs w:val="1"/>
          <w:color w:val="auto"/>
        </w:rPr>
        <w:t>Exhibit 10.3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2 TO CREDIT AGREEMENT</w:t>
      </w:r>
    </w:p>
    <w:p>
      <w:pPr>
        <w:spacing w:after="0" w:line="223" w:lineRule="exact"/>
        <w:rPr>
          <w:sz w:val="20"/>
          <w:szCs w:val="20"/>
          <w:color w:val="auto"/>
        </w:rPr>
      </w:pPr>
    </w:p>
    <w:p>
      <w:pPr>
        <w:jc w:val="both"/>
        <w:ind w:firstLine="1097"/>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AMENDMENT NO. 2 TO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February 2, 2015, among</w:t>
      </w:r>
      <w:r>
        <w:rPr>
          <w:rFonts w:ascii="Times New Roman" w:cs="Times New Roman" w:eastAsia="Times New Roman" w:hAnsi="Times New Roman"/>
          <w:sz w:val="18"/>
          <w:szCs w:val="18"/>
          <w:b w:val="1"/>
          <w:bCs w:val="1"/>
          <w:color w:val="auto"/>
        </w:rPr>
        <w:t xml:space="preserve"> ENPHASE ENERGY,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identified on the signature pages hereto (together with their respective successors and assigns,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 national banking association, as administrative agent for each member of the Lender Group and the Bank Product Providers (in such capacity, together with its successors and assigns in such capacity,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is made with reference to that certain Credit Agreement, dated as of November 7, 2012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Borrower, the Lenders and Agent, as amended by Amendment No. 1 to Credit Agreement dated as of February 14, 2014. Capitalized terms used herein without definition shall have the same meanings herein as set forth in the Credit Agreement.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84" w:lineRule="exact"/>
        <w:rPr>
          <w:sz w:val="20"/>
          <w:szCs w:val="20"/>
          <w:color w:val="auto"/>
        </w:rPr>
      </w:pPr>
    </w:p>
    <w:p>
      <w:pPr>
        <w:jc w:val="both"/>
        <w:ind w:firstLine="1097"/>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Agent, the Lenders and Borrower have entered into financing arrangements pursuant to which Lenders (or Agent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have made and provided and may hereafter make and provide loans, advances and other financial accommodations to Borrower as set forth in the Credit Agreement and the other agreements, documents and instruments referred to therein or any time executed and/or delivered in connection therewith or related thereto;</w:t>
      </w:r>
    </w:p>
    <w:p>
      <w:pPr>
        <w:spacing w:after="0" w:line="232" w:lineRule="exact"/>
        <w:rPr>
          <w:sz w:val="20"/>
          <w:szCs w:val="20"/>
          <w:color w:val="auto"/>
        </w:rPr>
      </w:pPr>
    </w:p>
    <w:p>
      <w:pPr>
        <w:jc w:val="both"/>
        <w:ind w:firstLine="1097"/>
        <w:spacing w:after="0" w:line="29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has requested that Agent and the Lenders make certain amendments to the Credit Agreement, and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are willing to make such amendments, subject to the terms and conditions set forth herein; and</w:t>
      </w:r>
    </w:p>
    <w:p>
      <w:pPr>
        <w:spacing w:after="0" w:line="2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by this Amendment, Borrower, Agent and the Lenders desire and intend to evidence such amendments.</w:t>
      </w:r>
    </w:p>
    <w:p>
      <w:pPr>
        <w:spacing w:after="0" w:line="284" w:lineRule="exact"/>
        <w:rPr>
          <w:sz w:val="20"/>
          <w:szCs w:val="20"/>
          <w:color w:val="auto"/>
        </w:rPr>
      </w:pPr>
    </w:p>
    <w:p>
      <w:pPr>
        <w:jc w:val="both"/>
        <w:ind w:firstLine="1097"/>
        <w:spacing w:after="0" w:line="29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agreements and covenants contained herein,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8"/>
          <w:szCs w:val="18"/>
          <w:b w:val="1"/>
          <w:bCs w:val="1"/>
          <w:color w:val="auto"/>
        </w:rPr>
        <w:t>AMENDMENTS TO THE CREDIT AGREEMENT</w:t>
      </w:r>
    </w:p>
    <w:p>
      <w:pPr>
        <w:spacing w:after="0" w:line="197" w:lineRule="exact"/>
        <w:rPr>
          <w:sz w:val="20"/>
          <w:szCs w:val="20"/>
          <w:color w:val="auto"/>
        </w:rPr>
      </w:pPr>
    </w:p>
    <w:p>
      <w:pPr>
        <w:ind w:left="860" w:hanging="320"/>
        <w:spacing w:after="0"/>
        <w:tabs>
          <w:tab w:leader="none" w:pos="8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Credit Agreement is hereby amended to read as follows:</w:t>
      </w:r>
    </w:p>
    <w:p>
      <w:pPr>
        <w:spacing w:after="0" w:line="200" w:lineRule="exact"/>
        <w:rPr>
          <w:sz w:val="20"/>
          <w:szCs w:val="20"/>
          <w:color w:val="auto"/>
        </w:rPr>
      </w:pPr>
    </w:p>
    <w:p>
      <w:pPr>
        <w:jc w:val="both"/>
        <w:ind w:left="10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“5.15 </w:t>
      </w:r>
      <w:r>
        <w:rPr>
          <w:rFonts w:ascii="Times New Roman" w:cs="Times New Roman" w:eastAsia="Times New Roman" w:hAnsi="Times New Roman"/>
          <w:sz w:val="18"/>
          <w:szCs w:val="18"/>
          <w:u w:val="single" w:color="auto"/>
          <w:color w:val="auto"/>
        </w:rPr>
        <w:t>Location of Inventory</w:t>
      </w:r>
      <w:r>
        <w:rPr>
          <w:rFonts w:ascii="Times New Roman" w:cs="Times New Roman" w:eastAsia="Times New Roman" w:hAnsi="Times New Roman"/>
          <w:sz w:val="18"/>
          <w:szCs w:val="18"/>
          <w:color w:val="auto"/>
        </w:rPr>
        <w:t>. Borrower will, and will cause each of the other Loan Parties to keep (i) its and their Inventory,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within the United States, only at the Flextronics Facility and the locations identified on Schedule 4.24 of the Disclosure Letter, in each case subject to a bailee agreement in form and substance satisfactory to Agent; provided that Borrower and the other Loan Parties may keep up to $50,000 in the aggregate at any time at other locations located within the United States; provided further that up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17355043.4</w:t>
      </w:r>
    </w:p>
    <w:p>
      <w:pPr>
        <w:sectPr>
          <w:pgSz w:w="11900" w:h="16838" w:orient="portrait"/>
          <w:cols w:equalWidth="0" w:num="1">
            <w:col w:w="11440"/>
          </w:cols>
          <w:pgMar w:left="240" w:top="669" w:right="219" w:bottom="1440" w:gutter="0" w:footer="0" w:header="0"/>
        </w:sectPr>
      </w:pPr>
    </w:p>
    <w:bookmarkStart w:id="72" w:name="page73"/>
    <w:bookmarkEnd w:id="72"/>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 xml:space="preserve">to $3,000,000 of Inventory may be transferred by Borrower to an international Flextronics location or to an Expeditors International Pty Ltd. location for the sale of such Inventory by a Subsidiary of Borrower organized outside of the United States in the ordinary course of business and (ii) its and their chief executive offices only at the locations identified on Schedule 7 of the Guaranty and Security Agreement; provided further, that Borrower may amend Schedule 4.24 of the Disclosure Letter or Schedule 7 of the Guaranty and Security Agreement so long as such amendment occurs by written notice to Agent not less than 15 days prior to the date on which such Inventory is moved to such new location or such chief executive office is relocated and so long as such new location is within the continental United States and such chief executive office is relocated within the continental United States;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Borrower may maintain (A) (i) test equipment, (ii) up to $3,000,000 at any one time of raw materials and (iii) other Equipment, in each case in transit from Borrower’s suppliers to the Flextronics Facility and (B) test equipment and other Equipment disposed of in accordance with clause (p) of the definition of Permitted Dispositions and re-acquired in accordance with clause (s) of the definition of “Permitted Investments”, at any Flextronics facility in the People’s Republic of China.”</w:t>
      </w:r>
    </w:p>
    <w:p>
      <w:pPr>
        <w:spacing w:after="0" w:line="60" w:lineRule="exact"/>
        <w:rPr>
          <w:sz w:val="20"/>
          <w:szCs w:val="20"/>
          <w:color w:val="auto"/>
        </w:rPr>
      </w:pPr>
    </w:p>
    <w:p>
      <w:pPr>
        <w:ind w:left="-540" w:firstLine="540"/>
        <w:spacing w:after="0" w:line="299" w:lineRule="auto"/>
        <w:tabs>
          <w:tab w:leader="none" w:pos="351"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definition of Permitted Dispositions set forth in Schedule 1.1 of the Credit Agreement hereby amended by deleting the “and” at the end of clause (o), re-designating the existing clause (p) as clause (q) and adding the following clause (p) after clause (o):</w:t>
      </w:r>
    </w:p>
    <w:p>
      <w:pPr>
        <w:spacing w:after="0" w:line="112" w:lineRule="exact"/>
        <w:rPr>
          <w:sz w:val="20"/>
          <w:szCs w:val="20"/>
          <w:color w:val="auto"/>
        </w:rPr>
      </w:pPr>
    </w:p>
    <w:p>
      <w:pPr>
        <w:jc w:val="both"/>
        <w:ind w:left="540"/>
        <w:spacing w:after="0" w:line="263" w:lineRule="auto"/>
        <w:rPr>
          <w:sz w:val="20"/>
          <w:szCs w:val="20"/>
          <w:color w:val="auto"/>
        </w:rPr>
      </w:pPr>
      <w:r>
        <w:rPr>
          <w:rFonts w:ascii="Times New Roman" w:cs="Times New Roman" w:eastAsia="Times New Roman" w:hAnsi="Times New Roman"/>
          <w:sz w:val="18"/>
          <w:szCs w:val="18"/>
          <w:color w:val="auto"/>
        </w:rPr>
        <w:t>“(p) dispositions of assets constituting Equipment sold to Flextronics so long as: (i) it is maintained at one of Flextronic’s facilities located in the People’s Republic of China, (ii) such Equipment is re-acquired by Borrower within 30 days after its arrival to the relevant facility, (iii) at the time of any such disposition of such Equipment and immediately after giving effect to the same, Liquidity is equal to or greater than $25,000,000 and Availability is equal to or greater than $12,500,000, and”</w:t>
      </w:r>
    </w:p>
    <w:p>
      <w:pPr>
        <w:spacing w:after="0" w:line="52" w:lineRule="exact"/>
        <w:rPr>
          <w:sz w:val="20"/>
          <w:szCs w:val="20"/>
          <w:color w:val="auto"/>
        </w:rPr>
      </w:pPr>
    </w:p>
    <w:p>
      <w:pPr>
        <w:ind w:left="-540" w:firstLine="540"/>
        <w:spacing w:after="0" w:line="299" w:lineRule="auto"/>
        <w:tabs>
          <w:tab w:leader="none" w:pos="361"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definition of Permitted Investments set forth in Schedule 1.1 of the Credit Agreement hereby amended by deleting the “and” at the end of clause (q), deleting the “.” At the end of clause (r) and replacing it with a “, and”, and adding the following clause (s) after clause (r):</w:t>
      </w:r>
    </w:p>
    <w:p>
      <w:pPr>
        <w:spacing w:after="0" w:line="112" w:lineRule="exact"/>
        <w:rPr>
          <w:rFonts w:ascii="Times New Roman" w:cs="Times New Roman" w:eastAsia="Times New Roman" w:hAnsi="Times New Roman"/>
          <w:sz w:val="18"/>
          <w:szCs w:val="18"/>
          <w:b w:val="1"/>
          <w:bCs w:val="1"/>
          <w:color w:val="auto"/>
        </w:rPr>
      </w:pPr>
    </w:p>
    <w:p>
      <w:pPr>
        <w:ind w:left="780" w:hanging="232"/>
        <w:spacing w:after="0"/>
        <w:tabs>
          <w:tab w:leader="none" w:pos="7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the re-purchase of Equipment disposed of pursuant to clause (p) of the definition of “Permitted Dispositions”.</w:t>
      </w:r>
    </w:p>
    <w:p>
      <w:pPr>
        <w:spacing w:after="0" w:line="10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 1.1 (Definitions) to the Credit Agreement is hereby amended by inserting the following defined terms in alphabetical order:</w:t>
      </w: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780" w:top="733" w:right="219" w:bottom="1440" w:gutter="0" w:footer="0" w:header="0"/>
        </w:sectPr>
      </w:pPr>
    </w:p>
    <w:bookmarkStart w:id="73" w:name="page74"/>
    <w:bookmarkEnd w:id="73"/>
    <w:p>
      <w:pPr>
        <w:ind w:right="20" w:firstLine="10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means that certain Amendment No. 2 to Credit Agreement, dated as of February 2, 2015, by and among Borrower, the Lenders and Agent.</w:t>
      </w:r>
    </w:p>
    <w:p>
      <w:pPr>
        <w:spacing w:after="0" w:line="2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has the meaning specified therefor in Amendment No. 2.</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color w:val="auto"/>
        </w:rPr>
        <w:t>CONDITIONS PRECEDENT</w:t>
      </w:r>
    </w:p>
    <w:p>
      <w:pPr>
        <w:spacing w:after="0" w:line="197" w:lineRule="exact"/>
        <w:rPr>
          <w:sz w:val="20"/>
          <w:szCs w:val="20"/>
          <w:color w:val="auto"/>
        </w:rPr>
      </w:pPr>
    </w:p>
    <w:p>
      <w:pPr>
        <w:ind w:firstLine="1097"/>
        <w:spacing w:after="0" w:line="286" w:lineRule="auto"/>
        <w:rPr>
          <w:sz w:val="20"/>
          <w:szCs w:val="20"/>
          <w:color w:val="auto"/>
        </w:rPr>
      </w:pPr>
      <w:r>
        <w:rPr>
          <w:rFonts w:ascii="Times New Roman" w:cs="Times New Roman" w:eastAsia="Times New Roman" w:hAnsi="Times New Roman"/>
          <w:sz w:val="18"/>
          <w:szCs w:val="18"/>
          <w:color w:val="auto"/>
        </w:rPr>
        <w:t>This Amendment shall become effective on the first date upon which each of the following conditions precedent has been waived or satisfied in a manner satisfactory to Agent (such date being the “</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firstLine="1088"/>
        <w:spacing w:after="0" w:line="299" w:lineRule="auto"/>
        <w:tabs>
          <w:tab w:leader="none" w:pos="14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this Amendment, duly authorized, executed and delivered by Borrower, Agent and the Lenders (the Credit Agreement, Exhibits and Schedules as so amended by this Amendment being referred to herein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460" w:hanging="372"/>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evidence that the Hercules Facility has been paid in full and all liens securing the same have been terminated;</w:t>
      </w:r>
    </w:p>
    <w:p>
      <w:pPr>
        <w:spacing w:after="0" w:line="204" w:lineRule="exact"/>
        <w:rPr>
          <w:rFonts w:ascii="Times New Roman" w:cs="Times New Roman" w:eastAsia="Times New Roman" w:hAnsi="Times New Roman"/>
          <w:sz w:val="18"/>
          <w:szCs w:val="18"/>
          <w:color w:val="auto"/>
        </w:rPr>
      </w:pPr>
    </w:p>
    <w:p>
      <w:pPr>
        <w:ind w:firstLine="1088"/>
        <w:spacing w:after="0" w:line="299" w:lineRule="auto"/>
        <w:tabs>
          <w:tab w:leader="none" w:pos="15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Amendment and after giving effect thereto, no Default or Event of Default shall have occurred and be continuing, nor shall either result from the entry into this Amendment;</w:t>
      </w:r>
    </w:p>
    <w:p>
      <w:pPr>
        <w:spacing w:after="0" w:line="112" w:lineRule="exact"/>
        <w:rPr>
          <w:rFonts w:ascii="Times New Roman" w:cs="Times New Roman" w:eastAsia="Times New Roman" w:hAnsi="Times New Roman"/>
          <w:sz w:val="18"/>
          <w:szCs w:val="18"/>
          <w:color w:val="auto"/>
        </w:rPr>
      </w:pPr>
    </w:p>
    <w:p>
      <w:pPr>
        <w:jc w:val="both"/>
        <w:ind w:firstLine="1088"/>
        <w:spacing w:after="0" w:line="261" w:lineRule="auto"/>
        <w:tabs>
          <w:tab w:leader="none" w:pos="15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3 of this Amendment shall be true and correct in all material respects (except that such materiality qualifier shall not be applicable to any representations and warranties that already are qualified or modified by materiality in the text thereof) on and as of the date of this Amendment and on the Amendment No. 2 Effective Date (except, in each case,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on and as of such earlier date); and</w:t>
      </w:r>
    </w:p>
    <w:p>
      <w:pPr>
        <w:spacing w:after="0" w:line="145" w:lineRule="exact"/>
        <w:rPr>
          <w:rFonts w:ascii="Times New Roman" w:cs="Times New Roman" w:eastAsia="Times New Roman" w:hAnsi="Times New Roman"/>
          <w:sz w:val="18"/>
          <w:szCs w:val="18"/>
          <w:color w:val="auto"/>
        </w:rPr>
      </w:pPr>
    </w:p>
    <w:p>
      <w:pPr>
        <w:ind w:firstLine="1088"/>
        <w:spacing w:after="0" w:line="299" w:lineRule="auto"/>
        <w:tabs>
          <w:tab w:leader="none" w:pos="14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paid all Lender Group Expenses incurred in connection with the transactions evidenced by this Amendment (to the extent incurred on or prior to the Amendment No. 2 Effective Date).</w:t>
      </w:r>
    </w:p>
    <w:p>
      <w:pPr>
        <w:spacing w:after="0" w:line="1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color w:val="auto"/>
        </w:rPr>
        <w:t>BORROWER’S REPRESENTATIONS AND WARRANTIES</w:t>
      </w:r>
    </w:p>
    <w:p>
      <w:pPr>
        <w:spacing w:after="0" w:line="197" w:lineRule="exact"/>
        <w:rPr>
          <w:sz w:val="20"/>
          <w:szCs w:val="20"/>
          <w:color w:val="auto"/>
        </w:rPr>
      </w:pPr>
    </w:p>
    <w:p>
      <w:pPr>
        <w:jc w:val="both"/>
        <w:ind w:firstLine="1097"/>
        <w:spacing w:after="0" w:line="268" w:lineRule="auto"/>
        <w:rPr>
          <w:sz w:val="20"/>
          <w:szCs w:val="20"/>
          <w:color w:val="auto"/>
        </w:rPr>
      </w:pPr>
      <w:r>
        <w:rPr>
          <w:rFonts w:ascii="Times New Roman" w:cs="Times New Roman" w:eastAsia="Times New Roman" w:hAnsi="Times New Roman"/>
          <w:sz w:val="18"/>
          <w:szCs w:val="18"/>
          <w:color w:val="auto"/>
        </w:rPr>
        <w:t>Borrower hereby represents and warrants to the Lender Group the following (which shall survive execution and delivery of this Amendment), the truth and accuracy of which representations and warranties are a continuing condition of the making of Revolving Loans and providing Letters of Credit to Borrower:</w:t>
      </w:r>
    </w:p>
    <w:p>
      <w:pPr>
        <w:spacing w:after="0" w:line="200" w:lineRule="exact"/>
        <w:rPr>
          <w:sz w:val="20"/>
          <w:szCs w:val="20"/>
          <w:color w:val="auto"/>
        </w:rPr>
      </w:pPr>
    </w:p>
    <w:p>
      <w:pPr>
        <w:spacing w:after="0" w:line="2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40"/>
          </w:cols>
          <w:pgMar w:left="240" w:top="733" w:right="219" w:bottom="1440" w:gutter="0" w:footer="0" w:header="0"/>
        </w:sectPr>
      </w:pPr>
    </w:p>
    <w:bookmarkStart w:id="74" w:name="page75"/>
    <w:bookmarkEnd w:id="74"/>
    <w:p>
      <w:pPr>
        <w:jc w:val="both"/>
        <w:ind w:left="9" w:firstLine="1088"/>
        <w:spacing w:after="0" w:line="266" w:lineRule="auto"/>
        <w:tabs>
          <w:tab w:leader="none" w:pos="158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Organization</w:t>
      </w:r>
      <w:r>
        <w:rPr>
          <w:rFonts w:ascii="Times New Roman" w:cs="Times New Roman" w:eastAsia="Times New Roman" w:hAnsi="Times New Roman"/>
          <w:sz w:val="18"/>
          <w:szCs w:val="18"/>
          <w:color w:val="auto"/>
        </w:rPr>
        <w:t>. Borrower (i) is duly organized and existing and in good standing under the laws of the jurisdiction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and, with respect to the Borrower, to enter into this Amendment and to carry out the transactions contemplated by the Amended Credit Agreement.</w:t>
      </w:r>
    </w:p>
    <w:p>
      <w:pPr>
        <w:spacing w:after="0" w:line="361" w:lineRule="exact"/>
        <w:rPr>
          <w:rFonts w:ascii="Times New Roman" w:cs="Times New Roman" w:eastAsia="Times New Roman" w:hAnsi="Times New Roman"/>
          <w:sz w:val="18"/>
          <w:szCs w:val="18"/>
          <w:b w:val="1"/>
          <w:bCs w:val="1"/>
          <w:color w:val="auto"/>
        </w:rPr>
      </w:pPr>
    </w:p>
    <w:p>
      <w:pPr>
        <w:jc w:val="both"/>
        <w:ind w:left="9" w:firstLine="1088"/>
        <w:spacing w:after="0" w:line="277" w:lineRule="auto"/>
        <w:tabs>
          <w:tab w:leader="none" w:pos="142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Obligations</w:t>
      </w:r>
      <w:r>
        <w:rPr>
          <w:rFonts w:ascii="Times New Roman" w:cs="Times New Roman" w:eastAsia="Times New Roman" w:hAnsi="Times New Roman"/>
          <w:sz w:val="18"/>
          <w:szCs w:val="18"/>
          <w:color w:val="auto"/>
        </w:rPr>
        <w:t>. This Amendment, when duly executed and delivered by Borrower, will be the legally valid and binding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Borrower, enforceable against Borrower in accordance with its respective terms, except as enforcement may be limited by equitable principles or by bankruptcy, insolvency, reorganization, moratorium, or similar laws relating to or limiting creditors’ rights generally.</w:t>
      </w:r>
    </w:p>
    <w:p>
      <w:pPr>
        <w:spacing w:after="0" w:line="128" w:lineRule="exact"/>
        <w:rPr>
          <w:rFonts w:ascii="Times New Roman" w:cs="Times New Roman" w:eastAsia="Times New Roman" w:hAnsi="Times New Roman"/>
          <w:sz w:val="18"/>
          <w:szCs w:val="18"/>
          <w:b w:val="1"/>
          <w:bCs w:val="1"/>
          <w:color w:val="auto"/>
        </w:rPr>
      </w:pPr>
    </w:p>
    <w:p>
      <w:pPr>
        <w:ind w:left="1429" w:hanging="332"/>
        <w:spacing w:after="0"/>
        <w:tabs>
          <w:tab w:leader="none" w:pos="1429"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Authorization; No Conflict</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9" w:right="20" w:firstLine="1088"/>
        <w:spacing w:after="0" w:line="299" w:lineRule="auto"/>
        <w:tabs>
          <w:tab w:leader="none" w:pos="14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Borrower of this Amendment and the performance by Borrower of the Amended Credit Agreement have been duly authorized by all necessary action on the part of Borrower.</w:t>
      </w:r>
    </w:p>
    <w:p>
      <w:pPr>
        <w:spacing w:after="0" w:line="112" w:lineRule="exact"/>
        <w:rPr>
          <w:rFonts w:ascii="Times New Roman" w:cs="Times New Roman" w:eastAsia="Times New Roman" w:hAnsi="Times New Roman"/>
          <w:sz w:val="18"/>
          <w:szCs w:val="18"/>
          <w:color w:val="auto"/>
        </w:rPr>
      </w:pPr>
    </w:p>
    <w:p>
      <w:pPr>
        <w:jc w:val="both"/>
        <w:ind w:left="9" w:firstLine="1088"/>
        <w:spacing w:after="0" w:line="257" w:lineRule="auto"/>
        <w:tabs>
          <w:tab w:leader="none" w:pos="15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Borrower of this Amendment, and the performance by Borrower of the Amended Credit Agreement do not and will not (a) violate any material provision of federal, state, or local law or regulation applicable to Borrower or its Subsidiaries, the Governing Documents of Borrower or its Subsidiaries, or any order, judgment, or decree of any court or other Governmental Authority binding on Borrower or its Subsidiaries, (b) conflict with, result in a breach of, or constitute (with due notice or lapse of time or both) a default under any material agreement of Borrower or its Subsidiaries where any such conflict, breach or default could individually or in the aggregate reasonably be expected to have a Material Adverse Effect, (c) result in or require the creation or imposition of any Lien of any nature whatsoever upon any assets of Borrower or its Subsidiaries, other than Permitted Liens, or (d) require any approval of any holder of Equity Interests of Borrower or any approval or consent of any Person under any material agreement of Borrower,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366" w:lineRule="exact"/>
        <w:rPr>
          <w:sz w:val="20"/>
          <w:szCs w:val="20"/>
          <w:color w:val="auto"/>
        </w:rPr>
      </w:pPr>
    </w:p>
    <w:p>
      <w:pPr>
        <w:jc w:val="both"/>
        <w:ind w:left="9" w:firstLine="1088"/>
        <w:spacing w:after="0" w:line="265" w:lineRule="auto"/>
        <w:tabs>
          <w:tab w:leader="none" w:pos="1538"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The execution and delivery by Borrower of this Amendment, and the performance by Borrower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Credit Agreement and the consummation of the transactions contemplated hereby do not and will not require any registration with, consent, or approval of, or notice to, or other action with or by, any Governmental Authority, other than registrations, consents, approvals, notices, or other actions that</w:t>
      </w:r>
    </w:p>
    <w:p>
      <w:pPr>
        <w:ind w:left="9" w:hanging="9"/>
        <w:spacing w:after="0" w:line="263" w:lineRule="auto"/>
        <w:tabs>
          <w:tab w:leader="none" w:pos="23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obtained and that are still in force and effect or (ii) the failure of which to obtain or perform could not reasonably be expected to result in a Material Adverse Effect.</w:t>
      </w:r>
    </w:p>
    <w:p>
      <w:pPr>
        <w:spacing w:after="0" w:line="139" w:lineRule="exact"/>
        <w:rPr>
          <w:rFonts w:ascii="Times New Roman" w:cs="Times New Roman" w:eastAsia="Times New Roman" w:hAnsi="Times New Roman"/>
          <w:sz w:val="18"/>
          <w:szCs w:val="18"/>
          <w:color w:val="auto"/>
        </w:rPr>
      </w:pPr>
    </w:p>
    <w:p>
      <w:pPr>
        <w:ind w:left="9" w:firstLine="1088"/>
        <w:spacing w:after="0" w:line="304" w:lineRule="auto"/>
        <w:tabs>
          <w:tab w:leader="none" w:pos="1493"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 of Representations and Warranties From Amended Credit Agreement</w:t>
      </w:r>
      <w:r>
        <w:rPr>
          <w:rFonts w:ascii="Times New Roman" w:cs="Times New Roman" w:eastAsia="Times New Roman" w:hAnsi="Times New Roman"/>
          <w:sz w:val="18"/>
          <w:szCs w:val="18"/>
          <w:color w:val="auto"/>
        </w:rPr>
        <w:t>. The representations and warranties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Parties contained in the Credit</w:t>
      </w:r>
    </w:p>
    <w:p>
      <w:pPr>
        <w:spacing w:after="0" w:line="291" w:lineRule="exact"/>
        <w:rPr>
          <w:sz w:val="20"/>
          <w:szCs w:val="20"/>
          <w:color w:val="auto"/>
        </w:rPr>
      </w:pPr>
    </w:p>
    <w:p>
      <w:pPr>
        <w:ind w:left="356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49"/>
          </w:cols>
          <w:pgMar w:left="231" w:top="729" w:right="219" w:bottom="1440" w:gutter="0" w:footer="0" w:header="0"/>
        </w:sectPr>
      </w:pPr>
    </w:p>
    <w:bookmarkStart w:id="75" w:name="page76"/>
    <w:bookmarkEnd w:id="75"/>
    <w:p>
      <w:pPr>
        <w:jc w:val="both"/>
        <w:spacing w:after="0" w:line="263" w:lineRule="auto"/>
        <w:rPr>
          <w:sz w:val="20"/>
          <w:szCs w:val="20"/>
          <w:color w:val="auto"/>
        </w:rPr>
      </w:pPr>
      <w:r>
        <w:rPr>
          <w:rFonts w:ascii="Times New Roman" w:cs="Times New Roman" w:eastAsia="Times New Roman" w:hAnsi="Times New Roman"/>
          <w:sz w:val="18"/>
          <w:szCs w:val="18"/>
          <w:color w:val="auto"/>
        </w:rPr>
        <w:t>Agreement, the Amended Credit Agreement and the other Loan Documents are true, correct and complete in all material respects (except that such materiality qualifier shall not be applicable to any representations and warranties that already are qualified or modified by materiality in the text thereof) on and as of the Amendment No. 2 Effective Date as though made on and as the date hereof (except to the extent such representations and warranties specifically relate to an earlier date).</w:t>
      </w:r>
    </w:p>
    <w:p>
      <w:pPr>
        <w:spacing w:after="0" w:line="140" w:lineRule="exact"/>
        <w:rPr>
          <w:sz w:val="20"/>
          <w:szCs w:val="20"/>
          <w:color w:val="auto"/>
        </w:rPr>
      </w:pPr>
    </w:p>
    <w:p>
      <w:pPr>
        <w:ind w:firstLine="1088"/>
        <w:spacing w:after="0" w:line="304" w:lineRule="auto"/>
        <w:tabs>
          <w:tab w:leader="none" w:pos="1458"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Default. </w:t>
      </w:r>
      <w:r>
        <w:rPr>
          <w:rFonts w:ascii="Times New Roman" w:cs="Times New Roman" w:eastAsia="Times New Roman" w:hAnsi="Times New Roman"/>
          <w:sz w:val="18"/>
          <w:szCs w:val="18"/>
          <w:color w:val="auto"/>
        </w:rPr>
        <w:t>No event has occurred and is continuing or will result from the consummation of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that would constitute a Default or an Event of Default.</w:t>
      </w:r>
    </w:p>
    <w:p>
      <w:pPr>
        <w:spacing w:after="0" w:line="10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193" w:lineRule="exact"/>
        <w:rPr>
          <w:sz w:val="20"/>
          <w:szCs w:val="20"/>
          <w:color w:val="auto"/>
        </w:rPr>
      </w:pPr>
    </w:p>
    <w:p>
      <w:pPr>
        <w:ind w:left="10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A.</w:t>
        <w:tab/>
        <w:t>Effect of this Amendment.</w:t>
      </w:r>
    </w:p>
    <w:p>
      <w:pPr>
        <w:spacing w:after="0" w:line="208" w:lineRule="exact"/>
        <w:rPr>
          <w:sz w:val="20"/>
          <w:szCs w:val="20"/>
          <w:color w:val="auto"/>
        </w:rPr>
      </w:pPr>
    </w:p>
    <w:p>
      <w:pPr>
        <w:jc w:val="both"/>
        <w:ind w:firstLine="1088"/>
        <w:spacing w:after="0" w:line="275" w:lineRule="auto"/>
        <w:tabs>
          <w:tab w:leader="none" w:pos="14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Amendment No. 2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Credit Agreement.</w:t>
      </w:r>
    </w:p>
    <w:p>
      <w:pPr>
        <w:spacing w:after="0" w:line="133" w:lineRule="exact"/>
        <w:rPr>
          <w:rFonts w:ascii="Times New Roman" w:cs="Times New Roman" w:eastAsia="Times New Roman" w:hAnsi="Times New Roman"/>
          <w:sz w:val="18"/>
          <w:szCs w:val="18"/>
          <w:color w:val="auto"/>
        </w:rPr>
      </w:pPr>
    </w:p>
    <w:p>
      <w:pPr>
        <w:jc w:val="both"/>
        <w:ind w:firstLine="1088"/>
        <w:spacing w:after="0" w:line="267" w:lineRule="auto"/>
        <w:tabs>
          <w:tab w:leader="none" w:pos="15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pursuant hereto, no other changes, waiver or modifications to the Loan Documents are intended or implied, and in all other respects the Loan Documents are hereby specifically ratified and confirmed by all parties hereto as of the date hereof. To the extent that any provision of the Credit Agreement or any of the other Loan Documents are inconsistent with the provisions of this Amendment, the provisions of this Amendment shall control.</w:t>
      </w:r>
    </w:p>
    <w:p>
      <w:pPr>
        <w:spacing w:after="0" w:line="137" w:lineRule="exact"/>
        <w:rPr>
          <w:sz w:val="20"/>
          <w:szCs w:val="20"/>
          <w:color w:val="auto"/>
        </w:rPr>
      </w:pPr>
    </w:p>
    <w:p>
      <w:pPr>
        <w:ind w:right="20" w:firstLine="1088"/>
        <w:spacing w:after="0" w:line="304" w:lineRule="auto"/>
        <w:tabs>
          <w:tab w:leader="none" w:pos="1451"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The Loan Parties shall execute and deliver such additional documents and take such additional action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requested by Agent to effectuate the provisions and purposes hereof.</w:t>
      </w:r>
    </w:p>
    <w:p>
      <w:pPr>
        <w:spacing w:after="0" w:line="103" w:lineRule="exact"/>
        <w:rPr>
          <w:rFonts w:ascii="Times New Roman" w:cs="Times New Roman" w:eastAsia="Times New Roman" w:hAnsi="Times New Roman"/>
          <w:sz w:val="18"/>
          <w:szCs w:val="18"/>
          <w:b w:val="1"/>
          <w:bCs w:val="1"/>
          <w:color w:val="auto"/>
        </w:rPr>
      </w:pPr>
    </w:p>
    <w:p>
      <w:pPr>
        <w:jc w:val="both"/>
        <w:ind w:firstLine="1088"/>
        <w:spacing w:after="0" w:line="277" w:lineRule="auto"/>
        <w:tabs>
          <w:tab w:leader="none" w:pos="1449"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of this Amendment, the construction, interpretation and enforcement hereof, and the rights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with respect to all matters arising hereunder or related thereto shall be determined under, governed by, and construed in accordance with the laws of the State of California.</w:t>
      </w:r>
    </w:p>
    <w:p>
      <w:pPr>
        <w:spacing w:after="0" w:line="128" w:lineRule="exact"/>
        <w:rPr>
          <w:rFonts w:ascii="Times New Roman" w:cs="Times New Roman" w:eastAsia="Times New Roman" w:hAnsi="Times New Roman"/>
          <w:sz w:val="18"/>
          <w:szCs w:val="18"/>
          <w:b w:val="1"/>
          <w:bCs w:val="1"/>
          <w:color w:val="auto"/>
        </w:rPr>
      </w:pPr>
    </w:p>
    <w:p>
      <w:pPr>
        <w:ind w:left="1480" w:hanging="392"/>
        <w:spacing w:after="0"/>
        <w:tabs>
          <w:tab w:leader="none" w:pos="14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Amendment shall bind and inure to the benefit of the respective successors and assigns of each of the parties</w:t>
      </w:r>
    </w:p>
    <w:p>
      <w:pPr>
        <w:spacing w:after="0" w:line="3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hereto.</w:t>
      </w:r>
    </w:p>
    <w:p>
      <w:pPr>
        <w:spacing w:after="0" w:line="180" w:lineRule="exact"/>
        <w:rPr>
          <w:rFonts w:ascii="Times New Roman" w:cs="Times New Roman" w:eastAsia="Times New Roman" w:hAnsi="Times New Roman"/>
          <w:sz w:val="18"/>
          <w:szCs w:val="18"/>
          <w:b w:val="1"/>
          <w:bCs w:val="1"/>
          <w:color w:val="auto"/>
        </w:rPr>
      </w:pPr>
    </w:p>
    <w:p>
      <w:pPr>
        <w:jc w:val="both"/>
        <w:ind w:firstLine="1088"/>
        <w:spacing w:after="0" w:line="262" w:lineRule="auto"/>
        <w:tabs>
          <w:tab w:leader="none" w:pos="148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 Electronic Execution</w:t>
      </w:r>
      <w:r>
        <w:rPr>
          <w:rFonts w:ascii="Times New Roman" w:cs="Times New Roman" w:eastAsia="Times New Roman" w:hAnsi="Times New Roman"/>
          <w:sz w:val="18"/>
          <w:szCs w:val="18"/>
          <w:color w:val="auto"/>
        </w:rPr>
        <w:t>. This Amendment may be executed in any number of counterparts and by different parties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when executed and delivered, shall be deemed to be an original, and all of which, when taken together, shall constitute but one and the same agreement. Delivery of an executed counterpart of this Amendment by telefacsimile or other electronic method of transmission (including .pdf format) shall be equally as effective as delivery of an original executed counterpart of this Amendment. Any party delivering an executed counterpart of this Amendment by telefacsimile or other electronic method of transmission (including .pdf format) also shall deliver an original executed counterpart</w:t>
      </w:r>
    </w:p>
    <w:p>
      <w:pPr>
        <w:spacing w:after="0" w:line="3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40"/>
          </w:cols>
          <w:pgMar w:left="240" w:top="733" w:right="219" w:bottom="1440" w:gutter="0" w:footer="0" w:header="0"/>
        </w:sectPr>
      </w:pPr>
    </w:p>
    <w:bookmarkStart w:id="76" w:name="page77"/>
    <w:bookmarkEnd w:id="76"/>
    <w:p>
      <w:pPr>
        <w:spacing w:after="0" w:line="286" w:lineRule="auto"/>
        <w:rPr>
          <w:sz w:val="20"/>
          <w:szCs w:val="20"/>
          <w:color w:val="auto"/>
        </w:rPr>
      </w:pPr>
      <w:r>
        <w:rPr>
          <w:rFonts w:ascii="Times New Roman" w:cs="Times New Roman" w:eastAsia="Times New Roman" w:hAnsi="Times New Roman"/>
          <w:sz w:val="18"/>
          <w:szCs w:val="18"/>
          <w:color w:val="auto"/>
        </w:rPr>
        <w:t>of this Amendment but the failure to deliver an original executed counterpart shall not affect the validity, enforceability, and binding effect of this Amendment.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39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33" w:right="239" w:bottom="1440" w:gutter="0" w:footer="0" w:header="0"/>
        </w:sectPr>
      </w:pPr>
    </w:p>
    <w:bookmarkStart w:id="77" w:name="page78"/>
    <w:bookmarkEnd w:id="77"/>
    <w:p>
      <w:pPr>
        <w:ind w:firstLine="1097"/>
        <w:spacing w:after="0" w:line="290"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and delivered by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first written above.</w:t>
      </w:r>
    </w:p>
    <w:p>
      <w:pPr>
        <w:spacing w:after="0" w:line="39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8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200" w:lineRule="exact"/>
        <w:rPr>
          <w:sz w:val="20"/>
          <w:szCs w:val="20"/>
          <w:color w:val="auto"/>
        </w:rPr>
      </w:pPr>
    </w:p>
    <w:p>
      <w:pPr>
        <w:spacing w:after="0" w:line="248" w:lineRule="exact"/>
        <w:rPr>
          <w:sz w:val="20"/>
          <w:szCs w:val="20"/>
          <w:color w:val="auto"/>
        </w:rPr>
      </w:pPr>
    </w:p>
    <w:p>
      <w:pPr>
        <w:ind w:left="3300"/>
        <w:spacing w:after="0"/>
        <w:tabs>
          <w:tab w:leader="none" w:pos="3760" w:val="left"/>
        </w:tabs>
        <w:rPr>
          <w:sz w:val="20"/>
          <w:szCs w:val="20"/>
          <w:color w:val="auto"/>
        </w:rPr>
      </w:pPr>
      <w:r>
        <w:rPr>
          <w:rFonts w:ascii="Times New Roman" w:cs="Times New Roman" w:eastAsia="Times New Roman" w:hAnsi="Times New Roman"/>
          <w:sz w:val="18"/>
          <w:szCs w:val="18"/>
          <w:color w:val="auto"/>
        </w:rPr>
        <w:t>By:</w:t>
        <w:tab/>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27940</wp:posOffset>
            </wp:positionV>
            <wp:extent cx="155956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9560" cy="6985"/>
                    </a:xfrm>
                    <a:prstGeom prst="rect">
                      <a:avLst/>
                    </a:prstGeom>
                    <a:noFill/>
                  </pic:spPr>
                </pic:pic>
              </a:graphicData>
            </a:graphic>
          </wp:anchor>
        </w:drawing>
      </w:r>
    </w:p>
    <w:p>
      <w:pPr>
        <w:spacing w:after="0" w:line="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Kris Sennesael</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1440"/>
          </w:cols>
          <w:pgMar w:left="240" w:top="729" w:right="219" w:bottom="1440" w:gutter="0" w:footer="0" w:header="0"/>
        </w:sectPr>
      </w:pPr>
    </w:p>
    <w:bookmarkStart w:id="78" w:name="page79"/>
    <w:bookmarkEnd w:id="78"/>
    <w:p>
      <w:pPr>
        <w:ind w:left="208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Agent and as a Lender</w:t>
      </w:r>
    </w:p>
    <w:p>
      <w:pPr>
        <w:sectPr>
          <w:pgSz w:w="11900" w:h="16838" w:orient="portrait"/>
          <w:cols w:equalWidth="0" w:num="1">
            <w:col w:w="9019"/>
          </w:cols>
          <w:pgMar w:left="1440" w:top="821"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4020"/>
        <w:spacing w:after="0"/>
        <w:tabs>
          <w:tab w:leader="none" w:pos="4540" w:val="left"/>
        </w:tabs>
        <w:rPr>
          <w:sz w:val="20"/>
          <w:szCs w:val="20"/>
          <w:color w:val="auto"/>
        </w:rPr>
      </w:pPr>
      <w:r>
        <w:rPr>
          <w:rFonts w:ascii="Times New Roman" w:cs="Times New Roman" w:eastAsia="Times New Roman" w:hAnsi="Times New Roman"/>
          <w:sz w:val="18"/>
          <w:szCs w:val="18"/>
          <w:color w:val="auto"/>
        </w:rPr>
        <w:t>By:</w:t>
        <w:tab/>
        <w:t>/s/ Patrick McCormack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27940</wp:posOffset>
            </wp:positionV>
            <wp:extent cx="20599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9940" cy="6985"/>
                    </a:xfrm>
                    <a:prstGeom prst="rect">
                      <a:avLst/>
                    </a:prstGeom>
                    <a:noFill/>
                  </pic:spPr>
                </pic:pic>
              </a:graphicData>
            </a:graphic>
          </wp:anchor>
        </w:drawing>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 Patrick McCormack</w:t>
      </w:r>
    </w:p>
    <w:p>
      <w:pPr>
        <w:spacing w:after="0" w:line="44"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9019"/>
          </w:cols>
          <w:pgMar w:left="1440" w:top="821" w:right="1440" w:bottom="1440" w:gutter="0" w:footer="0" w:header="0"/>
          <w:type w:val="continuous"/>
        </w:sectPr>
      </w:pPr>
    </w:p>
    <w:bookmarkStart w:id="79" w:name="page80"/>
    <w:bookmarkEnd w:id="79"/>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7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u w:val="single" w:color="auto"/>
          <w:color w:val="auto"/>
        </w:rPr>
        <w:t>CERTIFICATION</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Paul B. Nahi, certify that:</w:t>
      </w:r>
    </w:p>
    <w:p>
      <w:pPr>
        <w:spacing w:after="0" w:line="170" w:lineRule="exact"/>
        <w:rPr>
          <w:sz w:val="20"/>
          <w:szCs w:val="20"/>
          <w:color w:val="auto"/>
        </w:rPr>
      </w:pPr>
    </w:p>
    <w:p>
      <w:pPr>
        <w:ind w:left="269" w:hanging="269"/>
        <w:spacing w:after="0"/>
        <w:tabs>
          <w:tab w:leader="none" w:pos="26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Form 10-Q of Enphase Energy, Inc.;</w:t>
      </w:r>
    </w:p>
    <w:p>
      <w:pPr>
        <w:spacing w:after="0" w:line="170" w:lineRule="exact"/>
        <w:rPr>
          <w:rFonts w:ascii="Times New Roman" w:cs="Times New Roman" w:eastAsia="Times New Roman" w:hAnsi="Times New Roman"/>
          <w:sz w:val="15"/>
          <w:szCs w:val="15"/>
          <w:color w:val="auto"/>
        </w:rPr>
      </w:pPr>
    </w:p>
    <w:p>
      <w:pPr>
        <w:ind w:left="269" w:right="360" w:hanging="269"/>
        <w:spacing w:after="0" w:line="289" w:lineRule="auto"/>
        <w:tabs>
          <w:tab w:leader="none" w:pos="26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5"/>
          <w:szCs w:val="15"/>
          <w:color w:val="auto"/>
        </w:rPr>
      </w:pPr>
    </w:p>
    <w:p>
      <w:pPr>
        <w:ind w:left="269" w:right="460" w:hanging="269"/>
        <w:spacing w:after="0" w:line="289" w:lineRule="auto"/>
        <w:tabs>
          <w:tab w:leader="none" w:pos="26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spacing w:after="0" w:line="25" w:lineRule="exact"/>
        <w:rPr>
          <w:rFonts w:ascii="Times New Roman" w:cs="Times New Roman" w:eastAsia="Times New Roman" w:hAnsi="Times New Roman"/>
          <w:sz w:val="15"/>
          <w:szCs w:val="15"/>
          <w:color w:val="auto"/>
        </w:rPr>
      </w:pPr>
    </w:p>
    <w:p>
      <w:pPr>
        <w:ind w:left="26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5"/>
          <w:szCs w:val="15"/>
          <w:color w:val="auto"/>
        </w:rPr>
      </w:pPr>
    </w:p>
    <w:p>
      <w:pPr>
        <w:ind w:left="969" w:right="260" w:hanging="283"/>
        <w:spacing w:after="0" w:line="271" w:lineRule="auto"/>
        <w:tabs>
          <w:tab w:leader="none" w:pos="969"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Times New Roman" w:cs="Times New Roman" w:eastAsia="Times New Roman" w:hAnsi="Times New Roman"/>
          <w:sz w:val="15"/>
          <w:szCs w:val="15"/>
          <w:color w:val="auto"/>
        </w:rPr>
      </w:pPr>
    </w:p>
    <w:p>
      <w:pPr>
        <w:jc w:val="both"/>
        <w:ind w:left="969" w:right="60" w:hanging="283"/>
        <w:spacing w:after="0" w:line="271" w:lineRule="auto"/>
        <w:tabs>
          <w:tab w:leader="none" w:pos="969"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Times New Roman" w:cs="Times New Roman" w:eastAsia="Times New Roman" w:hAnsi="Times New Roman"/>
          <w:sz w:val="15"/>
          <w:szCs w:val="15"/>
          <w:color w:val="auto"/>
        </w:rPr>
      </w:pPr>
    </w:p>
    <w:p>
      <w:pPr>
        <w:ind w:left="969" w:right="440" w:hanging="283"/>
        <w:spacing w:after="0" w:line="289" w:lineRule="auto"/>
        <w:tabs>
          <w:tab w:leader="none" w:pos="969"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5"/>
          <w:szCs w:val="15"/>
          <w:color w:val="auto"/>
        </w:rPr>
      </w:pPr>
    </w:p>
    <w:p>
      <w:pPr>
        <w:ind w:left="969" w:right="100" w:hanging="283"/>
        <w:spacing w:after="0" w:line="271" w:lineRule="auto"/>
        <w:tabs>
          <w:tab w:leader="none" w:pos="969"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5"/>
          <w:szCs w:val="15"/>
          <w:color w:val="auto"/>
        </w:rPr>
      </w:pPr>
    </w:p>
    <w:p>
      <w:pPr>
        <w:ind w:left="269" w:right="340" w:hanging="269"/>
        <w:spacing w:after="0" w:line="289" w:lineRule="auto"/>
        <w:tabs>
          <w:tab w:leader="none" w:pos="26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Times New Roman" w:cs="Times New Roman" w:eastAsia="Times New Roman" w:hAnsi="Times New Roman"/>
          <w:sz w:val="15"/>
          <w:szCs w:val="15"/>
          <w:color w:val="auto"/>
        </w:rPr>
      </w:pPr>
    </w:p>
    <w:p>
      <w:pPr>
        <w:ind w:left="969" w:right="220" w:hanging="283"/>
        <w:spacing w:after="0" w:line="289" w:lineRule="auto"/>
        <w:tabs>
          <w:tab w:leader="none" w:pos="969"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5"/>
          <w:szCs w:val="15"/>
          <w:color w:val="auto"/>
        </w:rPr>
      </w:pPr>
    </w:p>
    <w:p>
      <w:pPr>
        <w:ind w:left="9" w:right="220" w:firstLine="677"/>
        <w:spacing w:after="0" w:line="384" w:lineRule="auto"/>
        <w:tabs>
          <w:tab w:leader="none" w:pos="968"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 Date: May 6, 2015</w:t>
      </w:r>
    </w:p>
    <w:p>
      <w:pPr>
        <w:spacing w:after="0" w:line="236"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30480</wp:posOffset>
            </wp:positionV>
            <wp:extent cx="26835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3510" cy="6985"/>
                    </a:xfrm>
                    <a:prstGeom prst="rect">
                      <a:avLst/>
                    </a:prstGeom>
                    <a:noFill/>
                  </pic:spPr>
                </pic:pic>
              </a:graphicData>
            </a:graphic>
          </wp:anchor>
        </w:drawing>
      </w:r>
    </w:p>
    <w:p>
      <w:pPr>
        <w:spacing w:after="0" w:line="47"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Paul B. Nahi</w:t>
      </w:r>
    </w:p>
    <w:p>
      <w:pPr>
        <w:spacing w:after="0" w:line="56"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56"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(Principal Executive Officer)</w:t>
      </w:r>
    </w:p>
    <w:p>
      <w:pPr>
        <w:sectPr>
          <w:pgSz w:w="11900" w:h="16838" w:orient="portrait"/>
          <w:cols w:equalWidth="0" w:num="1">
            <w:col w:w="11449"/>
          </w:cols>
          <w:pgMar w:left="231" w:top="806" w:right="2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7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u w:val="single" w:color="auto"/>
          <w:color w:val="auto"/>
        </w:rPr>
        <w:t>CERTIFICATION</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Kris Sennesael, certify that:</w:t>
      </w:r>
    </w:p>
    <w:p>
      <w:pPr>
        <w:spacing w:after="0" w:line="170" w:lineRule="exact"/>
        <w:rPr>
          <w:sz w:val="20"/>
          <w:szCs w:val="20"/>
          <w:color w:val="auto"/>
        </w:rPr>
      </w:pPr>
    </w:p>
    <w:p>
      <w:pPr>
        <w:ind w:left="269" w:hanging="269"/>
        <w:spacing w:after="0"/>
        <w:tabs>
          <w:tab w:leader="none" w:pos="269"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Form 10-Q of Enphase Energy, Inc.;</w:t>
      </w:r>
    </w:p>
    <w:p>
      <w:pPr>
        <w:spacing w:after="0" w:line="170" w:lineRule="exact"/>
        <w:rPr>
          <w:rFonts w:ascii="Times New Roman" w:cs="Times New Roman" w:eastAsia="Times New Roman" w:hAnsi="Times New Roman"/>
          <w:sz w:val="15"/>
          <w:szCs w:val="15"/>
          <w:color w:val="auto"/>
        </w:rPr>
      </w:pPr>
    </w:p>
    <w:p>
      <w:pPr>
        <w:ind w:left="269" w:right="360" w:hanging="269"/>
        <w:spacing w:after="0" w:line="289" w:lineRule="auto"/>
        <w:tabs>
          <w:tab w:leader="none" w:pos="269"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5"/>
          <w:szCs w:val="15"/>
          <w:color w:val="auto"/>
        </w:rPr>
      </w:pPr>
    </w:p>
    <w:p>
      <w:pPr>
        <w:ind w:left="269" w:right="460" w:hanging="269"/>
        <w:spacing w:after="0" w:line="289" w:lineRule="auto"/>
        <w:tabs>
          <w:tab w:leader="none" w:pos="269"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spacing w:after="0" w:line="25" w:lineRule="exact"/>
        <w:rPr>
          <w:rFonts w:ascii="Times New Roman" w:cs="Times New Roman" w:eastAsia="Times New Roman" w:hAnsi="Times New Roman"/>
          <w:sz w:val="15"/>
          <w:szCs w:val="15"/>
          <w:color w:val="auto"/>
        </w:rPr>
      </w:pPr>
    </w:p>
    <w:p>
      <w:pPr>
        <w:ind w:left="26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5"/>
          <w:szCs w:val="15"/>
          <w:color w:val="auto"/>
        </w:rPr>
      </w:pPr>
    </w:p>
    <w:p>
      <w:pPr>
        <w:ind w:left="969" w:right="260" w:hanging="283"/>
        <w:spacing w:after="0" w:line="271" w:lineRule="auto"/>
        <w:tabs>
          <w:tab w:leader="none" w:pos="969"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Times New Roman" w:cs="Times New Roman" w:eastAsia="Times New Roman" w:hAnsi="Times New Roman"/>
          <w:sz w:val="15"/>
          <w:szCs w:val="15"/>
          <w:color w:val="auto"/>
        </w:rPr>
      </w:pPr>
    </w:p>
    <w:p>
      <w:pPr>
        <w:jc w:val="both"/>
        <w:ind w:left="969" w:right="60" w:hanging="283"/>
        <w:spacing w:after="0" w:line="271" w:lineRule="auto"/>
        <w:tabs>
          <w:tab w:leader="none" w:pos="969"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Times New Roman" w:cs="Times New Roman" w:eastAsia="Times New Roman" w:hAnsi="Times New Roman"/>
          <w:sz w:val="15"/>
          <w:szCs w:val="15"/>
          <w:color w:val="auto"/>
        </w:rPr>
      </w:pPr>
    </w:p>
    <w:p>
      <w:pPr>
        <w:ind w:left="969" w:right="440" w:hanging="283"/>
        <w:spacing w:after="0" w:line="289" w:lineRule="auto"/>
        <w:tabs>
          <w:tab w:leader="none" w:pos="969"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5"/>
          <w:szCs w:val="15"/>
          <w:color w:val="auto"/>
        </w:rPr>
      </w:pPr>
    </w:p>
    <w:p>
      <w:pPr>
        <w:ind w:left="969" w:right="100" w:hanging="283"/>
        <w:spacing w:after="0" w:line="271" w:lineRule="auto"/>
        <w:tabs>
          <w:tab w:leader="none" w:pos="969"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5"/>
          <w:szCs w:val="15"/>
          <w:color w:val="auto"/>
        </w:rPr>
      </w:pPr>
    </w:p>
    <w:p>
      <w:pPr>
        <w:ind w:left="269" w:right="340" w:hanging="269"/>
        <w:spacing w:after="0" w:line="289" w:lineRule="auto"/>
        <w:tabs>
          <w:tab w:leader="none" w:pos="269"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Times New Roman" w:cs="Times New Roman" w:eastAsia="Times New Roman" w:hAnsi="Times New Roman"/>
          <w:sz w:val="15"/>
          <w:szCs w:val="15"/>
          <w:color w:val="auto"/>
        </w:rPr>
      </w:pPr>
    </w:p>
    <w:p>
      <w:pPr>
        <w:ind w:left="969" w:right="220" w:hanging="283"/>
        <w:spacing w:after="0" w:line="289" w:lineRule="auto"/>
        <w:tabs>
          <w:tab w:leader="none" w:pos="969"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5"/>
          <w:szCs w:val="15"/>
          <w:color w:val="auto"/>
        </w:rPr>
      </w:pPr>
    </w:p>
    <w:p>
      <w:pPr>
        <w:ind w:left="9" w:right="220" w:firstLine="677"/>
        <w:spacing w:after="0" w:line="384" w:lineRule="auto"/>
        <w:tabs>
          <w:tab w:leader="none" w:pos="968"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 Date: May 6, 2015</w:t>
      </w:r>
    </w:p>
    <w:p>
      <w:pPr>
        <w:spacing w:after="0" w:line="236"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30480</wp:posOffset>
            </wp:positionV>
            <wp:extent cx="26835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3510" cy="6985"/>
                    </a:xfrm>
                    <a:prstGeom prst="rect">
                      <a:avLst/>
                    </a:prstGeom>
                    <a:noFill/>
                  </pic:spPr>
                </pic:pic>
              </a:graphicData>
            </a:graphic>
          </wp:anchor>
        </w:drawing>
      </w:r>
    </w:p>
    <w:p>
      <w:pPr>
        <w:spacing w:after="0" w:line="47"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Kris Sennesael</w:t>
      </w:r>
    </w:p>
    <w:p>
      <w:pPr>
        <w:spacing w:after="0" w:line="56"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Vice President and Chief Financial Officer</w:t>
      </w:r>
    </w:p>
    <w:p>
      <w:pPr>
        <w:spacing w:after="0" w:line="56" w:lineRule="exact"/>
        <w:rPr>
          <w:sz w:val="20"/>
          <w:szCs w:val="20"/>
          <w:color w:val="auto"/>
        </w:rPr>
      </w:pPr>
    </w:p>
    <w:p>
      <w:pPr>
        <w:ind w:left="7249"/>
        <w:spacing w:after="0"/>
        <w:rPr>
          <w:sz w:val="20"/>
          <w:szCs w:val="20"/>
          <w:color w:val="auto"/>
        </w:rPr>
      </w:pPr>
      <w:r>
        <w:rPr>
          <w:rFonts w:ascii="Times New Roman" w:cs="Times New Roman" w:eastAsia="Times New Roman" w:hAnsi="Times New Roman"/>
          <w:sz w:val="15"/>
          <w:szCs w:val="15"/>
          <w:color w:val="auto"/>
        </w:rPr>
        <w:t>(Principal Financial Officer)</w:t>
      </w:r>
    </w:p>
    <w:p>
      <w:pPr>
        <w:sectPr>
          <w:pgSz w:w="11900" w:h="16838" w:orient="portrait"/>
          <w:cols w:equalWidth="0" w:num="1">
            <w:col w:w="11449"/>
          </w:cols>
          <w:pgMar w:left="231" w:top="806" w:right="2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7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w:t>
      </w:r>
    </w:p>
    <w:p>
      <w:pPr>
        <w:spacing w:after="0" w:line="151" w:lineRule="exact"/>
        <w:rPr>
          <w:sz w:val="20"/>
          <w:szCs w:val="20"/>
          <w:color w:val="auto"/>
        </w:rPr>
      </w:pPr>
    </w:p>
    <w:p>
      <w:pPr>
        <w:jc w:val="both"/>
        <w:ind w:left="9" w:right="440"/>
        <w:spacing w:after="0" w:line="271" w:lineRule="auto"/>
        <w:rPr>
          <w:sz w:val="20"/>
          <w:szCs w:val="20"/>
          <w:color w:val="auto"/>
        </w:rPr>
      </w:pPr>
      <w:r>
        <w:rPr>
          <w:rFonts w:ascii="Times New Roman" w:cs="Times New Roman" w:eastAsia="Times New Roman" w:hAnsi="Times New Roman"/>
          <w:sz w:val="15"/>
          <w:szCs w:val="15"/>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24" w:lineRule="exact"/>
        <w:rPr>
          <w:sz w:val="20"/>
          <w:szCs w:val="20"/>
          <w:color w:val="auto"/>
        </w:rPr>
      </w:pPr>
    </w:p>
    <w:p>
      <w:pPr>
        <w:ind w:left="9" w:right="40" w:hanging="9"/>
        <w:spacing w:after="0" w:line="289" w:lineRule="auto"/>
        <w:tabs>
          <w:tab w:leader="none" w:pos="161" w:val="left"/>
        </w:tabs>
        <w:numPr>
          <w:ilvl w:val="0"/>
          <w:numId w:val="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Quarterly Report on Form 10-Q for the period ended March 31, 2015, to which this Certification is attached as Exhibit 32.1 (the “Periodic Report”), fully complies with the requirements of Section 13(a) or Section 15(d) of the Exchange Act; and</w:t>
      </w:r>
    </w:p>
    <w:p>
      <w:pPr>
        <w:spacing w:after="0" w:line="110" w:lineRule="exact"/>
        <w:rPr>
          <w:rFonts w:ascii="Times New Roman" w:cs="Times New Roman" w:eastAsia="Times New Roman" w:hAnsi="Times New Roman"/>
          <w:sz w:val="15"/>
          <w:szCs w:val="15"/>
          <w:b w:val="1"/>
          <w:bCs w:val="1"/>
          <w:color w:val="auto"/>
        </w:rPr>
      </w:pPr>
    </w:p>
    <w:p>
      <w:pPr>
        <w:ind w:left="149" w:hanging="149"/>
        <w:spacing w:after="0"/>
        <w:tabs>
          <w:tab w:leader="none" w:pos="149" w:val="left"/>
        </w:tabs>
        <w:numPr>
          <w:ilvl w:val="0"/>
          <w:numId w:val="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 xml:space="preserve">In Witness Whereof, </w:t>
      </w:r>
      <w:r>
        <w:rPr>
          <w:rFonts w:ascii="Times New Roman" w:cs="Times New Roman" w:eastAsia="Times New Roman" w:hAnsi="Times New Roman"/>
          <w:sz w:val="15"/>
          <w:szCs w:val="15"/>
          <w:color w:val="auto"/>
        </w:rPr>
        <w:t>the undersigned have set their hands hereto as of the 6th day of May,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 Paul B. Nahi</w:t>
            </w:r>
          </w:p>
        </w:tc>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Kris Sennesael</w:t>
            </w:r>
          </w:p>
        </w:tc>
      </w:tr>
      <w:tr>
        <w:trPr>
          <w:trHeight w:val="23"/>
        </w:trPr>
        <w:tc>
          <w:tcPr>
            <w:tcW w:w="5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r>
      <w:tr>
        <w:trPr>
          <w:trHeight w:val="197"/>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Paul B. Nahi</w:t>
            </w:r>
          </w:p>
        </w:tc>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Kris Sennesael</w:t>
            </w:r>
          </w:p>
        </w:tc>
      </w:tr>
      <w:tr>
        <w:trPr>
          <w:trHeight w:val="25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President and Chief Executive Officer</w:t>
            </w:r>
          </w:p>
        </w:tc>
        <w:tc>
          <w:tcPr>
            <w:tcW w:w="5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Vice President and Chief Financial Officer</w:t>
            </w:r>
          </w:p>
        </w:tc>
      </w:tr>
    </w:tbl>
    <w:p>
      <w:pPr>
        <w:spacing w:after="0" w:line="145" w:lineRule="exact"/>
        <w:rPr>
          <w:sz w:val="20"/>
          <w:szCs w:val="20"/>
          <w:color w:val="auto"/>
        </w:rPr>
      </w:pPr>
    </w:p>
    <w:p>
      <w:pPr>
        <w:ind w:left="9" w:right="200"/>
        <w:spacing w:after="0" w:line="271" w:lineRule="auto"/>
        <w:rPr>
          <w:sz w:val="20"/>
          <w:szCs w:val="20"/>
          <w:color w:val="auto"/>
        </w:rPr>
      </w:pPr>
      <w:r>
        <w:rPr>
          <w:rFonts w:ascii="Times New Roman" w:cs="Times New Roman" w:eastAsia="Times New Roman" w:hAnsi="Times New Roman"/>
          <w:sz w:val="15"/>
          <w:szCs w:val="15"/>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49"/>
      </w:cols>
      <w:pgMar w:left="231" w:top="80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22">
    <w:nsid w:val="374A3FE6"/>
    <w:multiLevelType w:val="hybridMultilevel"/>
    <w:lvl w:ilvl="0">
      <w:lvlJc w:val="left"/>
      <w:lvlText w:val="%1"/>
      <w:numFmt w:val="decimal"/>
      <w:start w:val="1"/>
    </w:lvl>
    <w:lvl w:ilvl="1">
      <w:lvlJc w:val="left"/>
      <w:lvlText w:val="%2."/>
      <w:numFmt w:val="lowerLetter"/>
      <w:start w:val="11"/>
    </w:lvl>
  </w:abstractNum>
  <w:abstractNum w:abstractNumId="23">
    <w:nsid w:val="4F4EF005"/>
    <w:multiLevelType w:val="hybridMultilevel"/>
    <w:lvl w:ilvl="0">
      <w:lvlJc w:val="left"/>
      <w:lvlText w:val="%1."/>
      <w:numFmt w:val="decimal"/>
      <w:start w:val="3"/>
    </w:lvl>
    <w:lvl w:ilvl="1">
      <w:lvlJc w:val="left"/>
      <w:lvlText w:val="%2"/>
      <w:numFmt w:val="lowerLetter"/>
      <w:start w:val="1"/>
    </w:lvl>
  </w:abstractNum>
  <w:abstractNum w:abstractNumId="24">
    <w:nsid w:val="23F9C13C"/>
    <w:multiLevelType w:val="hybridMultilevel"/>
    <w:lvl w:ilvl="0">
      <w:lvlJc w:val="left"/>
      <w:lvlText w:val="%1."/>
      <w:numFmt w:val="lowerLetter"/>
      <w:start w:val="3"/>
    </w:lvl>
  </w:abstractNum>
  <w:abstractNum w:abstractNumId="25">
    <w:nsid w:val="649BB77C"/>
    <w:multiLevelType w:val="hybridMultilevel"/>
    <w:lvl w:ilvl="0">
      <w:lvlJc w:val="left"/>
      <w:lvlText w:val="%1"/>
      <w:numFmt w:val="lowerLetter"/>
      <w:start w:val="1"/>
    </w:lvl>
    <w:lvl w:ilvl="1">
      <w:lvlJc w:val="left"/>
      <w:lvlText w:val="•"/>
      <w:numFmt w:val="bullet"/>
      <w:start w:val="1"/>
    </w:lvl>
  </w:abstractNum>
  <w:abstractNum w:abstractNumId="26">
    <w:nsid w:val="275AC794"/>
    <w:multiLevelType w:val="hybridMultilevel"/>
    <w:lvl w:ilvl="0">
      <w:lvlJc w:val="left"/>
      <w:lvlText w:val="%1"/>
      <w:numFmt w:val="lowerLetter"/>
      <w:start w:val="1"/>
    </w:lvl>
    <w:lvl w:ilvl="1">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lowerRoman"/>
    </w:lvl>
    <w:lvl w:ilvl="1">
      <w:lvlJc w:val="left"/>
      <w:lvlText w:val="•"/>
      <w:numFmt w:val="bullet"/>
      <w:start w:val="1"/>
    </w:lvl>
  </w:abstractNum>
  <w:abstractNum w:abstractNumId="31">
    <w:nsid w:val="47398C8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2">
    <w:nsid w:val="354FE9F9"/>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33">
    <w:nsid w:val="15B5AF5C"/>
    <w:multiLevelType w:val="hybridMultilevel"/>
    <w:lvl w:ilvl="0">
      <w:lvlJc w:val="left"/>
      <w:lvlText w:val="%1."/>
      <w:numFmt w:val="lowerLetter"/>
      <w:start w:val="10"/>
    </w:lvl>
    <w:lvl w:ilvl="1">
      <w:lvlJc w:val="left"/>
      <w:lvlText w:val="%2"/>
      <w:numFmt w:val="decimal"/>
      <w:start w:val="1"/>
    </w:lvl>
    <w:lvl w:ilvl="2">
      <w:lvlJc w:val="left"/>
      <w:lvlText w:val="%3"/>
      <w:numFmt w:val="decimal"/>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1."/>
      <w:numFmt w:val="decimal"/>
      <w:start w:val="5"/>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Letter"/>
      <w:start w:val="3"/>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lowerLetter"/>
      <w:start w:val="1"/>
    </w:lvl>
    <w:lvl w:ilvl="1">
      <w:lvlJc w:val="left"/>
      <w:lvlText w:val="%2)"/>
      <w:numFmt w:val="decimal"/>
      <w:start w:val="4"/>
    </w:lvl>
  </w:abstractNum>
  <w:abstractNum w:abstractNumId="40">
    <w:nsid w:val="77AE35EB"/>
    <w:multiLevelType w:val="hybridMultilevel"/>
    <w:lvl w:ilvl="0">
      <w:lvlJc w:val="left"/>
      <w:lvlText w:val="%1."/>
      <w:numFmt w:val="lowerLetter"/>
      <w:start w:val="6"/>
    </w:lvl>
    <w:lvl w:ilvl="1">
      <w:lvlJc w:val="left"/>
      <w:lvlText w:val="%2)"/>
      <w:numFmt w:val="decimal"/>
      <w:start w:val="1"/>
    </w:lvl>
  </w:abstractNum>
  <w:abstractNum w:abstractNumId="41">
    <w:nsid w:val="579BE4F1"/>
    <w:multiLevelType w:val="hybridMultilevel"/>
    <w:lvl w:ilvl="0">
      <w:lvlJc w:val="left"/>
      <w:lvlText w:val="%1)"/>
      <w:numFmt w:val="decimal"/>
      <w:start w:val="2"/>
    </w:lvl>
  </w:abstractNum>
  <w:abstractNum w:abstractNumId="42">
    <w:nsid w:val="310C50B3"/>
    <w:multiLevelType w:val="hybridMultilevel"/>
    <w:lvl w:ilvl="0">
      <w:lvlJc w:val="left"/>
      <w:lvlText w:val="%1"/>
      <w:numFmt w:val="decimal"/>
      <w:start w:val="1"/>
    </w:lvl>
    <w:lvl w:ilvl="1">
      <w:lvlJc w:val="left"/>
      <w:lvlText w:val="%2)"/>
      <w:numFmt w:val="decimal"/>
      <w:start w:val="5"/>
    </w:lvl>
  </w:abstractNum>
  <w:abstractNum w:abstractNumId="43">
    <w:nsid w:val="5FF87E05"/>
    <w:multiLevelType w:val="hybridMultilevel"/>
    <w:lvl w:ilvl="0">
      <w:lvlJc w:val="left"/>
      <w:lvlText w:val="%1."/>
      <w:numFmt w:val="decimal"/>
      <w:start w:val="6"/>
    </w:lvl>
    <w:lvl w:ilvl="1">
      <w:lvlJc w:val="left"/>
      <w:lvlText w:val="%2"/>
      <w:numFmt w:val="decimal"/>
      <w:start w:val="1"/>
    </w:lvl>
  </w:abstractNum>
  <w:abstractNum w:abstractNumId="44">
    <w:nsid w:val="2F305DEF"/>
    <w:multiLevelType w:val="hybridMultilevel"/>
    <w:lvl w:ilvl="0">
      <w:lvlJc w:val="left"/>
      <w:lvlText w:val="%1."/>
      <w:numFmt w:val="decimal"/>
      <w:start w:val="7"/>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lowerRoman"/>
      <w:start w:val="1"/>
    </w:lvl>
    <w:lvl w:ilvl="1">
      <w:lvlJc w:val="left"/>
      <w:lvlText w:val="%2)"/>
      <w:numFmt w:val="lowerRoman"/>
      <w:start w:val="2"/>
    </w:lvl>
  </w:abstractNum>
  <w:abstractNum w:abstractNumId="47">
    <w:nsid w:val="4AD084E9"/>
    <w:multiLevelType w:val="hybridMultilevel"/>
    <w:lvl w:ilvl="0">
      <w:lvlJc w:val="left"/>
      <w:lvlText w:val="%1."/>
      <w:numFmt w:val="lowerLetter"/>
      <w:start w:val="3"/>
    </w:lvl>
  </w:abstractNum>
  <w:abstractNum w:abstractNumId="48">
    <w:nsid w:val="1F48EAA1"/>
    <w:multiLevelType w:val="hybridMultilevel"/>
    <w:lvl w:ilvl="0">
      <w:lvlJc w:val="left"/>
      <w:lvlText w:val="%1."/>
      <w:numFmt w:val="lowerLetter"/>
      <w:start w:val="5"/>
    </w:lvl>
  </w:abstractNum>
  <w:abstractNum w:abstractNumId="49">
    <w:nsid w:val="1381823A"/>
    <w:multiLevelType w:val="hybridMultilevel"/>
    <w:lvl w:ilvl="0">
      <w:lvlJc w:val="left"/>
      <w:lvlText w:val="%1"/>
      <w:numFmt w:val="lowerLetter"/>
      <w:start w:val="1"/>
    </w:lvl>
    <w:lvl w:ilvl="1">
      <w:lvlJc w:val="left"/>
      <w:lvlText w:val="(%2)"/>
      <w:numFmt w:val="lowerLetter"/>
      <w:start w:val="3"/>
    </w:lvl>
  </w:abstractNum>
  <w:abstractNum w:abstractNumId="50">
    <w:nsid w:val="5DB70AE5"/>
    <w:multiLevelType w:val="hybridMultilevel"/>
    <w:lvl w:ilvl="0">
      <w:lvlJc w:val="left"/>
      <w:lvlText w:val="%1."/>
      <w:numFmt w:val="lowerLetter"/>
      <w:start w:val="6"/>
    </w:lvl>
    <w:lvl w:ilvl="1">
      <w:lvlJc w:val="left"/>
      <w:lvlText w:val="%2"/>
      <w:numFmt w:val="lowerLetter"/>
      <w:start w:val="1"/>
    </w:lvl>
  </w:abstractNum>
  <w:abstractNum w:abstractNumId="51">
    <w:nsid w:val="100F8FCA"/>
    <w:multiLevelType w:val="hybridMultilevel"/>
    <w:lvl w:ilvl="0">
      <w:lvlJc w:val="left"/>
      <w:lvlText w:val="%1."/>
      <w:numFmt w:val="lowerLetter"/>
      <w:start w:val="11"/>
    </w:lvl>
  </w:abstractNum>
  <w:abstractNum w:abstractNumId="52">
    <w:nsid w:val="6590700B"/>
    <w:multiLevelType w:val="hybridMultilevel"/>
    <w:lvl w:ilvl="0">
      <w:lvlJc w:val="left"/>
      <w:lvlText w:val="%1."/>
      <w:numFmt w:val="lowerLetter"/>
      <w:start w:val="12"/>
    </w:lvl>
  </w:abstractNum>
  <w:abstractNum w:abstractNumId="53">
    <w:nsid w:val="15014ACB"/>
    <w:multiLevelType w:val="hybridMultilevel"/>
    <w:lvl w:ilvl="0">
      <w:lvlJc w:val="left"/>
      <w:lvlText w:val="%1."/>
      <w:numFmt w:val="lowerLetter"/>
      <w:start w:val="14"/>
    </w:lvl>
  </w:abstractNum>
  <w:abstractNum w:abstractNumId="54">
    <w:nsid w:val="5F5E7FD0"/>
    <w:multiLevelType w:val="hybridMultilevel"/>
    <w:lvl w:ilvl="0">
      <w:lvlJc w:val="left"/>
      <w:lvlText w:val="%1."/>
      <w:numFmt w:val="lowerLetter"/>
      <w:start w:val="17"/>
    </w:lvl>
  </w:abstractNum>
  <w:abstractNum w:abstractNumId="55">
    <w:nsid w:val="98A3148"/>
    <w:multiLevelType w:val="hybridMultilevel"/>
    <w:lvl w:ilvl="0">
      <w:lvlJc w:val="left"/>
      <w:lvlText w:val="&lt;&lt;"/>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upperLetter"/>
      <w:start w:val="1"/>
    </w:lvl>
  </w:abstractNum>
  <w:abstractNum w:abstractNumId="58">
    <w:nsid w:val="42C296BD"/>
    <w:multiLevelType w:val="hybridMultilevel"/>
    <w:lvl w:ilvl="0">
      <w:lvlJc w:val="left"/>
      <w:lvlText w:val="%1."/>
      <w:numFmt w:val="decimal"/>
      <w:start w:val="1"/>
    </w:lvl>
    <w:lvl w:ilvl="1">
      <w:lvlJc w:val="left"/>
      <w:lvlText w:val="(%2)"/>
      <w:numFmt w:val="lowerLetter"/>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decimal"/>
      <w:start w:val="1"/>
    </w:lvl>
    <w:lvl w:ilvl="1">
      <w:lvlJc w:val="left"/>
      <w:lvlText w:val="(%2)"/>
      <w:numFmt w:val="lowerLetter"/>
      <w:start w:val="2"/>
    </w:lvl>
  </w:abstractNum>
  <w:abstractNum w:abstractNumId="61">
    <w:nsid w:val="661E3F1E"/>
    <w:multiLevelType w:val="hybridMultilevel"/>
    <w:lvl w:ilvl="0">
      <w:lvlJc w:val="left"/>
      <w:lvlText w:val="%1."/>
      <w:numFmt w:val="decimal"/>
      <w:start w:val="3"/>
    </w:lvl>
    <w:lvl w:ilvl="1">
      <w:lvlJc w:val="left"/>
      <w:lvlText w:val="%2"/>
      <w:numFmt w:val="lowerLetter"/>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10"/>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upperLetter"/>
      <w:start w:val="1"/>
    </w:lvl>
  </w:abstractNum>
  <w:abstractNum w:abstractNumId="72">
    <w:nsid w:val="1A32234B"/>
    <w:multiLevelType w:val="hybridMultilevel"/>
    <w:lvl w:ilvl="0">
      <w:lvlJc w:val="left"/>
      <w:lvlText w:val="%1."/>
      <w:numFmt w:val="upperLetter"/>
      <w:start w:val="2"/>
    </w:lvl>
  </w:abstractNum>
  <w:abstractNum w:abstractNumId="73">
    <w:nsid w:val="3B0FD379"/>
    <w:multiLevelType w:val="hybridMultilevel"/>
    <w:lvl w:ilvl="0">
      <w:lvlJc w:val="left"/>
      <w:lvlText w:val="%1."/>
      <w:numFmt w:val="upperLetter"/>
      <w:start w:val="3"/>
    </w:lvl>
    <w:lvl w:ilvl="1">
      <w:lvlJc w:val="left"/>
      <w:lvlText w:val="(%2)"/>
      <w:numFmt w:val="lowerLetter"/>
      <w:start w:val="19"/>
    </w:lvl>
  </w:abstractNum>
  <w:abstractNum w:abstractNumId="74">
    <w:nsid w:val="68EB2F63"/>
    <w:multiLevelType w:val="hybridMultilevel"/>
    <w:lvl w:ilvl="0">
      <w:lvlJc w:val="left"/>
      <w:lvlText w:val="(%1)"/>
      <w:numFmt w:val="lowerRoman"/>
      <w:start w:val="1"/>
    </w:lvl>
  </w:abstractNum>
  <w:abstractNum w:abstractNumId="75">
    <w:nsid w:val="4962813B"/>
    <w:multiLevelType w:val="hybridMultilevel"/>
    <w:lvl w:ilvl="0">
      <w:lvlJc w:val="left"/>
      <w:lvlText w:val="%1."/>
      <w:numFmt w:val="upperLetter"/>
      <w:start w:val="1"/>
    </w:lvl>
  </w:abstractNum>
  <w:abstractNum w:abstractNumId="76">
    <w:nsid w:val="60B6DF70"/>
    <w:multiLevelType w:val="hybridMultilevel"/>
    <w:lvl w:ilvl="0">
      <w:lvlJc w:val="left"/>
      <w:lvlText w:val="(%1)"/>
      <w:numFmt w:val="lowerRoman"/>
      <w:start w:val="1"/>
    </w:lvl>
  </w:abstractNum>
  <w:abstractNum w:abstractNumId="77">
    <w:nsid w:val="6A5EE64"/>
    <w:multiLevelType w:val="hybridMultilevel"/>
    <w:lvl w:ilvl="0">
      <w:lvlJc w:val="left"/>
      <w:lvlText w:val="%1"/>
      <w:numFmt w:val="lowerRoman"/>
      <w:start w:val="1"/>
    </w:lvl>
    <w:lvl w:ilvl="1">
      <w:lvlJc w:val="left"/>
      <w:lvlText w:val="%2."/>
      <w:numFmt w:val="upperLetter"/>
      <w:start w:val="4"/>
    </w:lvl>
  </w:abstractNum>
  <w:abstractNum w:abstractNumId="78">
    <w:nsid w:val="14330624"/>
    <w:multiLevelType w:val="hybridMultilevel"/>
    <w:lvl w:ilvl="0">
      <w:lvlJc w:val="left"/>
      <w:lvlText w:val="(%1)"/>
      <w:numFmt w:val="lowerRoman"/>
      <w:start w:val="1"/>
    </w:lvl>
    <w:lvl w:ilvl="1">
      <w:lvlJc w:val="left"/>
      <w:lvlText w:val="%2."/>
      <w:numFmt w:val="upperLetter"/>
      <w:start w:val="5"/>
    </w:lvl>
  </w:abstractNum>
  <w:abstractNum w:abstractNumId="79">
    <w:nsid w:val="7FFFCA11"/>
    <w:multiLevelType w:val="hybridMultilevel"/>
    <w:lvl w:ilvl="0">
      <w:lvlJc w:val="left"/>
      <w:lvlText w:val="%1."/>
      <w:numFmt w:val="upperLetter"/>
      <w:start w:val="6"/>
    </w:lvl>
  </w:abstractNum>
  <w:abstractNum w:abstractNumId="80">
    <w:nsid w:val="1A27709E"/>
    <w:multiLevelType w:val="hybridMultilevel"/>
    <w:lvl w:ilvl="0">
      <w:lvlJc w:val="left"/>
      <w:lvlText w:val="(%1)"/>
      <w:numFmt w:val="lowerRoman"/>
      <w:start w:val="1"/>
    </w:lvl>
  </w:abstractNum>
  <w:abstractNum w:abstractNumId="81">
    <w:nsid w:val="71EA1109"/>
    <w:multiLevelType w:val="hybridMultilevel"/>
    <w:lvl w:ilvl="0">
      <w:lvlJc w:val="left"/>
      <w:lvlText w:val="%1."/>
      <w:numFmt w:val="upperLetter"/>
      <w:start w:val="2"/>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2019-12-29T16:50:11Z</dcterms:created>
  <dcterms:modified xsi:type="dcterms:W3CDTF">2019-12-29T16:50:11Z</dcterms:modified>
</cp:coreProperties>
</file>