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3760"/>
        <w:spacing w:after="0"/>
        <w:rPr>
          <w:sz w:val="20"/>
          <w:szCs w:val="20"/>
          <w:color w:val="auto"/>
        </w:rPr>
      </w:pPr>
      <w:r>
        <w:rPr>
          <w:rFonts w:ascii="Arial" w:cs="Arial" w:eastAsia="Arial" w:hAnsi="Arial"/>
          <w:sz w:val="18"/>
          <w:szCs w:val="18"/>
          <w:color w:val="auto"/>
        </w:rPr>
        <w:t>____________________________________________</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____________________________________________</w:t>
      </w:r>
    </w:p>
    <w:p>
      <w:pPr>
        <w:spacing w:after="0" w:line="70"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4" w:lineRule="exact"/>
        <w:rPr>
          <w:sz w:val="24"/>
          <w:szCs w:val="24"/>
          <w:color w:val="auto"/>
        </w:rPr>
      </w:pPr>
    </w:p>
    <w:p>
      <w:pPr>
        <w:ind w:left="720" w:right="200" w:hanging="685"/>
        <w:spacing w:after="0" w:line="254"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80" w:hanging="685"/>
        <w:spacing w:after="0" w:line="254"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ind w:left="38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 w:lineRule="exact"/>
        <w:rPr>
          <w:sz w:val="24"/>
          <w:szCs w:val="24"/>
          <w:color w:val="auto"/>
        </w:rPr>
      </w:pPr>
    </w:p>
    <w:tbl>
      <w:tblPr>
        <w:tblLayout w:type="fixed"/>
        <w:tblInd w:w="1560" w:type="dxa"/>
        <w:tblCellMar>
          <w:top w:w="0" w:type="dxa"/>
          <w:left w:w="0" w:type="dxa"/>
          <w:bottom w:w="0" w:type="dxa"/>
          <w:right w:w="0" w:type="dxa"/>
        </w:tblCellMar>
      </w:tblPr>
      <w:tr>
        <w:trPr>
          <w:trHeight w:val="207"/>
        </w:trPr>
        <w:tc>
          <w:tcPr>
            <w:tcW w:w="6320" w:type="dxa"/>
            <w:vAlign w:val="bottom"/>
          </w:tcPr>
          <w:p>
            <w:pPr>
              <w:jc w:val="center"/>
              <w:ind w:left="1886"/>
              <w:spacing w:after="0"/>
              <w:rPr>
                <w:sz w:val="20"/>
                <w:szCs w:val="20"/>
                <w:color w:val="auto"/>
              </w:rPr>
            </w:pPr>
            <w:r>
              <w:rPr>
                <w:rFonts w:ascii="Arial" w:cs="Arial" w:eastAsia="Arial" w:hAnsi="Arial"/>
                <w:sz w:val="18"/>
                <w:szCs w:val="18"/>
                <w:b w:val="1"/>
                <w:bCs w:val="1"/>
                <w:color w:val="auto"/>
                <w:w w:val="91"/>
              </w:rPr>
              <w:t>Commission File Number: 001-35480</w:t>
            </w:r>
          </w:p>
        </w:tc>
        <w:tc>
          <w:tcPr>
            <w:tcW w:w="1300" w:type="dxa"/>
            <w:vAlign w:val="bottom"/>
          </w:tcPr>
          <w:p>
            <w:pPr>
              <w:spacing w:after="0"/>
              <w:rPr>
                <w:sz w:val="17"/>
                <w:szCs w:val="17"/>
                <w:color w:val="auto"/>
              </w:rPr>
            </w:pPr>
          </w:p>
        </w:tc>
      </w:tr>
      <w:tr>
        <w:trPr>
          <w:trHeight w:val="187"/>
        </w:trPr>
        <w:tc>
          <w:tcPr>
            <w:tcW w:w="6320" w:type="dxa"/>
            <w:vAlign w:val="bottom"/>
          </w:tcPr>
          <w:p>
            <w:pPr>
              <w:jc w:val="center"/>
              <w:ind w:left="1946"/>
              <w:spacing w:after="0" w:line="187" w:lineRule="exact"/>
              <w:rPr>
                <w:sz w:val="20"/>
                <w:szCs w:val="20"/>
                <w:color w:val="auto"/>
              </w:rPr>
            </w:pPr>
            <w:r>
              <w:rPr>
                <w:rFonts w:ascii="Arial" w:cs="Arial" w:eastAsia="Arial" w:hAnsi="Arial"/>
                <w:sz w:val="18"/>
                <w:szCs w:val="18"/>
                <w:color w:val="auto"/>
                <w:w w:val="89"/>
              </w:rPr>
              <w:t>____________________________________________</w:t>
            </w:r>
          </w:p>
        </w:tc>
        <w:tc>
          <w:tcPr>
            <w:tcW w:w="1300" w:type="dxa"/>
            <w:vAlign w:val="bottom"/>
          </w:tcPr>
          <w:p>
            <w:pPr>
              <w:spacing w:after="0"/>
              <w:rPr>
                <w:sz w:val="16"/>
                <w:szCs w:val="16"/>
                <w:color w:val="auto"/>
              </w:rPr>
            </w:pPr>
          </w:p>
        </w:tc>
      </w:tr>
      <w:tr>
        <w:trPr>
          <w:trHeight w:val="565"/>
        </w:trPr>
        <w:tc>
          <w:tcPr>
            <w:tcW w:w="6320" w:type="dxa"/>
            <w:vAlign w:val="bottom"/>
          </w:tcPr>
          <w:p>
            <w:pPr>
              <w:jc w:val="center"/>
              <w:ind w:left="1926"/>
              <w:spacing w:after="0"/>
              <w:rPr>
                <w:sz w:val="20"/>
                <w:szCs w:val="20"/>
                <w:color w:val="auto"/>
              </w:rPr>
            </w:pPr>
            <w:r>
              <w:rPr>
                <w:rFonts w:ascii="Arial" w:cs="Arial" w:eastAsia="Arial" w:hAnsi="Arial"/>
                <w:sz w:val="43"/>
                <w:szCs w:val="43"/>
                <w:b w:val="1"/>
                <w:bCs w:val="1"/>
                <w:color w:val="auto"/>
                <w:w w:val="90"/>
              </w:rPr>
              <w:t>Enphase Energy, Inc.</w:t>
            </w:r>
          </w:p>
        </w:tc>
        <w:tc>
          <w:tcPr>
            <w:tcW w:w="1300" w:type="dxa"/>
            <w:vAlign w:val="bottom"/>
          </w:tcPr>
          <w:p>
            <w:pPr>
              <w:spacing w:after="0"/>
              <w:rPr>
                <w:sz w:val="24"/>
                <w:szCs w:val="24"/>
                <w:color w:val="auto"/>
              </w:rPr>
            </w:pPr>
          </w:p>
        </w:tc>
      </w:tr>
      <w:tr>
        <w:trPr>
          <w:trHeight w:val="274"/>
        </w:trPr>
        <w:tc>
          <w:tcPr>
            <w:tcW w:w="6320" w:type="dxa"/>
            <w:vAlign w:val="bottom"/>
          </w:tcPr>
          <w:p>
            <w:pPr>
              <w:jc w:val="center"/>
              <w:ind w:left="1886"/>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300" w:type="dxa"/>
            <w:vAlign w:val="bottom"/>
          </w:tcPr>
          <w:p>
            <w:pPr>
              <w:spacing w:after="0"/>
              <w:rPr>
                <w:sz w:val="23"/>
                <w:szCs w:val="23"/>
                <w:color w:val="auto"/>
              </w:rPr>
            </w:pPr>
          </w:p>
        </w:tc>
      </w:tr>
      <w:tr>
        <w:trPr>
          <w:trHeight w:val="230"/>
        </w:trPr>
        <w:tc>
          <w:tcPr>
            <w:tcW w:w="6320" w:type="dxa"/>
            <w:vAlign w:val="bottom"/>
          </w:tcPr>
          <w:p>
            <w:pPr>
              <w:jc w:val="center"/>
              <w:ind w:left="1946"/>
              <w:spacing w:after="0"/>
              <w:rPr>
                <w:sz w:val="20"/>
                <w:szCs w:val="20"/>
                <w:color w:val="auto"/>
              </w:rPr>
            </w:pPr>
            <w:r>
              <w:rPr>
                <w:rFonts w:ascii="Arial" w:cs="Arial" w:eastAsia="Arial" w:hAnsi="Arial"/>
                <w:sz w:val="18"/>
                <w:szCs w:val="18"/>
                <w:color w:val="auto"/>
                <w:w w:val="89"/>
              </w:rPr>
              <w:t>____________________________________________</w:t>
            </w:r>
          </w:p>
        </w:tc>
        <w:tc>
          <w:tcPr>
            <w:tcW w:w="1300" w:type="dxa"/>
            <w:vAlign w:val="bottom"/>
          </w:tcPr>
          <w:p>
            <w:pPr>
              <w:spacing w:after="0"/>
              <w:rPr>
                <w:sz w:val="20"/>
                <w:szCs w:val="20"/>
                <w:color w:val="auto"/>
              </w:rPr>
            </w:pPr>
          </w:p>
        </w:tc>
      </w:tr>
      <w:tr>
        <w:trPr>
          <w:trHeight w:val="328"/>
        </w:trPr>
        <w:tc>
          <w:tcPr>
            <w:tcW w:w="6320" w:type="dxa"/>
            <w:vAlign w:val="bottom"/>
          </w:tcPr>
          <w:p>
            <w:pPr>
              <w:jc w:val="center"/>
              <w:ind w:right="3846"/>
              <w:spacing w:after="0"/>
              <w:rPr>
                <w:sz w:val="20"/>
                <w:szCs w:val="20"/>
                <w:color w:val="auto"/>
              </w:rPr>
            </w:pPr>
            <w:r>
              <w:rPr>
                <w:rFonts w:ascii="Arial" w:cs="Arial" w:eastAsia="Arial" w:hAnsi="Arial"/>
                <w:sz w:val="18"/>
                <w:szCs w:val="18"/>
                <w:b w:val="1"/>
                <w:bCs w:val="1"/>
                <w:color w:val="auto"/>
                <w:w w:val="93"/>
              </w:rPr>
              <w:t>Delaware</w:t>
            </w:r>
          </w:p>
        </w:tc>
        <w:tc>
          <w:tcPr>
            <w:tcW w:w="1300" w:type="dxa"/>
            <w:vAlign w:val="bottom"/>
          </w:tcPr>
          <w:p>
            <w:pPr>
              <w:jc w:val="right"/>
              <w:ind w:right="41"/>
              <w:spacing w:after="0"/>
              <w:rPr>
                <w:sz w:val="20"/>
                <w:szCs w:val="20"/>
                <w:color w:val="auto"/>
              </w:rPr>
            </w:pPr>
            <w:r>
              <w:rPr>
                <w:rFonts w:ascii="Arial" w:cs="Arial" w:eastAsia="Arial" w:hAnsi="Arial"/>
                <w:sz w:val="18"/>
                <w:szCs w:val="18"/>
                <w:b w:val="1"/>
                <w:bCs w:val="1"/>
                <w:color w:val="auto"/>
              </w:rPr>
              <w:t>20-4645388</w:t>
            </w:r>
          </w:p>
        </w:tc>
      </w:tr>
      <w:tr>
        <w:trPr>
          <w:trHeight w:val="149"/>
        </w:trPr>
        <w:tc>
          <w:tcPr>
            <w:tcW w:w="6320" w:type="dxa"/>
            <w:vAlign w:val="bottom"/>
          </w:tcPr>
          <w:p>
            <w:pPr>
              <w:jc w:val="center"/>
              <w:ind w:right="3846"/>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1300" w:type="dxa"/>
            <w:vAlign w:val="bottom"/>
          </w:tcPr>
          <w:p>
            <w:pPr>
              <w:jc w:val="center"/>
              <w:ind w:left="1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320" w:type="dxa"/>
            <w:vAlign w:val="bottom"/>
          </w:tcPr>
          <w:p>
            <w:pPr>
              <w:jc w:val="center"/>
              <w:ind w:right="3846"/>
              <w:spacing w:after="0"/>
              <w:rPr>
                <w:sz w:val="20"/>
                <w:szCs w:val="20"/>
                <w:color w:val="auto"/>
              </w:rPr>
            </w:pPr>
            <w:r>
              <w:rPr>
                <w:rFonts w:ascii="Arial" w:cs="Arial" w:eastAsia="Arial" w:hAnsi="Arial"/>
                <w:sz w:val="14"/>
                <w:szCs w:val="14"/>
                <w:b w:val="1"/>
                <w:bCs w:val="1"/>
                <w:color w:val="auto"/>
                <w:w w:val="93"/>
              </w:rPr>
              <w:t>incorporation or organization)</w:t>
            </w:r>
          </w:p>
        </w:tc>
        <w:tc>
          <w:tcPr>
            <w:tcW w:w="1300" w:type="dxa"/>
            <w:vAlign w:val="bottom"/>
          </w:tcPr>
          <w:p>
            <w:pPr>
              <w:jc w:val="center"/>
              <w:ind w:left="101"/>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6320" w:type="dxa"/>
            <w:vAlign w:val="bottom"/>
          </w:tcPr>
          <w:p>
            <w:pPr>
              <w:jc w:val="center"/>
              <w:ind w:right="3846"/>
              <w:spacing w:after="0"/>
              <w:rPr>
                <w:sz w:val="20"/>
                <w:szCs w:val="20"/>
                <w:color w:val="auto"/>
              </w:rPr>
            </w:pPr>
            <w:r>
              <w:rPr>
                <w:rFonts w:ascii="Arial" w:cs="Arial" w:eastAsia="Arial" w:hAnsi="Arial"/>
                <w:sz w:val="18"/>
                <w:szCs w:val="18"/>
                <w:b w:val="1"/>
                <w:bCs w:val="1"/>
                <w:color w:val="auto"/>
                <w:w w:val="92"/>
              </w:rPr>
              <w:t>1420 N. McDowell Blvd.</w:t>
            </w:r>
          </w:p>
        </w:tc>
        <w:tc>
          <w:tcPr>
            <w:tcW w:w="1300" w:type="dxa"/>
            <w:vAlign w:val="bottom"/>
          </w:tcPr>
          <w:p>
            <w:pPr>
              <w:spacing w:after="0"/>
              <w:rPr>
                <w:sz w:val="24"/>
                <w:szCs w:val="24"/>
                <w:color w:val="auto"/>
              </w:rPr>
            </w:pPr>
          </w:p>
        </w:tc>
      </w:tr>
      <w:tr>
        <w:trPr>
          <w:trHeight w:val="234"/>
        </w:trPr>
        <w:tc>
          <w:tcPr>
            <w:tcW w:w="6320" w:type="dxa"/>
            <w:vAlign w:val="bottom"/>
          </w:tcPr>
          <w:p>
            <w:pPr>
              <w:jc w:val="center"/>
              <w:ind w:right="3846"/>
              <w:spacing w:after="0"/>
              <w:rPr>
                <w:sz w:val="20"/>
                <w:szCs w:val="20"/>
                <w:color w:val="auto"/>
              </w:rPr>
            </w:pPr>
            <w:r>
              <w:rPr>
                <w:rFonts w:ascii="Arial" w:cs="Arial" w:eastAsia="Arial" w:hAnsi="Arial"/>
                <w:sz w:val="18"/>
                <w:szCs w:val="18"/>
                <w:b w:val="1"/>
                <w:bCs w:val="1"/>
                <w:color w:val="auto"/>
                <w:w w:val="93"/>
              </w:rPr>
              <w:t>Petaluma, California</w:t>
            </w:r>
          </w:p>
        </w:tc>
        <w:tc>
          <w:tcPr>
            <w:tcW w:w="1300" w:type="dxa"/>
            <w:vAlign w:val="bottom"/>
          </w:tcPr>
          <w:p>
            <w:pPr>
              <w:jc w:val="right"/>
              <w:ind w:right="261"/>
              <w:spacing w:after="0"/>
              <w:rPr>
                <w:sz w:val="20"/>
                <w:szCs w:val="20"/>
                <w:color w:val="auto"/>
              </w:rPr>
            </w:pPr>
            <w:r>
              <w:rPr>
                <w:rFonts w:ascii="Arial" w:cs="Arial" w:eastAsia="Arial" w:hAnsi="Arial"/>
                <w:sz w:val="18"/>
                <w:szCs w:val="18"/>
                <w:b w:val="1"/>
                <w:bCs w:val="1"/>
                <w:color w:val="auto"/>
              </w:rPr>
              <w:t>94954</w:t>
            </w:r>
          </w:p>
        </w:tc>
      </w:tr>
      <w:tr>
        <w:trPr>
          <w:trHeight w:val="218"/>
        </w:trPr>
        <w:tc>
          <w:tcPr>
            <w:tcW w:w="6320" w:type="dxa"/>
            <w:vAlign w:val="bottom"/>
          </w:tcPr>
          <w:p>
            <w:pPr>
              <w:jc w:val="center"/>
              <w:ind w:right="384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00" w:type="dxa"/>
            <w:vAlign w:val="bottom"/>
          </w:tcPr>
          <w:p>
            <w:pPr>
              <w:jc w:val="center"/>
              <w:ind w:left="121"/>
              <w:spacing w:after="0"/>
              <w:rPr>
                <w:sz w:val="20"/>
                <w:szCs w:val="20"/>
                <w:color w:val="auto"/>
              </w:rPr>
            </w:pPr>
            <w:r>
              <w:rPr>
                <w:rFonts w:ascii="Arial" w:cs="Arial" w:eastAsia="Arial" w:hAnsi="Arial"/>
                <w:sz w:val="14"/>
                <w:szCs w:val="14"/>
                <w:b w:val="1"/>
                <w:bCs w:val="1"/>
                <w:color w:val="auto"/>
                <w:w w:val="95"/>
              </w:rPr>
              <w:t>(Zip Code)</w:t>
            </w:r>
          </w:p>
        </w:tc>
      </w:tr>
      <w:tr>
        <w:trPr>
          <w:trHeight w:val="435"/>
        </w:trPr>
        <w:tc>
          <w:tcPr>
            <w:tcW w:w="6320" w:type="dxa"/>
            <w:vAlign w:val="bottom"/>
          </w:tcPr>
          <w:p>
            <w:pPr>
              <w:jc w:val="center"/>
              <w:ind w:left="1906"/>
              <w:spacing w:after="0"/>
              <w:rPr>
                <w:sz w:val="20"/>
                <w:szCs w:val="20"/>
                <w:color w:val="auto"/>
              </w:rPr>
            </w:pPr>
            <w:r>
              <w:rPr>
                <w:rFonts w:ascii="Arial" w:cs="Arial" w:eastAsia="Arial" w:hAnsi="Arial"/>
                <w:sz w:val="18"/>
                <w:szCs w:val="18"/>
                <w:b w:val="1"/>
                <w:bCs w:val="1"/>
                <w:color w:val="auto"/>
                <w:w w:val="90"/>
              </w:rPr>
              <w:t>(707) 774-7000</w:t>
            </w:r>
          </w:p>
        </w:tc>
        <w:tc>
          <w:tcPr>
            <w:tcW w:w="1300" w:type="dxa"/>
            <w:vAlign w:val="bottom"/>
          </w:tcPr>
          <w:p>
            <w:pPr>
              <w:spacing w:after="0"/>
              <w:rPr>
                <w:sz w:val="24"/>
                <w:szCs w:val="24"/>
                <w:color w:val="auto"/>
              </w:rPr>
            </w:pPr>
          </w:p>
        </w:tc>
      </w:tr>
      <w:tr>
        <w:trPr>
          <w:trHeight w:val="157"/>
        </w:trPr>
        <w:tc>
          <w:tcPr>
            <w:tcW w:w="6320" w:type="dxa"/>
            <w:vAlign w:val="bottom"/>
          </w:tcPr>
          <w:p>
            <w:pPr>
              <w:jc w:val="center"/>
              <w:ind w:left="1886"/>
              <w:spacing w:after="0" w:line="157" w:lineRule="exact"/>
              <w:rPr>
                <w:sz w:val="20"/>
                <w:szCs w:val="20"/>
                <w:color w:val="auto"/>
              </w:rPr>
            </w:pPr>
            <w:r>
              <w:rPr>
                <w:rFonts w:ascii="Arial" w:cs="Arial" w:eastAsia="Arial" w:hAnsi="Arial"/>
                <w:sz w:val="14"/>
                <w:szCs w:val="14"/>
                <w:b w:val="1"/>
                <w:bCs w:val="1"/>
                <w:color w:val="auto"/>
                <w:w w:val="91"/>
              </w:rPr>
              <w:t>(Registrant’s telephone number, including area code)</w:t>
            </w:r>
          </w:p>
        </w:tc>
        <w:tc>
          <w:tcPr>
            <w:tcW w:w="1300" w:type="dxa"/>
            <w:vAlign w:val="bottom"/>
          </w:tcPr>
          <w:p>
            <w:pPr>
              <w:spacing w:after="0"/>
              <w:rPr>
                <w:sz w:val="13"/>
                <w:szCs w:val="13"/>
                <w:color w:val="auto"/>
              </w:rPr>
            </w:pPr>
          </w:p>
        </w:tc>
      </w:tr>
      <w:tr>
        <w:trPr>
          <w:trHeight w:val="230"/>
        </w:trPr>
        <w:tc>
          <w:tcPr>
            <w:tcW w:w="6320" w:type="dxa"/>
            <w:vAlign w:val="bottom"/>
          </w:tcPr>
          <w:p>
            <w:pPr>
              <w:jc w:val="center"/>
              <w:ind w:left="1946"/>
              <w:spacing w:after="0"/>
              <w:rPr>
                <w:sz w:val="20"/>
                <w:szCs w:val="20"/>
                <w:color w:val="auto"/>
              </w:rPr>
            </w:pPr>
            <w:r>
              <w:rPr>
                <w:rFonts w:ascii="Arial" w:cs="Arial" w:eastAsia="Arial" w:hAnsi="Arial"/>
                <w:sz w:val="18"/>
                <w:szCs w:val="18"/>
                <w:color w:val="auto"/>
                <w:w w:val="89"/>
              </w:rPr>
              <w:t>____________________________________________</w:t>
            </w:r>
          </w:p>
        </w:tc>
        <w:tc>
          <w:tcPr>
            <w:tcW w:w="1300" w:type="dxa"/>
            <w:vAlign w:val="bottom"/>
          </w:tcPr>
          <w:p>
            <w:pPr>
              <w:spacing w:after="0"/>
              <w:rPr>
                <w:sz w:val="20"/>
                <w:szCs w:val="20"/>
                <w:color w:val="auto"/>
              </w:rPr>
            </w:pPr>
          </w:p>
        </w:tc>
      </w:tr>
    </w:tbl>
    <w:p>
      <w:pPr>
        <w:spacing w:after="0" w:line="188"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49"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3" w:right="23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2180" w:space="720"/>
            <w:col w:w="4300" w:space="720"/>
            <w:col w:w="2460" w:space="720"/>
            <w:col w:w="320"/>
          </w:cols>
          <w:pgMar w:left="240" w:top="233"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x (Do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25" w:lineRule="exact"/>
        <w:rPr>
          <w:sz w:val="24"/>
          <w:szCs w:val="24"/>
          <w:color w:val="auto"/>
        </w:rPr>
      </w:pPr>
    </w:p>
    <w:p>
      <w:pPr>
        <w:sectPr>
          <w:pgSz w:w="11900" w:h="16838" w:orient="portrait"/>
          <w:cols w:equalWidth="0" w:num="4">
            <w:col w:w="2180" w:space="720"/>
            <w:col w:w="4300" w:space="720"/>
            <w:col w:w="2460" w:space="720"/>
            <w:col w:w="320"/>
          </w:cols>
          <w:pgMar w:left="240" w:top="233"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90" w:lineRule="exact"/>
        <w:rPr>
          <w:sz w:val="24"/>
          <w:szCs w:val="24"/>
          <w:color w:val="auto"/>
        </w:rPr>
      </w:pPr>
    </w:p>
    <w:p>
      <w:pPr>
        <w:sectPr>
          <w:pgSz w:w="11900" w:h="16838" w:orient="portrait"/>
          <w:cols w:equalWidth="0" w:num="4">
            <w:col w:w="8180" w:space="180"/>
            <w:col w:w="260" w:space="100"/>
            <w:col w:w="160" w:space="180"/>
            <w:col w:w="236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As of July 31, 2013, there were 41,760,714 shares of the registrant’s common stock outstanding,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QUARTERLY PERIOD ENDED JUNE 30, 2013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Page</w:t>
            </w:r>
          </w:p>
        </w:tc>
      </w:tr>
      <w:tr>
        <w:trPr>
          <w:trHeight w:val="189"/>
        </w:trPr>
        <w:tc>
          <w:tcPr>
            <w:tcW w:w="1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80" w:type="dxa"/>
            <w:vAlign w:val="bottom"/>
            <w:tcBorders>
              <w:bottom w:val="single" w:sz="8" w:color="0000FF"/>
            </w:tcBorders>
            <w:gridSpan w:val="9"/>
          </w:tcPr>
          <w:p>
            <w:pPr>
              <w:jc w:val="center"/>
              <w:spacing w:after="0" w:line="18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2680" w:type="dxa"/>
            <w:vAlign w:val="bottom"/>
            <w:gridSpan w:val="2"/>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1480" w:type="dxa"/>
            <w:vAlign w:val="bottom"/>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Financial Statements (Unaudited)</w:t>
              </w:r>
            </w:hyperlink>
          </w:p>
        </w:tc>
        <w:tc>
          <w:tcPr>
            <w:tcW w:w="6000" w:type="dxa"/>
            <w:vAlign w:val="bottom"/>
            <w:gridSpan w:val="12"/>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250"/>
        </w:trPr>
        <w:tc>
          <w:tcPr>
            <w:tcW w:w="1480" w:type="dxa"/>
            <w:vAlign w:val="bottom"/>
          </w:tcPr>
          <w:p>
            <w:pPr>
              <w:spacing w:after="0"/>
              <w:rPr>
                <w:sz w:val="21"/>
                <w:szCs w:val="21"/>
                <w:color w:val="auto"/>
              </w:rPr>
            </w:pPr>
          </w:p>
        </w:tc>
        <w:tc>
          <w:tcPr>
            <w:tcW w:w="2940" w:type="dxa"/>
            <w:vAlign w:val="bottom"/>
            <w:tcBorders>
              <w:bottom w:val="single" w:sz="8" w:color="0000FF"/>
            </w:tcBorders>
            <w:gridSpan w:val="10"/>
          </w:tcPr>
          <w:p>
            <w:pPr>
              <w:spacing w:after="0"/>
              <w:rPr>
                <w:rFonts w:ascii="Arial" w:cs="Arial" w:eastAsia="Arial" w:hAnsi="Arial"/>
                <w:sz w:val="18"/>
                <w:szCs w:val="18"/>
                <w:color w:val="0000FF"/>
                <w:w w:val="87"/>
              </w:rPr>
            </w:pPr>
            <w:hyperlink w:anchor="page3">
              <w:r>
                <w:rPr>
                  <w:rFonts w:ascii="Arial" w:cs="Arial" w:eastAsia="Arial" w:hAnsi="Arial"/>
                  <w:sz w:val="18"/>
                  <w:szCs w:val="18"/>
                  <w:color w:val="0000FF"/>
                  <w:w w:val="87"/>
                </w:rPr>
                <w:t>Condensed Consolidated Balance Sheets</w:t>
              </w:r>
            </w:hyperlink>
          </w:p>
        </w:tc>
        <w:tc>
          <w:tcPr>
            <w:tcW w:w="5480" w:type="dxa"/>
            <w:vAlign w:val="bottom"/>
            <w:gridSpan w:val="9"/>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1"/>
                <w:szCs w:val="21"/>
                <w:color w:val="auto"/>
              </w:rPr>
            </w:pPr>
          </w:p>
        </w:tc>
      </w:tr>
      <w:tr>
        <w:trPr>
          <w:trHeight w:val="250"/>
        </w:trPr>
        <w:tc>
          <w:tcPr>
            <w:tcW w:w="1480" w:type="dxa"/>
            <w:vAlign w:val="bottom"/>
          </w:tcPr>
          <w:p>
            <w:pPr>
              <w:spacing w:after="0"/>
              <w:rPr>
                <w:sz w:val="21"/>
                <w:szCs w:val="21"/>
                <w:color w:val="auto"/>
              </w:rPr>
            </w:pPr>
          </w:p>
        </w:tc>
        <w:tc>
          <w:tcPr>
            <w:tcW w:w="3660" w:type="dxa"/>
            <w:vAlign w:val="bottom"/>
            <w:tcBorders>
              <w:bottom w:val="single" w:sz="8" w:color="0000FF"/>
            </w:tcBorders>
            <w:gridSpan w:val="11"/>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Statements of Operations</w:t>
              </w:r>
            </w:hyperlink>
          </w:p>
        </w:tc>
        <w:tc>
          <w:tcPr>
            <w:tcW w:w="4760" w:type="dxa"/>
            <w:vAlign w:val="bottom"/>
            <w:gridSpan w:val="8"/>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r>
      <w:tr>
        <w:trPr>
          <w:trHeight w:val="250"/>
        </w:trPr>
        <w:tc>
          <w:tcPr>
            <w:tcW w:w="1480" w:type="dxa"/>
            <w:vAlign w:val="bottom"/>
          </w:tcPr>
          <w:p>
            <w:pPr>
              <w:spacing w:after="0"/>
              <w:rPr>
                <w:sz w:val="21"/>
                <w:szCs w:val="21"/>
                <w:color w:val="auto"/>
              </w:rPr>
            </w:pPr>
          </w:p>
        </w:tc>
        <w:tc>
          <w:tcPr>
            <w:tcW w:w="8420" w:type="dxa"/>
            <w:vAlign w:val="bottom"/>
            <w:gridSpan w:val="1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Loss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50"/>
        </w:trPr>
        <w:tc>
          <w:tcPr>
            <w:tcW w:w="1480" w:type="dxa"/>
            <w:vAlign w:val="bottom"/>
          </w:tcPr>
          <w:p>
            <w:pPr>
              <w:spacing w:after="0"/>
              <w:rPr>
                <w:sz w:val="21"/>
                <w:szCs w:val="21"/>
                <w:color w:val="auto"/>
              </w:rPr>
            </w:pPr>
          </w:p>
        </w:tc>
        <w:tc>
          <w:tcPr>
            <w:tcW w:w="372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Statements of Cash Flows</w:t>
              </w:r>
            </w:hyperlink>
          </w:p>
        </w:tc>
        <w:tc>
          <w:tcPr>
            <w:tcW w:w="660" w:type="dxa"/>
            <w:vAlign w:val="bottom"/>
            <w:tcBorders>
              <w:top w:val="single" w:sz="8" w:color="0000FF"/>
            </w:tcBorders>
            <w:gridSpan w:val="3"/>
          </w:tcPr>
          <w:p>
            <w:pPr>
              <w:spacing w:after="0"/>
              <w:rPr>
                <w:sz w:val="21"/>
                <w:szCs w:val="21"/>
                <w:color w:val="auto"/>
              </w:rPr>
            </w:pPr>
          </w:p>
        </w:tc>
        <w:tc>
          <w:tcPr>
            <w:tcW w:w="4040" w:type="dxa"/>
            <w:vAlign w:val="bottom"/>
            <w:gridSpan w:val="4"/>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r>
      <w:tr>
        <w:trPr>
          <w:trHeight w:val="250"/>
        </w:trPr>
        <w:tc>
          <w:tcPr>
            <w:tcW w:w="1480" w:type="dxa"/>
            <w:vAlign w:val="bottom"/>
          </w:tcPr>
          <w:p>
            <w:pPr>
              <w:spacing w:after="0"/>
              <w:rPr>
                <w:sz w:val="21"/>
                <w:szCs w:val="21"/>
                <w:color w:val="auto"/>
              </w:rPr>
            </w:pPr>
          </w:p>
        </w:tc>
        <w:tc>
          <w:tcPr>
            <w:tcW w:w="4000" w:type="dxa"/>
            <w:vAlign w:val="bottom"/>
            <w:tcBorders>
              <w:bottom w:val="single" w:sz="8" w:color="0000FF"/>
            </w:tcBorders>
            <w:gridSpan w:val="13"/>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Notes to Condensed Consolidated Financial Statements</w:t>
              </w:r>
            </w:hyperlink>
          </w:p>
        </w:tc>
        <w:tc>
          <w:tcPr>
            <w:tcW w:w="4420" w:type="dxa"/>
            <w:vAlign w:val="bottom"/>
            <w:gridSpan w:val="6"/>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20" w:type="dxa"/>
            <w:vAlign w:val="bottom"/>
          </w:tcPr>
          <w:p>
            <w:pPr>
              <w:spacing w:after="0"/>
              <w:rPr>
                <w:sz w:val="21"/>
                <w:szCs w:val="21"/>
                <w:color w:val="auto"/>
              </w:rPr>
            </w:pPr>
          </w:p>
        </w:tc>
      </w:tr>
      <w:tr>
        <w:trPr>
          <w:trHeight w:val="250"/>
        </w:trPr>
        <w:tc>
          <w:tcPr>
            <w:tcW w:w="148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8"/>
          </w:tcPr>
          <w:p>
            <w:pPr>
              <w:spacing w:after="0"/>
              <w:rPr>
                <w:rFonts w:ascii="Arial" w:cs="Arial" w:eastAsia="Arial" w:hAnsi="Arial"/>
                <w:sz w:val="18"/>
                <w:szCs w:val="18"/>
                <w:color w:val="0000FF"/>
                <w:w w:val="90"/>
              </w:rPr>
            </w:pPr>
            <w:hyperlink w:anchor="page12">
              <w:r>
                <w:rPr>
                  <w:rFonts w:ascii="Arial" w:cs="Arial" w:eastAsia="Arial" w:hAnsi="Arial"/>
                  <w:sz w:val="18"/>
                  <w:szCs w:val="18"/>
                  <w:color w:val="0000FF"/>
                  <w:w w:val="90"/>
                </w:rPr>
                <w:t>Management’s Discussion and Analysis of Financial Condition and Results of Operations</w:t>
              </w:r>
            </w:hyperlink>
          </w:p>
        </w:tc>
        <w:tc>
          <w:tcPr>
            <w:tcW w:w="1960" w:type="dxa"/>
            <w:vAlign w:val="bottom"/>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12">
              <w:r>
                <w:rPr>
                  <w:rFonts w:ascii="Arial" w:cs="Arial" w:eastAsia="Arial" w:hAnsi="Arial"/>
                  <w:sz w:val="18"/>
                  <w:szCs w:val="18"/>
                  <w:color w:val="0000FF"/>
                </w:rPr>
                <w:t>13</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1240" w:type="dxa"/>
            <w:vAlign w:val="bottom"/>
            <w:tcBorders>
              <w:left w:val="single" w:sz="8" w:color="0000FF"/>
            </w:tcBorders>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4"/>
          </w:tcPr>
          <w:p>
            <w:pPr>
              <w:spacing w:after="0"/>
              <w:rPr>
                <w:rFonts w:ascii="Arial" w:cs="Arial" w:eastAsia="Arial" w:hAnsi="Arial"/>
                <w:sz w:val="18"/>
                <w:szCs w:val="18"/>
                <w:color w:val="0000FF"/>
                <w:w w:val="91"/>
              </w:rPr>
            </w:pPr>
            <w:hyperlink w:anchor="page19">
              <w:r>
                <w:rPr>
                  <w:rFonts w:ascii="Arial" w:cs="Arial" w:eastAsia="Arial" w:hAnsi="Arial"/>
                  <w:sz w:val="18"/>
                  <w:szCs w:val="18"/>
                  <w:color w:val="0000FF"/>
                  <w:w w:val="91"/>
                </w:rPr>
                <w:t>Quantitative and Qualitative Disclosures About Market Risk</w:t>
              </w:r>
            </w:hyperlink>
          </w:p>
        </w:tc>
        <w:tc>
          <w:tcPr>
            <w:tcW w:w="2120" w:type="dxa"/>
            <w:vAlign w:val="bottom"/>
            <w:gridSpan w:val="4"/>
          </w:tcPr>
          <w:p>
            <w:pPr>
              <w:spacing w:after="0"/>
              <w:rPr>
                <w:sz w:val="21"/>
                <w:szCs w:val="21"/>
                <w:color w:val="auto"/>
              </w:rPr>
            </w:pPr>
          </w:p>
        </w:tc>
        <w:tc>
          <w:tcPr>
            <w:tcW w:w="1960" w:type="dxa"/>
            <w:vAlign w:val="bottom"/>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19">
              <w:r>
                <w:rPr>
                  <w:rFonts w:ascii="Arial" w:cs="Arial" w:eastAsia="Arial" w:hAnsi="Arial"/>
                  <w:sz w:val="18"/>
                  <w:szCs w:val="18"/>
                  <w:color w:val="0000FF"/>
                </w:rPr>
                <w:t>19</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1240" w:type="dxa"/>
            <w:vAlign w:val="bottom"/>
            <w:tcBorders>
              <w:left w:val="single" w:sz="8" w:color="0000FF"/>
            </w:tcBorders>
            <w:gridSpan w:val="2"/>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14"/>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Controls and Procedures</w:t>
              </w:r>
            </w:hyperlink>
          </w:p>
        </w:tc>
        <w:tc>
          <w:tcPr>
            <w:tcW w:w="4080" w:type="dxa"/>
            <w:vAlign w:val="bottom"/>
            <w:gridSpan w:val="5"/>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19">
              <w:r>
                <w:rPr>
                  <w:rFonts w:ascii="Arial" w:cs="Arial" w:eastAsia="Arial" w:hAnsi="Arial"/>
                  <w:sz w:val="18"/>
                  <w:szCs w:val="18"/>
                  <w:color w:val="0000FF"/>
                </w:rPr>
                <w:t>19</w:t>
              </w:r>
            </w:hyperlink>
          </w:p>
        </w:tc>
      </w:tr>
      <w:tr>
        <w:trPr>
          <w:trHeight w:val="372"/>
        </w:trPr>
        <w:tc>
          <w:tcPr>
            <w:tcW w:w="14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60" w:type="dxa"/>
            <w:vAlign w:val="bottom"/>
            <w:gridSpan w:val="11"/>
          </w:tcPr>
          <w:p>
            <w:pPr>
              <w:jc w:val="center"/>
              <w:ind w:right="2680"/>
              <w:spacing w:after="0"/>
              <w:rPr>
                <w:rFonts w:ascii="Arial" w:cs="Arial" w:eastAsia="Arial" w:hAnsi="Arial"/>
                <w:sz w:val="18"/>
                <w:szCs w:val="18"/>
                <w:b w:val="1"/>
                <w:bCs w:val="1"/>
                <w:color w:val="0000FF"/>
              </w:rPr>
            </w:pPr>
            <w:hyperlink w:anchor="page19">
              <w:r>
                <w:rPr>
                  <w:rFonts w:ascii="Arial" w:cs="Arial" w:eastAsia="Arial" w:hAnsi="Arial"/>
                  <w:sz w:val="18"/>
                  <w:szCs w:val="18"/>
                  <w:b w:val="1"/>
                  <w:bCs w:val="1"/>
                  <w:color w:val="0000FF"/>
                </w:rPr>
                <w:t>PART II. OTHER INFORMATION</w:t>
              </w:r>
            </w:hyperlink>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4"/>
          </w:tcPr>
          <w:p>
            <w:pPr>
              <w:spacing w:after="0"/>
              <w:rPr>
                <w:rFonts w:ascii="Arial" w:cs="Arial" w:eastAsia="Arial" w:hAnsi="Arial"/>
                <w:sz w:val="18"/>
                <w:szCs w:val="18"/>
                <w:color w:val="0000FF"/>
                <w:w w:val="85"/>
              </w:rPr>
            </w:pPr>
            <w:hyperlink w:anchor="page20">
              <w:r>
                <w:rPr>
                  <w:rFonts w:ascii="Arial" w:cs="Arial" w:eastAsia="Arial" w:hAnsi="Arial"/>
                  <w:sz w:val="18"/>
                  <w:szCs w:val="18"/>
                  <w:color w:val="0000FF"/>
                  <w:w w:val="85"/>
                </w:rPr>
                <w:t>Legal Proceedings</w:t>
              </w:r>
            </w:hyperlink>
          </w:p>
        </w:tc>
        <w:tc>
          <w:tcPr>
            <w:tcW w:w="1500" w:type="dxa"/>
            <w:vAlign w:val="bottom"/>
            <w:gridSpan w:val="5"/>
          </w:tcPr>
          <w:p>
            <w:pPr>
              <w:spacing w:after="0"/>
              <w:rPr>
                <w:sz w:val="24"/>
                <w:szCs w:val="24"/>
                <w:color w:val="auto"/>
              </w:rPr>
            </w:pPr>
          </w:p>
        </w:tc>
        <w:tc>
          <w:tcPr>
            <w:tcW w:w="2760" w:type="dxa"/>
            <w:vAlign w:val="bottom"/>
            <w:tcBorders>
              <w:top w:val="single" w:sz="8" w:color="0000FF"/>
            </w:tcBorders>
            <w:gridSpan w:val="7"/>
          </w:tcPr>
          <w:p>
            <w:pPr>
              <w:spacing w:after="0"/>
              <w:rPr>
                <w:sz w:val="24"/>
                <w:szCs w:val="24"/>
                <w:color w:val="auto"/>
              </w:rPr>
            </w:pPr>
          </w:p>
        </w:tc>
        <w:tc>
          <w:tcPr>
            <w:tcW w:w="2840" w:type="dxa"/>
            <w:vAlign w:val="bottom"/>
            <w:gridSpan w:val="3"/>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0">
              <w:r>
                <w:rPr>
                  <w:rFonts w:ascii="Arial" w:cs="Arial" w:eastAsia="Arial" w:hAnsi="Arial"/>
                  <w:sz w:val="18"/>
                  <w:szCs w:val="18"/>
                  <w:color w:val="0000FF"/>
                </w:rPr>
                <w:t>20</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4"/>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Risk Factors</w:t>
              </w:r>
            </w:hyperlink>
          </w:p>
        </w:tc>
        <w:tc>
          <w:tcPr>
            <w:tcW w:w="7100" w:type="dxa"/>
            <w:vAlign w:val="bottom"/>
            <w:gridSpan w:val="15"/>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0">
              <w:r>
                <w:rPr>
                  <w:rFonts w:ascii="Arial" w:cs="Arial" w:eastAsia="Arial" w:hAnsi="Arial"/>
                  <w:sz w:val="18"/>
                  <w:szCs w:val="18"/>
                  <w:color w:val="0000FF"/>
                </w:rPr>
                <w:t>20</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0"/>
                <w:szCs w:val="20"/>
                <w:color w:val="auto"/>
              </w:rPr>
            </w:pPr>
            <w:r>
              <w:rPr>
                <w:rFonts w:ascii="Arial" w:cs="Arial" w:eastAsia="Arial" w:hAnsi="Arial"/>
                <w:sz w:val="18"/>
                <w:szCs w:val="18"/>
                <w:color w:val="auto"/>
              </w:rPr>
              <w:t>Item 2.</w:t>
            </w:r>
          </w:p>
        </w:tc>
        <w:tc>
          <w:tcPr>
            <w:tcW w:w="8420" w:type="dxa"/>
            <w:vAlign w:val="bottom"/>
            <w:gridSpan w:val="19"/>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Unregistered Sales of Equity Securities and Use of Proceeds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37</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8"/>
            <w:shd w:val="clear" w:color="auto" w:fill="0000FF"/>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4"/>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Defaults Upon Senior Securities</w:t>
              </w:r>
            </w:hyperlink>
          </w:p>
        </w:tc>
        <w:tc>
          <w:tcPr>
            <w:tcW w:w="4080" w:type="dxa"/>
            <w:vAlign w:val="bottom"/>
            <w:gridSpan w:val="5"/>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6100" w:type="dxa"/>
            <w:vAlign w:val="bottom"/>
            <w:gridSpan w:val="1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5"/>
          </w:tcPr>
          <w:p>
            <w:pPr>
              <w:spacing w:after="0"/>
              <w:rPr>
                <w:rFonts w:ascii="Arial" w:cs="Arial" w:eastAsia="Arial" w:hAnsi="Arial"/>
                <w:sz w:val="18"/>
                <w:szCs w:val="18"/>
                <w:color w:val="0000FF"/>
                <w:w w:val="91"/>
              </w:rPr>
            </w:pPr>
            <w:hyperlink w:anchor="page37">
              <w:r>
                <w:rPr>
                  <w:rFonts w:ascii="Arial" w:cs="Arial" w:eastAsia="Arial" w:hAnsi="Arial"/>
                  <w:sz w:val="18"/>
                  <w:szCs w:val="18"/>
                  <w:color w:val="0000FF"/>
                  <w:w w:val="91"/>
                </w:rPr>
                <w:t>Mine Safety Disclosures</w:t>
              </w:r>
            </w:hyperlink>
          </w:p>
        </w:tc>
        <w:tc>
          <w:tcPr>
            <w:tcW w:w="540" w:type="dxa"/>
            <w:vAlign w:val="bottom"/>
          </w:tcPr>
          <w:p>
            <w:pPr>
              <w:spacing w:after="0"/>
              <w:rPr>
                <w:sz w:val="21"/>
                <w:szCs w:val="21"/>
                <w:color w:val="auto"/>
              </w:rPr>
            </w:pPr>
          </w:p>
        </w:tc>
        <w:tc>
          <w:tcPr>
            <w:tcW w:w="6100" w:type="dxa"/>
            <w:vAlign w:val="bottom"/>
            <w:gridSpan w:val="13"/>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640" w:type="dxa"/>
            <w:vAlign w:val="bottom"/>
            <w:gridSpan w:val="1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4"/>
          </w:tcPr>
          <w:p>
            <w:pPr>
              <w:spacing w:after="0"/>
              <w:rPr>
                <w:rFonts w:ascii="Arial" w:cs="Arial" w:eastAsia="Arial" w:hAnsi="Arial"/>
                <w:sz w:val="18"/>
                <w:szCs w:val="18"/>
                <w:color w:val="0000FF"/>
                <w:w w:val="91"/>
              </w:rPr>
            </w:pPr>
            <w:hyperlink w:anchor="page37">
              <w:r>
                <w:rPr>
                  <w:rFonts w:ascii="Arial" w:cs="Arial" w:eastAsia="Arial" w:hAnsi="Arial"/>
                  <w:sz w:val="18"/>
                  <w:szCs w:val="18"/>
                  <w:color w:val="0000FF"/>
                  <w:w w:val="91"/>
                </w:rPr>
                <w:t>Other Information</w:t>
              </w:r>
            </w:hyperlink>
          </w:p>
        </w:tc>
        <w:tc>
          <w:tcPr>
            <w:tcW w:w="460" w:type="dxa"/>
            <w:vAlign w:val="bottom"/>
          </w:tcPr>
          <w:p>
            <w:pPr>
              <w:spacing w:after="0"/>
              <w:rPr>
                <w:sz w:val="21"/>
                <w:szCs w:val="21"/>
                <w:color w:val="auto"/>
              </w:rPr>
            </w:pPr>
          </w:p>
        </w:tc>
        <w:tc>
          <w:tcPr>
            <w:tcW w:w="6640" w:type="dxa"/>
            <w:vAlign w:val="bottom"/>
            <w:gridSpan w:val="14"/>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100" w:type="dxa"/>
            <w:vAlign w:val="bottom"/>
            <w:gridSpan w:val="1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4"/>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Exhibits</w:t>
              </w:r>
            </w:hyperlink>
          </w:p>
        </w:tc>
        <w:tc>
          <w:tcPr>
            <w:tcW w:w="7100" w:type="dxa"/>
            <w:vAlign w:val="bottom"/>
            <w:gridSpan w:val="15"/>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720" w:type="dxa"/>
            <w:vAlign w:val="bottom"/>
            <w:gridSpan w:val="1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1"/>
                <w:szCs w:val="21"/>
                <w:color w:val="auto"/>
              </w:rPr>
            </w:pPr>
          </w:p>
        </w:tc>
        <w:tc>
          <w:tcPr>
            <w:tcW w:w="700" w:type="dxa"/>
            <w:vAlign w:val="bottom"/>
            <w:gridSpan w:val="2"/>
          </w:tcPr>
          <w:p>
            <w:pPr>
              <w:spacing w:after="0"/>
              <w:rPr>
                <w:rFonts w:ascii="Arial" w:cs="Arial" w:eastAsia="Arial" w:hAnsi="Arial"/>
                <w:sz w:val="18"/>
                <w:szCs w:val="18"/>
                <w:color w:val="0000FF"/>
                <w:w w:val="88"/>
              </w:rPr>
            </w:pPr>
            <w:hyperlink w:anchor="page37">
              <w:r>
                <w:rPr>
                  <w:rFonts w:ascii="Arial" w:cs="Arial" w:eastAsia="Arial" w:hAnsi="Arial"/>
                  <w:sz w:val="18"/>
                  <w:szCs w:val="18"/>
                  <w:color w:val="0000FF"/>
                  <w:w w:val="88"/>
                </w:rPr>
                <w:t>Signature</w:t>
              </w:r>
            </w:hyperlink>
          </w:p>
        </w:tc>
        <w:tc>
          <w:tcPr>
            <w:tcW w:w="7720" w:type="dxa"/>
            <w:vAlign w:val="bottom"/>
            <w:gridSpan w:val="17"/>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38</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770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 (Unaudited)</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640" w:type="dxa"/>
            <w:vAlign w:val="bottom"/>
          </w:tcPr>
          <w:p>
            <w:pPr>
              <w:spacing w:after="0"/>
              <w:rPr>
                <w:sz w:val="24"/>
                <w:szCs w:val="24"/>
                <w:color w:val="auto"/>
              </w:rPr>
            </w:pPr>
          </w:p>
        </w:tc>
        <w:tc>
          <w:tcPr>
            <w:tcW w:w="7700" w:type="dxa"/>
            <w:vAlign w:val="bottom"/>
          </w:tcPr>
          <w:p>
            <w:pPr>
              <w:jc w:val="center"/>
              <w:ind w:left="2370"/>
              <w:spacing w:after="0"/>
              <w:rPr>
                <w:sz w:val="20"/>
                <w:szCs w:val="20"/>
                <w:color w:val="auto"/>
              </w:rPr>
            </w:pPr>
            <w:r>
              <w:rPr>
                <w:rFonts w:ascii="Arial" w:cs="Arial" w:eastAsia="Arial" w:hAnsi="Arial"/>
                <w:sz w:val="18"/>
                <w:szCs w:val="18"/>
                <w:b w:val="1"/>
                <w:bCs w:val="1"/>
                <w:color w:val="auto"/>
                <w:w w:val="99"/>
              </w:rPr>
              <w:t>ENPHASE ENERGY, INC.</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60"/>
        </w:trPr>
        <w:tc>
          <w:tcPr>
            <w:tcW w:w="640" w:type="dxa"/>
            <w:vAlign w:val="bottom"/>
          </w:tcPr>
          <w:p>
            <w:pPr>
              <w:spacing w:after="0"/>
              <w:rPr>
                <w:sz w:val="24"/>
                <w:szCs w:val="24"/>
                <w:color w:val="auto"/>
              </w:rPr>
            </w:pPr>
          </w:p>
        </w:tc>
        <w:tc>
          <w:tcPr>
            <w:tcW w:w="7700" w:type="dxa"/>
            <w:vAlign w:val="bottom"/>
          </w:tcPr>
          <w:p>
            <w:pPr>
              <w:jc w:val="center"/>
              <w:ind w:left="23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6"/>
        </w:trPr>
        <w:tc>
          <w:tcPr>
            <w:tcW w:w="640" w:type="dxa"/>
            <w:vAlign w:val="bottom"/>
          </w:tcPr>
          <w:p>
            <w:pPr>
              <w:spacing w:after="0"/>
              <w:rPr>
                <w:sz w:val="18"/>
                <w:szCs w:val="18"/>
                <w:color w:val="auto"/>
              </w:rPr>
            </w:pPr>
          </w:p>
        </w:tc>
        <w:tc>
          <w:tcPr>
            <w:tcW w:w="7700" w:type="dxa"/>
            <w:vAlign w:val="bottom"/>
          </w:tcPr>
          <w:p>
            <w:pPr>
              <w:jc w:val="center"/>
              <w:ind w:left="2350"/>
              <w:spacing w:after="0"/>
              <w:rPr>
                <w:sz w:val="20"/>
                <w:szCs w:val="20"/>
                <w:color w:val="auto"/>
              </w:rPr>
            </w:pPr>
            <w:r>
              <w:rPr>
                <w:rFonts w:ascii="Arial" w:cs="Arial" w:eastAsia="Arial" w:hAnsi="Arial"/>
                <w:sz w:val="18"/>
                <w:szCs w:val="18"/>
                <w:b w:val="1"/>
                <w:bCs w:val="1"/>
                <w:color w:val="auto"/>
                <w:w w:val="89"/>
              </w:rPr>
              <w:t>(In thousands, except par value)</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640" w:type="dxa"/>
            <w:vAlign w:val="bottom"/>
          </w:tcPr>
          <w:p>
            <w:pPr>
              <w:spacing w:after="0"/>
              <w:rPr>
                <w:sz w:val="20"/>
                <w:szCs w:val="20"/>
                <w:color w:val="auto"/>
              </w:rPr>
            </w:pPr>
          </w:p>
        </w:tc>
        <w:tc>
          <w:tcPr>
            <w:tcW w:w="7700" w:type="dxa"/>
            <w:vAlign w:val="bottom"/>
          </w:tcPr>
          <w:p>
            <w:pPr>
              <w:jc w:val="center"/>
              <w:ind w:left="235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99"/>
        </w:trPr>
        <w:tc>
          <w:tcPr>
            <w:tcW w:w="64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2013</w:t>
            </w:r>
          </w:p>
        </w:tc>
        <w:tc>
          <w:tcPr>
            <w:tcW w:w="140" w:type="dxa"/>
            <w:vAlign w:val="bottom"/>
          </w:tcPr>
          <w:p>
            <w:pPr>
              <w:spacing w:after="0"/>
              <w:rPr>
                <w:sz w:val="24"/>
                <w:szCs w:val="24"/>
                <w:color w:val="auto"/>
              </w:rPr>
            </w:pPr>
          </w:p>
        </w:tc>
        <w:tc>
          <w:tcPr>
            <w:tcW w:w="1340" w:type="dxa"/>
            <w:vAlign w:val="bottom"/>
          </w:tcPr>
          <w:p>
            <w:pPr>
              <w:jc w:val="right"/>
              <w:ind w:right="71"/>
              <w:spacing w:after="0"/>
              <w:rPr>
                <w:sz w:val="20"/>
                <w:szCs w:val="20"/>
                <w:color w:val="auto"/>
              </w:rPr>
            </w:pPr>
            <w:r>
              <w:rPr>
                <w:rFonts w:ascii="Arial" w:cs="Arial" w:eastAsia="Arial" w:hAnsi="Arial"/>
                <w:sz w:val="14"/>
                <w:szCs w:val="14"/>
                <w:b w:val="1"/>
                <w:bCs w:val="1"/>
                <w:color w:val="auto"/>
                <w:w w:val="91"/>
              </w:rPr>
              <w:t>December 31, 2012</w:t>
            </w:r>
          </w:p>
        </w:tc>
      </w:tr>
      <w:tr>
        <w:trPr>
          <w:trHeight w:val="250"/>
        </w:trPr>
        <w:tc>
          <w:tcPr>
            <w:tcW w:w="640" w:type="dxa"/>
            <w:vAlign w:val="bottom"/>
            <w:tcBorders>
              <w:top w:val="single" w:sz="8" w:color="CCEEFF"/>
              <w:bottom w:val="single" w:sz="8" w:color="CCEEFF"/>
            </w:tcBorders>
            <w:shd w:val="clear" w:color="auto" w:fill="CCEEFF"/>
          </w:tcPr>
          <w:p>
            <w:pPr>
              <w:spacing w:after="0"/>
              <w:rPr>
                <w:sz w:val="21"/>
                <w:szCs w:val="21"/>
                <w:color w:val="auto"/>
              </w:rPr>
            </w:pPr>
          </w:p>
        </w:tc>
        <w:tc>
          <w:tcPr>
            <w:tcW w:w="7700" w:type="dxa"/>
            <w:vAlign w:val="bottom"/>
            <w:tcBorders>
              <w:top w:val="single" w:sz="8" w:color="CCEEFF"/>
              <w:bottom w:val="single" w:sz="8" w:color="CCEEFF"/>
            </w:tcBorders>
            <w:shd w:val="clear" w:color="auto" w:fill="CCEEFF"/>
          </w:tcPr>
          <w:p>
            <w:pPr>
              <w:ind w:left="320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45,294</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 of allowances of $1,052 and $1,177, respectively</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32,104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27,743</w:t>
            </w: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19,843</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Prepaid expenses and other</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2,708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2,118</w:t>
            </w:r>
          </w:p>
        </w:tc>
      </w:tr>
      <w:tr>
        <w:trPr>
          <w:trHeight w:val="27"/>
        </w:trPr>
        <w:tc>
          <w:tcPr>
            <w:tcW w:w="640" w:type="dxa"/>
            <w:vAlign w:val="bottom"/>
            <w:tcBorders>
              <w:bottom w:val="single" w:sz="8" w:color="CCEEFF"/>
            </w:tcBorders>
          </w:tcPr>
          <w:p>
            <w:pPr>
              <w:spacing w:after="0"/>
              <w:rPr>
                <w:sz w:val="2"/>
                <w:szCs w:val="2"/>
                <w:color w:val="auto"/>
              </w:rPr>
            </w:pPr>
          </w:p>
        </w:tc>
        <w:tc>
          <w:tcPr>
            <w:tcW w:w="7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40" w:type="dxa"/>
            <w:vAlign w:val="bottom"/>
            <w:tcBorders>
              <w:bottom w:val="single" w:sz="8" w:color="CCEEFF"/>
            </w:tcBorders>
            <w:shd w:val="clear" w:color="auto" w:fill="CCEEFF"/>
          </w:tcPr>
          <w:p>
            <w:pPr>
              <w:spacing w:after="0"/>
              <w:rPr>
                <w:sz w:val="21"/>
                <w:szCs w:val="21"/>
                <w:color w:val="auto"/>
              </w:rPr>
            </w:pPr>
          </w:p>
        </w:tc>
        <w:tc>
          <w:tcPr>
            <w:tcW w:w="7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86,694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94,998</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25,141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25,541</w:t>
            </w: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1,752</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113,348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122,291</w:t>
            </w:r>
          </w:p>
        </w:tc>
      </w:tr>
      <w:tr>
        <w:trPr>
          <w:trHeight w:val="67"/>
        </w:trPr>
        <w:tc>
          <w:tcPr>
            <w:tcW w:w="640" w:type="dxa"/>
            <w:vAlign w:val="bottom"/>
            <w:tcBorders>
              <w:bottom w:val="single" w:sz="8" w:color="CCEEFF"/>
            </w:tcBorders>
          </w:tcPr>
          <w:p>
            <w:pPr>
              <w:spacing w:after="0"/>
              <w:rPr>
                <w:sz w:val="5"/>
                <w:szCs w:val="5"/>
                <w:color w:val="auto"/>
              </w:rPr>
            </w:pPr>
          </w:p>
        </w:tc>
        <w:tc>
          <w:tcPr>
            <w:tcW w:w="7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31"/>
        </w:trPr>
        <w:tc>
          <w:tcPr>
            <w:tcW w:w="640" w:type="dxa"/>
            <w:vAlign w:val="bottom"/>
            <w:tcBorders>
              <w:bottom w:val="single" w:sz="8" w:color="CCEEFF"/>
            </w:tcBorders>
            <w:shd w:val="clear" w:color="auto" w:fill="CCEEFF"/>
          </w:tcPr>
          <w:p>
            <w:pPr>
              <w:spacing w:after="0"/>
              <w:rPr>
                <w:sz w:val="20"/>
                <w:szCs w:val="20"/>
                <w:color w:val="auto"/>
              </w:rPr>
            </w:pPr>
          </w:p>
        </w:tc>
        <w:tc>
          <w:tcPr>
            <w:tcW w:w="7700" w:type="dxa"/>
            <w:vAlign w:val="bottom"/>
            <w:tcBorders>
              <w:bottom w:val="single" w:sz="8" w:color="CCEEFF"/>
            </w:tcBorders>
            <w:shd w:val="clear" w:color="auto" w:fill="CCEEFF"/>
          </w:tcPr>
          <w:p>
            <w:pPr>
              <w:ind w:left="158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11,272</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19,348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19,266</w:t>
            </w: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revenues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933</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Current portion of term loans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3,365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2,384</w:t>
            </w:r>
          </w:p>
        </w:tc>
      </w:tr>
      <w:tr>
        <w:trPr>
          <w:trHeight w:val="27"/>
        </w:trPr>
        <w:tc>
          <w:tcPr>
            <w:tcW w:w="640" w:type="dxa"/>
            <w:vAlign w:val="bottom"/>
            <w:tcBorders>
              <w:bottom w:val="single" w:sz="8" w:color="CCEEFF"/>
            </w:tcBorders>
          </w:tcPr>
          <w:p>
            <w:pPr>
              <w:spacing w:after="0"/>
              <w:rPr>
                <w:sz w:val="2"/>
                <w:szCs w:val="2"/>
                <w:color w:val="auto"/>
              </w:rPr>
            </w:pPr>
          </w:p>
        </w:tc>
        <w:tc>
          <w:tcPr>
            <w:tcW w:w="7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640" w:type="dxa"/>
            <w:vAlign w:val="bottom"/>
            <w:tcBorders>
              <w:bottom w:val="single" w:sz="8" w:color="CCEEFF"/>
            </w:tcBorders>
            <w:shd w:val="clear" w:color="auto" w:fill="CCEEFF"/>
          </w:tcPr>
          <w:p>
            <w:pPr>
              <w:spacing w:after="0"/>
              <w:rPr>
                <w:sz w:val="22"/>
                <w:szCs w:val="22"/>
                <w:color w:val="auto"/>
              </w:rPr>
            </w:pPr>
          </w:p>
        </w:tc>
        <w:tc>
          <w:tcPr>
            <w:tcW w:w="7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33,983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33,855</w:t>
            </w:r>
          </w:p>
        </w:tc>
      </w:tr>
      <w:tr>
        <w:trPr>
          <w:trHeight w:val="22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Long-term liabilities:</w:t>
            </w: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41"/>
        </w:trPr>
        <w:tc>
          <w:tcPr>
            <w:tcW w:w="834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revenues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7,537</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Warranty obligations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18,790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15,260</w:t>
            </w: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Term loans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6,531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8,677</w:t>
            </w:r>
          </w:p>
        </w:tc>
      </w:tr>
      <w:tr>
        <w:trPr>
          <w:trHeight w:val="27"/>
        </w:trPr>
        <w:tc>
          <w:tcPr>
            <w:tcW w:w="640" w:type="dxa"/>
            <w:vAlign w:val="bottom"/>
            <w:tcBorders>
              <w:bottom w:val="single" w:sz="8" w:color="CCEEFF"/>
            </w:tcBorders>
          </w:tcPr>
          <w:p>
            <w:pPr>
              <w:spacing w:after="0"/>
              <w:rPr>
                <w:sz w:val="2"/>
                <w:szCs w:val="2"/>
                <w:color w:val="auto"/>
              </w:rPr>
            </w:pPr>
          </w:p>
        </w:tc>
        <w:tc>
          <w:tcPr>
            <w:tcW w:w="7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640" w:type="dxa"/>
            <w:vAlign w:val="bottom"/>
            <w:tcBorders>
              <w:bottom w:val="single" w:sz="8" w:color="CCEEFF"/>
            </w:tcBorders>
            <w:shd w:val="clear" w:color="auto" w:fill="CCEEFF"/>
          </w:tcPr>
          <w:p>
            <w:pPr>
              <w:spacing w:after="0"/>
              <w:rPr>
                <w:sz w:val="22"/>
                <w:szCs w:val="22"/>
                <w:color w:val="auto"/>
              </w:rPr>
            </w:pPr>
          </w:p>
        </w:tc>
        <w:tc>
          <w:tcPr>
            <w:tcW w:w="7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69,001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65,636</w:t>
            </w:r>
          </w:p>
        </w:tc>
      </w:tr>
      <w:tr>
        <w:trPr>
          <w:trHeight w:val="22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41"/>
        </w:trPr>
        <w:tc>
          <w:tcPr>
            <w:tcW w:w="834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Preferred stock, $0.00001 par value, 10,000 shares authorized; none issued and outstanding</w:t>
            </w:r>
          </w:p>
        </w:tc>
        <w:tc>
          <w:tcPr>
            <w:tcW w:w="2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8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7"/>
              </w:rPr>
              <w:t>Common stock, $0.00001 par value, 100,000 shares authorized; 41,739 and 40,856 shares issued and</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outstanding as of June 30, 2013 and December 31, 2012,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188,082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183,629</w:t>
            </w: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(127,026)</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52</w:t>
            </w:r>
          </w:p>
        </w:tc>
      </w:tr>
      <w:tr>
        <w:trPr>
          <w:trHeight w:val="27"/>
        </w:trPr>
        <w:tc>
          <w:tcPr>
            <w:tcW w:w="640" w:type="dxa"/>
            <w:vAlign w:val="bottom"/>
            <w:tcBorders>
              <w:bottom w:val="single" w:sz="8" w:color="CCEEFF"/>
            </w:tcBorders>
          </w:tcPr>
          <w:p>
            <w:pPr>
              <w:spacing w:after="0"/>
              <w:rPr>
                <w:sz w:val="2"/>
                <w:szCs w:val="2"/>
                <w:color w:val="auto"/>
              </w:rPr>
            </w:pPr>
          </w:p>
        </w:tc>
        <w:tc>
          <w:tcPr>
            <w:tcW w:w="7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640" w:type="dxa"/>
            <w:vAlign w:val="bottom"/>
            <w:tcBorders>
              <w:bottom w:val="single" w:sz="8" w:color="CCEEFF"/>
            </w:tcBorders>
            <w:shd w:val="clear" w:color="auto" w:fill="CCEEFF"/>
          </w:tcPr>
          <w:p>
            <w:pPr>
              <w:spacing w:after="0"/>
              <w:rPr>
                <w:sz w:val="22"/>
                <w:szCs w:val="22"/>
                <w:color w:val="auto"/>
              </w:rPr>
            </w:pPr>
          </w:p>
        </w:tc>
        <w:tc>
          <w:tcPr>
            <w:tcW w:w="7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56,655</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113,348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122,291</w:t>
            </w:r>
          </w:p>
        </w:tc>
      </w:tr>
      <w:tr>
        <w:trPr>
          <w:trHeight w:val="27"/>
        </w:trPr>
        <w:tc>
          <w:tcPr>
            <w:tcW w:w="640" w:type="dxa"/>
            <w:vAlign w:val="bottom"/>
          </w:tcPr>
          <w:p>
            <w:pPr>
              <w:spacing w:after="0"/>
              <w:rPr>
                <w:sz w:val="2"/>
                <w:szCs w:val="2"/>
                <w:color w:val="auto"/>
              </w:rPr>
            </w:pPr>
          </w:p>
        </w:tc>
        <w:tc>
          <w:tcPr>
            <w:tcW w:w="7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64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96"/>
              </w:rPr>
              <w:t>2012</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58,167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103,744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98,297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41,883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42,096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75,259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75,389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16,284</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28,485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22,908</w:t>
            </w:r>
          </w:p>
        </w:tc>
        <w:tc>
          <w:tcPr>
            <w:tcW w:w="0" w:type="dxa"/>
            <w:vAlign w:val="bottom"/>
          </w:tcPr>
          <w:p>
            <w:pPr>
              <w:spacing w:after="0"/>
              <w:rPr>
                <w:sz w:val="1"/>
                <w:szCs w:val="1"/>
                <w:color w:val="auto"/>
              </w:rPr>
            </w:pPr>
          </w:p>
        </w:tc>
      </w:tr>
      <w:tr>
        <w:trPr>
          <w:trHeight w:val="22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8,484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17,510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16,497</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7,365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6,360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14,215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11,409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5,926</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6,091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11,962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11,787</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21,775</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21,106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43,687</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39,693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(15,202)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(4,884)</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expense, net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(4,568)</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(6,272)</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(11,234)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(16,496)</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(21,353)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(6,396)</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(11,385)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(16,802)</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(21,569)</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16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6"/>
              </w:rPr>
              <w:t>Net loss per share attributable to common stockholders, basic and</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w w:val="93"/>
              </w:rPr>
              <w:t>Shares used in computing net loss per share attributable to common</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1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restart"/>
          </w:tcPr>
          <w:p>
            <w:pPr>
              <w:jc w:val="right"/>
              <w:ind w:right="33"/>
              <w:spacing w:after="0"/>
              <w:rPr>
                <w:sz w:val="20"/>
                <w:szCs w:val="20"/>
                <w:color w:val="auto"/>
              </w:rPr>
            </w:pPr>
            <w:r>
              <w:rPr>
                <w:rFonts w:ascii="Arial" w:cs="Arial" w:eastAsia="Arial" w:hAnsi="Arial"/>
                <w:sz w:val="18"/>
                <w:szCs w:val="18"/>
                <w:color w:val="auto"/>
              </w:rPr>
              <w:t>41,617</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8"/>
                <w:szCs w:val="18"/>
                <w:color w:val="auto"/>
              </w:rPr>
              <w:t>39,461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ind w:right="13"/>
              <w:spacing w:after="0"/>
              <w:rPr>
                <w:sz w:val="20"/>
                <w:szCs w:val="20"/>
                <w:color w:val="auto"/>
              </w:rPr>
            </w:pPr>
            <w:r>
              <w:rPr>
                <w:rFonts w:ascii="Arial" w:cs="Arial" w:eastAsia="Arial" w:hAnsi="Arial"/>
                <w:sz w:val="18"/>
                <w:szCs w:val="18"/>
                <w:color w:val="auto"/>
              </w:rPr>
              <w:t>41,384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vMerge w:val="restart"/>
          </w:tcPr>
          <w:p>
            <w:pPr>
              <w:jc w:val="right"/>
              <w:ind w:right="11"/>
              <w:spacing w:after="0"/>
              <w:rPr>
                <w:sz w:val="20"/>
                <w:szCs w:val="20"/>
                <w:color w:val="auto"/>
              </w:rPr>
            </w:pPr>
            <w:r>
              <w:rPr>
                <w:rFonts w:ascii="Arial" w:cs="Arial" w:eastAsia="Arial" w:hAnsi="Arial"/>
                <w:sz w:val="18"/>
                <w:szCs w:val="18"/>
                <w:color w:val="auto"/>
              </w:rPr>
              <w:t>20,584</w:t>
            </w:r>
          </w:p>
        </w:tc>
        <w:tc>
          <w:tcPr>
            <w:tcW w:w="0" w:type="dxa"/>
            <w:vAlign w:val="bottom"/>
          </w:tcPr>
          <w:p>
            <w:pPr>
              <w:spacing w:after="0"/>
              <w:rPr>
                <w:sz w:val="1"/>
                <w:szCs w:val="1"/>
                <w:color w:val="auto"/>
              </w:rPr>
            </w:pPr>
          </w:p>
        </w:tc>
      </w:tr>
      <w:tr>
        <w:trPr>
          <w:trHeight w:val="237"/>
        </w:trPr>
        <w:tc>
          <w:tcPr>
            <w:tcW w:w="5160" w:type="dxa"/>
            <w:vAlign w:val="bottom"/>
          </w:tcPr>
          <w:p>
            <w:pPr>
              <w:ind w:left="120"/>
              <w:spacing w:after="0"/>
              <w:rPr>
                <w:sz w:val="20"/>
                <w:szCs w:val="20"/>
                <w:color w:val="auto"/>
              </w:rPr>
            </w:pPr>
            <w:r>
              <w:rPr>
                <w:rFonts w:ascii="Arial" w:cs="Arial" w:eastAsia="Arial" w:hAnsi="Arial"/>
                <w:sz w:val="18"/>
                <w:szCs w:val="18"/>
                <w:color w:val="auto"/>
              </w:rPr>
              <w:t>stockholders, basic and diluted</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2012</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(6,396)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(16,802)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(21,569)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loss attributable to common stockholders</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(6,177)</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(11,396)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(16,761)</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(21,552)</w:t>
            </w:r>
          </w:p>
        </w:tc>
      </w:tr>
      <w:tr>
        <w:trPr>
          <w:trHeight w:val="27"/>
        </w:trPr>
        <w:tc>
          <w:tcPr>
            <w:tcW w:w="5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jc w:val="center"/>
        <w:ind w:left="8840"/>
        <w:spacing w:after="0"/>
        <w:rPr>
          <w:sz w:val="20"/>
          <w:szCs w:val="20"/>
          <w:color w:val="auto"/>
        </w:rPr>
      </w:pPr>
      <w:r>
        <w:rPr>
          <w:rFonts w:ascii="Arial" w:cs="Arial" w:eastAsia="Arial" w:hAnsi="Arial"/>
          <w:sz w:val="13"/>
          <w:szCs w:val="13"/>
          <w:b w:val="1"/>
          <w:bCs w:val="1"/>
          <w:color w:val="auto"/>
        </w:rPr>
        <w:t>Six Months Ended</w:t>
      </w:r>
    </w:p>
    <w:p>
      <w:pPr>
        <w:spacing w:after="0" w:line="15" w:lineRule="exact"/>
        <w:rPr>
          <w:sz w:val="20"/>
          <w:szCs w:val="20"/>
          <w:color w:val="auto"/>
        </w:rPr>
      </w:pPr>
    </w:p>
    <w:p>
      <w:pPr>
        <w:jc w:val="center"/>
        <w:ind w:left="88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Adjustments to reconcile net loss to net cash used in operating activities: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Provision for doubtful accounts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Net loss on disposal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Non-cash interest expense</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Change in fair value of convertible preferred stock warrants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Accounts receivable</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Prepaid expenses and other assets</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Accounts payable, accrued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Deferred revenues</w:t>
      </w:r>
    </w:p>
    <w:p>
      <w:pPr>
        <w:spacing w:after="0" w:line="86"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investing activities:</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2012</w:t>
            </w:r>
          </w:p>
        </w:tc>
      </w:tr>
      <w:tr>
        <w:trPr>
          <w:trHeight w:val="507"/>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(16,802)</w:t>
            </w:r>
          </w:p>
        </w:tc>
        <w:tc>
          <w:tcPr>
            <w:tcW w:w="12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(21,569)</w:t>
            </w:r>
          </w:p>
        </w:tc>
      </w:tr>
      <w:tr>
        <w:trPr>
          <w:trHeight w:val="540"/>
        </w:trPr>
        <w:tc>
          <w:tcPr>
            <w:tcW w:w="30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3,369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2,451</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110</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3,903</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2,910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1,708</w:t>
            </w:r>
          </w:p>
        </w:tc>
      </w:tr>
      <w:tr>
        <w:trPr>
          <w:trHeight w:val="270"/>
        </w:trPr>
        <w:tc>
          <w:tcPr>
            <w:tcW w:w="3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(520)</w:t>
            </w:r>
          </w:p>
        </w:tc>
      </w:tr>
      <w:tr>
        <w:trPr>
          <w:trHeight w:val="540"/>
        </w:trPr>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(4,389)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7,810</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1,937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(19,738)</w:t>
            </w:r>
          </w:p>
        </w:tc>
      </w:tr>
      <w:tr>
        <w:trPr>
          <w:trHeight w:val="270"/>
        </w:trPr>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(1,317)</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3,174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16,719</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2,091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(21,402)</w:t>
            </w:r>
          </w:p>
        </w:tc>
      </w:tr>
      <w:tr>
        <w:trPr>
          <w:trHeight w:val="33"/>
        </w:trPr>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(7,962)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(31,845)</w:t>
            </w:r>
          </w:p>
        </w:tc>
      </w:tr>
      <w:tr>
        <w:trPr>
          <w:trHeight w:val="33"/>
        </w:trPr>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87" w:lineRule="exact"/>
        <w:rPr>
          <w:sz w:val="20"/>
          <w:szCs w:val="20"/>
          <w:color w:val="auto"/>
        </w:rPr>
      </w:pPr>
    </w:p>
    <w:p>
      <w:pPr>
        <w:sectPr>
          <w:pgSz w:w="11900" w:h="16838" w:orient="portrait"/>
          <w:cols w:equalWidth="0" w:num="2">
            <w:col w:w="8080" w:space="720"/>
            <w:col w:w="262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8800" w:type="dxa"/>
            <w:vAlign w:val="bottom"/>
          </w:tcPr>
          <w:p>
            <w:pPr>
              <w:ind w:left="380"/>
              <w:spacing w:after="0"/>
              <w:rPr>
                <w:sz w:val="20"/>
                <w:szCs w:val="20"/>
                <w:color w:val="auto"/>
              </w:rPr>
            </w:pPr>
            <w:r>
              <w:rPr>
                <w:rFonts w:ascii="Arial" w:cs="Arial" w:eastAsia="Arial" w:hAnsi="Arial"/>
                <w:sz w:val="16"/>
                <w:szCs w:val="16"/>
                <w:color w:val="auto"/>
              </w:rPr>
              <w:t>Purchases of property and equipment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(3,467)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(8,013)</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Net cash used in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(8,013)</w:t>
            </w:r>
          </w:p>
        </w:tc>
        <w:tc>
          <w:tcPr>
            <w:tcW w:w="0" w:type="dxa"/>
            <w:vAlign w:val="bottom"/>
          </w:tcPr>
          <w:p>
            <w:pPr>
              <w:spacing w:after="0"/>
              <w:rPr>
                <w:sz w:val="1"/>
                <w:szCs w:val="1"/>
                <w:color w:val="auto"/>
              </w:rPr>
            </w:pPr>
          </w:p>
        </w:tc>
      </w:tr>
      <w:tr>
        <w:trPr>
          <w:trHeight w:val="204"/>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4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term loans and debt</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2,600</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Repayments of term loans</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(1,196)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(4,076)</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Principal payments under capital leases</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Proceeds from issuance of common stock under employee stock plans</w:t>
            </w:r>
          </w:p>
        </w:tc>
        <w:tc>
          <w:tcPr>
            <w:tcW w:w="400" w:type="dxa"/>
            <w:vAlign w:val="bottom"/>
          </w:tcPr>
          <w:p>
            <w:pPr>
              <w:spacing w:after="0"/>
              <w:rPr>
                <w:sz w:val="20"/>
                <w:szCs w:val="20"/>
                <w:color w:val="auto"/>
              </w:rPr>
            </w:pPr>
          </w:p>
        </w:tc>
        <w:tc>
          <w:tcPr>
            <w:tcW w:w="860" w:type="dxa"/>
            <w:vAlign w:val="bottom"/>
          </w:tcPr>
          <w:p>
            <w:pPr>
              <w:jc w:val="right"/>
              <w:ind w:right="17"/>
              <w:spacing w:after="0"/>
              <w:rPr>
                <w:sz w:val="20"/>
                <w:szCs w:val="20"/>
                <w:color w:val="auto"/>
              </w:rPr>
            </w:pPr>
            <w:r>
              <w:rPr>
                <w:rFonts w:ascii="Arial" w:cs="Arial" w:eastAsia="Arial" w:hAnsi="Arial"/>
                <w:sz w:val="16"/>
                <w:szCs w:val="16"/>
                <w:color w:val="auto"/>
              </w:rPr>
              <w:t>1,534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issuance of common stock in IPO, net of underwriting discounts and commissions</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58,609</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Payment of offering costs</w:t>
            </w:r>
          </w:p>
        </w:tc>
        <w:tc>
          <w:tcPr>
            <w:tcW w:w="4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(1,828)</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Net cash provided by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55,286</w:t>
            </w:r>
          </w:p>
        </w:tc>
        <w:tc>
          <w:tcPr>
            <w:tcW w:w="0" w:type="dxa"/>
            <w:vAlign w:val="bottom"/>
          </w:tcPr>
          <w:p>
            <w:pPr>
              <w:spacing w:after="0"/>
              <w:rPr>
                <w:sz w:val="1"/>
                <w:szCs w:val="1"/>
                <w:color w:val="auto"/>
              </w:rPr>
            </w:pPr>
          </w:p>
        </w:tc>
      </w:tr>
      <w:tr>
        <w:trPr>
          <w:trHeight w:val="217"/>
        </w:trPr>
        <w:tc>
          <w:tcPr>
            <w:tcW w:w="8800" w:type="dxa"/>
            <w:vAlign w:val="bottom"/>
          </w:tcPr>
          <w:p>
            <w:pPr>
              <w:ind w:left="1460"/>
              <w:spacing w:after="0"/>
              <w:rPr>
                <w:sz w:val="20"/>
                <w:szCs w:val="20"/>
                <w:color w:val="auto"/>
              </w:rPr>
            </w:pPr>
            <w:r>
              <w:rPr>
                <w:rFonts w:ascii="Arial" w:cs="Arial" w:eastAsia="Arial" w:hAnsi="Arial"/>
                <w:sz w:val="16"/>
                <w:szCs w:val="16"/>
                <w:color w:val="auto"/>
              </w:rPr>
              <w:t>Effect of exchange rate changes on cash</w:t>
            </w: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(11,318)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15,445</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Cash and cash equivalents—Beginning of period</w:t>
            </w:r>
          </w:p>
        </w:tc>
        <w:tc>
          <w:tcPr>
            <w:tcW w:w="400" w:type="dxa"/>
            <w:vAlign w:val="bottom"/>
          </w:tcPr>
          <w:p>
            <w:pPr>
              <w:spacing w:after="0"/>
              <w:rPr>
                <w:sz w:val="20"/>
                <w:szCs w:val="20"/>
                <w:color w:val="auto"/>
              </w:rPr>
            </w:pPr>
          </w:p>
        </w:tc>
        <w:tc>
          <w:tcPr>
            <w:tcW w:w="860" w:type="dxa"/>
            <w:vAlign w:val="bottom"/>
          </w:tcPr>
          <w:p>
            <w:pPr>
              <w:jc w:val="right"/>
              <w:ind w:right="17"/>
              <w:spacing w:after="0"/>
              <w:rPr>
                <w:sz w:val="20"/>
                <w:szCs w:val="20"/>
                <w:color w:val="auto"/>
              </w:rPr>
            </w:pPr>
            <w:r>
              <w:rPr>
                <w:rFonts w:ascii="Arial" w:cs="Arial" w:eastAsia="Arial" w:hAnsi="Arial"/>
                <w:sz w:val="16"/>
                <w:szCs w:val="16"/>
                <w:color w:val="auto"/>
              </w:rPr>
              <w:t>45,294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51,524</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equivalents—End of period</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33,976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66,969</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8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paid for interest</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715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904</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Noncash financing and investing activities:</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8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property and equipment included in accounts payable</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305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1,692</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Offering costs not yet paid</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vMerge w:val="continue"/>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67"/>
        </w:trPr>
        <w:tc>
          <w:tcPr>
            <w:tcW w:w="88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380"/>
              <w:spacing w:after="0" w:line="177" w:lineRule="exact"/>
              <w:rPr>
                <w:sz w:val="20"/>
                <w:szCs w:val="20"/>
                <w:color w:val="auto"/>
              </w:rPr>
            </w:pPr>
            <w:r>
              <w:rPr>
                <w:rFonts w:ascii="Arial" w:cs="Arial" w:eastAsia="Arial" w:hAnsi="Arial"/>
                <w:sz w:val="16"/>
                <w:szCs w:val="16"/>
                <w:color w:val="auto"/>
              </w:rPr>
              <w:t>Conversion of convertible notes into common stock upon IPO</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21,204</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Reclassification of convertible preferred stock warrant liability to additional paid-in capital upon IPO</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vMerge w:val="continue"/>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879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5" w:right="2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440" w:right="6680" w:hanging="432"/>
        <w:spacing w:after="0" w:line="440" w:lineRule="auto"/>
        <w:tabs>
          <w:tab w:leader="none" w:pos="18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Overview and Summary of Significant Accounting Policies </w:t>
      </w:r>
      <w:r>
        <w:rPr>
          <w:rFonts w:ascii="Arial" w:cs="Arial" w:eastAsia="Arial" w:hAnsi="Arial"/>
          <w:sz w:val="18"/>
          <w:szCs w:val="18"/>
          <w:b w:val="1"/>
          <w:bCs w:val="1"/>
          <w:i w:val="1"/>
          <w:iCs w:val="1"/>
          <w:color w:val="auto"/>
        </w:rPr>
        <w:t>The Company</w:t>
      </w:r>
    </w:p>
    <w:p>
      <w:pPr>
        <w:spacing w:after="0" w:line="1"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Enphase Energy, Inc. ("Enphase" or the “Company”) designs, develops, and sells microinverter systems for the solar photovoltaic industry. The Company’s microinverter system consists of (i) an Enphase microinverter and related accessories that convert direct current (“DC”) power to grid-compliant alternating current (“AC”) power; (ii) an Envoy communications gateway device that collects and transmits performance information from each solar module to the Company’s hosted data center; and (iii) the Enlighten web-based software platform that collects and processes this information to enable customers to monitor and manage their solar power systems. The Company sells microinverter systems primarily to distributors who resell them to solar installers. The Company also sells directly to large installers as well as through original equipment manufacturers (“OEMs”) and strategic partners.</w:t>
      </w:r>
    </w:p>
    <w:p>
      <w:pPr>
        <w:spacing w:after="0" w:line="111"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On April 4, 2012, the Company completed its initial public offering ("IPO"), issuing 10,315,151 shares of common stock at an offering price of $6.00 per share. The net proceeds from the sale of the shares were $53.8 million, after deducting the underwriters’ discounts and commissions of $3.3 million and other offering costs of $4.8 million. Upon consummation of the IPO, the Company’s 22,220,856 outstanding shares of convertible preferred stock were automatically converted into 25,171,017 shares of common stock, and the $21.2 million outstanding balance of principal and accrued paid-in-kind interest in convertible notes were automatically converted into 3,533,988 shares of common stock at a conversion price equal to the IPO price of $6.00 per share</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Basis of Presentation, Consolidation and Related Party Transactions</w:t>
      </w:r>
    </w:p>
    <w:p>
      <w:pPr>
        <w:spacing w:after="0" w:line="171"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The accompanying condensed consolidated financial statements are presented in accordance with United States generally accepted accounting principles (“U.S. GAAP”). The condensed consolidated financial statements include the accounts of the Company and its wholly-owned subsidiaries. All intercompany balances and transactions have been eliminated in the consolidation.</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71"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These accompanying unaudited condensed consolidated financial statements have been prepared pursuant to the rules and regulations of the Securities and Exchange Commission (the “SEC”) for interim financial reporting. In the opinion of management, these unaudited condensed consolidated interim financial statements reflect all adjustments, consisting of normal recurring items, considered necessary to present fairly the Company's financial condition, results of operations, comprehensive loss and cash flows for the periods indicated. The results of operations for the three and six months ended June 30, 2013 are not necessarily indicative of the operating results for the full year. Certain information and footnote disclosures typically included in annual consolidated financial statements have been condensed or omitted. Accordingly, these unaudited interim condensed consolidated financial statements should be read in conjunction with the consolidated financial statements and related notes included in the Company's Annual Report on Form 10-K for the year ended December 31, 2012.</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7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There have been no material changes in the Company's significant accounting policies, as compared to the significant accounting policies described in the Company's Annual Report on Form 10-K for the year ended December 31, 2012.</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about future events, and apply judgments that affect the reported amounts of assets, liabilities, revenue, expenses and the related disclosures. Significant estimates and assumptions reflected in the financial statements include revenue recognition, inventory valuation and accrued warranty obligations. Actual results could differ from those estimates.</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125" w:right="29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INVENTORY</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Inventory as of June 30, 2013 and December 31, 2012 consists of the following (in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June 30, 2013</w:t>
            </w:r>
          </w:p>
        </w:tc>
        <w:tc>
          <w:tcPr>
            <w:tcW w:w="200" w:type="dxa"/>
            <w:vAlign w:val="bottom"/>
          </w:tcPr>
          <w:p>
            <w:pPr>
              <w:spacing w:after="0"/>
              <w:rPr>
                <w:sz w:val="14"/>
                <w:szCs w:val="14"/>
                <w:color w:val="auto"/>
              </w:rPr>
            </w:pPr>
          </w:p>
        </w:tc>
        <w:tc>
          <w:tcPr>
            <w:tcW w:w="1280" w:type="dxa"/>
            <w:vAlign w:val="bottom"/>
          </w:tcPr>
          <w:p>
            <w:pPr>
              <w:jc w:val="right"/>
              <w:ind w:right="277"/>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57"/>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15,810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17,620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inventory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19,843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WARRANTY OBLIGATIONS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the Company’s warranty obligations during the six months ended June 30, 2013 and 2012 were as follows (in thousands):</w:t>
      </w:r>
    </w:p>
    <w:p>
      <w:pPr>
        <w:spacing w:after="0" w:line="32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21,338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8,738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Warranty expense</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8,124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3,698</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(2,685)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26,777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11,412</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 included in accrued liabilities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(7,987)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Long-term portion</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18,790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9,192</w:t>
            </w:r>
          </w:p>
        </w:tc>
      </w:tr>
      <w:tr>
        <w:trPr>
          <w:trHeight w:val="27"/>
        </w:trPr>
        <w:tc>
          <w:tcPr>
            <w:tcW w:w="8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color w:val="auto"/>
        </w:rPr>
        <w:t>For the three and six months ended June 30, 2013, warranty expense included $2.7 million and $4.7 million, respectively, resulting from changes in estimates, arising from increased failure rates related to certain previous generation products, lower warranty claim rates and higher estimated replacement costs for certain products.</w:t>
      </w:r>
    </w:p>
    <w:p>
      <w:pPr>
        <w:spacing w:after="0" w:line="127"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For the three and six months ended June 30, 2012, warranty expense included $0.9 million and $1.2 million, respectively, resulting from changes in estimates related to higher estimated replacement costs for certain products.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75" w:lineRule="exact"/>
        <w:rPr>
          <w:sz w:val="20"/>
          <w:szCs w:val="20"/>
          <w:color w:val="auto"/>
        </w:rPr>
      </w:pPr>
    </w:p>
    <w:p>
      <w:pPr>
        <w:ind w:right="260" w:firstLine="446"/>
        <w:spacing w:after="0" w:line="302" w:lineRule="auto"/>
        <w:rPr>
          <w:sz w:val="20"/>
          <w:szCs w:val="20"/>
          <w:color w:val="auto"/>
        </w:rPr>
      </w:pPr>
      <w:r>
        <w:rPr>
          <w:rFonts w:ascii="Arial" w:cs="Arial" w:eastAsia="Arial" w:hAnsi="Arial"/>
          <w:sz w:val="16"/>
          <w:szCs w:val="16"/>
          <w:color w:val="auto"/>
        </w:rPr>
        <w:t>The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to be recorded at fair value, the Company considers the principal or most advantageous market in which it would transact and considers assumptions that market participants would use when pricing the asset or liability, such as inherent risk, transfer restrictions, and risk of nonperformance.</w:t>
      </w:r>
    </w:p>
    <w:p>
      <w:pPr>
        <w:spacing w:after="0" w:line="100" w:lineRule="exact"/>
        <w:rPr>
          <w:sz w:val="20"/>
          <w:szCs w:val="20"/>
          <w:color w:val="auto"/>
        </w:rPr>
      </w:pPr>
    </w:p>
    <w:p>
      <w:pPr>
        <w:ind w:right="160" w:firstLine="446"/>
        <w:spacing w:after="0" w:line="264" w:lineRule="auto"/>
        <w:rPr>
          <w:sz w:val="20"/>
          <w:szCs w:val="20"/>
          <w:color w:val="auto"/>
        </w:rPr>
      </w:pPr>
      <w:r>
        <w:rPr>
          <w:rFonts w:ascii="Arial" w:cs="Arial" w:eastAsia="Arial" w:hAnsi="Arial"/>
          <w:sz w:val="18"/>
          <w:szCs w:val="18"/>
          <w:color w:val="auto"/>
        </w:rPr>
        <w:t>The fair value hierarchy requires an entity to maximize the use of observable inputs and minimize the use of unobservable inputs when measuring fair value. An asset’s or liability’s categorization within the fair value hierarchy is based upon the lowest level of input that is significant to the fair value measurement. Three levels of inputs may be used to measure fair value:</w:t>
      </w:r>
    </w:p>
    <w:p>
      <w:pPr>
        <w:spacing w:after="0" w:line="46" w:lineRule="exact"/>
        <w:rPr>
          <w:sz w:val="20"/>
          <w:szCs w:val="20"/>
          <w:color w:val="auto"/>
        </w:rPr>
      </w:pPr>
    </w:p>
    <w:p>
      <w:pPr>
        <w:ind w:left="980" w:right="300" w:hanging="486"/>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is able to access. Since valuations are based on quoted prices that are readily and regularly available in an active market, valuation of such assets or liabilities do not entail a significant degree of judgment.</w:t>
      </w:r>
    </w:p>
    <w:p>
      <w:pPr>
        <w:spacing w:after="0" w:line="46" w:lineRule="exact"/>
        <w:rPr>
          <w:rFonts w:ascii="Arial" w:cs="Arial" w:eastAsia="Arial" w:hAnsi="Arial"/>
          <w:sz w:val="18"/>
          <w:szCs w:val="18"/>
          <w:color w:val="auto"/>
        </w:rPr>
      </w:pPr>
    </w:p>
    <w:p>
      <w:pPr>
        <w:ind w:left="980" w:right="180" w:hanging="486"/>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2—Valuations based on one or more quoted prices in markets that are not active or for which all significant inputs are observable, either directly or indirectly.</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81" w:lineRule="exact"/>
        <w:rPr>
          <w:sz w:val="20"/>
          <w:szCs w:val="20"/>
          <w:color w:val="auto"/>
        </w:rPr>
      </w:pPr>
    </w:p>
    <w:p>
      <w:pPr>
        <w:ind w:right="100" w:firstLine="446"/>
        <w:spacing w:after="0" w:line="314" w:lineRule="auto"/>
        <w:rPr>
          <w:sz w:val="20"/>
          <w:szCs w:val="20"/>
          <w:color w:val="auto"/>
        </w:rPr>
      </w:pPr>
      <w:r>
        <w:rPr>
          <w:rFonts w:ascii="Arial" w:cs="Arial" w:eastAsia="Arial" w:hAnsi="Arial"/>
          <w:sz w:val="16"/>
          <w:szCs w:val="16"/>
          <w:b w:val="1"/>
          <w:bCs w:val="1"/>
          <w:color w:val="auto"/>
        </w:rPr>
        <w:t>Derivative Instruments—</w:t>
      </w:r>
      <w:r>
        <w:rPr>
          <w:rFonts w:ascii="Arial" w:cs="Arial" w:eastAsia="Arial" w:hAnsi="Arial"/>
          <w:sz w:val="16"/>
          <w:szCs w:val="16"/>
          <w:color w:val="auto"/>
        </w:rPr>
        <w:t>The Company utilizes foreign currency forward contracts to reduce the impact of foreign currency fluctuations arising from</w:t>
      </w:r>
      <w:r>
        <w:rPr>
          <w:rFonts w:ascii="Arial" w:cs="Arial" w:eastAsia="Arial" w:hAnsi="Arial"/>
          <w:sz w:val="16"/>
          <w:szCs w:val="16"/>
          <w:b w:val="1"/>
          <w:bCs w:val="1"/>
          <w:color w:val="auto"/>
        </w:rPr>
        <w:t xml:space="preserve"> </w:t>
      </w:r>
      <w:r>
        <w:rPr>
          <w:rFonts w:ascii="Arial" w:cs="Arial" w:eastAsia="Arial" w:hAnsi="Arial"/>
          <w:sz w:val="16"/>
          <w:szCs w:val="16"/>
          <w:color w:val="auto"/>
        </w:rPr>
        <w:t>both sales and purchases denominated in Euros and the British Pound Sterling. As of June 30, 2013 and December 31, 2012, the aggregate gross notional amounts of outstanding foreign currency forward contracts, all with maturities of less than one year, were $16.7 million and $6.1 million, respectively.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300" w:firstLine="446"/>
        <w:spacing w:after="0" w:line="277" w:lineRule="auto"/>
        <w:rPr>
          <w:sz w:val="20"/>
          <w:szCs w:val="20"/>
          <w:color w:val="auto"/>
        </w:rPr>
      </w:pPr>
      <w:r>
        <w:rPr>
          <w:rFonts w:ascii="Arial" w:cs="Arial" w:eastAsia="Arial" w:hAnsi="Arial"/>
          <w:sz w:val="18"/>
          <w:szCs w:val="18"/>
          <w:color w:val="auto"/>
        </w:rPr>
        <w:t>The following table presents the Company’s financial instruments that were measured at fair value on a recurring basis by level within the fair value hierarchy at June 30, 2013 and December 31, 2012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Asset Derivatives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Liability Derivatives</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w w:val="96"/>
              </w:rPr>
              <w:t>June 30, 2013</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3"/>
          </w:tcPr>
          <w:p>
            <w:pPr>
              <w:jc w:val="center"/>
              <w:ind w:right="46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10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w w:val="94"/>
              </w:rPr>
              <w:t>June 30, 2013</w:t>
            </w:r>
          </w:p>
        </w:tc>
        <w:tc>
          <w:tcPr>
            <w:tcW w:w="100" w:type="dxa"/>
            <w:vAlign w:val="bottom"/>
            <w:vMerge w:val="restart"/>
          </w:tcPr>
          <w:p>
            <w:pPr>
              <w:spacing w:after="0"/>
              <w:rPr>
                <w:sz w:val="13"/>
                <w:szCs w:val="13"/>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December 31, 2012</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 (Level 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six months ended June 30, 2013, the Company recognized a net gain of $56,000 related to foreign currency forward contracts.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DEBT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long-term debt at June 30, 2013 and December 31, 2012 consists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2013</w:t>
            </w:r>
          </w:p>
        </w:tc>
        <w:tc>
          <w:tcPr>
            <w:tcW w:w="140" w:type="dxa"/>
            <w:vAlign w:val="bottom"/>
          </w:tcPr>
          <w:p>
            <w:pPr>
              <w:spacing w:after="0"/>
              <w:rPr>
                <w:sz w:val="16"/>
                <w:szCs w:val="16"/>
                <w:color w:val="auto"/>
              </w:rPr>
            </w:pPr>
          </w:p>
        </w:tc>
        <w:tc>
          <w:tcPr>
            <w:tcW w:w="1340" w:type="dxa"/>
            <w:vAlign w:val="bottom"/>
          </w:tcPr>
          <w:p>
            <w:pPr>
              <w:jc w:val="right"/>
              <w:ind w:right="73"/>
              <w:spacing w:after="0"/>
              <w:rPr>
                <w:sz w:val="20"/>
                <w:szCs w:val="20"/>
                <w:color w:val="auto"/>
              </w:rPr>
            </w:pPr>
            <w:r>
              <w:rPr>
                <w:rFonts w:ascii="Arial" w:cs="Arial" w:eastAsia="Arial" w:hAnsi="Arial"/>
                <w:sz w:val="14"/>
                <w:szCs w:val="14"/>
                <w:b w:val="1"/>
                <w:bCs w:val="1"/>
                <w:color w:val="auto"/>
                <w:w w:val="91"/>
              </w:rPr>
              <w:t>December 31, 2012</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Equipment financing facility, net of unamortized discount of $63 and $94, respectively</w:t>
            </w: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2,496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3,661</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debt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11,061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(2,384)</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portion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8,677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As of June 30, 2013, the Company was a party to three debt agreements: (i) the $50.0 million revolving credit facility (the "Revolver") with Wells Fargo Bank, N.A., (ii) the facility with Hercules Technology Growth Capital, Inc. (“Hercules Facility”) consisting of a $7.4 million initial term loan and lending commitments of up to $15.6 million in additional term loans, and (iii) the $5.0 million equipment financing facility, also with Hercules. As of June 30, 2013, the Company has not drawn upon the Revolver or additional term loans available under the Hercules Facility. Each of these debt agreements is described in greater detail in the consolidated financial statements and related notes included in the Company's Annual Report on Form 10-K for the year ended December 31, 2012.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71" w:lineRule="exact"/>
        <w:rPr>
          <w:sz w:val="20"/>
          <w:szCs w:val="20"/>
          <w:color w:val="auto"/>
        </w:rPr>
      </w:pPr>
    </w:p>
    <w:p>
      <w:pPr>
        <w:ind w:right="400" w:firstLine="446"/>
        <w:spacing w:after="0" w:line="289" w:lineRule="auto"/>
        <w:rPr>
          <w:sz w:val="20"/>
          <w:szCs w:val="20"/>
          <w:color w:val="auto"/>
        </w:rPr>
      </w:pPr>
      <w:r>
        <w:rPr>
          <w:rFonts w:ascii="Arial" w:cs="Arial" w:eastAsia="Arial" w:hAnsi="Arial"/>
          <w:sz w:val="17"/>
          <w:szCs w:val="17"/>
          <w:b w:val="1"/>
          <w:bCs w:val="1"/>
          <w:color w:val="auto"/>
        </w:rPr>
        <w:t xml:space="preserve">Contingencies </w:t>
      </w:r>
      <w:r>
        <w:rPr>
          <w:rFonts w:ascii="Arial" w:cs="Arial" w:eastAsia="Arial" w:hAnsi="Arial"/>
          <w:sz w:val="17"/>
          <w:szCs w:val="17"/>
          <w:color w:val="auto"/>
        </w:rPr>
        <w:t>—The Company is not currently involved in any material legal proceedings. The Company may become involved in various legal</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proceedings and claims that arise in the ordinary course of business. Such matters are subject to uncertainty and there can be no assurance that such legal proceedings will not have a material adverse effect on its business, results of operations, financial position or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75"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The Company has adopted certain equity incentive and stock purchase plans as described in the consolidated financial statements and related notes included in the Company’s Annual Report on Form 10-K for the year ended December 31, 2012.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stock option activity for the six months ended June 30, 2013 (in thousands, except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38"/>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92"/>
        </w:trPr>
        <w:tc>
          <w:tcPr>
            <w:tcW w:w="4380" w:type="dxa"/>
            <w:vAlign w:val="bottom"/>
            <w:tcBorders>
              <w:bottom w:val="single" w:sz="8" w:color="CCEEFF"/>
            </w:tcBorders>
          </w:tcPr>
          <w:p>
            <w:pPr>
              <w:spacing w:after="0"/>
              <w:rPr>
                <w:sz w:val="16"/>
                <w:szCs w:val="16"/>
                <w:color w:val="auto"/>
              </w:rPr>
            </w:pPr>
          </w:p>
        </w:tc>
        <w:tc>
          <w:tcPr>
            <w:tcW w:w="396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outstanding—December 31, 2012</w:t>
            </w:r>
          </w:p>
        </w:tc>
        <w:tc>
          <w:tcPr>
            <w:tcW w:w="54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8,169</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43"/>
        </w:trPr>
        <w:tc>
          <w:tcPr>
            <w:tcW w:w="4380" w:type="dxa"/>
            <w:vAlign w:val="bottom"/>
          </w:tcPr>
          <w:p>
            <w:pPr>
              <w:ind w:left="180"/>
              <w:spacing w:after="0"/>
              <w:rPr>
                <w:sz w:val="20"/>
                <w:szCs w:val="20"/>
                <w:color w:val="auto"/>
              </w:rPr>
            </w:pPr>
            <w:r>
              <w:rPr>
                <w:rFonts w:ascii="Arial" w:cs="Arial" w:eastAsia="Arial" w:hAnsi="Arial"/>
                <w:sz w:val="18"/>
                <w:szCs w:val="18"/>
                <w:color w:val="auto"/>
              </w:rPr>
              <w:t>Granted</w:t>
            </w:r>
          </w:p>
        </w:tc>
        <w:tc>
          <w:tcPr>
            <w:tcW w:w="5460" w:type="dxa"/>
            <w:vAlign w:val="bottom"/>
            <w:gridSpan w:val="2"/>
          </w:tcPr>
          <w:p>
            <w:pPr>
              <w:jc w:val="right"/>
              <w:ind w:right="48"/>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5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43"/>
        </w:trPr>
        <w:tc>
          <w:tcPr>
            <w:tcW w:w="4380" w:type="dxa"/>
            <w:vAlign w:val="bottom"/>
          </w:tcPr>
          <w:p>
            <w:pPr>
              <w:ind w:left="180"/>
              <w:spacing w:after="0"/>
              <w:rPr>
                <w:sz w:val="20"/>
                <w:szCs w:val="20"/>
                <w:color w:val="auto"/>
              </w:rPr>
            </w:pPr>
            <w:r>
              <w:rPr>
                <w:rFonts w:ascii="Arial" w:cs="Arial" w:eastAsia="Arial" w:hAnsi="Arial"/>
                <w:sz w:val="18"/>
                <w:szCs w:val="18"/>
                <w:color w:val="auto"/>
              </w:rPr>
              <w:t>Canceled</w:t>
            </w:r>
          </w:p>
        </w:tc>
        <w:tc>
          <w:tcPr>
            <w:tcW w:w="546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Options outstanding—June 30, 2013</w:t>
            </w:r>
          </w:p>
        </w:tc>
        <w:tc>
          <w:tcPr>
            <w:tcW w:w="54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7,924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bottom w:val="single" w:sz="8" w:color="CCEEFF"/>
            </w:tcBorders>
            <w:vMerge w:val="restart"/>
          </w:tcPr>
          <w:p>
            <w:pPr>
              <w:jc w:val="right"/>
              <w:ind w:right="2490"/>
              <w:spacing w:after="0"/>
              <w:rPr>
                <w:sz w:val="20"/>
                <w:szCs w:val="20"/>
                <w:color w:val="auto"/>
              </w:rPr>
            </w:pPr>
            <w:r>
              <w:rPr>
                <w:rFonts w:ascii="Arial" w:cs="Arial" w:eastAsia="Arial" w:hAnsi="Arial"/>
                <w:sz w:val="18"/>
                <w:szCs w:val="18"/>
                <w:color w:val="auto"/>
              </w:rPr>
              <w:t>9</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38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restricted stock unit activity for the six months ended June 30, 2013 (in thousands, except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Restricted Stock Units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6"/>
              </w:rPr>
              <w:t>at</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2012</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Canceled</w:t>
            </w:r>
          </w:p>
        </w:tc>
        <w:tc>
          <w:tcPr>
            <w:tcW w:w="15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2013</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71"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The following table summarizes the components of total stock-based compensation expense included in the condensed consolidated statements of operations for the periods presented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6"/>
              </w:rPr>
              <w:t>2012</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657</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530</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1,475</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2,910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stock-based compensation associated with each type of award for the periods presented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2012</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and restricted stock units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1,432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2,717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Employee Stock Purchase Plan</w:t>
            </w:r>
          </w:p>
        </w:tc>
        <w:tc>
          <w:tcPr>
            <w:tcW w:w="36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1,475</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2,910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71"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The fair value of options granted to employees for purposes of calculating stock-based compensation expense is estimated on the grant date using the Black-Scholes option-pricing model. This valuation model requires the Company to make assumptions and judgments about the inputs used in the calculation, including the expected term (weighted-average period of time that the options granted are expected to be outstanding), the volatility of the Company’s common stock, a risk-free interest rate, and expected dividend yield. The expected term for an option grant is calculated based on the simplified method. The expected volatility is based on an average of the historical volatilities of the common stock of several entities with characteristics similar to those of the Company. The risk-free rate is based on the U.S. Treasury yield curve in effect at the time of grant for periods corresponding with the expected life of the option. The Company’s expected dividend yield input was zero as it has not historically paid, nor does it expect in the future to pay, cash dividends on its common stock.</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 fair value of each option granted during the periods presented was estimated on the date of grant using the Black-Scholes option-pricing model with the following weighted-average assumptions: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center"/>
              <w:ind w:right="193"/>
              <w:spacing w:after="0"/>
              <w:rPr>
                <w:sz w:val="20"/>
                <w:szCs w:val="20"/>
                <w:color w:val="auto"/>
              </w:rPr>
            </w:pPr>
            <w:r>
              <w:rPr>
                <w:rFonts w:ascii="Arial" w:cs="Arial" w:eastAsia="Arial" w:hAnsi="Arial"/>
                <w:sz w:val="14"/>
                <w:szCs w:val="14"/>
                <w:b w:val="1"/>
                <w:bCs w:val="1"/>
                <w:color w:val="auto"/>
                <w:w w:val="95"/>
              </w:rPr>
              <w:t>Three Months Ended</w:t>
            </w:r>
          </w:p>
        </w:tc>
        <w:tc>
          <w:tcPr>
            <w:tcW w:w="320" w:type="dxa"/>
            <w:vAlign w:val="bottom"/>
          </w:tcPr>
          <w:p>
            <w:pPr>
              <w:spacing w:after="0"/>
              <w:rPr>
                <w:sz w:val="14"/>
                <w:szCs w:val="14"/>
                <w:color w:val="auto"/>
              </w:rPr>
            </w:pPr>
          </w:p>
        </w:tc>
        <w:tc>
          <w:tcPr>
            <w:tcW w:w="2040" w:type="dxa"/>
            <w:vAlign w:val="bottom"/>
            <w:gridSpan w:val="4"/>
          </w:tcPr>
          <w:p>
            <w:pPr>
              <w:jc w:val="center"/>
              <w:ind w:right="133"/>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6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457"/>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457"/>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2012</w:t>
            </w: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6.0</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6.0</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74.1%</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73.6%</w:t>
            </w:r>
          </w:p>
        </w:tc>
      </w:tr>
      <w:tr>
        <w:trPr>
          <w:trHeight w:val="27"/>
        </w:trPr>
        <w:tc>
          <w:tcPr>
            <w:tcW w:w="6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Annual risk-free rate of return</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7"/>
        </w:trPr>
        <w:tc>
          <w:tcPr>
            <w:tcW w:w="6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4.87</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5.16</w:t>
            </w:r>
          </w:p>
        </w:tc>
      </w:tr>
      <w:tr>
        <w:trPr>
          <w:trHeight w:val="27"/>
        </w:trPr>
        <w:tc>
          <w:tcPr>
            <w:tcW w:w="67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As of June 30, 2013, there was approximately $12.9 million of total unrecognized compensation cost related to unvested equity awards expected to be recognized over a weighted-average period of 2.6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75" w:lineRule="exact"/>
        <w:rPr>
          <w:sz w:val="20"/>
          <w:szCs w:val="20"/>
          <w:color w:val="auto"/>
        </w:rPr>
      </w:pPr>
    </w:p>
    <w:p>
      <w:pPr>
        <w:jc w:val="both"/>
        <w:ind w:right="120" w:firstLine="432"/>
        <w:spacing w:after="0" w:line="312" w:lineRule="auto"/>
        <w:rPr>
          <w:sz w:val="20"/>
          <w:szCs w:val="20"/>
          <w:color w:val="auto"/>
        </w:rPr>
      </w:pPr>
      <w:r>
        <w:rPr>
          <w:rFonts w:ascii="Arial" w:cs="Arial" w:eastAsia="Arial" w:hAnsi="Arial"/>
          <w:sz w:val="16"/>
          <w:szCs w:val="16"/>
          <w:color w:val="auto"/>
        </w:rPr>
        <w:t>No provision for U.S. federal or state income taxes has been made due to cumulative losses since the commencement of operations. The Company had a provision for income taxes of $124,000 and $151,000 for the three months ended June 30, 2013 and 2012, respectively, and $306,000 and $216,000 for the six months ended June 30, 2013 and 2012, respectively. The provision relates to the Company's subsidiaries located outside of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LOSS PER SHARE ATTRIBUTABLE TO COMMON STOCKHOLDERS</w:t>
      </w:r>
    </w:p>
    <w:p>
      <w:pPr>
        <w:spacing w:after="0" w:line="17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In April 2012, all of the Company’s then outstanding convertible preferred stock automatically converted into common stock in connection with its IPO. For periods that ended prior to the conversion, basic and diluted net income per common share were presented in conformity with the two-class method required for participating securities.</w:t>
      </w:r>
    </w:p>
    <w:p>
      <w:pPr>
        <w:spacing w:after="0" w:line="127"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Under the two-class method, net loss is allocated between common shares and other participating securities to the extent that the securities are required to share in the losses. The Company’s convertible preferred stock did not meet the definition of a participating security in periods of net losses as the convertible preferred stockholders did not have a contractual obligation to share in the Company’s losses. Accordingly, net losses were attributable to common stockholders. Subsequent to the IPO and the automatic conversion of the outstanding convertible preferred stock, the Company had no other participating securities and the two-class method is no longer applicable.</w:t>
      </w:r>
    </w:p>
    <w:p>
      <w:pPr>
        <w:spacing w:after="0" w:line="134"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Basic net loss per share attributable to common stockholders is calculated by dividing net loss attributable to common stockholders by the weighted average number of shares outstanding for the period. The disproportional change in loss per share for the six months ended June 30, 2013, as compared to the same period in the prior year, is attributed to the effect of the IPO of 10.3 million shares of its common stock. In addition, the IPO also effected the automatic conversion of the Company's convertible preferred stock and convertible notes into 28.7 million shares of its common stock.</w:t>
      </w:r>
    </w:p>
    <w:p>
      <w:pPr>
        <w:spacing w:after="0" w:line="10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Diluted net loss per share attributable to common stockholders is calculated by dividing net loss attributable to common stockholders by the weighted average number of common shares and potential dilutive common share equivalents outstanding during the period if the effect is dilutive. The Company’s potentially dilutive common shares include convertible notes and convertible preferred stock prior to their conversion, outstanding stock options and warrants, shares issuable pursuant to the ESPP and non-vested restricted stock units.</w:t>
      </w:r>
    </w:p>
    <w:p>
      <w:pPr>
        <w:spacing w:after="0" w:line="13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following table presents the potential common shares outstanding that were excluded from the computation of diluted net loss per share attributable to common stockholders for the three and six months ended June 30, 2013 and 2012, respectively, because including them would have been anti-dilutive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2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Three Months Ended</w:t>
            </w:r>
          </w:p>
        </w:tc>
        <w:tc>
          <w:tcPr>
            <w:tcW w:w="2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7080" w:type="dxa"/>
            <w:vAlign w:val="bottom"/>
          </w:tcPr>
          <w:p>
            <w:pPr>
              <w:spacing w:after="0"/>
              <w:rPr>
                <w:sz w:val="16"/>
                <w:szCs w:val="16"/>
                <w:color w:val="auto"/>
              </w:rPr>
            </w:pPr>
          </w:p>
        </w:tc>
        <w:tc>
          <w:tcPr>
            <w:tcW w:w="1400" w:type="dxa"/>
            <w:vAlign w:val="bottom"/>
            <w:tcBorders>
              <w:bottom w:val="single" w:sz="8" w:color="auto"/>
            </w:tcBorders>
            <w:gridSpan w:val="3"/>
          </w:tcPr>
          <w:p>
            <w:pPr>
              <w:jc w:val="center"/>
              <w:ind w:left="638"/>
              <w:spacing w:after="0"/>
              <w:rPr>
                <w:sz w:val="20"/>
                <w:szCs w:val="20"/>
                <w:color w:val="auto"/>
              </w:rPr>
            </w:pPr>
            <w:r>
              <w:rPr>
                <w:rFonts w:ascii="Arial" w:cs="Arial" w:eastAsia="Arial" w:hAnsi="Arial"/>
                <w:sz w:val="14"/>
                <w:szCs w:val="14"/>
                <w:b w:val="1"/>
                <w:bCs w:val="1"/>
                <w:color w:val="auto"/>
                <w:w w:val="92"/>
              </w:rPr>
              <w:t>June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bottom w:val="single" w:sz="8" w:color="auto"/>
            </w:tcBorders>
            <w:gridSpan w:val="3"/>
          </w:tcPr>
          <w:p>
            <w:pPr>
              <w:jc w:val="center"/>
              <w:ind w:left="678"/>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2012</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to purchase common stock</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7,878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7,191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7,893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8,126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125</w:t>
            </w:r>
          </w:p>
        </w:tc>
      </w:tr>
      <w:tr>
        <w:trPr>
          <w:trHeight w:val="27"/>
        </w:trPr>
        <w:tc>
          <w:tcPr>
            <w:tcW w:w="7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Warrants to purchase common stock</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331</w:t>
            </w: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8,548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7,564</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8,518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8,582</w:t>
            </w:r>
          </w:p>
        </w:tc>
      </w:tr>
      <w:tr>
        <w:trPr>
          <w:trHeight w:val="27"/>
        </w:trPr>
        <w:tc>
          <w:tcPr>
            <w:tcW w:w="70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KPCB Holdings, Inc. ("KPCB"), as nominee for certain funds of Kleiner Perkins Caufield &amp; Byers, owned approximately 12 percent of the Company's outstanding shares as of June 30, 2013. For the three and six months ended June 30, 2013, the Company recognized revenues of $2.1 million from sales of microinverters to entities that are majority-owned by KPCB. For the three and six months ended June 30, 2012, the Company recognized revenues of $14.2 million and $16.8 million, respectively, from such entities.</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125" w:right="31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condensed consolidated financial statements and the other financial information appearing elsewhere in this Quarterly Report on Form 10-Q. This discussion contains forward-looking statements reflecting our current expectations and involves risks and uncertainties. In some cases, you can identify forward-looking statements by terminology such as “may,” “will,” “should,” “expect,” “plan,” “anticipate,” “believe,” “estimate,” “predict,” “intend,” “potential” or “continue” or the negative of these terms or other comparable terminology. For example, statements regarding our expectations as to future financial performance, expense levels and liquidity sources are forward-looking statements. Our actual results and the timing of events may differ materially from those discussed in our forward-looking statements as a result of various factors, including those discussed below and those discussed in the section entitled “Risk Factors” included in this Quarterly Report on Form 10-Q and our Annual Report on Form 10-K for the year ended December 31, 2012.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We deliver microinverter technology for the solar industry that increases energy production, simplifies design and installation, improves system uptime and reliability, reduces fire safety risk and provides a platform for intelligent energy management. We were founded in March 2006 and have grown rapidly to become the market leader in the microinverter category. Since our first commercial shipment in mid-2008, we have sold over 3,700,000 microinverters as of June 30, 2013. Our products are certified for installation in the United States, Canada, France, the United Kingdom, Italy, Belgium, Luxembourg, the Netherlands, Switzerland, Greece and Australia.</w:t>
      </w:r>
    </w:p>
    <w:p>
      <w:pPr>
        <w:spacing w:after="0" w:line="134" w:lineRule="exact"/>
        <w:rPr>
          <w:sz w:val="20"/>
          <w:szCs w:val="20"/>
          <w:color w:val="auto"/>
        </w:rPr>
      </w:pPr>
    </w:p>
    <w:p>
      <w:pPr>
        <w:ind w:right="520" w:firstLine="446"/>
        <w:spacing w:after="0" w:line="277" w:lineRule="auto"/>
        <w:rPr>
          <w:sz w:val="20"/>
          <w:szCs w:val="20"/>
          <w:color w:val="auto"/>
        </w:rPr>
      </w:pPr>
      <w:r>
        <w:rPr>
          <w:rFonts w:ascii="Arial" w:cs="Arial" w:eastAsia="Arial" w:hAnsi="Arial"/>
          <w:sz w:val="18"/>
          <w:szCs w:val="18"/>
          <w:color w:val="auto"/>
        </w:rPr>
        <w:t>We sell our microinverter systems primarily to distributors who resell them to solar installers. We also sell directly to large installers and through original equipment manufacturers (“OEMs”) and strategic partners.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Condensed Consolidated Statements of Operations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Revenues</w:t>
      </w:r>
    </w:p>
    <w:p>
      <w:pPr>
        <w:spacing w:after="0" w:line="171" w:lineRule="exact"/>
        <w:rPr>
          <w:sz w:val="20"/>
          <w:szCs w:val="20"/>
          <w:color w:val="auto"/>
        </w:rPr>
      </w:pPr>
    </w:p>
    <w:p>
      <w:pPr>
        <w:ind w:right="240" w:firstLine="446"/>
        <w:spacing w:after="0" w:line="277" w:lineRule="auto"/>
        <w:rPr>
          <w:sz w:val="20"/>
          <w:szCs w:val="20"/>
          <w:color w:val="auto"/>
        </w:rPr>
      </w:pPr>
      <w:r>
        <w:rPr>
          <w:rFonts w:ascii="Arial" w:cs="Arial" w:eastAsia="Arial" w:hAnsi="Arial"/>
          <w:sz w:val="18"/>
          <w:szCs w:val="18"/>
          <w:color w:val="auto"/>
        </w:rPr>
        <w:t>We generate revenues from sales of our microinverter systems, which include microinverter units and related accessories, an Envoy communications gateway device, and our Enlighten web-based monitoring service.</w:t>
      </w:r>
    </w:p>
    <w:p>
      <w:pPr>
        <w:spacing w:after="0" w:line="116"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Our revenue is affected by changes in the volume and average selling prices of our microinverter systems, driven by supply and demand, sales incentives, and competitive product offerings. Our revenue growth is dependent on our ability to market our products in a manner that increases awareness for microinverter technology, the continual development and introduction of new products to meet the changing technology and performance requirements of our customers, and the expansion of our customer base.</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171" w:lineRule="exact"/>
        <w:rPr>
          <w:sz w:val="20"/>
          <w:szCs w:val="20"/>
          <w:color w:val="auto"/>
        </w:rPr>
      </w:pPr>
    </w:p>
    <w:p>
      <w:pPr>
        <w:ind w:right="40" w:firstLine="446"/>
        <w:spacing w:after="0" w:line="302" w:lineRule="auto"/>
        <w:rPr>
          <w:sz w:val="20"/>
          <w:szCs w:val="20"/>
          <w:color w:val="auto"/>
        </w:rPr>
      </w:pPr>
      <w:r>
        <w:rPr>
          <w:rFonts w:ascii="Arial" w:cs="Arial" w:eastAsia="Arial" w:hAnsi="Arial"/>
          <w:sz w:val="16"/>
          <w:szCs w:val="16"/>
          <w:color w:val="auto"/>
        </w:rPr>
        <w:t>Cost of revenues is comprised primarily of product costs, warranty, purchasing and production planning personnel and related expenses, logistics costs, depreciation on manufacturing test equipment and hosting services costs. Our product costs are impacted by technological innovations, such as advances in semiconductor integration and new product introductions, economies of scale resulting in lower component costs, and improvements in production processes and automation. Certain costs, primarily personnel and depreciation on manufacturing test equipment, are not directly affected by sales volume.</w:t>
      </w:r>
    </w:p>
    <w:p>
      <w:pPr>
        <w:spacing w:after="0" w:line="100" w:lineRule="exact"/>
        <w:rPr>
          <w:sz w:val="20"/>
          <w:szCs w:val="20"/>
          <w:color w:val="auto"/>
        </w:rPr>
      </w:pPr>
    </w:p>
    <w:p>
      <w:pPr>
        <w:ind w:right="280" w:firstLine="446"/>
        <w:spacing w:after="0" w:line="279" w:lineRule="auto"/>
        <w:rPr>
          <w:sz w:val="20"/>
          <w:szCs w:val="20"/>
          <w:color w:val="auto"/>
        </w:rPr>
      </w:pPr>
      <w:r>
        <w:rPr>
          <w:rFonts w:ascii="Arial" w:cs="Arial" w:eastAsia="Arial" w:hAnsi="Arial"/>
          <w:sz w:val="17"/>
          <w:szCs w:val="17"/>
          <w:color w:val="auto"/>
        </w:rPr>
        <w:t>We outsource our manufacturing to third-party contract manufacturers and generally negotiate product pricing with them on a quarterly basis. In addition, a contract manufacturer also serves as our logistics provider by warehousing and delivering our products. We believe our contract manufacturing partners have sufficient production capacity to meet the growing demand for our products for the foreseeable future. However, shortages in the supply of certain key raw materials could adversely affect our ability to meet customer demand for our products.</w:t>
      </w:r>
    </w:p>
    <w:p>
      <w:pPr>
        <w:spacing w:after="0" w:line="117"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Gross profit may vary from quarter to quarter and is primarily affected by our average selling prices, product cost, product mix, warranty costs, changes in estimates to pre-existing warranties and sales volume fluctuations resulting from seasonality.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ind w:right="140" w:firstLine="446"/>
        <w:spacing w:after="0" w:line="302" w:lineRule="auto"/>
        <w:rPr>
          <w:sz w:val="20"/>
          <w:szCs w:val="20"/>
          <w:color w:val="auto"/>
        </w:rPr>
      </w:pPr>
      <w:r>
        <w:rPr>
          <w:rFonts w:ascii="Arial" w:cs="Arial" w:eastAsia="Arial" w:hAnsi="Arial"/>
          <w:sz w:val="16"/>
          <w:szCs w:val="16"/>
          <w:color w:val="auto"/>
        </w:rPr>
        <w:t>Operating expenses consist of research and development, sales and marketing and general and administrative expenses. Personnel-related costs are the most significant component of each of these expense categories and include salaries, benefits, payroll taxes, recruiting costs, sales commissions and stock-based compensation. We believe the investments we have made in our corporate infrastructure will enable us to deliver higher levels of net revenues without proportionate increases in research and development, sales and marketing, and general and administrative expenses.</w:t>
      </w:r>
    </w:p>
    <w:p>
      <w:pPr>
        <w:spacing w:after="0" w:line="100" w:lineRule="exact"/>
        <w:rPr>
          <w:sz w:val="20"/>
          <w:szCs w:val="20"/>
          <w:color w:val="auto"/>
        </w:rPr>
      </w:pPr>
    </w:p>
    <w:p>
      <w:pPr>
        <w:ind w:right="220" w:firstLine="446"/>
        <w:spacing w:after="0" w:line="259" w:lineRule="auto"/>
        <w:rPr>
          <w:sz w:val="20"/>
          <w:szCs w:val="20"/>
          <w:color w:val="auto"/>
        </w:rPr>
      </w:pPr>
      <w:r>
        <w:rPr>
          <w:rFonts w:ascii="Arial" w:cs="Arial" w:eastAsia="Arial" w:hAnsi="Arial"/>
          <w:sz w:val="18"/>
          <w:szCs w:val="18"/>
          <w:color w:val="auto"/>
        </w:rPr>
        <w:t>Research and development expense includes personnel-related expenses such as salaries, stock-based compensation and employee benefits. Research and development employees are engaged in the design and development of power electronics, semiconductors, powerline communications and networking and software functionality. Research and development expense also includes third-party design and development costs, testing and evaluation costs, depreciation on research and development related equipment and other indirect costs.</w:t>
      </w:r>
    </w:p>
    <w:p>
      <w:pPr>
        <w:spacing w:after="0" w:line="133" w:lineRule="exact"/>
        <w:rPr>
          <w:sz w:val="20"/>
          <w:szCs w:val="20"/>
          <w:color w:val="auto"/>
        </w:rPr>
      </w:pPr>
    </w:p>
    <w:p>
      <w:pPr>
        <w:ind w:right="400" w:firstLine="446"/>
        <w:spacing w:after="0" w:line="277" w:lineRule="auto"/>
        <w:rPr>
          <w:sz w:val="20"/>
          <w:szCs w:val="20"/>
          <w:color w:val="auto"/>
        </w:rPr>
      </w:pPr>
      <w:r>
        <w:rPr>
          <w:rFonts w:ascii="Arial" w:cs="Arial" w:eastAsia="Arial" w:hAnsi="Arial"/>
          <w:sz w:val="18"/>
          <w:szCs w:val="18"/>
          <w:color w:val="auto"/>
        </w:rPr>
        <w:t>Sales and marketing expense consists primarily of personnel-related expenses such as salaries, commissions, stock-based compensation, employee benefits and travel. It also includes trade shows, marketing, customer support and other indirect costs.</w:t>
      </w:r>
    </w:p>
    <w:p>
      <w:pPr>
        <w:spacing w:after="0" w:line="130" w:lineRule="exact"/>
        <w:rPr>
          <w:sz w:val="20"/>
          <w:szCs w:val="20"/>
          <w:color w:val="auto"/>
        </w:rPr>
      </w:pPr>
    </w:p>
    <w:p>
      <w:pPr>
        <w:ind w:right="280" w:firstLine="446"/>
        <w:spacing w:after="0" w:line="312" w:lineRule="auto"/>
        <w:rPr>
          <w:sz w:val="20"/>
          <w:szCs w:val="20"/>
          <w:color w:val="auto"/>
        </w:rPr>
      </w:pPr>
      <w:r>
        <w:rPr>
          <w:rFonts w:ascii="Arial" w:cs="Arial" w:eastAsia="Arial" w:hAnsi="Arial"/>
          <w:sz w:val="16"/>
          <w:szCs w:val="16"/>
          <w:color w:val="auto"/>
        </w:rPr>
        <w:t>General and administrative expense consists primarily of salaries, stock-based compensation and employee benefits for personnel related to our executive, finance, human resources, information technology and legal organizations. General and administrative expense also includes facilities costs and fees for professional services. Professional services consist primarily of outside legal, accounting and information technology consulting costs.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Other income (expense), net includes interest income on invested cash balances and interest expense on amounts outstanding under our credit and convertible note facilities and non-cash interest expense related to the amortization of debt discounts and deferred financing costs. Other income (expense), net also includes mark-to-market adjustments to record our preferred stock warrants at fair value prior to our initial public offering of our common stock, or IPO, which were issued in conjunction with credit facilities, as well as losses or gains on conversion of non-U.S. dollar transactions into U.S. dollars and from foreign currency forward contracts.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71"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color w:val="auto"/>
        </w:rPr>
        <w:t>We are subject to income taxes in the countries where we sell our products. Historically, we have primarily been subject to taxation in the United States because we have sold the vast majority of our products to customers in the United States. As we have expanded the sale of products to customers outside the United States, we have become subject to taxation based on the foreign statutory rates in the countries where these sales took place. As sales in foreign jurisdictions increase in the future, our effective tax rate may fluctuate accordingly. We have not recorded any U.S. federal or state income tax provision for any of the periods presented because we have experienced operating losses since inception. The provision for income taxes related to our foreign operations was not material for all periods presented. Due to the history of losses we have generated since inception, we have recorded a full valuation allowance on our net deferred tax assets.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Six Months Ended June 30, 2013 and 2012</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Revenues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4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Six Months Ended</w:t>
            </w:r>
          </w:p>
        </w:tc>
        <w:tc>
          <w:tcPr>
            <w:tcW w:w="280" w:type="dxa"/>
            <w:vAlign w:val="bottom"/>
          </w:tcPr>
          <w:p>
            <w:pPr>
              <w:spacing w:after="0"/>
              <w:rPr>
                <w:sz w:val="14"/>
                <w:szCs w:val="14"/>
                <w:color w:val="auto"/>
              </w:rPr>
            </w:pPr>
          </w:p>
        </w:tc>
        <w:tc>
          <w:tcPr>
            <w:tcW w:w="124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w w:val="99"/>
              </w:rPr>
              <w:t>June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left="444"/>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902"/>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902"/>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380" w:type="dxa"/>
            <w:vAlign w:val="bottom"/>
            <w:gridSpan w:val="4"/>
          </w:tcPr>
          <w:p>
            <w:pPr>
              <w:jc w:val="right"/>
              <w:ind w:right="802"/>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0" w:type="dxa"/>
            <w:vAlign w:val="bottom"/>
            <w:gridSpan w:val="4"/>
          </w:tcPr>
          <w:p>
            <w:pPr>
              <w:ind w:left="140"/>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58,167</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55,697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522"/>
              <w:spacing w:after="0"/>
              <w:rPr>
                <w:sz w:val="20"/>
                <w:szCs w:val="20"/>
                <w:color w:val="auto"/>
              </w:rPr>
            </w:pPr>
            <w:r>
              <w:rPr>
                <w:rFonts w:ascii="Arial" w:cs="Arial" w:eastAsia="Arial" w:hAnsi="Arial"/>
                <w:sz w:val="18"/>
                <w:szCs w:val="18"/>
                <w:color w:val="auto"/>
              </w:rPr>
              <w:t>2,470</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  $</w:t>
            </w:r>
          </w:p>
        </w:tc>
        <w:tc>
          <w:tcPr>
            <w:tcW w:w="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103,744</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98,297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522"/>
              <w:spacing w:after="0"/>
              <w:rPr>
                <w:sz w:val="20"/>
                <w:szCs w:val="20"/>
                <w:color w:val="auto"/>
              </w:rPr>
            </w:pPr>
            <w:r>
              <w:rPr>
                <w:rFonts w:ascii="Arial" w:cs="Arial" w:eastAsia="Arial" w:hAnsi="Arial"/>
                <w:sz w:val="18"/>
                <w:szCs w:val="18"/>
                <w:color w:val="auto"/>
              </w:rPr>
              <w:t>5,447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June 30, 2013 and 2012</w:t>
      </w:r>
    </w:p>
    <w:p>
      <w:pPr>
        <w:spacing w:after="0" w:line="171"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Net revenues increased by 4% for the three months ended June 30, 2013, compared to the same period last year. The number of microinverter units sold was 399,000 units in the three months ended June 30, 2013, compared to 403,000 units for the same period last year. The increase in net revenues was attributed to a change in revenue mix between microinverter revenue and microinverter accessories revenue. The increase in revenue from a larger mix of microinverter accessories sales was partially offset by a decline in the average selling price of our microinverters.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Six Months Ended June 30, 2013 and 2012</w:t>
      </w:r>
    </w:p>
    <w:p>
      <w:pPr>
        <w:spacing w:after="0" w:line="171"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Net revenues increased by 6% for the three months ended June 30, 2013, compared to the same period last year. The number of microinverter units sold increased by 3% from approximately 695,000 units in the six months ended June 30, 2012, to approximately 714,000 units in the six months ended June 30, 2013. The increase in net revenues was attributed to a change in revenue mix between microinverter revenue and microinverter accessories revenue. The increase in revenue from a larger mix of microinverter accessories sales was partially offset by a decline in the average selling price of our microinverters.</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c>
          <w:tcPr>
            <w:tcW w:w="3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left="459"/>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79"/>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79"/>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380" w:type="dxa"/>
            <w:vAlign w:val="bottom"/>
            <w:gridSpan w:val="4"/>
          </w:tcPr>
          <w:p>
            <w:pPr>
              <w:jc w:val="right"/>
              <w:ind w:right="819"/>
              <w:spacing w:after="0"/>
              <w:rPr>
                <w:sz w:val="20"/>
                <w:szCs w:val="20"/>
                <w:color w:val="auto"/>
              </w:rPr>
            </w:pPr>
            <w:r>
              <w:rPr>
                <w:rFonts w:ascii="Arial" w:cs="Arial" w:eastAsia="Arial" w:hAnsi="Arial"/>
                <w:sz w:val="14"/>
                <w:szCs w:val="14"/>
                <w:b w:val="1"/>
                <w:bCs w:val="1"/>
                <w:color w:val="auto"/>
                <w:w w:val="99"/>
              </w:rPr>
              <w:t>(dollars in thousands)</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0" w:type="dxa"/>
            <w:vAlign w:val="bottom"/>
            <w:gridSpan w:val="4"/>
          </w:tcPr>
          <w:p>
            <w:pPr>
              <w:jc w:val="right"/>
              <w:ind w:right="879"/>
              <w:spacing w:after="0"/>
              <w:rPr>
                <w:sz w:val="20"/>
                <w:szCs w:val="20"/>
                <w:color w:val="auto"/>
              </w:rPr>
            </w:pPr>
            <w:r>
              <w:rPr>
                <w:rFonts w:ascii="Arial" w:cs="Arial" w:eastAsia="Arial" w:hAnsi="Arial"/>
                <w:sz w:val="14"/>
                <w:szCs w:val="14"/>
                <w:b w:val="1"/>
                <w:bCs w:val="1"/>
                <w:color w:val="auto"/>
                <w:w w:val="97"/>
              </w:rPr>
              <w:t>(dollars in thousands)</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41,883</w:t>
            </w:r>
          </w:p>
        </w:tc>
        <w:tc>
          <w:tcPr>
            <w:tcW w:w="6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42,096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8"/>
                <w:szCs w:val="18"/>
                <w:color w:val="auto"/>
              </w:rPr>
              <w:t>(213)</w:t>
            </w:r>
          </w:p>
        </w:tc>
        <w:tc>
          <w:tcPr>
            <w:tcW w:w="10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  $</w:t>
            </w:r>
          </w:p>
        </w:tc>
        <w:tc>
          <w:tcPr>
            <w:tcW w:w="9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75,259</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75,389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8"/>
                <w:szCs w:val="18"/>
                <w:color w:val="auto"/>
              </w:rPr>
              <w:t>(130)</w:t>
            </w:r>
          </w:p>
        </w:tc>
        <w:tc>
          <w:tcPr>
            <w:tcW w:w="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7"/>
              </w:rPr>
              <w:t>— %</w:t>
            </w:r>
          </w:p>
        </w:tc>
        <w:tc>
          <w:tcPr>
            <w:tcW w:w="0" w:type="dxa"/>
            <w:vAlign w:val="bottom"/>
          </w:tcPr>
          <w:p>
            <w:pPr>
              <w:spacing w:after="0"/>
              <w:rPr>
                <w:sz w:val="1"/>
                <w:szCs w:val="1"/>
                <w:color w:val="auto"/>
              </w:rPr>
            </w:pPr>
          </w:p>
        </w:tc>
      </w:tr>
      <w:tr>
        <w:trPr>
          <w:trHeight w:val="243"/>
        </w:trPr>
        <w:tc>
          <w:tcPr>
            <w:tcW w:w="21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16,284</w:t>
            </w:r>
          </w:p>
        </w:tc>
        <w:tc>
          <w:tcPr>
            <w:tcW w:w="600" w:type="dxa"/>
            <w:vAlign w:val="bottom"/>
          </w:tcPr>
          <w:p>
            <w:pPr>
              <w:spacing w:after="0"/>
              <w:rPr>
                <w:sz w:val="21"/>
                <w:szCs w:val="21"/>
                <w:color w:val="auto"/>
              </w:rPr>
            </w:pPr>
          </w:p>
        </w:tc>
        <w:tc>
          <w:tcPr>
            <w:tcW w:w="780" w:type="dxa"/>
            <w:vAlign w:val="bottom"/>
          </w:tcPr>
          <w:p>
            <w:pPr>
              <w:jc w:val="right"/>
              <w:ind w:right="97"/>
              <w:spacing w:after="0"/>
              <w:rPr>
                <w:sz w:val="20"/>
                <w:szCs w:val="20"/>
                <w:color w:val="auto"/>
              </w:rPr>
            </w:pPr>
            <w:r>
              <w:rPr>
                <w:rFonts w:ascii="Arial" w:cs="Arial" w:eastAsia="Arial" w:hAnsi="Arial"/>
                <w:sz w:val="18"/>
                <w:szCs w:val="18"/>
                <w:color w:val="auto"/>
              </w:rPr>
              <w:t>13,601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539"/>
              <w:spacing w:after="0"/>
              <w:rPr>
                <w:sz w:val="20"/>
                <w:szCs w:val="20"/>
                <w:color w:val="auto"/>
              </w:rPr>
            </w:pPr>
            <w:r>
              <w:rPr>
                <w:rFonts w:ascii="Arial" w:cs="Arial" w:eastAsia="Arial" w:hAnsi="Arial"/>
                <w:sz w:val="18"/>
                <w:szCs w:val="18"/>
                <w:color w:val="auto"/>
              </w:rPr>
              <w:t>2,683</w:t>
            </w:r>
          </w:p>
        </w:tc>
        <w:tc>
          <w:tcPr>
            <w:tcW w:w="680" w:type="dxa"/>
            <w:vAlign w:val="bottom"/>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59"/>
              <w:spacing w:after="0"/>
              <w:rPr>
                <w:sz w:val="20"/>
                <w:szCs w:val="20"/>
                <w:color w:val="auto"/>
              </w:rPr>
            </w:pPr>
            <w:r>
              <w:rPr>
                <w:rFonts w:ascii="Arial" w:cs="Arial" w:eastAsia="Arial" w:hAnsi="Arial"/>
                <w:sz w:val="18"/>
                <w:szCs w:val="18"/>
                <w:color w:val="auto"/>
              </w:rPr>
              <w:t>28,485</w:t>
            </w:r>
          </w:p>
        </w:tc>
        <w:tc>
          <w:tcPr>
            <w:tcW w:w="340" w:type="dxa"/>
            <w:vAlign w:val="bottom"/>
          </w:tcPr>
          <w:p>
            <w:pPr>
              <w:spacing w:after="0"/>
              <w:rPr>
                <w:sz w:val="21"/>
                <w:szCs w:val="21"/>
                <w:color w:val="auto"/>
              </w:rPr>
            </w:pPr>
          </w:p>
        </w:tc>
        <w:tc>
          <w:tcPr>
            <w:tcW w:w="800" w:type="dxa"/>
            <w:vAlign w:val="bottom"/>
          </w:tcPr>
          <w:p>
            <w:pPr>
              <w:jc w:val="right"/>
              <w:ind w:right="117"/>
              <w:spacing w:after="0"/>
              <w:rPr>
                <w:sz w:val="20"/>
                <w:szCs w:val="20"/>
                <w:color w:val="auto"/>
              </w:rPr>
            </w:pPr>
            <w:r>
              <w:rPr>
                <w:rFonts w:ascii="Arial" w:cs="Arial" w:eastAsia="Arial" w:hAnsi="Arial"/>
                <w:sz w:val="18"/>
                <w:szCs w:val="18"/>
                <w:color w:val="auto"/>
              </w:rPr>
              <w:t>22,908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539"/>
              <w:spacing w:after="0"/>
              <w:rPr>
                <w:sz w:val="20"/>
                <w:szCs w:val="20"/>
                <w:color w:val="auto"/>
              </w:rPr>
            </w:pPr>
            <w:r>
              <w:rPr>
                <w:rFonts w:ascii="Arial" w:cs="Arial" w:eastAsia="Arial" w:hAnsi="Arial"/>
                <w:sz w:val="18"/>
                <w:szCs w:val="18"/>
                <w:color w:val="auto"/>
              </w:rPr>
              <w:t>5,577</w:t>
            </w:r>
          </w:p>
        </w:tc>
        <w:tc>
          <w:tcPr>
            <w:tcW w:w="680" w:type="dxa"/>
            <w:vAlign w:val="bottom"/>
          </w:tcPr>
          <w:p>
            <w:pPr>
              <w:ind w:left="280"/>
              <w:spacing w:after="0"/>
              <w:rPr>
                <w:sz w:val="20"/>
                <w:szCs w:val="20"/>
                <w:color w:val="auto"/>
              </w:rPr>
            </w:pPr>
            <w:r>
              <w:rPr>
                <w:rFonts w:ascii="Arial" w:cs="Arial" w:eastAsia="Arial" w:hAnsi="Arial"/>
                <w:sz w:val="18"/>
                <w:szCs w:val="18"/>
                <w:color w:val="auto"/>
                <w:w w:val="92"/>
              </w:rPr>
              <w:t>24 %</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359"/>
              <w:spacing w:after="0"/>
              <w:rPr>
                <w:sz w:val="20"/>
                <w:szCs w:val="20"/>
                <w:color w:val="auto"/>
              </w:rPr>
            </w:pPr>
            <w:r>
              <w:rPr>
                <w:rFonts w:ascii="Arial" w:cs="Arial" w:eastAsia="Arial" w:hAnsi="Arial"/>
                <w:sz w:val="18"/>
                <w:szCs w:val="18"/>
                <w:color w:val="auto"/>
              </w:rPr>
              <w:t>28%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June 30, 2013 and 2012</w:t>
      </w:r>
    </w:p>
    <w:p>
      <w:pPr>
        <w:spacing w:after="0" w:line="17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Cost of revenues for the three months ended June 30, 2013 were flat, as compared to the same period last year, while net revenues increased by 4%. The increase in gross margin was due to a larger mix of gross margin generated from microinverter accessories and a reduction in inventory write-downs. These increases were partially offset by a reduction to gross margin due to a net increase in warranty expense, primarily attributable to changes in estimates to warranty obligations associated with our previous generation products.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Six Months Ended June 30, 2013 and 2012</w:t>
      </w:r>
    </w:p>
    <w:p>
      <w:pPr>
        <w:spacing w:after="0" w:line="17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Cost of revenues for the six months ended June 30, 2013 were flat, as compared to the same period last year, while net revenues increased by a 6%. The increase in gross margin was due to a larger mix of gross margin generated from microinverter accessories and a reduction in inventory write-downs. These increases were partially offset by a reduction to gross margin due to a net increase in warranty expense, primarily attributable to changes in estimates to warranty obligations associated with our previous generation products.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 in</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Six Months Ended</w:t>
            </w:r>
          </w:p>
        </w:tc>
        <w:tc>
          <w:tcPr>
            <w:tcW w:w="300" w:type="dxa"/>
            <w:vAlign w:val="bottom"/>
          </w:tcPr>
          <w:p>
            <w:pPr>
              <w:spacing w:after="0"/>
              <w:rPr>
                <w:sz w:val="14"/>
                <w:szCs w:val="14"/>
                <w:color w:val="auto"/>
              </w:rPr>
            </w:pPr>
          </w:p>
        </w:tc>
        <w:tc>
          <w:tcPr>
            <w:tcW w:w="11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left="481"/>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82"/>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62"/>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360" w:type="dxa"/>
            <w:vAlign w:val="bottom"/>
            <w:gridSpan w:val="4"/>
          </w:tcPr>
          <w:p>
            <w:pPr>
              <w:jc w:val="right"/>
              <w:ind w:right="822"/>
              <w:spacing w:after="0"/>
              <w:rPr>
                <w:sz w:val="20"/>
                <w:szCs w:val="20"/>
                <w:color w:val="auto"/>
              </w:rPr>
            </w:pPr>
            <w:r>
              <w:rPr>
                <w:rFonts w:ascii="Arial" w:cs="Arial" w:eastAsia="Arial" w:hAnsi="Arial"/>
                <w:sz w:val="14"/>
                <w:szCs w:val="14"/>
                <w:b w:val="1"/>
                <w:bCs w:val="1"/>
                <w:color w:val="auto"/>
                <w:w w:val="98"/>
              </w:rPr>
              <w:t>(dollars in thousands)</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0" w:type="dxa"/>
            <w:vAlign w:val="bottom"/>
            <w:gridSpan w:val="4"/>
          </w:tcPr>
          <w:p>
            <w:pPr>
              <w:jc w:val="right"/>
              <w:ind w:right="882"/>
              <w:spacing w:after="0"/>
              <w:rPr>
                <w:sz w:val="20"/>
                <w:szCs w:val="20"/>
                <w:color w:val="auto"/>
              </w:rPr>
            </w:pPr>
            <w:r>
              <w:rPr>
                <w:rFonts w:ascii="Arial" w:cs="Arial" w:eastAsia="Arial" w:hAnsi="Arial"/>
                <w:sz w:val="14"/>
                <w:szCs w:val="14"/>
                <w:b w:val="1"/>
                <w:bCs w:val="1"/>
                <w:color w:val="auto"/>
                <w:w w:val="97"/>
              </w:rPr>
              <w:t>(dollars in thousands)</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7"/>
              </w:rPr>
              <w:t>Research and development  $</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8,484</w:t>
            </w:r>
          </w:p>
        </w:tc>
        <w:tc>
          <w:tcPr>
            <w:tcW w:w="6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8,655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462"/>
              <w:spacing w:after="0"/>
              <w:rPr>
                <w:sz w:val="20"/>
                <w:szCs w:val="20"/>
                <w:color w:val="auto"/>
              </w:rPr>
            </w:pPr>
            <w:r>
              <w:rPr>
                <w:rFonts w:ascii="Arial" w:cs="Arial" w:eastAsia="Arial" w:hAnsi="Arial"/>
                <w:sz w:val="18"/>
                <w:szCs w:val="18"/>
                <w:color w:val="auto"/>
              </w:rPr>
              <w:t>(171)</w:t>
            </w:r>
          </w:p>
        </w:tc>
        <w:tc>
          <w:tcPr>
            <w:tcW w:w="10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  $</w:t>
            </w:r>
          </w:p>
        </w:tc>
        <w:tc>
          <w:tcPr>
            <w:tcW w:w="96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17,510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16,497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8"/>
                <w:szCs w:val="18"/>
                <w:color w:val="auto"/>
              </w:rPr>
              <w:t>1,013</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400" w:type="dxa"/>
            <w:vAlign w:val="bottom"/>
            <w:gridSpan w:val="2"/>
          </w:tcPr>
          <w:p>
            <w:pPr>
              <w:ind w:left="40"/>
              <w:spacing w:after="0"/>
              <w:rPr>
                <w:sz w:val="20"/>
                <w:szCs w:val="20"/>
                <w:color w:val="auto"/>
              </w:rPr>
            </w:pPr>
            <w:r>
              <w:rPr>
                <w:rFonts w:ascii="Arial" w:cs="Arial" w:eastAsia="Arial" w:hAnsi="Arial"/>
                <w:sz w:val="18"/>
                <w:szCs w:val="18"/>
                <w:color w:val="auto"/>
              </w:rPr>
              <w:t>Percentage of net revenues</w:t>
            </w:r>
          </w:p>
        </w:tc>
        <w:tc>
          <w:tcPr>
            <w:tcW w:w="1240" w:type="dxa"/>
            <w:vAlign w:val="bottom"/>
            <w:gridSpan w:val="2"/>
          </w:tcPr>
          <w:p>
            <w:pPr>
              <w:jc w:val="right"/>
              <w:ind w:right="379"/>
              <w:spacing w:after="0"/>
              <w:rPr>
                <w:sz w:val="20"/>
                <w:szCs w:val="20"/>
                <w:color w:val="auto"/>
              </w:rPr>
            </w:pPr>
            <w:r>
              <w:rPr>
                <w:rFonts w:ascii="Arial" w:cs="Arial" w:eastAsia="Arial" w:hAnsi="Arial"/>
                <w:sz w:val="18"/>
                <w:szCs w:val="18"/>
                <w:color w:val="auto"/>
              </w:rPr>
              <w:t>15%</w:t>
            </w: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June 30, 2013 and 2012</w:t>
      </w:r>
    </w:p>
    <w:p>
      <w:pPr>
        <w:spacing w:after="0" w:line="171" w:lineRule="exact"/>
        <w:rPr>
          <w:sz w:val="20"/>
          <w:szCs w:val="20"/>
          <w:color w:val="auto"/>
        </w:rPr>
      </w:pPr>
    </w:p>
    <w:p>
      <w:pPr>
        <w:jc w:val="both"/>
        <w:ind w:right="260" w:firstLine="432"/>
        <w:spacing w:after="0" w:line="340" w:lineRule="auto"/>
        <w:rPr>
          <w:sz w:val="20"/>
          <w:szCs w:val="20"/>
          <w:color w:val="auto"/>
        </w:rPr>
      </w:pPr>
      <w:r>
        <w:rPr>
          <w:rFonts w:ascii="Arial" w:cs="Arial" w:eastAsia="Arial" w:hAnsi="Arial"/>
          <w:sz w:val="15"/>
          <w:szCs w:val="15"/>
          <w:color w:val="auto"/>
        </w:rPr>
        <w:t>Research and development expenses for the three months ended June 30, 2013 decreased 2%, as compared to the same period last year. The average research and development headcount remained relatively unchanged in the comparable periods. We will continue to monitor our research and development expenses and make focused investments in research and development because we believe they are critical to our future growth and competitive position.</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Six Months Ended June 30, 2013 and 2012</w:t>
      </w:r>
    </w:p>
    <w:p>
      <w:pPr>
        <w:spacing w:after="0" w:line="171"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Research and development expenses for the six months ended June 30, 2013 increased by 6%, or $1.0 million, as compared to the same period last year. The average research and development headcount increased during the six months ended June 30, 2013, which contributed $0.6 million to the increase. The remaining $0.4 million increase was due to depreciation on additional capital expenditures for research and development related equipment.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1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c>
          <w:tcPr>
            <w:tcW w:w="280" w:type="dxa"/>
            <w:vAlign w:val="bottom"/>
          </w:tcPr>
          <w:p>
            <w:pPr>
              <w:spacing w:after="0"/>
              <w:rPr>
                <w:sz w:val="14"/>
                <w:szCs w:val="14"/>
                <w:color w:val="auto"/>
              </w:rPr>
            </w:pPr>
          </w:p>
        </w:tc>
        <w:tc>
          <w:tcPr>
            <w:tcW w:w="120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left="481"/>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1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62"/>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62"/>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360" w:type="dxa"/>
            <w:vAlign w:val="bottom"/>
            <w:gridSpan w:val="4"/>
          </w:tcPr>
          <w:p>
            <w:pPr>
              <w:jc w:val="right"/>
              <w:ind w:right="822"/>
              <w:spacing w:after="0"/>
              <w:rPr>
                <w:sz w:val="20"/>
                <w:szCs w:val="20"/>
                <w:color w:val="auto"/>
              </w:rPr>
            </w:pPr>
            <w:r>
              <w:rPr>
                <w:rFonts w:ascii="Arial" w:cs="Arial" w:eastAsia="Arial" w:hAnsi="Arial"/>
                <w:sz w:val="14"/>
                <w:szCs w:val="14"/>
                <w:b w:val="1"/>
                <w:bCs w:val="1"/>
                <w:color w:val="auto"/>
                <w:w w:val="98"/>
              </w:rPr>
              <w:t>(dollars in thousands)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0" w:type="dxa"/>
            <w:vAlign w:val="bottom"/>
            <w:gridSpan w:val="4"/>
          </w:tcPr>
          <w:p>
            <w:pPr>
              <w:jc w:val="right"/>
              <w:ind w:right="882"/>
              <w:spacing w:after="0"/>
              <w:rPr>
                <w:sz w:val="20"/>
                <w:szCs w:val="20"/>
                <w:color w:val="auto"/>
              </w:rPr>
            </w:pPr>
            <w:r>
              <w:rPr>
                <w:rFonts w:ascii="Arial" w:cs="Arial" w:eastAsia="Arial" w:hAnsi="Arial"/>
                <w:sz w:val="14"/>
                <w:szCs w:val="14"/>
                <w:b w:val="1"/>
                <w:bCs w:val="1"/>
                <w:color w:val="auto"/>
                <w:w w:val="97"/>
              </w:rPr>
              <w:t>(dollars in thousands)</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7,365</w:t>
            </w:r>
          </w:p>
        </w:tc>
        <w:tc>
          <w:tcPr>
            <w:tcW w:w="6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6,360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8"/>
                <w:szCs w:val="18"/>
                <w:color w:val="auto"/>
              </w:rPr>
              <w:t>1,005</w:t>
            </w:r>
          </w:p>
        </w:tc>
        <w:tc>
          <w:tcPr>
            <w:tcW w:w="10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  $</w:t>
            </w:r>
          </w:p>
        </w:tc>
        <w:tc>
          <w:tcPr>
            <w:tcW w:w="96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14,215</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11,409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8"/>
                <w:szCs w:val="18"/>
                <w:color w:val="auto"/>
              </w:rPr>
              <w:t>2,806</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2140" w:type="dxa"/>
            <w:vAlign w:val="bottom"/>
          </w:tcPr>
          <w:p>
            <w:pPr>
              <w:ind w:left="40"/>
              <w:spacing w:after="0"/>
              <w:rPr>
                <w:sz w:val="20"/>
                <w:szCs w:val="20"/>
                <w:color w:val="auto"/>
              </w:rPr>
            </w:pPr>
            <w:r>
              <w:rPr>
                <w:rFonts w:ascii="Arial" w:cs="Arial" w:eastAsia="Arial" w:hAnsi="Arial"/>
                <w:sz w:val="18"/>
                <w:szCs w:val="18"/>
                <w:color w:val="auto"/>
                <w:w w:val="94"/>
              </w:rPr>
              <w:t>Percentage of net revenues</w:t>
            </w:r>
          </w:p>
        </w:tc>
        <w:tc>
          <w:tcPr>
            <w:tcW w:w="260" w:type="dxa"/>
            <w:vAlign w:val="bottom"/>
          </w:tcPr>
          <w:p>
            <w:pPr>
              <w:spacing w:after="0"/>
              <w:rPr>
                <w:sz w:val="21"/>
                <w:szCs w:val="21"/>
                <w:color w:val="auto"/>
              </w:rPr>
            </w:pPr>
          </w:p>
        </w:tc>
        <w:tc>
          <w:tcPr>
            <w:tcW w:w="1220" w:type="dxa"/>
            <w:vAlign w:val="bottom"/>
            <w:gridSpan w:val="2"/>
          </w:tcPr>
          <w:p>
            <w:pPr>
              <w:jc w:val="right"/>
              <w:ind w:right="379"/>
              <w:spacing w:after="0"/>
              <w:rPr>
                <w:sz w:val="20"/>
                <w:szCs w:val="20"/>
                <w:color w:val="auto"/>
              </w:rPr>
            </w:pPr>
            <w:r>
              <w:rPr>
                <w:rFonts w:ascii="Arial" w:cs="Arial" w:eastAsia="Arial" w:hAnsi="Arial"/>
                <w:sz w:val="18"/>
                <w:szCs w:val="18"/>
                <w:color w:val="auto"/>
              </w:rPr>
              <w:t>13%</w:t>
            </w: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June 30, 2013 and 2012</w:t>
      </w:r>
    </w:p>
    <w:p>
      <w:pPr>
        <w:spacing w:after="0" w:line="171" w:lineRule="exact"/>
        <w:rPr>
          <w:sz w:val="20"/>
          <w:szCs w:val="20"/>
          <w:color w:val="auto"/>
        </w:rPr>
      </w:pPr>
    </w:p>
    <w:p>
      <w:pPr>
        <w:jc w:val="both"/>
        <w:ind w:right="220" w:firstLine="432"/>
        <w:spacing w:after="0" w:line="286" w:lineRule="auto"/>
        <w:rPr>
          <w:sz w:val="20"/>
          <w:szCs w:val="20"/>
          <w:color w:val="auto"/>
        </w:rPr>
      </w:pPr>
      <w:r>
        <w:rPr>
          <w:rFonts w:ascii="Arial" w:cs="Arial" w:eastAsia="Arial" w:hAnsi="Arial"/>
          <w:sz w:val="17"/>
          <w:szCs w:val="17"/>
          <w:color w:val="auto"/>
        </w:rPr>
        <w:t>Sales and marketing expenses for the three months ended June 30, 2013, increased by 16%, or $1.0 million, as compared to the same period last year. The increase was primarily attributable to a $1.6 million increase from headcount additions, which includes the staffing of our United Kingdom office. The increase was partially offset by a $0.6 million decrease in expenses related to industry trade shows and promotional activities.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Six Months Ended June 30, 2013 and 2012</w:t>
      </w:r>
    </w:p>
    <w:p>
      <w:pPr>
        <w:spacing w:after="0" w:line="171"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Sales and marketing expenses for the six months ended June 30, 2013, increased by 25%, or $2.8 million, as compared to the same period last year. The increase was primarily attributable to a $3.1 million increase from headcount additions, which includes the staffing of our United Kingdom office. The increase was partially offset by a $0.3 million decrease in expenses related to industry trade shows and promotional activities.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2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3"/>
              </w:rPr>
              <w:t>Six Months Ended</w:t>
            </w:r>
          </w:p>
        </w:tc>
        <w:tc>
          <w:tcPr>
            <w:tcW w:w="280" w:type="dxa"/>
            <w:vAlign w:val="bottom"/>
          </w:tcPr>
          <w:p>
            <w:pPr>
              <w:spacing w:after="0"/>
              <w:rPr>
                <w:sz w:val="14"/>
                <w:szCs w:val="14"/>
                <w:color w:val="auto"/>
              </w:rPr>
            </w:pPr>
          </w:p>
        </w:tc>
        <w:tc>
          <w:tcPr>
            <w:tcW w:w="11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left="501"/>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902"/>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62"/>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380" w:type="dxa"/>
            <w:vAlign w:val="bottom"/>
            <w:gridSpan w:val="4"/>
          </w:tcPr>
          <w:p>
            <w:pPr>
              <w:jc w:val="right"/>
              <w:ind w:right="822"/>
              <w:spacing w:after="0"/>
              <w:rPr>
                <w:sz w:val="20"/>
                <w:szCs w:val="20"/>
                <w:color w:val="auto"/>
              </w:rPr>
            </w:pPr>
            <w:r>
              <w:rPr>
                <w:rFonts w:ascii="Arial" w:cs="Arial" w:eastAsia="Arial" w:hAnsi="Arial"/>
                <w:sz w:val="14"/>
                <w:szCs w:val="14"/>
                <w:b w:val="1"/>
                <w:bCs w:val="1"/>
                <w:color w:val="auto"/>
                <w:w w:val="99"/>
              </w:rPr>
              <w:t>(dollars in thousands)</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0" w:type="dxa"/>
            <w:vAlign w:val="bottom"/>
            <w:gridSpan w:val="4"/>
          </w:tcPr>
          <w:p>
            <w:pPr>
              <w:jc w:val="right"/>
              <w:ind w:right="882"/>
              <w:spacing w:after="0"/>
              <w:rPr>
                <w:sz w:val="20"/>
                <w:szCs w:val="20"/>
                <w:color w:val="auto"/>
              </w:rPr>
            </w:pPr>
            <w:r>
              <w:rPr>
                <w:rFonts w:ascii="Arial" w:cs="Arial" w:eastAsia="Arial" w:hAnsi="Arial"/>
                <w:sz w:val="14"/>
                <w:szCs w:val="14"/>
                <w:b w:val="1"/>
                <w:bCs w:val="1"/>
                <w:color w:val="auto"/>
                <w:w w:val="97"/>
              </w:rPr>
              <w:t>(dollars in thousands)</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9"/>
              </w:rPr>
              <w:t>General and administrative  $</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5,926</w:t>
            </w:r>
          </w:p>
        </w:tc>
        <w:tc>
          <w:tcPr>
            <w:tcW w:w="6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6,091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482"/>
              <w:spacing w:after="0"/>
              <w:rPr>
                <w:sz w:val="20"/>
                <w:szCs w:val="20"/>
                <w:color w:val="auto"/>
              </w:rPr>
            </w:pPr>
            <w:r>
              <w:rPr>
                <w:rFonts w:ascii="Arial" w:cs="Arial" w:eastAsia="Arial" w:hAnsi="Arial"/>
                <w:sz w:val="18"/>
                <w:szCs w:val="18"/>
                <w:color w:val="auto"/>
              </w:rPr>
              <w:t>(165)</w:t>
            </w:r>
          </w:p>
        </w:tc>
        <w:tc>
          <w:tcPr>
            <w:tcW w:w="10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  $</w:t>
            </w:r>
          </w:p>
        </w:tc>
        <w:tc>
          <w:tcPr>
            <w:tcW w:w="96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11,962</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11,787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8"/>
                <w:szCs w:val="18"/>
                <w:color w:val="auto"/>
              </w:rPr>
              <w:t>175</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400" w:type="dxa"/>
            <w:vAlign w:val="bottom"/>
            <w:gridSpan w:val="2"/>
          </w:tcPr>
          <w:p>
            <w:pPr>
              <w:ind w:left="40"/>
              <w:spacing w:after="0"/>
              <w:rPr>
                <w:sz w:val="20"/>
                <w:szCs w:val="20"/>
                <w:color w:val="auto"/>
              </w:rPr>
            </w:pPr>
            <w:r>
              <w:rPr>
                <w:rFonts w:ascii="Arial" w:cs="Arial" w:eastAsia="Arial" w:hAnsi="Arial"/>
                <w:sz w:val="18"/>
                <w:szCs w:val="18"/>
                <w:color w:val="auto"/>
              </w:rPr>
              <w:t>Percentage of net revenues</w:t>
            </w:r>
          </w:p>
        </w:tc>
        <w:tc>
          <w:tcPr>
            <w:tcW w:w="1240" w:type="dxa"/>
            <w:vAlign w:val="bottom"/>
            <w:gridSpan w:val="2"/>
          </w:tcPr>
          <w:p>
            <w:pPr>
              <w:jc w:val="right"/>
              <w:ind w:right="379"/>
              <w:spacing w:after="0"/>
              <w:rPr>
                <w:sz w:val="20"/>
                <w:szCs w:val="20"/>
                <w:color w:val="auto"/>
              </w:rPr>
            </w:pPr>
            <w:r>
              <w:rPr>
                <w:rFonts w:ascii="Arial" w:cs="Arial" w:eastAsia="Arial" w:hAnsi="Arial"/>
                <w:sz w:val="18"/>
                <w:szCs w:val="18"/>
                <w:color w:val="auto"/>
              </w:rPr>
              <w:t>10%</w:t>
            </w: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June 30, 2013 and 2012</w:t>
      </w:r>
    </w:p>
    <w:p>
      <w:pPr>
        <w:spacing w:after="0" w:line="171"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General and administrative expenses for the three months ended June 30, 2013 remained flat, as compared to the same period last year. The average general and administrative headcount remained relatively unchanged in the comparable periods. The comparable levels of general and administrative expenditures in both periods reflect our ongoing cost control measures.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Six Months Ended June 30, 2013 and 2012</w:t>
      </w:r>
    </w:p>
    <w:p>
      <w:pPr>
        <w:spacing w:after="0" w:line="171" w:lineRule="exact"/>
        <w:rPr>
          <w:sz w:val="20"/>
          <w:szCs w:val="20"/>
          <w:color w:val="auto"/>
        </w:rPr>
      </w:pPr>
    </w:p>
    <w:p>
      <w:pPr>
        <w:ind w:right="480" w:firstLine="432"/>
        <w:spacing w:after="0" w:line="264" w:lineRule="auto"/>
        <w:rPr>
          <w:sz w:val="20"/>
          <w:szCs w:val="20"/>
          <w:color w:val="auto"/>
        </w:rPr>
      </w:pPr>
      <w:r>
        <w:rPr>
          <w:rFonts w:ascii="Arial" w:cs="Arial" w:eastAsia="Arial" w:hAnsi="Arial"/>
          <w:sz w:val="18"/>
          <w:szCs w:val="18"/>
          <w:color w:val="auto"/>
        </w:rPr>
        <w:t>General and administrative expenses for the six months ended June 30, 2013 remained flat, as compared to the same period last year. The average general and administrative headcount remained relatively unchanged in the comparable periods. The comparable levels of general and administrative expenditures in both periods reflect our ongoing cost control measures.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124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3"/>
              </w:rPr>
              <w:t>Six Months Ended</w:t>
            </w:r>
          </w:p>
        </w:tc>
        <w:tc>
          <w:tcPr>
            <w:tcW w:w="300" w:type="dxa"/>
            <w:vAlign w:val="bottom"/>
          </w:tcPr>
          <w:p>
            <w:pPr>
              <w:spacing w:after="0"/>
              <w:rPr>
                <w:sz w:val="14"/>
                <w:szCs w:val="14"/>
                <w:color w:val="auto"/>
              </w:rPr>
            </w:pPr>
          </w:p>
        </w:tc>
        <w:tc>
          <w:tcPr>
            <w:tcW w:w="124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left="444"/>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left="444"/>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922"/>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922"/>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380" w:type="dxa"/>
            <w:vAlign w:val="bottom"/>
            <w:gridSpan w:val="4"/>
          </w:tcPr>
          <w:p>
            <w:pPr>
              <w:jc w:val="right"/>
              <w:ind w:right="782"/>
              <w:spacing w:after="0"/>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0" w:type="dxa"/>
            <w:vAlign w:val="bottom"/>
            <w:gridSpan w:val="4"/>
          </w:tcPr>
          <w:p>
            <w:pPr>
              <w:jc w:val="right"/>
              <w:ind w:right="822"/>
              <w:spacing w:after="0"/>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(781)</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rPr>
              <w:t>2,948</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(79)%  $</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(1,294)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rPr>
              <w:t>3,274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2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June 30, 2013 and 2012</w:t>
      </w:r>
    </w:p>
    <w:p>
      <w:pPr>
        <w:spacing w:after="0" w:line="171" w:lineRule="exact"/>
        <w:rPr>
          <w:sz w:val="20"/>
          <w:szCs w:val="20"/>
          <w:color w:val="auto"/>
        </w:rPr>
      </w:pPr>
    </w:p>
    <w:p>
      <w:pPr>
        <w:jc w:val="both"/>
        <w:ind w:right="180" w:firstLine="432"/>
        <w:spacing w:after="0" w:line="312" w:lineRule="auto"/>
        <w:rPr>
          <w:sz w:val="20"/>
          <w:szCs w:val="20"/>
          <w:color w:val="auto"/>
        </w:rPr>
      </w:pPr>
      <w:r>
        <w:rPr>
          <w:rFonts w:ascii="Arial" w:cs="Arial" w:eastAsia="Arial" w:hAnsi="Arial"/>
          <w:sz w:val="16"/>
          <w:szCs w:val="16"/>
          <w:color w:val="auto"/>
        </w:rPr>
        <w:t>Other expense, net, for the three months ended June 30, 2013 decreased by $2.9 million, as compared to the same period last year. In April 2012, $2.8 million of interest expense was related to the write-off of unamortized deferred debt issuance costs and debt discounts resulting from the termination of our convertible facility and the conversion of convertible notes into shares of common upon our IPO. No such write-offs occurred for the current period.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Six Months Ended June 30, 2013 and 2012</w:t>
      </w:r>
    </w:p>
    <w:p>
      <w:pPr>
        <w:spacing w:after="0" w:line="171"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Other expense, net, for the six months ended June 30, 2013, decreased by $3.3 million, as compared to the same period last year. The decrease was primarily attributable to a $3.9 million decrease in interest expense, which consists of the $2.8 million charge to interest expense as described above and $1.0 million in lower interest expense resulting from lower average debt outstanding. This decrease was partially offset by a $0.5 million gain to adjust the fair value of our preferred stock warrant liability, which was reclassified to stockholders' equity at its then fair value upon our IPO in April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right="380" w:firstLine="432"/>
        <w:spacing w:after="0" w:line="264" w:lineRule="auto"/>
        <w:rPr>
          <w:sz w:val="20"/>
          <w:szCs w:val="20"/>
          <w:color w:val="auto"/>
        </w:rPr>
      </w:pPr>
      <w:r>
        <w:rPr>
          <w:rFonts w:ascii="Arial" w:cs="Arial" w:eastAsia="Arial" w:hAnsi="Arial"/>
          <w:sz w:val="18"/>
          <w:szCs w:val="18"/>
          <w:color w:val="auto"/>
        </w:rPr>
        <w:t>Prior to our IPO, we funded our operations primarily through private placements of convertible preferred stock and convertible notes, and proceeds from term loans. In April 2012, we completed our IPO, in which we issued and sold 10,315,151 shares and received net proceeds of approximately $53.8 million.</w:t>
      </w:r>
    </w:p>
    <w:p>
      <w:pPr>
        <w:spacing w:after="0" w:line="127"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Our primary uses of cash are operating costs, working capital needs, capital expenditures and debt service requirements. Our future capital requirements are affected by many factors, including our rate of revenue growth; the expansion of our sales and marketing activities; the timing and extent of spending to support product development efforts; and the timing of introductions of new products and enhancements to existing products.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June 30, 2013, we had $34.0 million in cash and cash equivalents, which are held primarily in bank deposits and money market accounts,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$52.7 million in working capital. We believe our current cash and cash equivalents, together with borrowings available under our Revolver and the Hercules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Facility (as described below) will be adequate to fund our debt obligations as well as our planned capital expenditures and operations over the next 12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months. If additional sources of liquidity are needed, we may consider new debt or equity offerings but there is no assurance that such transactions could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consummated on acceptable terms or at all. Failure to raise sufficient capital when needed could have a material adverse effect on our business, results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operations and financial position.</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32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(7,962)</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(31,845)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1"/>
              </w:rPr>
              <w:t>(3,467)</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(8,013)</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298</w:t>
            </w: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55,286</w:t>
            </w:r>
          </w:p>
        </w:tc>
      </w:tr>
      <w:tr>
        <w:trPr>
          <w:trHeight w:val="27"/>
        </w:trPr>
        <w:tc>
          <w:tcPr>
            <w:tcW w:w="8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71" w:lineRule="exact"/>
        <w:rPr>
          <w:sz w:val="20"/>
          <w:szCs w:val="20"/>
          <w:color w:val="auto"/>
        </w:rPr>
      </w:pPr>
    </w:p>
    <w:p>
      <w:pPr>
        <w:ind w:right="60" w:firstLine="446"/>
        <w:spacing w:after="0" w:line="259" w:lineRule="auto"/>
        <w:rPr>
          <w:sz w:val="20"/>
          <w:szCs w:val="20"/>
          <w:color w:val="auto"/>
        </w:rPr>
      </w:pPr>
      <w:r>
        <w:rPr>
          <w:rFonts w:ascii="Arial" w:cs="Arial" w:eastAsia="Arial" w:hAnsi="Arial"/>
          <w:sz w:val="18"/>
          <w:szCs w:val="18"/>
          <w:color w:val="auto"/>
        </w:rPr>
        <w:t>Historically, we have experienced negative operating cash flows as we have invested significant resources to develop new product offerings and focused on critical research and development activities required to reduce product costs, increase performance and foster innovation. In addition, uses of cash included expansion of our operations into new product markets and geographies and build our operational infrastructure to support the growth of our business.</w:t>
      </w:r>
    </w:p>
    <w:p>
      <w:pPr>
        <w:spacing w:after="0" w:line="133" w:lineRule="exact"/>
        <w:rPr>
          <w:sz w:val="20"/>
          <w:szCs w:val="20"/>
          <w:color w:val="auto"/>
        </w:rPr>
      </w:pPr>
    </w:p>
    <w:p>
      <w:pPr>
        <w:ind w:right="220" w:firstLine="432"/>
        <w:spacing w:after="0" w:line="253" w:lineRule="auto"/>
        <w:rPr>
          <w:sz w:val="20"/>
          <w:szCs w:val="20"/>
          <w:color w:val="auto"/>
        </w:rPr>
      </w:pPr>
      <w:r>
        <w:rPr>
          <w:rFonts w:ascii="Arial" w:cs="Arial" w:eastAsia="Arial" w:hAnsi="Arial"/>
          <w:sz w:val="18"/>
          <w:szCs w:val="18"/>
          <w:color w:val="auto"/>
        </w:rPr>
        <w:t>For the six months ended June 30, 2013, net cash used in operating activities of $8.0 million was primarily attributable to a net loss of $16.8 million, which was partially offset by non-cash charges of $3.4 million in depreciation and amortization and $2.9 million in stock-based compensation. In addition, cash provided by net changes in operating assets and liabilities was $2.4 million. Sources of cash totaled $7.6 million resulting from a decrease of $1.9 million in inventory, an increase of $3.2 million in accounts payable, accrued and other liabilities, and an increase of $2.1 million in deferred revenues. The $1.9 million decrease in inventory levels was a result of improvements in working capital management. The $3.2 million increase in accounts payable, accrued and other liabilities was due to timing of vendor payments. The increase in deferred revenue of $2.1 million relates to sales of our Enlighten web-based monitoring service. Uses of cash included a $4.4 million increase in accounts receivable and a $0.5 million increase in prepaid expenses and other assets. The increase in accounts receivable was primarily due to the more linear sales pattern in fourth quarter of 2012 compared to the second quarter of 2013.</w:t>
      </w:r>
    </w:p>
    <w:p>
      <w:pPr>
        <w:spacing w:after="0" w:line="143"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For the six months ended June 30, 2012, net cash used in operating activities of $31.8 million was primarily attributable to a net loss of $21.6 million, which was offset by non-cash charges of $3.9 million in interest expense, $2.5 million in depreciation and amortization, and $1.7 million in stock-based compensation. In addition, cash used from net changes in operating assets was $17.9 million primarily driven by a decrease in deferred revenues, which was due to shipments of products during the six months ended June 30, 2012 for which upfront payments were received from customers in December 2011.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71"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Capital expenditures have generally been comprised of purchases of test equipment, leasehold improvements, furniture and fixtures, and internally developed software.</w:t>
      </w:r>
    </w:p>
    <w:p>
      <w:pPr>
        <w:spacing w:after="0" w:line="116"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For the six months ended June 30, 2013, net cash used in investing activities was $3.5 million, primarily as a result of purchases of test and assembly equipment as well as additions to internally developed software.</w:t>
      </w:r>
    </w:p>
    <w:p>
      <w:pPr>
        <w:spacing w:after="0" w:line="116"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For the six months ended June 30, 2012, net cash used in investing activities was $8.0 million consisting of $3.4 million in non-recurring expenditures on leasehold improvements and furniture and fixtures in connection with our relocation to a new headquarter facility and $4.6 million primarily from purchases of test and assembly equipment.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171"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For the six months ended June 30, 2013, net cash provided by financing activities was $0.3 million and consisted of $1.1 million in cash received from common stock issuance pursuant to our equity incentive plans and $0.4 million in proceeds from employee stock purchase plan. These inflows of cash were offset by principal repayments of term loans of $1.2 million.</w:t>
      </w:r>
    </w:p>
    <w:p>
      <w:pPr>
        <w:spacing w:after="0" w:line="127"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For the six months ended June 30, 2012, net cash provided by financing activities was $55.3 million and consisted of net proceeds of $56.8 million received from our IPO, after deducting underwriting discounts and commissions and other offering costs paid during the six months ended June 30, 2012. Cash used in financing activities consisted of $4.1 million in principal repayments of term loans offset by $2.6 million in proceeds from term loan borrowings.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Agreements</w:t>
      </w:r>
    </w:p>
    <w:p>
      <w:pPr>
        <w:spacing w:after="0" w:line="175"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As of June 30, 2013, we were a party to three debt agreements: (i) the $50.0 million revolving credit facility (the "Revolver") with Wells Fargo Bank, N.A., (ii) the facility with Hercules Technology Growth Capital, Inc. (“Hercules Facility”) consisting of a $7.4 million initial term loan and lending commitments of up to $15.6 million in additional term loans, and (iii) the $5.0 million equipment financing facility, also with Hercules. As of June 30, 2013, we have not drawn upon the Revolver or additional term loans available under the Hercules Facility. Each of these debt agreements is described in greater detail in our consolidated financial statements and related notes included in our Annual Report on Form 10-K for the year ended December 31, 2012. As of June 30, 2013, we were in compliance with all debt covenants.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Our contractual obligations as of June 30, 2013 have not materially changed from the amounts set forth in our Annual Report on Form 10-K for the year ended December 31,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2013, we did not have any off-balance sheet arrangements, as defined in Item 303(a)(4)(ii) of SEC Regulation S-K.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175"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Our condensed consolidated financial statements are prepared in accordance with accounting principles generally accepted in the U.S., or GAAP. In connection with the preparation of our condensed consolidated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management believes to be relevant at the time our consolidated financial statements are prepared. On a regular basis, we review the accounting policies, assumptions, estimates and judgments to ensure that our consolidated financial statements are presented fairly and in accordance with GAAP. However, because future events and their effects cannot be determined with certainty, actual results could differ from our assumptions and estimates. To the extent that there are material differences between these estimates and actual results, our future financial statement presentation, financial condition, results of operations and cash flows will be affected.</w:t>
      </w:r>
    </w:p>
    <w:p>
      <w:pPr>
        <w:spacing w:after="0" w:line="112" w:lineRule="exact"/>
        <w:rPr>
          <w:sz w:val="20"/>
          <w:szCs w:val="20"/>
          <w:color w:val="auto"/>
        </w:rPr>
      </w:pPr>
    </w:p>
    <w:p>
      <w:pPr>
        <w:jc w:val="both"/>
        <w:ind w:right="720" w:firstLine="432"/>
        <w:spacing w:after="0" w:line="334" w:lineRule="auto"/>
        <w:rPr>
          <w:sz w:val="20"/>
          <w:szCs w:val="20"/>
          <w:color w:val="auto"/>
        </w:rPr>
      </w:pPr>
      <w:r>
        <w:rPr>
          <w:rFonts w:ascii="Arial" w:cs="Arial" w:eastAsia="Arial" w:hAnsi="Arial"/>
          <w:sz w:val="16"/>
          <w:szCs w:val="16"/>
          <w:color w:val="auto"/>
        </w:rPr>
        <w:t>We consider an accounting policy to be critical if it is important to our financial condition and results of operations, and if it entails significant judgment, subjectivity and complexity on the part of management in its application. We consider the following to be our critical accounting policies:</w:t>
      </w:r>
    </w:p>
    <w:p>
      <w:pPr>
        <w:spacing w:after="0" w:line="1" w:lineRule="exact"/>
        <w:rPr>
          <w:sz w:val="20"/>
          <w:szCs w:val="20"/>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inventory valuation;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warranty obligations.</w:t>
      </w:r>
    </w:p>
    <w:p>
      <w:pPr>
        <w:spacing w:after="0" w:line="171" w:lineRule="exact"/>
        <w:rPr>
          <w:sz w:val="20"/>
          <w:szCs w:val="20"/>
          <w:color w:val="auto"/>
        </w:rPr>
      </w:pPr>
    </w:p>
    <w:p>
      <w:pPr>
        <w:jc w:val="both"/>
        <w:ind w:right="200" w:firstLine="432"/>
        <w:spacing w:after="0" w:line="312" w:lineRule="auto"/>
        <w:rPr>
          <w:sz w:val="20"/>
          <w:szCs w:val="20"/>
          <w:color w:val="auto"/>
        </w:rPr>
      </w:pPr>
      <w:r>
        <w:rPr>
          <w:rFonts w:ascii="Arial" w:cs="Arial" w:eastAsia="Arial" w:hAnsi="Arial"/>
          <w:sz w:val="16"/>
          <w:szCs w:val="16"/>
          <w:color w:val="auto"/>
        </w:rPr>
        <w:t>For a complete description of our critical accounting policies that involve our more significant judgments and estimates used in the preparation of our condensed consolidated financial statements, please refer to our Annual Report on Form 10-K for the year ended December 31, 2012 under “Management’s Discussion and Analysis of Financial Condition and Results of Operations—Critical Accounting Policies and Significant Management Estimates.”</w:t>
      </w:r>
    </w:p>
    <w:p>
      <w:pPr>
        <w:spacing w:after="0" w:line="33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2"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We operate and conduct business in foreign countries where our foreign entities use the local currency as their respective functional currency and, as a result, are exposed to movements in foreign currency exchange rates. More specifically, we face foreign currency exposure from the effect of fluctuating exchange rates on payables and receivables denominated in Euros, British Pound Sterling and New Zealand Dollar. These payables and receivables primarily arise from both sales and purchases denominated in foreign currencies, as well as intercompany transactions. We also face currency exposure that arises from translating the results of our European and New Zealand operations, including sales and marketing and research and development expenses, to the U.S. dollar at exchange rates that have fluctuated from the beginning of a reporting period.</w:t>
      </w:r>
    </w:p>
    <w:p>
      <w:pPr>
        <w:spacing w:after="0" w:line="124"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We utilize foreign currency forward contracts to reduce the impact of foreign currency fluctuations in Euros and the British Pound Sterling. The contracts we enter into typically have maturities of less than one year. We do not enter into derivative financial instruments for trading or speculative purposes. The foreign currency forward contracts are accounted for as derivatives whereby the fair value of the contracts is reported as other current assets or current liabilities in the accompanying condensed consolidated balance sheets, and gains and losses resulting from changes in the fair value are reported in other income (expense), net, in the accompanying condensed consolidated statements of operations.</w:t>
      </w:r>
    </w:p>
    <w:p>
      <w:pPr>
        <w:spacing w:after="0" w:line="119" w:lineRule="exact"/>
        <w:rPr>
          <w:sz w:val="20"/>
          <w:szCs w:val="20"/>
          <w:color w:val="auto"/>
        </w:rPr>
      </w:pPr>
    </w:p>
    <w:p>
      <w:pPr>
        <w:ind w:right="720" w:firstLine="446"/>
        <w:spacing w:after="0" w:line="277" w:lineRule="auto"/>
        <w:rPr>
          <w:sz w:val="20"/>
          <w:szCs w:val="20"/>
          <w:color w:val="auto"/>
        </w:rPr>
      </w:pPr>
      <w:r>
        <w:rPr>
          <w:rFonts w:ascii="Arial" w:cs="Arial" w:eastAsia="Arial" w:hAnsi="Arial"/>
          <w:sz w:val="18"/>
          <w:szCs w:val="18"/>
          <w:color w:val="auto"/>
        </w:rPr>
        <w:t>As of June 30, 2013 and December 31, 2012, the aggregate gross notional amounts of outstanding foreign currency forward contracts, all with maturities of less than six months, were $16.7 million and $6.1 million, respectively.</w:t>
      </w:r>
    </w:p>
    <w:p>
      <w:pPr>
        <w:spacing w:after="0" w:line="116"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foreign currency exchange rate risk associated with our forward contracts is limited as the exposure is substantially offset by exchange rate changes of the underlying hedged amounts. The potential losses from an immediate hypothetical 10% adverse movement in the exchange rates of the Euro and the British Pound Sterling relative to the U.S. dollar would not have a material effect on the fair values of our outstanding foreign currency forward contracts at June 30, 2013.</w:t>
      </w:r>
    </w:p>
    <w:p>
      <w:pPr>
        <w:spacing w:after="0" w:line="37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June 30, 2013. The term “disclosure controls and procedures,” as defined in Rules 13a-15(e) and 15d-15(e) under the Securities Exchange Act of 1934, as amended, or the Exchange Act, includes,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the evaluation of our disclosure controls and procedures as of June 30, 2013, our chief executive officer and chief financial officer concluded that, as of such date, our disclosure controls and procedures were effective at the reasonable assurance level.</w:t>
      </w:r>
    </w:p>
    <w:p>
      <w:pPr>
        <w:spacing w:after="0" w:line="124" w:lineRule="exact"/>
        <w:rPr>
          <w:sz w:val="20"/>
          <w:szCs w:val="20"/>
          <w:color w:val="auto"/>
        </w:rPr>
      </w:pPr>
    </w:p>
    <w:p>
      <w:pPr>
        <w:ind w:right="280" w:firstLine="432"/>
        <w:spacing w:after="0" w:line="342" w:lineRule="auto"/>
        <w:rPr>
          <w:sz w:val="20"/>
          <w:szCs w:val="20"/>
          <w:color w:val="auto"/>
        </w:rPr>
      </w:pPr>
      <w:r>
        <w:rPr>
          <w:rFonts w:ascii="Arial" w:cs="Arial" w:eastAsia="Arial" w:hAnsi="Arial"/>
          <w:sz w:val="16"/>
          <w:szCs w:val="16"/>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Changes in Internal Control</w:t>
      </w:r>
    </w:p>
    <w:p>
      <w:pPr>
        <w:spacing w:after="0" w:line="171"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Quarterly Report that materially affected, or are reasonably likely to materially affect, our internal control over financial reporting.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2" w:lineRule="exact"/>
        <w:rPr>
          <w:sz w:val="20"/>
          <w:szCs w:val="20"/>
          <w:color w:val="auto"/>
        </w:rPr>
      </w:pPr>
    </w:p>
    <w:p>
      <w:pPr>
        <w:jc w:val="both"/>
        <w:ind w:right="100" w:firstLine="446"/>
        <w:spacing w:after="0" w:line="312" w:lineRule="auto"/>
        <w:rPr>
          <w:sz w:val="20"/>
          <w:szCs w:val="20"/>
          <w:color w:val="auto"/>
        </w:rPr>
      </w:pPr>
      <w:r>
        <w:rPr>
          <w:rFonts w:ascii="Arial" w:cs="Arial" w:eastAsia="Arial" w:hAnsi="Arial"/>
          <w:sz w:val="16"/>
          <w:szCs w:val="16"/>
          <w:color w:val="auto"/>
        </w:rPr>
        <w:t>From time to time, we may be involved in litigation relating to claims arising out of our operations. We are not currently involved in any material legal proceedings. We may, however, be involved in material legal proceedings in the future. Such matters are subject to uncertainty and there can be no assurance that such legal proceedings will not have a material adverse effect on our business, results of operations, financial position or cash flows.</w:t>
      </w:r>
    </w:p>
    <w:p>
      <w:pPr>
        <w:spacing w:after="0" w:line="33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02"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immaterial may also significantly impair our business operations. Our business could be harmed by any of these risks. In assessing these risks, you should also refer to the other information contained in this Quarterly Report on Form 10-Q, including our condensed consolidated financial statements and related notes.</w:t>
      </w:r>
    </w:p>
    <w:p>
      <w:pPr>
        <w:spacing w:after="0" w:line="10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i w:val="1"/>
          <w:iCs w:val="1"/>
          <w:color w:val="auto"/>
        </w:rPr>
        <w:t>We have marked with an asterisk (*) those risks described below that reflect substantive changes from, or additions to, the risks described in our Annual Report on Form 10-K for the year ended December 31, 2012.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which may continue in the future, and we cannot be certain that we will achieve or sustain profitability.</w:t>
      </w:r>
    </w:p>
    <w:p>
      <w:pPr>
        <w:spacing w:after="0" w:line="171" w:lineRule="exact"/>
        <w:rPr>
          <w:sz w:val="20"/>
          <w:szCs w:val="20"/>
          <w:color w:val="auto"/>
        </w:rPr>
      </w:pPr>
    </w:p>
    <w:p>
      <w:pPr>
        <w:jc w:val="both"/>
        <w:ind w:right="180" w:firstLine="432"/>
        <w:spacing w:after="0" w:line="276" w:lineRule="auto"/>
        <w:rPr>
          <w:sz w:val="20"/>
          <w:szCs w:val="20"/>
          <w:color w:val="auto"/>
        </w:rPr>
      </w:pPr>
      <w:r>
        <w:rPr>
          <w:rFonts w:ascii="Arial" w:cs="Arial" w:eastAsia="Arial" w:hAnsi="Arial"/>
          <w:sz w:val="17"/>
          <w:szCs w:val="17"/>
          <w:color w:val="auto"/>
        </w:rPr>
        <w:t>We have incurred net losses in each quarter since inception, and we may continue to incur additional net losses in the future. We incurred net losses of $16.8 million for the six months ended June 30, 2013. As of June 30, 2013, we had an accumulated deficit of $143.8 million. Our revenue growth may slow or revenue may decline for a number of possible reasons, many of which are outside our control, including a decline in demand for our offerings, increased competition, a decrease in the growth of the solar industry or our market share, or our failure to continue to capitalize on growth opportunities. If we fail to generate sufficient revenue to support our operations, we may not be able to achieve or sustain profitability.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w:t>
      </w:r>
    </w:p>
    <w:p>
      <w:pPr>
        <w:spacing w:after="0" w:line="171"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We have been in existence since 2006 and did not begin shipping our products in commercial quantities until mid-2008. Much of our growth has occurred in recent periods. Our limited operating history makes it difficult to evaluate our current business and future prospects. We have encountered and will continue to encounter risks and difficulties frequently experienced by growing companies in rapidly changing industries, including increased expenses as we continue to grow our business. If we do not manage these risks and overcome these difficulties successfully, our business will suffer.</w:t>
      </w:r>
    </w:p>
    <w:p>
      <w:pPr>
        <w:spacing w:after="0" w:line="117" w:lineRule="exact"/>
        <w:rPr>
          <w:sz w:val="20"/>
          <w:szCs w:val="20"/>
          <w:color w:val="auto"/>
        </w:rPr>
      </w:pPr>
    </w:p>
    <w:p>
      <w:pPr>
        <w:jc w:val="both"/>
        <w:ind w:right="60" w:firstLine="432"/>
        <w:spacing w:after="0" w:line="286" w:lineRule="auto"/>
        <w:rPr>
          <w:sz w:val="20"/>
          <w:szCs w:val="20"/>
          <w:color w:val="auto"/>
        </w:rPr>
      </w:pPr>
      <w:r>
        <w:rPr>
          <w:rFonts w:ascii="Arial" w:cs="Arial" w:eastAsia="Arial" w:hAnsi="Arial"/>
          <w:sz w:val="17"/>
          <w:szCs w:val="17"/>
          <w:color w:val="auto"/>
        </w:rPr>
        <w:t>Since we began commercial shipments of our products, our revenue, gross profit and results of operations have varied and are likely to continue to vary from quarter to quarter due to a number of factors, many of which are not within our control. It is difficult for us to accurately forecast our future revenue and gross profit and plan expenses accordingly and, therefore, it is difficult for us to predict our future results of operations.</w:t>
      </w:r>
    </w:p>
    <w:p>
      <w:pPr>
        <w:spacing w:after="0" w:line="111" w:lineRule="exact"/>
        <w:rPr>
          <w:sz w:val="20"/>
          <w:szCs w:val="20"/>
          <w:color w:val="auto"/>
        </w:rPr>
      </w:pPr>
    </w:p>
    <w:p>
      <w:pPr>
        <w:jc w:val="both"/>
        <w:ind w:right="80" w:firstLine="432"/>
        <w:spacing w:after="0" w:line="277" w:lineRule="auto"/>
        <w:rPr>
          <w:sz w:val="20"/>
          <w:szCs w:val="20"/>
          <w:color w:val="auto"/>
        </w:rPr>
      </w:pPr>
      <w:r>
        <w:rPr>
          <w:rFonts w:ascii="Arial" w:cs="Arial" w:eastAsia="Arial" w:hAnsi="Arial"/>
          <w:sz w:val="18"/>
          <w:szCs w:val="18"/>
          <w:color w:val="auto"/>
        </w:rPr>
        <w:t>Further, our efforts to achieve broader market acceptance for our microinverter systems and to expand beyond our existing markets may never succeed, which would adversely impact our ability to generate additional revenue or become profitable.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demand for solar energy solutions does not continue to grow or grows at a slower rate than we anticipate, our business will suffer.</w:t>
      </w:r>
    </w:p>
    <w:p>
      <w:pPr>
        <w:spacing w:after="0" w:line="171"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Our microinverter systems are utilized in solar photovoltaic, or PV, installations, which provide on-site distributed power generation. As a result, our future success depends on continued demand for solar energy solutions and the ability of solar equipment vendors to meet this demand. The solar industry is an evolving industry that has experienced substantial changes in recent years</w:t>
      </w:r>
      <w:r>
        <w:rPr>
          <w:rFonts w:ascii="Arial" w:cs="Arial" w:eastAsia="Arial" w:hAnsi="Arial"/>
          <w:sz w:val="17"/>
          <w:szCs w:val="17"/>
          <w:i w:val="1"/>
          <w:iCs w:val="1"/>
          <w:color w:val="auto"/>
        </w:rPr>
        <w:t>,</w:t>
      </w:r>
      <w:r>
        <w:rPr>
          <w:rFonts w:ascii="Arial" w:cs="Arial" w:eastAsia="Arial" w:hAnsi="Arial"/>
          <w:sz w:val="17"/>
          <w:szCs w:val="17"/>
          <w:color w:val="auto"/>
        </w:rPr>
        <w:t xml:space="preserve"> and we cannot be certain that consumers and businesses will adopt solar PV systems as an alternative energy source at levels sufficient to grow our business. Traditional electricity distribution is based on the regulated industry model whereby businesses and consumers obtain their electricity from a government regulated utility. For alternative methods of distributed power to succeed, businesses and consumers must adopt new purchasing practices. The viability and continued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growth in demand for solar energy solutions, and in turn, our products, may be impacted by many factors outside of our control, including:</w:t>
      </w:r>
    </w:p>
    <w:p>
      <w:pPr>
        <w:spacing w:after="0" w:line="90" w:lineRule="exact"/>
        <w:rPr>
          <w:sz w:val="20"/>
          <w:szCs w:val="20"/>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acceptance of solar PV systems based on our product platform;</w:t>
      </w:r>
    </w:p>
    <w:p>
      <w:pPr>
        <w:spacing w:after="0" w:line="184" w:lineRule="exact"/>
        <w:rPr>
          <w:rFonts w:ascii="Arial" w:cs="Arial" w:eastAsia="Arial" w:hAnsi="Arial"/>
          <w:sz w:val="18"/>
          <w:szCs w:val="18"/>
          <w:color w:val="auto"/>
        </w:rPr>
      </w:pPr>
    </w:p>
    <w:p>
      <w:pPr>
        <w:ind w:left="980" w:right="260" w:hanging="486"/>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 competitiveness, reliability and performance of solar PV systems compared to conventional and non-solar renewable energy sources and products;</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availability and amount of government subsidies and incentives to support the development and deployment of solar energy solutions;</w:t>
      </w:r>
    </w:p>
    <w:p>
      <w:pPr>
        <w:spacing w:after="0" w:line="101" w:lineRule="exact"/>
        <w:rPr>
          <w:rFonts w:ascii="Arial" w:cs="Arial" w:eastAsia="Arial" w:hAnsi="Arial"/>
          <w:sz w:val="17"/>
          <w:szCs w:val="17"/>
          <w:color w:val="auto"/>
        </w:rPr>
      </w:pPr>
    </w:p>
    <w:p>
      <w:pPr>
        <w:ind w:left="980" w:right="440" w:hanging="486"/>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to which the electric power industry and broader energy industries are deregulated to permit broader adoption of solar electricity generation;</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and availability of key raw materials and components used in the production of solar PV systems;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prices of traditional carbon-based energy sources;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levels of investment by end-users of solar energy products, which tend to decrease when economic growth slows; and</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emergence, continuance or success of, or increased government support for, other alternative energy generation technologies and products.</w:t>
      </w:r>
    </w:p>
    <w:p>
      <w:pPr>
        <w:spacing w:after="0" w:line="19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If demand for solar energy solutions fails to develop sufficiently, demand for our customers' products as well as demand for our products will decrease, which would have an adverse impact on our ability to increase our revenue and grow our business.</w:t>
      </w:r>
    </w:p>
    <w:p>
      <w:pPr>
        <w:spacing w:after="0" w:line="116"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Short-term demand and supply imbalances, especially for solar module technology, recently have caused prices for solar technology solutions to decline rapidly. Furthermore, competition in the solar industry has increased due to the emergence of Asian manufacturers along the entire solar value chain causing further price declines, excess inventory and oversupply. These market disruptions may continue to occur and may increase pressure to reduce prices, which could adversely affect our business and financial results.</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reduction, elimination or expiration of government subsidies and economic incentives for on-grid solar electricity applications could reduce demand for solar PV systems and harm our business.</w:t>
      </w:r>
    </w:p>
    <w:p>
      <w:pPr>
        <w:spacing w:after="0" w:line="116" w:lineRule="exact"/>
        <w:rPr>
          <w:sz w:val="20"/>
          <w:szCs w:val="20"/>
          <w:color w:val="auto"/>
        </w:rPr>
      </w:pPr>
    </w:p>
    <w:p>
      <w:pPr>
        <w:ind w:right="240" w:firstLine="432"/>
        <w:spacing w:after="0" w:line="276" w:lineRule="auto"/>
        <w:rPr>
          <w:sz w:val="20"/>
          <w:szCs w:val="20"/>
          <w:color w:val="auto"/>
        </w:rPr>
      </w:pPr>
      <w:r>
        <w:rPr>
          <w:rFonts w:ascii="Arial" w:cs="Arial" w:eastAsia="Arial" w:hAnsi="Arial"/>
          <w:sz w:val="17"/>
          <w:szCs w:val="17"/>
          <w:color w:val="auto"/>
        </w:rPr>
        <w:t>The market for on-grid applications, where solar power is used to supplement a customer's electricity purchased from the utility network or sold to a utility under tariff, depends in large part on the availability and size of government and economic incentives that vary by geographic market. Because our customers' sales are typically into the on-grid market, the reduction, elimination or expiration of government subsidies and economic incentives for on-grid solar electricity may negatively affect the competitiveness of solar electricity relative to conventional and non-solar renewable sources of electricity, and could harm or halt the growth of the solar electricity industry and our business.</w:t>
      </w:r>
    </w:p>
    <w:p>
      <w:pPr>
        <w:spacing w:after="0" w:line="119"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general, the cost of solar power currently exceeds retail electricity rates, and we believe this tendency will continue in the near term. As a result, national, state and local government bodies in many countries, most notably Australia, Canada, France, Belgium, Germany, Italy, Japan, the People's Republic of China, the United Kingdom, Spain and the United States, have provided incentives in the form of feed-in tariffs, or FiTs, rebates, tax credits and other incentives to system owners, distributors, system integrators and manufacturers of solar PV systems to promote the use of solar electricity in on-grid applications and to reduce dependency on other forms of energy. Many of these government incentives expire, phase out over time, terminate upon the exhaustion of the allocated funding, require renewal by the applicable authority or are being amended by governments due to changing market circumstances or changes to national, state or local energy policy.</w:t>
      </w:r>
    </w:p>
    <w:p>
      <w:pPr>
        <w:spacing w:after="0" w:line="135"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To date, we have generated substantially all of our revenues from North America and expect to generate a substantial amount of revenues from North America in the future. There are a number of important incentives that are expected to phase-out or terminate in the future, which could adversely affect sales of our products. A substantial majority of our revenues come from the United States, which has both federal and state incentives. The Renewable Energy and Job Creation Act of 2008 provides a 30% federal tax credit for residential and commercial solar installations, which expire on December 31, 2016. The American Recovery and Reinvestment Act of 2009, as amended, created a renewable energy grant program that offered cash payments in lieu of investment tax credits to renewable energy project developers for eligible property placed in service prior to December 31, 2011 or placed in service by the specified credit termination date, if construction began prior to December 31, 2011. We believe the tax credit and grant programs have had a positive effect on our sales since inception. However, unless the tax credit program is further extended, the eventual phase-out of this program could adversely affect sales of our products in the future.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color w:val="auto"/>
        </w:rPr>
        <w:t>California is the largest single solar market in the United States, based on analysis from SEIA data and GTM Research, and a significant portion of our revenues are generated in California. In 2007, the State of California launched its 10-year, $3 billion “Go Solar California” campaign, which encourages the installation of an aggregate of 3,000 MW of solar energy systems in homes and businesses by the end of 2016. The largest part of the campaign, the “California Solar Initiative,” provides rebates and performance-based incentives which decrease in intervals as installation thresholds are met. The “Go Solar California” program is scheduled to expire on December 31, 2016, but the pace of installations has been high and the program is likely to conclude sooner. Both Pacific Gas and Electric and San Diego Gas and Electric have surpassed all installation thresholds in the residential sector and are no longer accepting applications. Pacific Gas and Electric is placing all new applications for the commercial sector on a waiting list, and these applications may not be able to receive incentives. Programs for other utilities and market segments continue, but could conclude prior to December 31, 2016 if installations continue at their current pace.</w:t>
      </w:r>
    </w:p>
    <w:p>
      <w:pPr>
        <w:spacing w:after="0" w:line="143"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also sell our products in Ontario, Canada. The Ontario Power Authority Green Energy and Green Economy Act of 2009 created two separate FiT programs for projects greater than 10kW and for projects less than 10kW. These FiT programs provide participants with a fixed price for electricity produced over a 20-year contract term. Both programs were recently suspended while they underwent a review. The program for projects less than 10kW was re-opened to new applications in July 2012 with a procurement target of 50 MW. The program for projects between 10kW and 500kW was re-opened for new applications between December 14, 2012 and January 18, 2013 with a procurement target of 200 MW. The Government of Ontario has announced plans for annual procurement targets of 50MW of projects under 10kW and 150MW of projects between 10kW and 500kW through 2017. However, all procurement occurs at the direction of the Government of Ontario and these plans could change, or market conditions could result in procurement targets not being met. Furthermore, the Government of Ontario has the authority to change the FiTs for future contracts at its discretion, and has the authority to modify, suspend, or discontinue the program at any time. Suspension of the FiT program in Ontario directly impacted and could continue to impact our business. Furthermore, any future suspension or modification of the program could negatively affect our business, financial condition and results of operations.</w:t>
      </w:r>
    </w:p>
    <w:p>
      <w:pPr>
        <w:spacing w:after="0" w:line="115" w:lineRule="exact"/>
        <w:rPr>
          <w:sz w:val="20"/>
          <w:szCs w:val="20"/>
          <w:color w:val="auto"/>
        </w:rPr>
      </w:pPr>
    </w:p>
    <w:p>
      <w:pPr>
        <w:ind w:right="260" w:firstLine="432"/>
        <w:spacing w:after="0" w:line="289" w:lineRule="auto"/>
        <w:rPr>
          <w:sz w:val="20"/>
          <w:szCs w:val="20"/>
          <w:color w:val="auto"/>
        </w:rPr>
      </w:pPr>
      <w:r>
        <w:rPr>
          <w:rFonts w:ascii="Arial" w:cs="Arial" w:eastAsia="Arial" w:hAnsi="Arial"/>
          <w:sz w:val="16"/>
          <w:szCs w:val="16"/>
          <w:color w:val="auto"/>
        </w:rPr>
        <w:t>In the fourth quarter of 2011, we began selling our products in France, Italy and the Benelux region. During the second quarter of 2012, we opened a sales office in the United Kingdom and began selling our products there at the beginning of the third quarter. A number of European countries, including Germany, Belgium and the United Kingdom, have adopted reductions to their FiTs, Spain announced a suspension of its FiT for new renewable energy projects in January 2012 and Italy concluded its FiT program in July 2013. Certain countries, notably Greece and Spain, have proposed or enacted taxes levied on renewable energy. These and related developments have significantly impacted the solar industry in Europe and may adversely affect the future demand for the solar energy solutions in Europe. The reductions in European tariffs and subsidies and other requirements or incentives, including local content requirements or incentives may negatively affect our business, financial condition and results of operations as we seek to do increased business in Europe. Additionally, as we further expand to other countries, changes in incentive programs or electricity policies could negatively affect returns on our investments in those countries as well as our business, financial condition, and results of operations.</w:t>
      </w:r>
    </w:p>
    <w:p>
      <w:pPr>
        <w:spacing w:after="0" w:line="113" w:lineRule="exact"/>
        <w:rPr>
          <w:sz w:val="20"/>
          <w:szCs w:val="20"/>
          <w:color w:val="auto"/>
        </w:rPr>
      </w:pPr>
    </w:p>
    <w:p>
      <w:pPr>
        <w:ind w:right="220" w:firstLine="432"/>
        <w:spacing w:after="0" w:line="293" w:lineRule="auto"/>
        <w:rPr>
          <w:sz w:val="20"/>
          <w:szCs w:val="20"/>
          <w:color w:val="auto"/>
        </w:rPr>
      </w:pPr>
      <w:r>
        <w:rPr>
          <w:rFonts w:ascii="Arial" w:cs="Arial" w:eastAsia="Arial" w:hAnsi="Arial"/>
          <w:sz w:val="16"/>
          <w:szCs w:val="16"/>
          <w:color w:val="auto"/>
        </w:rPr>
        <w:t>Electric utility companies or generators of electricity from other non-solar renewable sources of electricity may successfully lobby for changes in the relevant legislation in their markets that are harmful to the solar industry. Reductions in, or eliminations or expirations of, governmental incentives could result in decreased demand for and lower revenue from solar PV systems, which would adversely affect sales of our products. In addition, our ability to successfully penetrate new geographic markets may depend on new countries adopting and maintaining incentives to promote solar electricity, to the extent such incentives are not currently in place. Additionally, electric utility companies may establish pricing structures or interconnection requirements that are harmful to the solar industry and distributed rooftop solar generation, or to our products, which would adversely affect our sales.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threat of continuing global economic, capital markets and credit disruptions, including sovereign debt issues, pose risks for our business.</w:t>
      </w:r>
    </w:p>
    <w:p>
      <w:pPr>
        <w:spacing w:after="0" w:line="194"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The threat of continuing global economic, capital markets and credit disruptions, including the sovereign debt issues in Europe, pose risks for our business. These risks include slower economic activity and investment in projects that make use of our products and services. These economic developments, particularly decreased credit availability, have reduced demand for solar products. The European sovereign debt crisis has caused and may continue to cause European governments to reduce, eliminate or allow to expire government subsidies and economic incentives for solar energy, which could limit our growth or cause our net sales to decline and materially and adversely affect our business, financial condition, and results of operations. These conditions, including reduced incentives, continued decreases in credit availability, as well as continued economic instability, may adversely impact our business, financial condition and results of operations as we seek to do increased business in Europe.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microinverter systems may not achieve broader market acceptance, which would prevent us from increasing our revenue and market share.</w:t>
      </w:r>
    </w:p>
    <w:p>
      <w:pPr>
        <w:spacing w:after="0" w:line="194"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If we fail to achieve broader market acceptance of our products, there would be an adverse impact on our ability to increase our revenue, gain market share and achieve and sustain profitability. Our ability to achieve broader market acceptance for our products will be impacted by a number of factors, including:</w:t>
      </w:r>
    </w:p>
    <w:p>
      <w:pPr>
        <w:spacing w:after="0" w:line="46" w:lineRule="exact"/>
        <w:rPr>
          <w:sz w:val="20"/>
          <w:szCs w:val="20"/>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timely introduce and complete new designs and timely qualify and certify our products;</w:t>
      </w:r>
    </w:p>
    <w:p>
      <w:pPr>
        <w:spacing w:after="0" w:line="90" w:lineRule="exact"/>
        <w:rPr>
          <w:rFonts w:ascii="Arial" w:cs="Arial" w:eastAsia="Arial" w:hAnsi="Arial"/>
          <w:sz w:val="18"/>
          <w:szCs w:val="18"/>
          <w:color w:val="auto"/>
        </w:rPr>
      </w:pPr>
    </w:p>
    <w:p>
      <w:pPr>
        <w:ind w:left="980" w:right="400" w:hanging="486"/>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installers, system owners and solar financing providers will continue to adopt our microinverter systems, which is a relatively new technology with a limited history with respect to reliability and performance;</w:t>
      </w:r>
    </w:p>
    <w:p>
      <w:pPr>
        <w:spacing w:after="0" w:line="35" w:lineRule="exact"/>
        <w:rPr>
          <w:rFonts w:ascii="Arial" w:cs="Arial" w:eastAsia="Arial" w:hAnsi="Arial"/>
          <w:sz w:val="18"/>
          <w:szCs w:val="18"/>
          <w:color w:val="auto"/>
        </w:rPr>
      </w:pPr>
    </w:p>
    <w:p>
      <w:pPr>
        <w:ind w:left="980" w:right="360" w:hanging="486"/>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installers, system owners and solar financing providers will be willing to purchase microinverter systems from us given our limited operating history;</w:t>
      </w:r>
    </w:p>
    <w:p>
      <w:pPr>
        <w:spacing w:after="0" w:line="35" w:lineRule="exact"/>
        <w:rPr>
          <w:rFonts w:ascii="Arial" w:cs="Arial" w:eastAsia="Arial" w:hAnsi="Arial"/>
          <w:sz w:val="18"/>
          <w:szCs w:val="18"/>
          <w:color w:val="auto"/>
        </w:rPr>
      </w:pPr>
    </w:p>
    <w:p>
      <w:pPr>
        <w:ind w:left="980" w:right="260" w:hanging="486"/>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prospective system owners to obtain long-term financing for solar PV installations based on our product platform on acceptable terms or at all;</w:t>
      </w:r>
    </w:p>
    <w:p>
      <w:pPr>
        <w:spacing w:after="0" w:line="35" w:lineRule="exact"/>
        <w:rPr>
          <w:rFonts w:ascii="Arial" w:cs="Arial" w:eastAsia="Arial" w:hAnsi="Arial"/>
          <w:sz w:val="18"/>
          <w:szCs w:val="18"/>
          <w:color w:val="auto"/>
        </w:rPr>
      </w:pPr>
    </w:p>
    <w:p>
      <w:pPr>
        <w:ind w:left="980" w:right="680" w:hanging="486"/>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produce microinverter systems that compete favorably against other solutions on the basis of price, quality, reliability and performance;</w:t>
      </w:r>
    </w:p>
    <w:p>
      <w:pPr>
        <w:spacing w:after="0" w:line="35" w:lineRule="exact"/>
        <w:rPr>
          <w:rFonts w:ascii="Arial" w:cs="Arial" w:eastAsia="Arial" w:hAnsi="Arial"/>
          <w:sz w:val="18"/>
          <w:szCs w:val="18"/>
          <w:color w:val="auto"/>
        </w:rPr>
      </w:pPr>
    </w:p>
    <w:p>
      <w:pPr>
        <w:ind w:left="980" w:right="400" w:hanging="486"/>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develop products that comply with local standards and regulatory requirements, as well as potential in-country manufacturing requirements; and</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develop and maintain successful relationships with our customers and suppliers.</w:t>
      </w:r>
    </w:p>
    <w:p>
      <w:pPr>
        <w:spacing w:after="0" w:line="18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In addition, our ability to achieve increased market share will depend on our ability to increase sales to established solar installers, who have traditionally sold central inverters. These installers often have made substantial investments in design, installation resources and training in traditional central inverter systems, which may create challenges for us to achieve their adoption of our microinverter systems.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gross profit may fluctuate over time, which could impair our ability to achieve or maintain profitability.</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Our gross profit has varied in the past and is likely to continue to vary significantly from period to period. Our gross profit may be adversely affected by numerous factors, some of which are beyond our control, including:</w:t>
      </w:r>
    </w:p>
    <w:p>
      <w:pPr>
        <w:spacing w:after="0" w:line="35" w:lineRule="exact"/>
        <w:rPr>
          <w:sz w:val="20"/>
          <w:szCs w:val="20"/>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customer, geographic or product mix;</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price competition, including the impact of customer discounts and rebates; ability to reduce and control product costs;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warranty costs and reserves;</w:t>
      </w:r>
    </w:p>
    <w:p>
      <w:pPr>
        <w:spacing w:after="0" w:line="90"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cost savings due to changes in component or raw material pricing or charges incurred due to inventory holding periods if product demand is not correctly anticipated;</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introduction of new products;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ordering patterns from our distributors;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 reductions on older products to sell remaining inventory;</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reduce production costs, such as through technology innovations, in order to offset price declines in older products over time;</w:t>
      </w:r>
    </w:p>
    <w:p>
      <w:pPr>
        <w:spacing w:after="0" w:line="101" w:lineRule="exact"/>
        <w:rPr>
          <w:rFonts w:ascii="Arial" w:cs="Arial" w:eastAsia="Arial" w:hAnsi="Arial"/>
          <w:sz w:val="17"/>
          <w:szCs w:val="17"/>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shipment volume;</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distribution channels;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excess and obsolete inventory and inventory holding charges; and</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expediting costs incurred to meet customer delivery requirements.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Fluctuations in gross profit may adversely affect our ability to manage our business or achieve or maintain profitability.</w:t>
      </w:r>
    </w:p>
    <w:p>
      <w:pPr>
        <w:spacing w:after="0" w:line="17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*The inverter industry is highly competitive and we expect to face increased competition as new and existing competitors introduce microinverter products, which could negatively impact our results of operations and market share.</w:t>
      </w:r>
    </w:p>
    <w:p>
      <w:pPr>
        <w:spacing w:after="0" w:line="116"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To date, we have competed primarily against central inverter manufacturers and until recently have faced little direct competition in selling our microinverter systems. Marketing and selling our microinverter systems against traditional inverter solutions is highly competitive. We expect competition to intensify as new and existing competitors enter the microinverter market and additional add-on components like DC-to-DC optimizers that can be used with central inverters gain traction. We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believe that a number of companies have developed or are developing microinverters and other products that will compete directly with our microinverter systems. SMA Solar Technology AG, Power-One Inc. and SunPower Corp., leading inverter vendors serving the residential and commercial inverter markets, have recently introduced or announced plans to introduce microinverter products in 2013. In addition, several new entrants to the microinverter market have recently announced plans to ship or have already shipped products, including some of our OEM customers and partners.</w:t>
      </w:r>
    </w:p>
    <w:p>
      <w:pPr>
        <w:spacing w:after="0" w:line="100"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Currently, competitors in the inverter market range from large companies such as SMA Solar Technology AG, Fronius International GmbH and Power-One Inc. to emerging companies offering alternative microinverter or other solar electronics products. Some of our competitors have announced plans to introduce microinverter products that could compete with our microinverter systems. Several of our existing and potential competitors are significantly larger, have greater financial, marketing, distribution, customer support and other resources, are more established than we are, and have significantly better brand recognition. Some of our competitors have more resources to develop or acquire, and more experience in developing or acquiring, new products and technologies and in creating market awareness for these products and technologies. Further, certain competitors may be able to develop new products more quickly than we can and may be able to develop products that are more reliable or that provide more functionality than ours. In addition, some of our competitors have the financial resources to offer competitive products at aggressive or below-market pricing levels, which could cause us to lose sales or market share or require us to lower prices for our microinverter systems in order to compete effectively. Suppliers of solar products, particularly solar modules, have experienced eroding prices over the last several years and as a result many have faced margin compression and declining revenues. If we have to reduce our prices by more than we anticipated, or if we are unable to offset any future reductions in our average selling prices by increasing our sales volume, reducing our costs and expenses or introducing new products, our revenues and gross profit would suffer.</w:t>
      </w:r>
    </w:p>
    <w:p>
      <w:pPr>
        <w:spacing w:after="0" w:line="115"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We also may face competition from some of our customers who evaluate our capabilities against the merits of manufacturing products internally. For instance, solar module manufacturers could attempt to develop components that directly perform DC to AC conversion in the module itself. Due to the fact that such customers may not seek to make a profit directly from the manufacture of these products, they may have the ability to manufacture competitive products at a lower cost than we would charge such customers. As a result, these customers may purchase fewer of our microinverter systems or sell products that compete with our microinverters systems, which would negatively impact our revenue and gross profit.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manage our growth, our business and operating results may suffer.</w:t>
      </w:r>
    </w:p>
    <w:p>
      <w:pPr>
        <w:spacing w:after="0" w:line="171" w:lineRule="exact"/>
        <w:rPr>
          <w:sz w:val="20"/>
          <w:szCs w:val="20"/>
          <w:color w:val="auto"/>
        </w:rPr>
      </w:pPr>
    </w:p>
    <w:p>
      <w:pPr>
        <w:jc w:val="both"/>
        <w:ind w:right="200" w:firstLine="432"/>
        <w:spacing w:after="0" w:line="334" w:lineRule="auto"/>
        <w:rPr>
          <w:sz w:val="20"/>
          <w:szCs w:val="20"/>
          <w:color w:val="auto"/>
        </w:rPr>
      </w:pPr>
      <w:r>
        <w:rPr>
          <w:rFonts w:ascii="Arial" w:cs="Arial" w:eastAsia="Arial" w:hAnsi="Arial"/>
          <w:sz w:val="16"/>
          <w:szCs w:val="16"/>
          <w:color w:val="auto"/>
        </w:rPr>
        <w:t>We have recently experienced, and expect to continue to experience, significant growth in our sales and operations. Our historical growth has placed, and planned future growth is expected to continue to place, significant demands on our management, as well as our financial and operational resources, to:</w:t>
      </w:r>
    </w:p>
    <w:p>
      <w:pPr>
        <w:spacing w:after="0" w:line="1" w:lineRule="exact"/>
        <w:rPr>
          <w:sz w:val="20"/>
          <w:szCs w:val="20"/>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 a larger organization;</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 third-party manufacturing, testing and distribution capacity;</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build additional custom manufacturing test equipment;</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 an increasing number of relationships with customers, suppliers and other third parties;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our sales and marketing efforts;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train and manage a growing employee base;</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broaden our customer support capabilities;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implement new and upgrade existing operational and financial systems; and</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enhance our financial disclosure controls and procedures.</w:t>
      </w:r>
    </w:p>
    <w:p>
      <w:pPr>
        <w:spacing w:after="0" w:line="171" w:lineRule="exact"/>
        <w:rPr>
          <w:sz w:val="20"/>
          <w:szCs w:val="20"/>
          <w:color w:val="auto"/>
        </w:rPr>
      </w:pPr>
    </w:p>
    <w:p>
      <w:pPr>
        <w:ind w:right="220" w:firstLine="432"/>
        <w:spacing w:after="0" w:line="312" w:lineRule="auto"/>
        <w:rPr>
          <w:sz w:val="20"/>
          <w:szCs w:val="20"/>
          <w:color w:val="auto"/>
        </w:rPr>
      </w:pPr>
      <w:r>
        <w:rPr>
          <w:rFonts w:ascii="Arial" w:cs="Arial" w:eastAsia="Arial" w:hAnsi="Arial"/>
          <w:sz w:val="16"/>
          <w:szCs w:val="16"/>
          <w:color w:val="auto"/>
        </w:rPr>
        <w:t>We cannot assure you that our current and planned operations, personnel, systems, internal procedures and controls will be adequate to support our future growth. If we cannot manage our growth effectively, we may be unable to take advantage of market opportunities, execute our business strategies or respond to competitive pressures, any of which could have a material adverse effect on our financial condition, results of operation, business or prospects.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recent and planned expansion into new markets could subject us to additional business, financial and competitive risks.</w:t>
      </w:r>
    </w:p>
    <w:p>
      <w:pPr>
        <w:spacing w:after="0" w:line="17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currently offer microinverter systems targeting the residential and commercial markets in the U.S., Canada, France, Italy, the United Kingdom, the Benelux region, certain other select European markets and Australia. We also intend to expand into other international markets and to introduce new microinverter systems targeted at larger commercial and utility-scale installations. Our success in these new geographic and product markets will depend on a number of factors, such as:</w:t>
      </w:r>
    </w:p>
    <w:p>
      <w:pPr>
        <w:spacing w:after="0" w:line="52" w:lineRule="exact"/>
        <w:rPr>
          <w:sz w:val="20"/>
          <w:szCs w:val="20"/>
          <w:color w:val="auto"/>
        </w:rPr>
      </w:pPr>
    </w:p>
    <w:p>
      <w:pPr>
        <w:ind w:left="5620" w:right="4100" w:hanging="5126"/>
        <w:spacing w:after="0" w:line="559" w:lineRule="auto"/>
        <w:tabs>
          <w:tab w:leader="none" w:pos="977"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acceptance of microinverters in markets in which they have not traditionally been used; 24</w:t>
      </w:r>
    </w:p>
    <w:p>
      <w:pPr>
        <w:sectPr>
          <w:pgSz w:w="11900" w:h="16838" w:orient="portrait"/>
          <w:cols w:equalWidth="0" w:num="1">
            <w:col w:w="11380"/>
          </w:cols>
          <w:pgMar w:left="240" w:top="125" w:right="27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compete in new product markets to which we are not accustomed;</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manage an increasing manufacturing capacity and production;</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willingness of our potential customers to incur a higher upfront capital investment than may be required for competing solutions;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develop solutions to address the requirements of the larger commercial and utility-scale markets;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timely qualification and certification of new products for larger commercial and utility-scale installations;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reduce production costs in order to price our products competitively over time;</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availability of government subsidies and economic incentives for solar energy solutions;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accurate forecasting and effective management of inventory levels in line with anticipated product demand; and</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customer service capabilities and responsiveness.</w:t>
      </w:r>
    </w:p>
    <w:p>
      <w:pPr>
        <w:spacing w:after="0" w:line="171" w:lineRule="exact"/>
        <w:rPr>
          <w:sz w:val="20"/>
          <w:szCs w:val="20"/>
          <w:color w:val="auto"/>
        </w:rPr>
      </w:pPr>
    </w:p>
    <w:p>
      <w:pPr>
        <w:ind w:right="340" w:firstLine="432"/>
        <w:spacing w:after="0" w:line="334" w:lineRule="auto"/>
        <w:rPr>
          <w:sz w:val="20"/>
          <w:szCs w:val="20"/>
          <w:color w:val="auto"/>
        </w:rPr>
      </w:pPr>
      <w:r>
        <w:rPr>
          <w:rFonts w:ascii="Arial" w:cs="Arial" w:eastAsia="Arial" w:hAnsi="Arial"/>
          <w:sz w:val="16"/>
          <w:szCs w:val="16"/>
          <w:color w:val="auto"/>
        </w:rPr>
        <w:t>Further, new geographic markets and the larger commercial and utility-scale installation markets have different characteristics from the markets in which we currently sell products, and our success will depend on our ability to properly address these differences. These differences may include:</w:t>
      </w:r>
    </w:p>
    <w:p>
      <w:pPr>
        <w:spacing w:after="0" w:line="1" w:lineRule="exact"/>
        <w:rPr>
          <w:sz w:val="20"/>
          <w:szCs w:val="20"/>
          <w:color w:val="auto"/>
        </w:rPr>
      </w:pPr>
    </w:p>
    <w:p>
      <w:pPr>
        <w:ind w:left="980" w:hanging="486"/>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differing regulatory requirements, including tax laws, trade laws, labor, safety, local content and consumer protection regulations, tariffs, export quotas, customs duties or other trade restrictions;</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limited or unfavorable intellectual property protection;</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 of change in international political or economic conditions;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the repatriation of earnings;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the value of foreign currencies and interest rates;</w:t>
      </w:r>
    </w:p>
    <w:p>
      <w:pPr>
        <w:spacing w:after="0" w:line="90" w:lineRule="exact"/>
        <w:rPr>
          <w:rFonts w:ascii="Arial" w:cs="Arial" w:eastAsia="Arial" w:hAnsi="Arial"/>
          <w:sz w:val="18"/>
          <w:szCs w:val="18"/>
          <w:color w:val="auto"/>
        </w:rPr>
      </w:pPr>
    </w:p>
    <w:p>
      <w:pPr>
        <w:ind w:left="980" w:right="40" w:hanging="486"/>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potentially longer sales cycles;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volume requirements;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customer concentrations;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warranty expectations and product return policies; and</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 performance and compatibility requirements.</w:t>
      </w:r>
    </w:p>
    <w:p>
      <w:pPr>
        <w:spacing w:after="0" w:line="171"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Failure to develop and introduce these new products successfully, to generate sufficient revenue from these products to offset associated research and development, marketing and manufacturing costs, or to otherwise effectively anticipate and manage the risks and challenges associated with our potential expansion into new product and geographic markets, could adversely affect our revenues and our ability to achieve or sustain profitability.</w:t>
      </w:r>
    </w:p>
    <w:p>
      <w:pPr>
        <w:spacing w:after="0" w:line="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 drop in the retail price of electricity derived from the utility grid or from alternative energy sources may harm our business, financial condition and results of operations.</w:t>
      </w:r>
    </w:p>
    <w:p>
      <w:pPr>
        <w:spacing w:after="0" w:line="116" w:lineRule="exact"/>
        <w:rPr>
          <w:sz w:val="20"/>
          <w:szCs w:val="20"/>
          <w:color w:val="auto"/>
        </w:rPr>
      </w:pPr>
    </w:p>
    <w:p>
      <w:pPr>
        <w:ind w:right="60" w:firstLine="432"/>
        <w:spacing w:after="0" w:line="287" w:lineRule="auto"/>
        <w:rPr>
          <w:sz w:val="20"/>
          <w:szCs w:val="20"/>
          <w:color w:val="auto"/>
        </w:rPr>
      </w:pPr>
      <w:r>
        <w:rPr>
          <w:rFonts w:ascii="Arial" w:cs="Arial" w:eastAsia="Arial" w:hAnsi="Arial"/>
          <w:sz w:val="16"/>
          <w:szCs w:val="16"/>
          <w:color w:val="auto"/>
        </w:rPr>
        <w:t>We believe that a system owner's decision to purchase a solar PV system is strongly influenced by the cost of electricity generated by solar PV installations relative to the retail price of electricity from the utility grid and the cost of other renewable energy sources, including electricity from solar PV installations using central inverters. Decreases in the retail prices of electricity from the utility grid would make it more difficult for all solar PV systems to compete. In particular, growth in unconventional natural gas production and an increase in global liquefied natural gas capacity are expected to keep natural gas prices relatively low for the foreseeable future. Persistent low natural gas prices, lower prices of electricity produced from other energy sources, such as nuclear power, or improvements to the utility infrastructure could reduce the retail price of electricity from the utility grid, making the purchase of solar PV systems less economically attractive and lowering sales of our microinverter systems. In addition, energy conservation technologies and public initiatives to reduce demand for electricity also could cause a fall in the retail price of electricity from the utility grid. Moreover, technological developments by our competitors in the solar components industry, including manufacturers of central inverters, could allow these competitors or their partners to offer electricity at costs lower than those that can be achieved from solar PV installations based on our product platform, which could result in reduced demand for our products. If the cost of electricity generated by solar PV installations incorporating our microinverter systems is high relative to the cost of electricity from other sources, our business, financial condition and results of operations may be harmed.</w:t>
      </w:r>
    </w:p>
    <w:p>
      <w:pPr>
        <w:spacing w:after="0" w:line="1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20"/>
          </w:cols>
          <w:pgMar w:left="24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Problems with product quality or product performance may cause us to continue to incur additional warranty expenses and may damage our market reputation and cause our revenue and gross profit to decline.</w:t>
      </w:r>
    </w:p>
    <w:p>
      <w:pPr>
        <w:spacing w:after="0" w:line="11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have offered 15-year limited warranties for our first and second generation microinverters and offer a limited warranty of up to 25 years on our third and fourth generation microinverters. Our limited warranties cover defects in materials and workmanship of our microinverters under normal use and service conditions for up to 25 years following installation. As a result, we bear the risk of warranty claims long after we have sold the product and recognized revenue. Our estimated costs of warranty for previously sold products may change to the extent future products are not compatible with earlier generation products under warranty.</w:t>
      </w:r>
    </w:p>
    <w:p>
      <w:pPr>
        <w:spacing w:after="0" w:line="134"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While we offer warranties of up to 25 years, our microinverters have only been in use since mid-2008, when we first commenced commercial sales of our products. Although we conduct accelerated life cycle testing to measure performance and reliability, our microinverter systems have not been tested over the full warranty cycle and do not have a sufficient operating history to confirm how they will perform over their estimated useful life. In addition, under real-world operating conditions, which may vary by location and design, as well as insolation, soiling and weather conditions, a typical solar PV installation may perform in a different way than under standard test conditions. If our products perform below expectations or have unexpected reliability problems, we may be unable to gain or retain customers and could face substantial warranty expense.</w:t>
      </w:r>
    </w:p>
    <w:p>
      <w:pPr>
        <w:spacing w:after="0" w:line="124" w:lineRule="exact"/>
        <w:rPr>
          <w:sz w:val="20"/>
          <w:szCs w:val="20"/>
          <w:color w:val="auto"/>
        </w:rPr>
      </w:pPr>
    </w:p>
    <w:p>
      <w:pPr>
        <w:ind w:right="160" w:firstLine="432"/>
        <w:spacing w:after="0" w:line="273" w:lineRule="auto"/>
        <w:rPr>
          <w:sz w:val="20"/>
          <w:szCs w:val="20"/>
          <w:color w:val="auto"/>
        </w:rPr>
      </w:pPr>
      <w:r>
        <w:rPr>
          <w:rFonts w:ascii="Arial" w:cs="Arial" w:eastAsia="Arial" w:hAnsi="Arial"/>
          <w:sz w:val="17"/>
          <w:szCs w:val="17"/>
          <w:color w:val="auto"/>
        </w:rPr>
        <w:t>Because of the limited operating history of our products, we have been required to make assumptions and apply judgments, based on our accelerated life cycle testing, regarding a number of factors, including the durability and reliability of our products and our anticipated rate of warranty claims. Our assumptions could prove to be materially different from the actual performance of our products, causing us to incur substantial expense to repair or replace defective products in the future. An increase in our estimates of future warranty obligations due to product failure rates, field service obligations and rework costs incurred in correcting product failures have caused and could in the future cause us to increase the amount of warranty obligations and have had and may have in the future a corresponding negative impact on our results of operations.</w:t>
      </w:r>
    </w:p>
    <w:p>
      <w:pPr>
        <w:spacing w:after="0" w:line="124" w:lineRule="exact"/>
        <w:rPr>
          <w:sz w:val="20"/>
          <w:szCs w:val="20"/>
          <w:color w:val="auto"/>
        </w:rPr>
      </w:pPr>
    </w:p>
    <w:p>
      <w:pPr>
        <w:jc w:val="both"/>
        <w:ind w:right="120" w:firstLine="432"/>
        <w:spacing w:after="0" w:line="312" w:lineRule="auto"/>
        <w:rPr>
          <w:sz w:val="20"/>
          <w:szCs w:val="20"/>
          <w:color w:val="auto"/>
        </w:rPr>
      </w:pPr>
      <w:r>
        <w:rPr>
          <w:rFonts w:ascii="Arial" w:cs="Arial" w:eastAsia="Arial" w:hAnsi="Arial"/>
          <w:sz w:val="16"/>
          <w:szCs w:val="16"/>
          <w:color w:val="auto"/>
        </w:rPr>
        <w:t>We also depend significantly on our reputation for reliability and high-quality products and services, exceptional customer service and our brand name to attract new customers and grow our business. If our products and services do not perform as anticipated or we experience unexpected reliability problems or widespread product failures, our brand and reputation could be significantly impaired and we may lose, or be unable to gain or retain, customers.</w:t>
      </w:r>
    </w:p>
    <w:p>
      <w:pPr>
        <w:spacing w:after="0" w:line="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do not forecast demand for our products accurately, we may experience product shortages, delays in product shipment, excess product inventory, or difficulties in planning expenses, which will adversely affect our business and financial condition.</w:t>
      </w:r>
    </w:p>
    <w:p>
      <w:pPr>
        <w:spacing w:after="0" w:line="116"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We manufacture our products according to our estimates of customer demand. This process requires us to make multiple forecasts and assumptions relating to the demand of our distributors, their end customers and general market conditions. Because we sell most of our products to distributors, who in turn sell to their end customers, we have limited visibility as to end-customer demand. We depend significantly on our distributors to provide us visibility into their end-customer demand, and we use these forecasts to make our own forecasts and planning decisions. If the information from our distributors turns out to be incorrect, then our own forecasts may also be inaccurate. Furthermore, we do not have long-term purchase commitments from our distributors or end customers, and our sales are generally made by purchase orders that may be canceled, changed or deferred without notice to us or penalty. As a result, it is difficult to forecast future customer demand to plan our operations.</w:t>
      </w:r>
    </w:p>
    <w:p>
      <w:pPr>
        <w:spacing w:after="0" w:line="12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If we overestimate demand for our products, or if purchase orders are canceled or shipments are delayed, we may have excess inventory that we cannot sell. We may have to make significant provisions for inventory write-downs based on events that are currently not known, and such provisions or any adjustments to such provisions could be material. Conversely, if we underestimate demand, we may not have sufficient inventory to meet end-customer demand, and we may lose market share, damage relationships with our distributors and end customers and forgo potential revenue opportunities. Obtaining additional supply in the face of product shortages may be costly or impossible, particularly in the short term and in light of our outsourced manufacturing processes, which could prevent us from fulfilling orders in a timely and cost efficient manner or at all. In addition, if we overestimate our production requirements, our contract manufacturers may purchase excess components and build excess inventory. If our contract manufacturers, at our request, purchase excess components that are unique to our products and are unable to recoup the costs of such excess through resale or return or build excess products, we could be required to pay for these excess parts or products and recognize related inventory write-downs.</w:t>
      </w:r>
    </w:p>
    <w:p>
      <w:pPr>
        <w:spacing w:after="0" w:line="128" w:lineRule="exact"/>
        <w:rPr>
          <w:sz w:val="20"/>
          <w:szCs w:val="20"/>
          <w:color w:val="auto"/>
        </w:rPr>
      </w:pPr>
    </w:p>
    <w:p>
      <w:pPr>
        <w:jc w:val="both"/>
        <w:ind w:right="440" w:firstLine="432"/>
        <w:spacing w:after="0" w:line="286" w:lineRule="auto"/>
        <w:rPr>
          <w:sz w:val="20"/>
          <w:szCs w:val="20"/>
          <w:color w:val="auto"/>
        </w:rPr>
      </w:pPr>
      <w:r>
        <w:rPr>
          <w:rFonts w:ascii="Arial" w:cs="Arial" w:eastAsia="Arial" w:hAnsi="Arial"/>
          <w:sz w:val="17"/>
          <w:szCs w:val="17"/>
          <w:color w:val="auto"/>
        </w:rPr>
        <w:t>In addition, we plan our operating expenses, including research and development expenses, hiring needs and inventory investments, in part on our estimates of customer demand and future revenue. If customer demand or revenue for a particular period is lower than we expect, we may not be able to proportionately reduce our fixed operating expenses for that period, which would harm our operating results for that period.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*Ordering patterns from our distributors may cause our revenue to fluctuate significantly from period to period.</w:t>
      </w:r>
    </w:p>
    <w:p>
      <w:pPr>
        <w:spacing w:after="0" w:line="17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Our distributors place purchase orders with us based on their assessment of end-customer demand and their forecasts. Because these forecasts may not be accurate, channel inventory held at our distributors may fluctuate significantly due to the difference between their forecasts and actual demand. As a result, distributors adjust their purchase orders placed with us in response to changing channel inventory levels, as well as their assessment of the latest market demand trends. We have limited visibility into future end customer demand. A significant decrease in our distributors' channel inventory in one period may lead to a significant rebuilding of channel inventory in subsequent periods, or vice versa, which may cause our quarterly revenue and operating results to fluctuate significantly. This fluctuation may cause our results to fall short of analyst or investor expectations in a certain period, which may cause our stock price to decline.</w:t>
      </w:r>
    </w:p>
    <w:p>
      <w:pPr>
        <w:spacing w:after="0" w:line="13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*Changes in current laws or regulations or the imposition of new laws or regulations, or new interpretations thereof, by federal or state agencies or foreign governments could impair our ability to compete in international markets.</w:t>
      </w:r>
    </w:p>
    <w:p>
      <w:pPr>
        <w:spacing w:after="0" w:line="116"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Changes in current laws or regulations applicable to us or the imposition of new laws and regulations in the United States or other jurisdictions in which we do business, such as Canada, France, Italy, the United Kingdom, the Benelux region and China, could materially and adversely affect our business, financial condition and results of operations. In addition, changes in our products or changes in export and import laws and implementing regulations may create delays in the introduction of new products in international markets, prevent our customers from deploying our products internationally or, in some cases, prevent the export or import of our products to certain countries altogether.</w:t>
      </w:r>
    </w:p>
    <w:p>
      <w:pPr>
        <w:spacing w:after="0" w:line="119"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For example, the Italian energy authority (AEEG) recently enacted a new set of interconnection standards for solar energy installations, which took effect in July 2012. We are currently developing a solution to meet these requirements. However, in the event that we cannot implement our intended solution in the near term the total market available for our microinverter products in Italy, and our business as a result, may be adversely impacted.</w:t>
      </w:r>
    </w:p>
    <w:p>
      <w:pPr>
        <w:spacing w:after="0" w:line="9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addition, several states, including Louisiana and California, have either implemented or are considering implementing new restrictions on incentives or rule regulating the installation of solar systems that we may not be able to currently comply with. In the event that we cannot comply with these or other new regulations or implement a solution to such noncompliance as they arise, the total market available for our microinverter products in such states, and our business as a result, may be adversely impacted.</w:t>
      </w:r>
    </w:p>
    <w:p>
      <w:pPr>
        <w:spacing w:after="0" w:line="133"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While we are not aware of any other current or proposed export or import regulations which would materially restrict our ability to sell our products in countries where we offer our products for sale, any change in export or import regulations or related legislation, shift in approach to the enforcement or scope of existing regulations,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3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depend upon a small number of outside contract manufacturers. Our operations could be disrupted if we encounter problems with these contract manufacturers.</w:t>
      </w:r>
    </w:p>
    <w:p>
      <w:pPr>
        <w:spacing w:after="0" w:line="116"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do not have internal manufacturing capabilities, and rely upon a small number of contract manufacturers to build our products. In particular, we rely on contract manufacturers for the manufacture of microinverter products, cabling and our communications gateway related to our microinverter systems. Our reliance on a small number of contract manufacturers makes us vulnerable to possible capacity constraints and reduced control over component availability, delivery schedules, manufacturing yields and costs. We do not have long-term supply contracts with our other manufacturing partners. Consequently, these manufacturers are not obligated to supply products to us for any period, in any specified quantity or at any certain price.</w:t>
      </w:r>
    </w:p>
    <w:p>
      <w:pPr>
        <w:spacing w:after="0" w:line="11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revenues that our contract manufacturers generate from our orders represent a relatively small percentage of their overall revenues. As a result, fulfilling our orders may not be considered a priority in the event of constrained ability to fulfill all of their customer obligations in a timely manner. In addition, the facilities in which our microinverters, related cabling and communications gateway products are manufactured are located outside of the United States. We believe that the location of these facilities outside of the United States increases supply risk, including the risk of supply interruptions or reductions in manufacturing quality or controls.</w:t>
      </w:r>
    </w:p>
    <w:p>
      <w:pPr>
        <w:spacing w:after="0" w:line="134"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If any of our contract manufacturers were unable or unwilling to manufacture our products in required volumes and at high quality levels or renew existing terms under supply agreements, we would have to identify, qualify and select acceptable alternative contract manufacturers. An alternative contract manufacturer may not be available to us when needed or may not be in a position to satisfy our quality or production requirements on commercially reasonable terms, including price. Any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significant interruption in manufacturing would require us to reduce our supply of products to our customers, which in turn would reduce our revenues, harm our relationships with our customers and damage our relationships with our distributors and end customers and cause us to forgo potential revenue opportunities.</w:t>
      </w:r>
    </w:p>
    <w:p>
      <w:pPr>
        <w:spacing w:after="0" w:line="12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Manufacturing problems could result in delays in product shipments to customers and could adversely affect our revenue, competitive position and reputation.</w:t>
      </w:r>
    </w:p>
    <w:p>
      <w:pPr>
        <w:spacing w:after="0" w:line="116"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We may experience delays, disruptions or quality control problems in our manufacturing operations. Our product development, manufacturing and testing processes are complex and require significant technological and production process expertise. Such processes involve a number of precise steps from design to production. 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 expand our capacity. In addition, our failure to maintain appropriate quality assurance processes could result in increased product failures, loss of customers, increased production costs and delays. Any of these developments could have a material adverse effect on our business, financial condition, and results of operations.</w:t>
      </w:r>
    </w:p>
    <w:p>
      <w:pPr>
        <w:spacing w:after="0" w:line="12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 disruption could also occur in our manufacturing partner's fabrication facility due to any number of reasons, such as equipment failure, contaminated materials or process deviations, which could adversely impact manufacturing yields or delay product shipments. As a result, we could incur additional costs that would adversely affect our gross profit, and product shipments to our customers could be delayed beyond the shipment schedules requested by our customers, which would negatively affect our revenue, competitive position and reputation.</w:t>
      </w:r>
    </w:p>
    <w:p>
      <w:pPr>
        <w:spacing w:after="0" w:line="133"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Additionally, manufacturing yields depend on a number of factors, including the stability and manufacturability of the product design, manufacturing improvements gained over cumulative production volumes and the quality and consistency of component parts. Capacity constraints, raw materials shortages, logistics issues, labor shortages, changes in customer requirements, manufacturing facilities or processes, or those of some third-party contract manufacturers and suppliers of raw materials and components have historically caused, and may in the future cause, reduced manufacturing yields, negatively impacting the gross profit on, and our production capacity for, those products. Moreover, an increase in the rejection and rework rate of products during the quality control process before, during or after manufacture would result in our experiencing lower yields, gross profit and production capacity.</w:t>
      </w:r>
    </w:p>
    <w:p>
      <w:pPr>
        <w:spacing w:after="0" w:line="111"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The risks of these types of manufacturing problems are further increased during the introduction of new product lines, which has from time to time caused, and may in the future cause, temporary suspension of production lines while problems are addressed or corrected. Since our business is substantially dependent on a limited number of product lines, any prolonged or substantial suspension of manufacturing production lines could result in a material adverse effect on our revenue, gross profit, competitive position, and distributor and customer relationships.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depend on sole source and limited source suppliers for key components and products. If we are unable to source these components on a timely basis, we will not be able to deliver our products to our customers.</w:t>
      </w:r>
    </w:p>
    <w:p>
      <w:pPr>
        <w:spacing w:after="0" w:line="116"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depend on sole source and limited source suppliers for key components of our products. For example, our ASICs are purchased from a sole source supplier or developed for us by sole source suppliers. Any of the sole source and limited source suppliers upon whom we rely could experience quality and reliability issues, could stop producing our components, cease operations or be acquired by, or enter into exclusive arrangements with, our competitors. We generally do not have long-term supply agreements with our suppliers, and our purchase volumes are currently too low for us to be considered a priority customer by most of our suppliers. As a result, most of these suppliers could stop selling to us at commercially reasonable prices, or at all. Any such quality or reliability issue, or interruption or delay may force us to seek similar components or products from alternative sources, which may not be available on commercially reasonable terms, including price, or at all. Switching suppliers may require that we redesign our products to accommodate new components, and may potentially require us to re-qualify our products, which would be costly and time-consuming. Any interruption in the quality or supply of sole source or limited source components for our products would adversely affect our ability to meet scheduled product deliveries to our customers, could result in lost revenue or higher expenses and would harm our business.</w:t>
      </w:r>
    </w:p>
    <w:p>
      <w:pPr>
        <w:spacing w:after="0" w:line="12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we or our contract manufacturers are unable to obtain raw materials in a timely manner or if the price of raw materials increases significantly, production time and product costs could increase, which may adversely affect our business.</w:t>
      </w:r>
    </w:p>
    <w:p>
      <w:pPr>
        <w:spacing w:after="0" w:line="116"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The manufacturing and packaging processes used by our contract manufacturers depend on raw materials such as copper, aluminum, silicon and petroleum-based products. From time to time, suppliers may extend lead times, limit supplies or increase prices due to capacity constraints or other factors. Certain of our suppliers have the ability to pass along to us directly or through our contract manufacturers any increases in the price of raw materials. If the prices of these raw materials rise significantly, we may be unable to pass on the increased cost to our customers. While we may from time to time enter into</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25" w:right="27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hedging transactions to reduce our exposure to wide fluctuations in the cost of raw materials, the availability and effectiveness of these hedging transactions may be limited. Due to all these factors, our results of operations could be adversely affected if we or our contract manufacturers are unable to obtain adequate supplies of raw materials in a timely manner or at reasonable cost. In addition, from time to time, we or our contract manufacturers may need to reject raw materials that do not meet our specifications, resulting in potential delays or declines in output. Furthermore, problems with our raw materials may give rise to compatibility or performance issues in our products, which could lead to an increase in customer returns or product warranty claims. Errors or defects may arise from raw materials supplied by third parties that are beyond our detection or control, which could lead to additional customer returns or product warranty claims that may adversely affect our business and results of operations.</w:t>
      </w:r>
    </w:p>
    <w:p>
      <w:pPr>
        <w:spacing w:after="0" w:line="12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potential owners of solar PV systems based on our product platform are unable to secure financing on acceptable terms, we could experience a reduction in the demand for our solar PV systems.</w:t>
      </w:r>
    </w:p>
    <w:p>
      <w:pPr>
        <w:spacing w:after="0" w:line="116"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Many owners of solar PV systems depend on financing to purchase their systems. The limited use of microinverters to date, coupled with our limited operating history, could result in lenders refusing to provide the financing necessary to purchase solar PV systems based on our product platform on favorable terms, or at all. Moreover, in the case of debt financed projects, even if lenders are willing to finance the purchase of these systems, an increase in interest rates or a change in tax incentives could make it difficult for owners to secure the financing necessary to purchase a solar PV system on favorable terms, or at all. In addition, we believe that a significant percentage of owners purchase solar PV systems as an investment, funding the initial capital expenditure through a combination of upfront cash and financing. Difficulties in obtaining financing for solar PV installations on favorable terms, or increases in interest rates or changes in tax incentives, could lower an investor's return on investment in a solar PV installation, or make alternative solar PV systems or other investments more attractive relative to solar PV systems based on our product platform. Any of these events could result in reduced demand for our products, which could have a material adverse effect on our financial condition and results of operations. In addition, an increasing share of residential solar installations has been provided through third party financing structures, such as power purchase or lease agreements. Our sales growth therefore increasingly depends on sales to developers of third party solar finance offerings who provide solar as a service via power purchase agreements or leasing structures. The third party finance market for residential solar in the US and elsewhere is or may become highly concentrated, with a few significant finance companies and several smaller entrants. If we are unable develop relationships and gain a significant share of inverter sales to the major finance companies or new entrants, our overall sales growth will be constrained.</w:t>
      </w:r>
    </w:p>
    <w:p>
      <w:pPr>
        <w:spacing w:after="0" w:line="13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rely primarily on distributors to assist in selling our products, and the failure of these distributors to perform as expected could reduce our future revenue.</w:t>
      </w:r>
    </w:p>
    <w:p>
      <w:pPr>
        <w:spacing w:after="0" w:line="116"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sell our microinverter systems primarily through distributors, as well as through direct sales to solar equipment installers and sales to developers of third party solar finance offerings. For the six months ended June 30, 2013, sales to two distributors, each accounting for more than 10% of our total net revenues, collectively accounted for 25% of our total net revenues. In 2012, sales to two distributors, each accounting for more than 10% of our net revenues, collectively accounted for 27% of our total net revenues. We do not have exclusive arrangements with these third parties and, as a result, many of our distributors also market and sell products from our competitors, which may reduce our sales. Our distributors may terminate their relationships with us at any time, or with short notice. Our distributors may fail to devote resources necessary to sell our products at the prices, in the volumes and within the time frames that we expect, or may focus their marketing and sales efforts on products of our competitors. Our future performance depends on our ability to effectively manage our relationships with our existing distributors, as well as to attract additional distributors that will be able to market and support our products effectively, especially in markets in which we have not previously distributed our products. Termination of agreements with current distributors, failure by these distributors to perform as expected, or failure by us to cultivate new distributor relationships, could hinder our ability to expand our operations and harm our revenue and operating results.</w:t>
      </w:r>
    </w:p>
    <w:p>
      <w:pPr>
        <w:spacing w:after="0" w:line="1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success in an “AC module” version of our microinverter system may depend in part upon our ability to continue to work closely with leading solar module manufacturers.</w:t>
      </w:r>
    </w:p>
    <w:p>
      <w:pPr>
        <w:spacing w:after="0" w:line="11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are currently working on a variant of our microinverter system that will enable an “AC module” for direct attachment of the microinverter to the solar modules. The market success of such solutions will depend in part on our ability to continue to work closely with solar module manufacturers to design solar modules that are compatible with such direct attachment of our microinverter. We may not be able to encourage solar module manufacturers to work with us on the development of such compatible solutions combining our microinverter system and solar modules for a variety of reasons, including differences in marketing or selling strategy, competitive considerations, lack of competitive pricing, and technological compatibility. In addition, our ability to form effective partnerships with solar module manufacturers may be adversely affected by the substantial changes faced by many of these manufacturers due to declining prices and revenues from sales of solar modules.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292"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Our future success and ability to implement our business strategy depends, in part, on our ability to attract and retain key personnel, and on the continued contributions of members of our senior management team and key technical personnel, each of whom would be difficult to replace. All of our employees, including our senior management, are free to terminate their employment relationships with us at any time. Competition for highly skilled technical people is extremely intense, and we face challenges identifying, hiring and retaining qualified personnel in many areas of our business. If we fail to retain our senior management and other key personnel or if we fail to attract additional qualified personnel, we may not be able to achieve our strategic objectives and our business could suffer.</w:t>
      </w:r>
    </w:p>
    <w:p>
      <w:pPr>
        <w:spacing w:after="0" w:line="13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16"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Our success depends to a significant degree on our ability to protect our intellectual property and other proprietary rights. We rely on a combination of patent, trademark, copyright, trade secret and unfair competition laws, as well as confidentiality and license agreements and other contractual provisions, to establish and protect our intellectual property and other proprietary rights. We have applied for patent and trademark registrations in the United States and in certain other countries, some of which have been issued. We cannot guarantee that any of our pending applications will be approved or that our existing and future intellectual property rights will be sufficiently broad to protect our proprietary technology, and any failure to obtain such approvals or finding that our intellectual property rights are invalid or unenforceable could force us to, among other things, rebrand or re-design our affected products. In countries where we have not applied for patent protection or where effective intellectual property protection is not available to the same extent as in the United States, we may be at greater risk that our proprietary rights will be misappropriated, infringed or otherwise violated.</w:t>
      </w:r>
    </w:p>
    <w:p>
      <w:pPr>
        <w:spacing w:after="0" w:line="112"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To protect our unregistered intellectual property, including our trade secrets and know-how, we rely in part on trade secret laws and confidentiality and invention assignment agreements with our employees and independent consultants. We also require other third parties who may have access to our proprietary technologies and information to enter into non-disclosure agreements. Such measures, however, provide only limited protection, and we cannot assure that our confidentiality and non-disclosure agreements will prevent unauthorized disclosure or use of our confidential information, especially after our employees or third parties end their employment or engagement with us, or provide us with an adequate remedy in the event of such disclosure. Furthermore, competitors or other third parties may independently discover our trade secrets, in which case we would not be able to assert trade secret rights, copy or reverse engineer our products or portions thereof or develop similar technology. If we fail to protect our intellectual property and other proprietary rights, or if such intellectual property and proprietary rights are infringed, misappropriated or otherwise violated, our business, results of operations or financial condition could be materially harmed.</w:t>
      </w:r>
    </w:p>
    <w:p>
      <w:pPr>
        <w:spacing w:after="0" w:line="143"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In the future, we may need to take legal action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In addition, we may not prevail in such proceedings. An adverse outcome of any such proceeding may reduce our competitive advantage or otherwise harm our financial condition and our business.</w:t>
      </w:r>
    </w:p>
    <w:p>
      <w:pPr>
        <w:spacing w:after="0" w:line="13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Our competitors and other third parties hold numerous patents related to technology used in our industry, and claims of patent or other intellectual property right infringement or violation have been litigated against certain of our competitors. From time to time we may also be subject to such claims and litigation. Regardless of their merit, responding to such claims can be time consuming, divert management's attention and resources and may cause us to incur significant expenses. While we believe that our products and technology do not infringe in any material respect upon any valid intellectual property rights of third parties, we cannot be certain that we would be successful in defending against any such claims. Furthermore, patent applications in the United States and most other countries are confidential for a period of time before being published, so we cannot be certain that we are not infringing third parties' patent rights or that we were the first to conceive inventions covered by our patents or patent applications. As we become more visible as a publicly traded company, the possibility that third parties may make claims of intellectual property infringement or other violations against us may grow. An adverse outcome with respect to any such claim could invalidate our proprietary rights and force us to do one or more of the following:</w:t>
      </w:r>
    </w:p>
    <w:p>
      <w:pPr>
        <w:spacing w:after="0" w:line="32" w:lineRule="exact"/>
        <w:rPr>
          <w:sz w:val="20"/>
          <w:szCs w:val="20"/>
          <w:color w:val="auto"/>
        </w:rPr>
      </w:pPr>
    </w:p>
    <w:p>
      <w:pPr>
        <w:ind w:left="980" w:right="60" w:hanging="486"/>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from a third party claiming infringement a license to sell or use the relevant technology, which may not be available on reasonable terms, or at all;</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stop manufacturing, selling, incorporating or using our products that embody the asserted intellectual property;</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substantial monetary damages;</w:t>
      </w:r>
    </w:p>
    <w:p>
      <w:pPr>
        <w:spacing w:after="0" w:line="90" w:lineRule="exact"/>
        <w:rPr>
          <w:rFonts w:ascii="Arial" w:cs="Arial" w:eastAsia="Arial" w:hAnsi="Arial"/>
          <w:sz w:val="18"/>
          <w:szCs w:val="18"/>
          <w:color w:val="auto"/>
        </w:rPr>
      </w:pPr>
    </w:p>
    <w:p>
      <w:pPr>
        <w:ind w:left="980" w:right="340" w:hanging="486"/>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customers pursuant to indemnification obligations under some of our customer contracts; or expend significant resources to redesign the products that use the infringing technology and to develop or acquire non-infringing technology.</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failure to obtain the right to use necessary third-party intellectual property rights on reasonable terms, or our failure to maintain, and comply with the terms and conditions applicable to, these rights, could harm our business and prospects.</w:t>
      </w:r>
    </w:p>
    <w:p>
      <w:pPr>
        <w:spacing w:after="0" w:line="116"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From time to time we have licensed, and in the future we may choose to or be required to license, technology or intellectual property from third parties in connection with the development of our products. We cannot assure that such licenses will be available to us on commercially reasonable terms, or at all, and our inability to obtain such licenses could require us to substitute technology of lower quality or of greater cost. In addition, we incorporate open source software code in our proprietary software. Use of open source software can lead to greater risks than use of third-party commercial software since open source licensors generally do not provide warranties or controls with respect to origin, functionality or other features of the software. Some open source software licenses require users who distribute open source software as part of their products to publicly disclose all or part of the source code in their software and make any derivative works of the open source code available for limited fees or at no cost. Although we monitor our use of open source software, open source license terms may be ambiguous, and many of the risks associated with the use of open source software cannot be eliminated. If we were found to have inappropriately used open source software, we may be required to release our proprietary source code, re-engineer our software, discontinue the sale of certain products in the event re-engineering cannot be accomplished on a timely basis or take other remedial action. Furthermore, if we are unable to obtain or maintain licenses from third parties or fail to comply with applicable open source licenses, we may be subject to costly third party claims of intellectual property infringement or ownership of our proprietary source code. Any of the foregoing could harm our business and put us at a competitive disadvantage.</w:t>
      </w:r>
    </w:p>
    <w:p>
      <w:pPr>
        <w:spacing w:after="0" w:line="11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Defects and poor performance in our products could result in loss of customers, decreased revenue and unexpected expenses, and we may face warranty, indemnity and product liability claims arising from defective products.</w:t>
      </w:r>
    </w:p>
    <w:p>
      <w:pPr>
        <w:spacing w:after="0" w:line="116"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Our products must meet stringent quality requirements and may contain undetected errors or defects, especially when first introduced or when new generations are released. Errors, defects or poor performance can arise due to design flaws, defects in raw materials or components or manufacturing difficulties, which can affect both the quality and the yield of the product. These errors or defects may be dangerous, as defective power components may cause power overloads, potentially resulting in explosion or fire. As we develop new generations of our products and enter new markets, we face higher risk of undetected defects, because our testing protocols may not be able to fully test the products under all possible operating conditions. In the past, we have experienced defects in our products due to certain errors in the manufacturing and design process. Any actual or perceived errors, defects or poor performance in our products could result in the replacement or recall of our products, shipment delays, rejection of our products, damage to our reputation, lost revenue, diversion of our engineering personnel from our product development efforts in order to address or remedy any defects and increases in customer service and support costs, all of which could have a material adverse effect on our business and operations.</w:t>
      </w:r>
    </w:p>
    <w:p>
      <w:pPr>
        <w:spacing w:after="0" w:line="113"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Furthermore, defective, inefficient or poorly performing power components may give rise to warranty, indemnity or product liability claims against us that exceed any revenue or profit we receive from the affected products. We could incur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significant costs and liabilities if we are sued and if damages are awarded against us. We currently maintain a moderate level of product liability insurance, and there can be no assurance that this insurance will provide sufficient coverage in the event of a claim. Also, we cannot predict whether we will be able to maintain this coverage on acceptable terms, if at all, or that a product liability claim would not harm our business or financial condition. Costs or payments we may make in connection with warranty and product liability claims or product recalls may adversely affect our financial condition and results of operations.</w:t>
      </w:r>
    </w:p>
    <w:p>
      <w:pPr>
        <w:spacing w:after="0" w:line="134"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color w:val="auto"/>
        </w:rPr>
        <w:t>Our Enlighten web-based monitoring service, which our customers use to track and monitor the performance of their solar PV systems based on our product platform, may contain undetected errors, failures, or bugs, especially when new versions or enhancements are released. We have from time to time found defects in our service and new errors in our existing service may be detected in the future. Any errors, defects, disruptions in service or other performance problems with our monitoring service could harm our reputation and may damage our customers' businesses.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has been and could continue to be affected by seasonal trends and construction cycles.</w:t>
      </w:r>
    </w:p>
    <w:p>
      <w:pPr>
        <w:spacing w:after="0" w:line="171"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We have been and could continue to be subject to industry-specific seasonal fluctuations in the future, particularly in climates that experience colder weather during the winter months, such as northern Europe, Canada, and the United States. In general, we expect our product revenue in the third and fourth quarters to be positively affected by seasonal customer demand trends, including solar economic incentives, weather patterns and construction cycles. In the United States, customers will sometimes make purchasing decisions towards the end of the year in order to take advantage of tax credits or for budgetary reasons. In addition, construction levels are typically slower in colder months. In European countries with FiTs, the construction of solar PV systems may be concentrated during the second half of the calendar year, largely due to the annual reduction of the applicable minimum FiT and the fact that the coldest winter months are January through March. Accordingly, our business and quarterly results of operations could be affected by seasonal fluctuations in the future.</w:t>
      </w:r>
    </w:p>
    <w:p>
      <w:pPr>
        <w:spacing w:after="0" w:line="13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Covenants in our credit facilities may limit our flexibility in responding to business opportunities and competitive developments and increase our vulnerability to adverse economic or industry conditions.</w:t>
      </w:r>
    </w:p>
    <w:p>
      <w:pPr>
        <w:spacing w:after="0" w:line="116"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have lending arrangements with several financial institutions, including loan and security agreements with Wells Fargo Bank, National Association (“Wells Fargo”) and with Hercules Technology Growth Capital, Inc. (“Hercules”). The loan and security agreements with Wells Fargo and with Hercules restrict our ability to take certain actions such as incurring additional debt, encumbering our tangible or intangible property, paying dividends, or engaging in certain transactions, such as mergers and acquisitions, investments and asset sales. Our loan and security agreement with Wells Fargo also requires us to maintain certain financial covenants, including liquidity ratios while our agreement with Hercules includes a condition precedent to borrowing that is subject to us achieving certain financial objectives. These restrictions may limit our flexibility in responding to business opportunities, competitive developments and adverse economic or industry conditions. In addition, our obligations under our loan and security agreements with Wells Fargo and Hercules are secured by substantially all of our assets (excluding intellectual property), which limits our ability to provide collateral for additional financing. A breach of any of these covenants, or a failure to pay interest or indebtedness when due under any of our credit facilities, could result in a variety of adverse consequences, including the acceleration of our indebtedness and the forfeiture of our assets subject to security interests in favor of the lenders.</w:t>
      </w:r>
    </w:p>
    <w:p>
      <w:pPr>
        <w:spacing w:after="0" w:line="11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116"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 but not limited to, not being required to comply with the auditor attestation requirements of Section 404 of the Sarbanes-Oxley Act of 2002, or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until December 31, 2017 (the last day of the fiscal year following the fifth anniversary of our initial public offering), although we could cease to be an “emerging growth company” earlier if certain events occur as specified in the JOBS Act, such as our achieving annual revenue of at least $1 billion or our becoming a “large accelerated filer” as defined in Rule 12b-2 of the Exchange Act. We cannot predict if investors will find our common stock less attractive if we choose to rely on these exemptions. If some investors find our common stock less attractive as a result of any choices to reduce future disclosure, there may be a less active trading market for our common stock and our stock price may be more volatile.</w:t>
      </w:r>
    </w:p>
    <w:p>
      <w:pPr>
        <w:spacing w:after="0" w:line="11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or are unable to remediate any deficiencies in our internal controls, we might not be able to report our financial results accurately or prevent fraud; in that case, our stockholders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125" w:right="27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could lose confidence in our financial reporting, which would harm our business and could negatively impact the price of our stock.</w:t>
      </w:r>
    </w:p>
    <w:p>
      <w:pPr>
        <w:spacing w:after="0" w:line="171"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Effective internal controls are necessary for us to provide reliable financial reports and prevent fraud. In addition, Section 404 of the Sarbanes-Oxley Act of 2002, or the Sarbanes-Oxley Act, requires us to evaluate and report on our internal control over financial reporting beginning with our Annual Report on Form 10-K for the year ending December 31, 2013. In addition, our independent registered public accounting firm is required to evaluate and report on our internal control over financial reporting beginning with our first Annual Report on 10-K for the year in which we cease to be an “emerging growth company,” as defined in the Jumpstart Our Business Startups Act enacted in April 2012, or the JOBS Act. The process of implementing our internal controls and complying with Section 404 will be expensive and time consuming, and will require significant attention of management. We cannot be certain that these measures will ensure that we implement and maintain adequate controls over our financial processes and reporting in the future. Even if we conclude, and our independent registered public accounting firm concurs, that our internal control over financial reporting provides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fraud or misstatements. Failure to implement required new or improved controls, or difficulties encountered in their implementation, could harm our results of operations or cause us to fail to meet our reporting obligations. If we or our independent registered public accounting firm discover a material weakness, the disclosure of that fact, even if quickly remedied, could reduce the market's confidence in our financial statements and harm our stock price. In addition, a delay in compliance with Section 404 could subject us to a variety of administrative sanctions, including SEC action, ineligibility for short form resale registration, the suspension or delisting of our common stock from the stock exchange on which it is listed and the inability of registered broker-dealers to make a market in our common stock, which would further reduce our stock price and could harm our business.</w:t>
      </w:r>
    </w:p>
    <w:p>
      <w:pPr>
        <w:spacing w:after="0" w:line="12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ability to use net operating losses to reduce future tax payments may be limited by provisions of the Internal Revenue Code, and may be subject to further limitation as a result of future transactions.</w:t>
      </w:r>
    </w:p>
    <w:p>
      <w:pPr>
        <w:spacing w:after="0" w:line="116"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Sections 382 and 383 of the Internal Revenue Code of 1986, as amended, contain rules that limit the ability of a company that undergoes an ownership change, which is generally any cumulative change in ownership of more than 50% of its stock over a three-year period, to utilize its net operating loss and tax credit carryforwards and certain built-in losses recognized in the years after the ownership change. These rules generally operate by focusing on ownership changes involving stockholders who directly or indirectly own 5% or more of the stock of a company and any change in ownership arising from a new issuance of stock by the company. Generally, if an ownership change occurs, the yearly taxable income limitation on the use of net operating loss and tax credit carryforwards is equal to the product of the applicable long-term tax exempt rate and the value of the company's stock immediately before the ownership change. As a result, we may be unable to offset our taxable income with net operating losses, or our tax liability with credits, before these losses and credits expire.</w:t>
      </w:r>
    </w:p>
    <w:p>
      <w:pPr>
        <w:spacing w:after="0" w:line="138"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In addition, it is possible that future transactions (including issuances of new shares of our common stock and sales of shares of our common stock) will cause us to undergo one or more additional ownership changes. In that event, we generally would not be able to use our net operating losses from periods prior to this ownership change to offset future taxable income in excess of the annual limitations imposed by Sections 382 and 383 and those attributes that are already subject to limitations (as a result of our prior ownership changes) may be subject to more stringent limitations.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requirements of being a public company may strain our resources and divert management's attention from other aspects of our business.</w:t>
      </w:r>
    </w:p>
    <w:p>
      <w:pPr>
        <w:spacing w:after="0" w:line="194"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are subject to a wide variety of rules and regulations as a public reporting company. The Dodd-Frank Wall Street Reform and Consumer Protection Act, or the Dodd-Frank Act, the Sarbanes-Oxley Act and the rules implemented by the SEC and the NASDAQ Global Market impose significant regulatory requirements on public companies, including specific corporate governance practices. For example, the listing requirements of the NASDAQ Global Market require that we satisfy certain corporate governance requirements relating to independent directors, audit and compensation committees, distribution of annual and interim reports, stockholder meetings, stockholder approvals, solicitation of proxies, conflicts of interest, stockholder voting rights and codes of conduct. Our management and other personnel are required to devote a substantial amount of time to these compliance initiatives. Moreover, these rules and regulations increase our legal and financial compliance costs and make some activities more time-consuming and costly. As a public company, being subject to these rules and regulations makes it more difficult and more expensive for us to obtain director and officer liability insurance, and in the future, we may be required to accept reduced policy limits and coverage or incur substantial additional costs to maintain the same or similar coverage. These rules and regulations could also make it more difficult for us to attract and retain qualified persons to serve on our board of directors, our board committees or as executive officers.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These rules and regulations also contain requirements that apply to manufacturers of products incorporating specified minerals. The Dodd-Frank Act requires public companies to report on their use of so-called conflict minerals originating from the Democratic Republic of Congo or its nine immediate neighbors. Certain minerals commonly used in semiconductors are on the list of conflict minerals, and additional minerals may be added to the list in the future. Compliance with these rules, which will require us to disclose our use of these minerals and to obtain an annual audit of our sourcing and the chain of custody of these minerals, will be time-consuming and costly.</w:t>
      </w:r>
    </w:p>
    <w:p>
      <w:pPr>
        <w:spacing w:after="0" w:line="13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not be able to raise additional capital to execute on our current or future business opportunities on favorable terms, if at all, or without dilution to our stockholders.</w:t>
      </w:r>
    </w:p>
    <w:p>
      <w:pPr>
        <w:spacing w:after="0" w:line="116"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believe that our existing cash and cash equivalents available credit facilities and cash flows from our operating activities, will be sufficient to meet our anticipated cash needs for at least the next 12 months. However, we may need to raise additional capital to execute on our current or future business strategies, including to:</w:t>
      </w:r>
    </w:p>
    <w:p>
      <w:pPr>
        <w:spacing w:after="0" w:line="46" w:lineRule="exact"/>
        <w:rPr>
          <w:sz w:val="20"/>
          <w:szCs w:val="20"/>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 in our research and development efforts by hiring additional technical and other personnel;</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 our operations into new product markets and new geographies;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acquire complementary businesses, products, services or technologies; or</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otherwise pursue our strategic plans and respond to competitive pressures.</w:t>
      </w:r>
    </w:p>
    <w:p>
      <w:pPr>
        <w:spacing w:after="0" w:line="171"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We do not know what forms of financing, if any, will be available to us. If financing is not available on acceptable terms, if and when needed, our ability to fund our operations, expand our research and development, sales and marketing functions, develop and enhance our products, respond to unanticipated events, including unanticipated opportunities, or otherwise respond to competitive pressures would be significantly limited. In any such event, our business, financial condition and results of operations could be materially harmed, and we may be unable to continue our operations. Moreover, if we raise additional funds through the issuance of equity or convertible debt securities, the percentage ownership of our stockholders could be significantly diluted, and these newly issued securities may have rights, preferences or privileges senior to those of existing stockholders.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terrorist or cyber attacks, or other catastrophic events could harm our operations.</w:t>
      </w:r>
    </w:p>
    <w:p>
      <w:pPr>
        <w:spacing w:after="0" w:line="17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worldwide operations could be subject to natural disasters and other business disruptions, which could harm our future revenue and financial condition and increase our costs and expenses. For example, our corporate headquarters in Petaluma, California is located near major earthquake fault lines. Further, a terrorist attack, including one aimed at energy or communications infrastructure suppliers or our web-based monitoring service, could hinder or delay the development and sale or performance of our products. In the event that an earthquake, tsunami, typhoon, terrorist or cyber attack, or other natural, manmade or technical catastrophe were to destroy any part of our facilities or those of our contract manufacturer, destroy or disrupt vital infrastructure systems or interrupt our operations or services for any extended period of time, our business, financial condition and results of operations would be materially adversely affected.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or may decline regardless of our operating performance.</w:t>
      </w:r>
    </w:p>
    <w:p>
      <w:pPr>
        <w:spacing w:after="0" w:line="171"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The market price of our common stock has been and could be subject to wide fluctuations in response to, among other things, the risk factors described in this section of this Quarterly Report on Form 10-Q, and other factors beyond our control, such as fluctuations in the valuation of companies perceived by investors to be comparable to us. 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 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financial results may vary significantly from quarter to quarter due to a number of factors, which may lead to volatility in our stock price.</w:t>
      </w:r>
    </w:p>
    <w:p>
      <w:pPr>
        <w:spacing w:after="0" w:line="183"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Our quarterly revenue and results of operations have varied in the past and may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46" w:lineRule="exact"/>
        <w:rPr>
          <w:sz w:val="20"/>
          <w:szCs w:val="20"/>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demand for our products;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5" w:right="27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volume and product mix of sales of our products, which may have different average selling prices or profit margins;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90" w:lineRule="exact"/>
        <w:rPr>
          <w:rFonts w:ascii="Arial" w:cs="Arial" w:eastAsia="Arial" w:hAnsi="Arial"/>
          <w:sz w:val="18"/>
          <w:szCs w:val="18"/>
          <w:color w:val="auto"/>
        </w:rPr>
      </w:pPr>
    </w:p>
    <w:p>
      <w:pPr>
        <w:ind w:left="980" w:right="800" w:hanging="486"/>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design, manufacture and deliver products to our customers in a timely and cost-effective manner and that meet customer requirements;</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manage our relationships with our contract manufacturers, customers and suppliers;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anticipation, announcement or introductions of new or enhanced products by our competitors and ourselves;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reductions in the retail price of electricity;</w:t>
      </w:r>
    </w:p>
    <w:p>
      <w:pPr>
        <w:spacing w:after="0" w:line="90" w:lineRule="exact"/>
        <w:rPr>
          <w:rFonts w:ascii="Arial" w:cs="Arial" w:eastAsia="Arial" w:hAnsi="Arial"/>
          <w:sz w:val="18"/>
          <w:szCs w:val="18"/>
          <w:color w:val="auto"/>
        </w:rPr>
      </w:pPr>
    </w:p>
    <w:p>
      <w:pPr>
        <w:ind w:left="980" w:right="160" w:hanging="486"/>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laws, regulations and policies applicable to our business and products, particularly those relating to government incentives for solar energy applications;</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amount and timing of operating costs and capital expenditures related to the maintenance and expansion of our business operations;</w:t>
      </w:r>
    </w:p>
    <w:p>
      <w:pPr>
        <w:spacing w:after="0" w:line="101" w:lineRule="exact"/>
        <w:rPr>
          <w:rFonts w:ascii="Arial" w:cs="Arial" w:eastAsia="Arial" w:hAnsi="Arial"/>
          <w:sz w:val="17"/>
          <w:szCs w:val="17"/>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government-sponsored programs on our customers;</w:t>
      </w:r>
    </w:p>
    <w:p>
      <w:pPr>
        <w:spacing w:after="0" w:line="90" w:lineRule="exact"/>
        <w:rPr>
          <w:rFonts w:ascii="Arial" w:cs="Arial" w:eastAsia="Arial" w:hAnsi="Arial"/>
          <w:sz w:val="18"/>
          <w:szCs w:val="18"/>
          <w:color w:val="auto"/>
        </w:rPr>
      </w:pPr>
    </w:p>
    <w:p>
      <w:pPr>
        <w:ind w:left="980" w:right="320" w:hanging="486"/>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exposure to the credit risks of our customers, particularly in light of the fact that some of our customers are relatively new entrants to the solar market without long operating or credit histories;</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estimate future warranty obligations due to product failure rates, claim rates or replacement costs;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forecast our customer demand, manufacturing requirements and manage our inventory;</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our gross profit;</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predict our revenue and plan our expenses appropriately; and</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71"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The foregoing factors are difficult to forecast, and these, as well as other factors, could materially and adversely affect our quarterly and annual results of operations. Any failure to adjust spending quickly enough to compensate for a revenue shortfall could magnify the adverse impact of this revenue shortfall on our results of operations. Moreover, our results of operations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0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16"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trading market for our common stock depends in part on the research and reports that research analysts publish about us and our business. The price of our common stock could decline if one or more research analysts downgrade our stock or if those analysts issue other unfavorable commentary or cease publishing reports about us or our business. If one or more of the research analysts ceases coverage of our company or fails to publish reports on us regularly, demand for our common stock could decrease, which could cause our stock price or trading volume to decline.</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principal stockholders, executive officers and directors own a significant percentage of our stock, and they may take actions that our stockholders may not view as beneficial.</w:t>
      </w:r>
    </w:p>
    <w:p>
      <w:pPr>
        <w:spacing w:after="0" w:line="116" w:lineRule="exact"/>
        <w:rPr>
          <w:sz w:val="20"/>
          <w:szCs w:val="20"/>
          <w:color w:val="auto"/>
        </w:rPr>
      </w:pPr>
    </w:p>
    <w:p>
      <w:pPr>
        <w:ind w:right="280" w:firstLine="432"/>
        <w:spacing w:after="0" w:line="271" w:lineRule="auto"/>
        <w:rPr>
          <w:sz w:val="20"/>
          <w:szCs w:val="20"/>
          <w:color w:val="auto"/>
        </w:rPr>
      </w:pPr>
      <w:r>
        <w:rPr>
          <w:rFonts w:ascii="Arial" w:cs="Arial" w:eastAsia="Arial" w:hAnsi="Arial"/>
          <w:sz w:val="17"/>
          <w:szCs w:val="17"/>
          <w:color w:val="auto"/>
        </w:rPr>
        <w:t>As of July 31, 2013, our executive officers, directors, greater than 5% stockholders and entities that are affiliated with them, beneficially owned approximately 47% of our outstanding common stock. This significant concentration of share ownership may adversely affect the trading price for our common stock because investors often perceive disadvantages in owning stock in companies with controlling stockholders. Also, as a result, these stockholders, acting together, may be able to control our management and affairs and matters requiring stockholder approval, including the election of directors and approval of significant corporate transactions, such as mergers, consolidations or the sale of substantially all of our assets. Consequently, this concentration of ownership may have the effect of delaying or preventing a change in control, including a merger, consolidation or other business combination involving us, or discouraging a potential acquirer from making a tender offer or otherwise attempting to obtain control, even if this change in control would benefit our other stockholders.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in the public market by our existing stockholders could cause our stock price to fall.</w:t>
      </w:r>
    </w:p>
    <w:p>
      <w:pPr>
        <w:spacing w:after="0" w:line="194" w:lineRule="exact"/>
        <w:rPr>
          <w:sz w:val="20"/>
          <w:szCs w:val="20"/>
          <w:color w:val="auto"/>
        </w:rPr>
      </w:pPr>
    </w:p>
    <w:p>
      <w:pPr>
        <w:ind w:right="180" w:firstLine="432"/>
        <w:spacing w:after="0" w:line="297"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As of July 31, 2013, we had approximately 41.8 million shares of common stock outstanding, all of which are eligible for sale in the public market, subject in some cases to the volume limitations and manner of sale requirements of Rule 144 under the Securities Act. Sales of stock by our stockholders could have a material adverse effect on the trading price of our common stock.</w:t>
      </w:r>
    </w:p>
    <w:p>
      <w:pPr>
        <w:spacing w:after="0" w:line="10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Certain holders of our securities are entitled to rights with respect to the registration of their shares under the Securities Act. Registration of these shares under the Securities Act would result in the shares becoming freely tradable without restriction under the Securities Act. Any sales of securities by these stockholders could have a material adverse effect on the trading price of our common stock.</w:t>
      </w:r>
    </w:p>
    <w:p>
      <w:pPr>
        <w:spacing w:after="0" w:line="12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16"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We currently do not plan to declare dividends on shares of our common stock in the foreseeable future. In addition, the terms of our bank loan agreements restrict our ability to pay dividends. Consequently, an investor's only opportunity to achieve a return on its investment in our company will be if the market price of our common stock appreciates and the investor sells its shares at a profit.</w:t>
      </w:r>
    </w:p>
    <w:p>
      <w:pPr>
        <w:spacing w:after="0" w:line="12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charter documents and Delaware law could prevent a takeover that stockholders consider favorable and could also reduce the market price of our stock.</w:t>
      </w:r>
    </w:p>
    <w:p>
      <w:pPr>
        <w:spacing w:after="0" w:line="116"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Our certificate of incorporation and our bylaws contain provisions that could delay or prevent a change in control of our company. These provisions could also make it more difficult for stockholders to elect directors and take other corporate actions, including effecting changes in our management. These provisions include:</w:t>
      </w:r>
    </w:p>
    <w:p>
      <w:pPr>
        <w:spacing w:after="0" w:line="46" w:lineRule="exact"/>
        <w:rPr>
          <w:sz w:val="20"/>
          <w:szCs w:val="20"/>
          <w:color w:val="auto"/>
        </w:rPr>
      </w:pPr>
    </w:p>
    <w:p>
      <w:pPr>
        <w:ind w:left="980" w:right="60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 which could delay the ability of stockholders to change the membership of a majority of our board of directors;</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not providing for cumulative voting in the election of directors, which limits the ability of minority stockholders to elect directory candidates;</w:t>
      </w:r>
    </w:p>
    <w:p>
      <w:pPr>
        <w:spacing w:after="0" w:line="101" w:lineRule="exact"/>
        <w:rPr>
          <w:rFonts w:ascii="Arial" w:cs="Arial" w:eastAsia="Arial" w:hAnsi="Arial"/>
          <w:sz w:val="17"/>
          <w:szCs w:val="17"/>
          <w:color w:val="auto"/>
        </w:rPr>
      </w:pPr>
    </w:p>
    <w:p>
      <w:pPr>
        <w:ind w:left="98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 which could be used to significantly dilute the ownership of a hostile acquiror;</w:t>
      </w:r>
    </w:p>
    <w:p>
      <w:pPr>
        <w:spacing w:after="0" w:line="35" w:lineRule="exact"/>
        <w:rPr>
          <w:rFonts w:ascii="Arial" w:cs="Arial" w:eastAsia="Arial" w:hAnsi="Arial"/>
          <w:sz w:val="18"/>
          <w:szCs w:val="18"/>
          <w:color w:val="auto"/>
        </w:rPr>
      </w:pPr>
    </w:p>
    <w:p>
      <w:pPr>
        <w:ind w:left="980" w:right="90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which forces stockholder action to be taken at an annual or special meeting of our stockholders;</w:t>
      </w:r>
    </w:p>
    <w:p>
      <w:pPr>
        <w:spacing w:after="0" w:line="35" w:lineRule="exact"/>
        <w:rPr>
          <w:rFonts w:ascii="Arial" w:cs="Arial" w:eastAsia="Arial" w:hAnsi="Arial"/>
          <w:sz w:val="18"/>
          <w:szCs w:val="18"/>
          <w:color w:val="auto"/>
        </w:rPr>
      </w:pPr>
    </w:p>
    <w:p>
      <w:pPr>
        <w:ind w:left="980" w:hanging="486"/>
        <w:spacing w:after="0" w:line="25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the affirmative vote of holders of at least 66 2/3% of the voting power of all of the then outstanding shares of voting stock, voting as a single class, to amend provisions of our certificate of incorporation relating to the management of our business, our board of directors, stockholder action by written consent, advance notification of stockholder nominations and proposals, forum selection and the liability of our directors, or to amend our bylaws, which may inhibit the ability of stockholders or an acquiror to effect such amendments to facilitate changes in management or an unsolicited takeover attempt;</w:t>
      </w:r>
    </w:p>
    <w:p>
      <w:pPr>
        <w:spacing w:after="0" w:line="53" w:lineRule="exact"/>
        <w:rPr>
          <w:rFonts w:ascii="Arial" w:cs="Arial" w:eastAsia="Arial" w:hAnsi="Arial"/>
          <w:sz w:val="18"/>
          <w:szCs w:val="18"/>
          <w:color w:val="auto"/>
        </w:rPr>
      </w:pPr>
    </w:p>
    <w:p>
      <w:pPr>
        <w:ind w:left="980" w:hanging="486"/>
        <w:spacing w:after="0" w:line="264"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special meetings of stockholders may only be called by our chairman of the board, if any, our chief executive officer, our president or a majority of our board of directors, which could delay the ability of our stockholders to force consideration of a proposal or to take action, including the removal of directors; and</w:t>
      </w:r>
    </w:p>
    <w:p>
      <w:pPr>
        <w:spacing w:after="0" w:line="46" w:lineRule="exact"/>
        <w:rPr>
          <w:rFonts w:ascii="Arial" w:cs="Arial" w:eastAsia="Arial" w:hAnsi="Arial"/>
          <w:sz w:val="18"/>
          <w:szCs w:val="18"/>
          <w:color w:val="auto"/>
        </w:rPr>
      </w:pPr>
    </w:p>
    <w:p>
      <w:pPr>
        <w:ind w:left="980" w:right="8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 which may discourage or deter a potential acquiror from conducting a solicitation of proxies to elect the acquiror's own slate of directors or otherwise attempting to obtain control of us.</w:t>
      </w:r>
    </w:p>
    <w:p>
      <w:pPr>
        <w:spacing w:after="0" w:line="116"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 addition, the provisions of Section 203 of the Delaware General Corporate Law may prohibit large stockholders, in particular those owning 15% or more of our outstanding common stock, from engaging in certain business combinations without approval of substantially all of our stockholders for a certain period of time.</w:t>
      </w:r>
    </w:p>
    <w:p>
      <w:pPr>
        <w:spacing w:after="0" w:line="127"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These provisions in our certificate of incorporation, our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71"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In May 2013, the Company issued 11,803 shares of common stock upon the net exercise of a warrant held by Hercules Technology Growth Capital, Inc. The warrant was initially exercisable into 37,500 shares of common stock and was issued in July 2011 in connection with an equipment financing facility in a private placement transaction not involving a public offering pursuant to Section 4(2) of the Securities Act of 1933, as amended. The conversion of the warrant into common stock was an exempt exchange under Section 3(a)(9) of the Securities Act.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Public Offering of Common Stock</w:t>
      </w:r>
    </w:p>
    <w:p>
      <w:pPr>
        <w:spacing w:after="0" w:line="171" w:lineRule="exact"/>
        <w:rPr>
          <w:sz w:val="20"/>
          <w:szCs w:val="20"/>
          <w:color w:val="auto"/>
        </w:rPr>
      </w:pPr>
    </w:p>
    <w:p>
      <w:pPr>
        <w:ind w:right="20" w:firstLine="446"/>
        <w:spacing w:after="0" w:line="290" w:lineRule="auto"/>
        <w:rPr>
          <w:sz w:val="20"/>
          <w:szCs w:val="20"/>
          <w:color w:val="auto"/>
        </w:rPr>
      </w:pPr>
      <w:r>
        <w:rPr>
          <w:rFonts w:ascii="Arial" w:cs="Arial" w:eastAsia="Arial" w:hAnsi="Arial"/>
          <w:sz w:val="16"/>
          <w:szCs w:val="16"/>
          <w:color w:val="auto"/>
        </w:rPr>
        <w:t>On March 29, 2012, our registration statements on Form S-1 (Registration Nos. 333-174925 and 333-180467) were declared effective by the SEC for our IPO, pursuant to which we registered 10,315,151 shares of common stock to be sold by us. The stock was offered at $6.00 per share. Our common stock commenced trading on March 30, 2012. The offering closed on April 4, 2012 after the sale of all 10,315,151 shares registered, including 1,345,454 shares sold pursuant to the over-allotment option granted by the Company to the underwriters. As a result, we received net proceeds of approximately $53.8 million, after underwriters' discounts of approximately $3.3 million and other direct offering expenses of $4.8 million. Morgan Stanley &amp; Co. LLC, Merrill Lynch, Pierce, Fenner &amp; Smith Incorporated and Deutsche Bank Securities Inc. acted as joint book-running managers for the offering. Jefferies &amp; Company, Inc. acted as joint lead manager, and Lazard Capital Markets LLC and ThinkEquity LLC acted as co-managers. No offering expenses were paid directly or indirectly to our directors, officers or their associates, or to persons owning 10% or more of any of our equity securities.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has been no material change in the use of proceeds from our IPO as described in our final prospectus filed with the SEC pursuant to Rule 424(b).</w:t>
      </w:r>
    </w:p>
    <w:p>
      <w:pPr>
        <w:spacing w:after="0" w:line="200" w:lineRule="exact"/>
        <w:rPr>
          <w:sz w:val="20"/>
          <w:szCs w:val="20"/>
          <w:color w:val="auto"/>
        </w:rPr>
      </w:pPr>
    </w:p>
    <w:p>
      <w:pPr>
        <w:spacing w:after="0" w:line="233"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the Exhibit Index which follows the signature page of this Quarterly Report on Form 10-Q, which is incorporated herein by reference.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125" w:right="27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Dated: August 7, 2013</w:t>
      </w:r>
    </w:p>
    <w:p>
      <w:pPr>
        <w:spacing w:after="0" w:line="356"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ENPHASE ENERGY, INC.</w:t>
      </w:r>
    </w:p>
    <w:p>
      <w:pPr>
        <w:spacing w:after="0" w:line="189" w:lineRule="exact"/>
        <w:rPr>
          <w:sz w:val="20"/>
          <w:szCs w:val="20"/>
          <w:color w:val="auto"/>
        </w:rPr>
      </w:pPr>
    </w:p>
    <w:p>
      <w:pPr>
        <w:ind w:left="586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27527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Kris Sennesael</w:t>
      </w:r>
    </w:p>
    <w:p>
      <w:pPr>
        <w:spacing w:after="0" w:line="6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Vice President and Chief Financial Officer</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25" w:right="27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900" w:type="dxa"/>
            <w:vAlign w:val="bottom"/>
            <w:gridSpan w:val="3"/>
          </w:tcPr>
          <w:p>
            <w:pPr>
              <w:ind w:left="38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77"/>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740" w:type="dxa"/>
            <w:vAlign w:val="bottom"/>
          </w:tcPr>
          <w:p>
            <w:pPr>
              <w:spacing w:after="0"/>
              <w:rPr>
                <w:sz w:val="24"/>
                <w:szCs w:val="24"/>
                <w:color w:val="auto"/>
              </w:rPr>
            </w:pPr>
          </w:p>
        </w:tc>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8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4740" w:type="dxa"/>
            <w:vAlign w:val="bottom"/>
          </w:tcPr>
          <w:p>
            <w:pPr>
              <w:spacing w:after="0"/>
              <w:rPr>
                <w:sz w:val="13"/>
                <w:szCs w:val="13"/>
                <w:color w:val="auto"/>
              </w:rPr>
            </w:pPr>
          </w:p>
        </w:tc>
        <w:tc>
          <w:tcPr>
            <w:tcW w:w="51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24"/>
                <w:szCs w:val="24"/>
                <w:color w:val="auto"/>
              </w:rPr>
            </w:pP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rPr>
              <w:t>Amended and Restated Certificate of Incorporation of Enphase Energy, Inc.</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392"/>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24"/>
                <w:szCs w:val="24"/>
                <w:color w:val="auto"/>
              </w:rPr>
            </w:pP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rPr>
              <w:t>Amended and Restated Bylaws of Enphase Energy, Inc.</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392"/>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24"/>
                <w:szCs w:val="24"/>
                <w:color w:val="auto"/>
              </w:rPr>
            </w:pP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rPr>
              <w:t>Specimen Common Stock Certificate of Enphase Energy, Inc.</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79"/>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24"/>
                <w:szCs w:val="24"/>
                <w:color w:val="auto"/>
              </w:rPr>
            </w:pP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w w:val="90"/>
              </w:rPr>
              <w:t>2010 Amended and Restated Investors’ Rights Agreement by and between Enphase Energy, Inc. and the investors listed on Exhibit A</w:t>
            </w:r>
          </w:p>
        </w:tc>
        <w:tc>
          <w:tcPr>
            <w:tcW w:w="0" w:type="dxa"/>
            <w:vAlign w:val="bottom"/>
          </w:tcPr>
          <w:p>
            <w:pPr>
              <w:spacing w:after="0"/>
              <w:rPr>
                <w:sz w:val="1"/>
                <w:szCs w:val="1"/>
                <w:color w:val="auto"/>
              </w:rPr>
            </w:pPr>
          </w:p>
        </w:tc>
      </w:tr>
      <w:tr>
        <w:trPr>
          <w:trHeight w:val="329"/>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rPr>
              <w:t>thereto, dated March 15, 2010, as amended.</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79"/>
        </w:trPr>
        <w:tc>
          <w:tcPr>
            <w:tcW w:w="500" w:type="dxa"/>
            <w:vAlign w:val="bottom"/>
          </w:tcPr>
          <w:p>
            <w:pPr>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24"/>
                <w:szCs w:val="24"/>
                <w:color w:val="auto"/>
              </w:rPr>
            </w:pP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w w:val="92"/>
              </w:rPr>
              <w:t>Warrant to Purchase Shares of Series Preferred Stock, between the Company and Compass Horizon Funding Company LLC, dated</w:t>
            </w:r>
          </w:p>
        </w:tc>
        <w:tc>
          <w:tcPr>
            <w:tcW w:w="0" w:type="dxa"/>
            <w:vAlign w:val="bottom"/>
          </w:tcPr>
          <w:p>
            <w:pPr>
              <w:spacing w:after="0"/>
              <w:rPr>
                <w:sz w:val="1"/>
                <w:szCs w:val="1"/>
                <w:color w:val="auto"/>
              </w:rPr>
            </w:pPr>
          </w:p>
        </w:tc>
      </w:tr>
      <w:tr>
        <w:trPr>
          <w:trHeight w:val="329"/>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rPr>
              <w:t>March 11, 2010.</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79"/>
        </w:trPr>
        <w:tc>
          <w:tcPr>
            <w:tcW w:w="500" w:type="dxa"/>
            <w:vAlign w:val="bottom"/>
          </w:tcPr>
          <w:p>
            <w:pPr>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24"/>
                <w:szCs w:val="24"/>
                <w:color w:val="auto"/>
              </w:rPr>
            </w:pP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w w:val="92"/>
              </w:rPr>
              <w:t>Warrant to Purchase Shares of Series Preferred Stock, between the Company and Horizon Technology Finance Corporation, dated</w:t>
            </w:r>
          </w:p>
        </w:tc>
        <w:tc>
          <w:tcPr>
            <w:tcW w:w="0" w:type="dxa"/>
            <w:vAlign w:val="bottom"/>
          </w:tcPr>
          <w:p>
            <w:pPr>
              <w:spacing w:after="0"/>
              <w:rPr>
                <w:sz w:val="1"/>
                <w:szCs w:val="1"/>
                <w:color w:val="auto"/>
              </w:rPr>
            </w:pPr>
          </w:p>
        </w:tc>
      </w:tr>
      <w:tr>
        <w:trPr>
          <w:trHeight w:val="329"/>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rPr>
              <w:t>March 25, 2011.</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79"/>
        </w:trPr>
        <w:tc>
          <w:tcPr>
            <w:tcW w:w="500" w:type="dxa"/>
            <w:vAlign w:val="bottom"/>
          </w:tcPr>
          <w:p>
            <w:pPr>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24"/>
                <w:szCs w:val="24"/>
                <w:color w:val="auto"/>
              </w:rPr>
            </w:pP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w w:val="89"/>
              </w:rPr>
              <w:t>Form of September 2011 Warrant to Purchase Common Stock of Enphase Energy, Inc., pursuant to that certain Amended and Restated</w:t>
            </w:r>
          </w:p>
        </w:tc>
        <w:tc>
          <w:tcPr>
            <w:tcW w:w="0" w:type="dxa"/>
            <w:vAlign w:val="bottom"/>
          </w:tcPr>
          <w:p>
            <w:pPr>
              <w:spacing w:after="0"/>
              <w:rPr>
                <w:sz w:val="1"/>
                <w:szCs w:val="1"/>
                <w:color w:val="auto"/>
              </w:rPr>
            </w:pPr>
          </w:p>
        </w:tc>
      </w:tr>
      <w:tr>
        <w:trPr>
          <w:trHeight w:val="329"/>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rPr>
              <w:t>Subordinated Convertible Loan Facility and Security Agreement.</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79"/>
        </w:trPr>
        <w:tc>
          <w:tcPr>
            <w:tcW w:w="500" w:type="dxa"/>
            <w:vAlign w:val="bottom"/>
          </w:tcPr>
          <w:p>
            <w:pPr>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24"/>
                <w:szCs w:val="24"/>
                <w:color w:val="auto"/>
              </w:rPr>
            </w:pP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w w:val="89"/>
              </w:rPr>
              <w:t>Form of November 2011 Warrant to Purchase Common Stock of Enphase Energy, Inc., pursuant to that certain Amended and Restated</w:t>
            </w:r>
          </w:p>
        </w:tc>
        <w:tc>
          <w:tcPr>
            <w:tcW w:w="0" w:type="dxa"/>
            <w:vAlign w:val="bottom"/>
          </w:tcPr>
          <w:p>
            <w:pPr>
              <w:spacing w:after="0"/>
              <w:rPr>
                <w:sz w:val="1"/>
                <w:szCs w:val="1"/>
                <w:color w:val="auto"/>
              </w:rPr>
            </w:pPr>
          </w:p>
        </w:tc>
      </w:tr>
      <w:tr>
        <w:trPr>
          <w:trHeight w:val="329"/>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rPr>
              <w:t>Subordinated Convertible Loan Facility and Security Agreement.</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392"/>
        </w:trPr>
        <w:tc>
          <w:tcPr>
            <w:tcW w:w="500" w:type="dxa"/>
            <w:vAlign w:val="bottom"/>
          </w:tcPr>
          <w:p>
            <w:pPr>
              <w:spacing w:after="0"/>
              <w:rPr>
                <w:sz w:val="20"/>
                <w:szCs w:val="20"/>
                <w:color w:val="auto"/>
              </w:rPr>
            </w:pPr>
            <w:r>
              <w:rPr>
                <w:rFonts w:ascii="Arial" w:cs="Arial" w:eastAsia="Arial" w:hAnsi="Arial"/>
                <w:sz w:val="18"/>
                <w:szCs w:val="18"/>
                <w:color w:val="auto"/>
              </w:rPr>
              <w:t>10.28</w:t>
            </w:r>
          </w:p>
        </w:tc>
        <w:tc>
          <w:tcPr>
            <w:tcW w:w="380" w:type="dxa"/>
            <w:vAlign w:val="bottom"/>
          </w:tcPr>
          <w:p>
            <w:pPr>
              <w:spacing w:after="0"/>
              <w:rPr>
                <w:sz w:val="24"/>
                <w:szCs w:val="24"/>
                <w:color w:val="auto"/>
              </w:rPr>
            </w:pP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rPr>
              <w:t xml:space="preserve">Non-employee Director Compensation Policy.+ </w:t>
            </w:r>
            <w:r>
              <w:rPr>
                <w:rFonts w:ascii="Arial" w:cs="Arial" w:eastAsia="Arial" w:hAnsi="Arial"/>
                <w:sz w:val="25"/>
                <w:szCs w:val="25"/>
                <w:color w:val="auto"/>
                <w:vertAlign w:val="superscript"/>
              </w:rPr>
              <w:t>(4)</w:t>
            </w:r>
          </w:p>
        </w:tc>
        <w:tc>
          <w:tcPr>
            <w:tcW w:w="0" w:type="dxa"/>
            <w:vAlign w:val="bottom"/>
          </w:tcPr>
          <w:p>
            <w:pPr>
              <w:spacing w:after="0"/>
              <w:rPr>
                <w:sz w:val="1"/>
                <w:szCs w:val="1"/>
                <w:color w:val="auto"/>
              </w:rPr>
            </w:pPr>
          </w:p>
        </w:tc>
      </w:tr>
      <w:tr>
        <w:trPr>
          <w:trHeight w:val="293"/>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380" w:type="dxa"/>
            <w:vAlign w:val="bottom"/>
          </w:tcPr>
          <w:p>
            <w:pPr>
              <w:spacing w:after="0"/>
              <w:rPr>
                <w:sz w:val="24"/>
                <w:szCs w:val="24"/>
                <w:color w:val="auto"/>
              </w:rPr>
            </w:pP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rPr>
              <w:t>Certification of Chief Executive Officer pursuant to Rule 13a-14(a)/15d-14(a).</w:t>
            </w:r>
          </w:p>
        </w:tc>
        <w:tc>
          <w:tcPr>
            <w:tcW w:w="0" w:type="dxa"/>
            <w:vAlign w:val="bottom"/>
          </w:tcPr>
          <w:p>
            <w:pPr>
              <w:spacing w:after="0"/>
              <w:rPr>
                <w:sz w:val="1"/>
                <w:szCs w:val="1"/>
                <w:color w:val="auto"/>
              </w:rPr>
            </w:pPr>
          </w:p>
        </w:tc>
      </w:tr>
      <w:tr>
        <w:trPr>
          <w:trHeight w:val="392"/>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380" w:type="dxa"/>
            <w:vAlign w:val="bottom"/>
          </w:tcPr>
          <w:p>
            <w:pPr>
              <w:spacing w:after="0"/>
              <w:rPr>
                <w:sz w:val="24"/>
                <w:szCs w:val="24"/>
                <w:color w:val="auto"/>
              </w:rPr>
            </w:pP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rPr>
              <w:t>Certification of Chief Financial Officer pursuant to Rule 13a-14(a)/15d-14(a).</w:t>
            </w:r>
          </w:p>
        </w:tc>
        <w:tc>
          <w:tcPr>
            <w:tcW w:w="0" w:type="dxa"/>
            <w:vAlign w:val="bottom"/>
          </w:tcPr>
          <w:p>
            <w:pPr>
              <w:spacing w:after="0"/>
              <w:rPr>
                <w:sz w:val="1"/>
                <w:szCs w:val="1"/>
                <w:color w:val="auto"/>
              </w:rPr>
            </w:pPr>
          </w:p>
        </w:tc>
      </w:tr>
      <w:tr>
        <w:trPr>
          <w:trHeight w:val="377"/>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380" w:type="dxa"/>
            <w:vAlign w:val="bottom"/>
          </w:tcPr>
          <w:p>
            <w:pPr>
              <w:spacing w:after="0"/>
              <w:rPr>
                <w:sz w:val="24"/>
                <w:szCs w:val="24"/>
                <w:color w:val="auto"/>
              </w:rPr>
            </w:pP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w w:val="96"/>
              </w:rPr>
              <w:t>Certification of Chief Executive Officer and Chief Financial Officer pursuant to 18 U.S.C. Section 1350 as Adopted Pursuant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rPr>
              <w:t>Section 906 of the Sarbanes-Oxley Act of 2002.*</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Presentation Document.**</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306" w:lineRule="exact"/>
        <w:rPr>
          <w:sz w:val="20"/>
          <w:szCs w:val="20"/>
          <w:color w:val="auto"/>
        </w:rPr>
      </w:pPr>
    </w:p>
    <w:p>
      <w:pPr>
        <w:ind w:left="1300" w:hanging="48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Previously filed as Exhibit 3.1 to the Current Report on Form 8-K (File No. 001-35480), filed with the Securities and Exchange Commission on April 6, 2012, and incorporated by reference herein.</w:t>
      </w:r>
    </w:p>
    <w:p>
      <w:pPr>
        <w:spacing w:after="0" w:line="35" w:lineRule="exact"/>
        <w:rPr>
          <w:rFonts w:ascii="Arial" w:cs="Arial" w:eastAsia="Arial" w:hAnsi="Arial"/>
          <w:sz w:val="18"/>
          <w:szCs w:val="18"/>
          <w:color w:val="auto"/>
        </w:rPr>
      </w:pPr>
    </w:p>
    <w:p>
      <w:pPr>
        <w:ind w:left="1300" w:hanging="48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Previously filed as Exhibit 3.5 to Amendment No. 7 to the Registration Statement on Form S-1/A (File No. 333-174925), filed with the Securities and Exchange Commission on March 12, 2012, and incorporated by reference herein.</w:t>
      </w:r>
    </w:p>
    <w:p>
      <w:pPr>
        <w:spacing w:after="0" w:line="35" w:lineRule="exact"/>
        <w:rPr>
          <w:rFonts w:ascii="Arial" w:cs="Arial" w:eastAsia="Arial" w:hAnsi="Arial"/>
          <w:sz w:val="18"/>
          <w:szCs w:val="18"/>
          <w:color w:val="auto"/>
        </w:rPr>
      </w:pPr>
    </w:p>
    <w:p>
      <w:pPr>
        <w:ind w:left="1300" w:hanging="48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Previously filed as the like-numbered exhibit to the Registration Statement on Form S-1/A (File No. 333-174925), and incorporated herein by reference.</w:t>
      </w:r>
    </w:p>
    <w:p>
      <w:pPr>
        <w:spacing w:after="0" w:line="35" w:lineRule="exact"/>
        <w:rPr>
          <w:rFonts w:ascii="Arial" w:cs="Arial" w:eastAsia="Arial" w:hAnsi="Arial"/>
          <w:sz w:val="18"/>
          <w:szCs w:val="18"/>
          <w:color w:val="auto"/>
        </w:rPr>
      </w:pPr>
    </w:p>
    <w:p>
      <w:pPr>
        <w:ind w:left="1300" w:right="20" w:hanging="48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Previously filed as Exhibit 10.28 to the Quarterly Report on Form 10-Q (File No. 001-35480), filed with the Securities and Exchange Commission on May 8, 2013, and incorporated by reference herein.</w:t>
      </w:r>
    </w:p>
    <w:p>
      <w:pPr>
        <w:spacing w:after="0" w:line="35" w:lineRule="exact"/>
        <w:rPr>
          <w:sz w:val="20"/>
          <w:szCs w:val="20"/>
          <w:color w:val="auto"/>
        </w:rPr>
      </w:pPr>
    </w:p>
    <w:p>
      <w:pPr>
        <w:ind w:left="1300" w:hanging="48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pacing w:after="0" w:line="90" w:lineRule="exact"/>
        <w:rPr>
          <w:sz w:val="20"/>
          <w:szCs w:val="20"/>
          <w:color w:val="auto"/>
        </w:rPr>
      </w:pPr>
    </w:p>
    <w:p>
      <w:pPr>
        <w:jc w:val="both"/>
        <w:ind w:left="1300" w:hanging="482"/>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10-Q pursuant to 18 U.S.C. Section 1350, as adopted pursuant to Section 906 of the Sarbanes-Oxley Act of 2002, and shall not be deemed “filed” by Enphase Energy, Inc. for purposes of Section 18 of the Securities Exchange Act of 1934, as amended.</w:t>
      </w:r>
    </w:p>
    <w:p>
      <w:pPr>
        <w:spacing w:after="0" w:line="46" w:lineRule="exact"/>
        <w:rPr>
          <w:sz w:val="20"/>
          <w:szCs w:val="20"/>
          <w:color w:val="auto"/>
        </w:rPr>
      </w:pPr>
    </w:p>
    <w:p>
      <w:pPr>
        <w:jc w:val="both"/>
        <w:ind w:left="1300" w:hanging="482"/>
        <w:spacing w:after="0" w:line="264"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Pursuant to applicable securities laws and regulations, Enphase Energy, Inc. is deemed to have complied with the reporting obligation relating to the submission of interactive data files in such exhibits and are not subject to liability under any anti-fraud provisions of the federal securities laws as long as Enphase Energy, Inc. has</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5"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jc w:val="both"/>
        <w:ind w:left="1300"/>
        <w:spacing w:after="0" w:line="346" w:lineRule="auto"/>
        <w:rPr>
          <w:sz w:val="20"/>
          <w:szCs w:val="20"/>
          <w:color w:val="auto"/>
        </w:rPr>
      </w:pPr>
      <w:r>
        <w:rPr>
          <w:rFonts w:ascii="Arial" w:cs="Arial" w:eastAsia="Arial" w:hAnsi="Arial"/>
          <w:sz w:val="16"/>
          <w:szCs w:val="16"/>
          <w:color w:val="auto"/>
        </w:rPr>
        <w:t>made a good faith attempt to comply with the submission requirements and promptly amend the interactive data files after becoming aware that the interactive data files fail to comply with the submission requirements. In accordance with Rule 406T of Regulation S-T, the information in these exhibits is furnished and deemed not filed or a part of a registration statement or prospectus for purposes of Sections 11 or 12 of the Securities Act of 1933, as amended, is deemed not filed for purposes of Section 18 of the Exchange Act of 1934, as amended, and otherwise is not subject to liability under these sections and shall not be incorporated by reference into any registration statement or other document filed under the Securities Act of 1933, as amended, except as expressly set forth by specific reference in such filing.</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Paul B. Nahi, certify that:</w:t>
      </w:r>
    </w:p>
    <w:p>
      <w:pPr>
        <w:spacing w:after="0" w:line="198"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Form 10-Q of Enphase Energy, Inc.;</w:t>
      </w:r>
    </w:p>
    <w:p>
      <w:pPr>
        <w:spacing w:after="0" w:line="198"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firstLine="8"/>
        <w:spacing w:after="0" w:line="277"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43" w:lineRule="exact"/>
        <w:rPr>
          <w:rFonts w:ascii="Arial" w:cs="Arial" w:eastAsia="Arial" w:hAnsi="Arial"/>
          <w:sz w:val="18"/>
          <w:szCs w:val="18"/>
          <w:color w:val="auto"/>
        </w:rPr>
      </w:pPr>
    </w:p>
    <w:p>
      <w:pPr>
        <w:ind w:left="500" w:right="180" w:hanging="6"/>
        <w:spacing w:after="0" w:line="264" w:lineRule="auto"/>
        <w:tabs>
          <w:tab w:leader="none" w:pos="74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740" w:hanging="246"/>
        <w:spacing w:after="0"/>
        <w:tabs>
          <w:tab w:leader="none" w:pos="7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[Reserved]</w:t>
      </w:r>
    </w:p>
    <w:p>
      <w:pPr>
        <w:spacing w:after="0" w:line="198" w:lineRule="exact"/>
        <w:rPr>
          <w:rFonts w:ascii="Arial" w:cs="Arial" w:eastAsia="Arial" w:hAnsi="Arial"/>
          <w:sz w:val="18"/>
          <w:szCs w:val="18"/>
          <w:color w:val="auto"/>
        </w:rPr>
      </w:pPr>
    </w:p>
    <w:p>
      <w:pPr>
        <w:ind w:left="500" w:right="980" w:hanging="6"/>
        <w:spacing w:after="0" w:line="342" w:lineRule="auto"/>
        <w:tabs>
          <w:tab w:leader="none" w:pos="745"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500" w:right="20" w:hanging="6"/>
        <w:spacing w:after="0" w:line="264" w:lineRule="auto"/>
        <w:tabs>
          <w:tab w:leader="none" w:pos="75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54"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500" w:right="360" w:hanging="6"/>
        <w:spacing w:after="0" w:line="277" w:lineRule="auto"/>
        <w:tabs>
          <w:tab w:leader="none" w:pos="74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500" w:right="320" w:hanging="6"/>
        <w:spacing w:after="0" w:line="277" w:lineRule="auto"/>
        <w:tabs>
          <w:tab w:leader="none" w:pos="75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2013</w:t>
      </w:r>
    </w:p>
    <w:p>
      <w:pPr>
        <w:spacing w:after="0" w:line="200" w:lineRule="exact"/>
        <w:rPr>
          <w:sz w:val="20"/>
          <w:szCs w:val="20"/>
          <w:color w:val="auto"/>
        </w:rPr>
      </w:pPr>
    </w:p>
    <w:p>
      <w:pPr>
        <w:spacing w:after="0" w:line="24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Paul B. Nahi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23495</wp:posOffset>
            </wp:positionV>
            <wp:extent cx="26758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Paul B. Nahi</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932"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Kris Sennesael, certify that:</w:t>
      </w:r>
    </w:p>
    <w:p>
      <w:pPr>
        <w:spacing w:after="0" w:line="198"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Form 10-Q of Enphase Energy, Inc.;</w:t>
      </w:r>
    </w:p>
    <w:p>
      <w:pPr>
        <w:spacing w:after="0" w:line="198"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firstLine="8"/>
        <w:spacing w:after="0" w:line="277"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43" w:lineRule="exact"/>
        <w:rPr>
          <w:rFonts w:ascii="Arial" w:cs="Arial" w:eastAsia="Arial" w:hAnsi="Arial"/>
          <w:sz w:val="18"/>
          <w:szCs w:val="18"/>
          <w:color w:val="auto"/>
        </w:rPr>
      </w:pPr>
    </w:p>
    <w:p>
      <w:pPr>
        <w:ind w:left="500" w:right="180" w:hanging="6"/>
        <w:spacing w:after="0" w:line="264" w:lineRule="auto"/>
        <w:tabs>
          <w:tab w:leader="none" w:pos="74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740" w:hanging="246"/>
        <w:spacing w:after="0"/>
        <w:tabs>
          <w:tab w:leader="none" w:pos="7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[Reserved]</w:t>
      </w:r>
    </w:p>
    <w:p>
      <w:pPr>
        <w:spacing w:after="0" w:line="198" w:lineRule="exact"/>
        <w:rPr>
          <w:rFonts w:ascii="Arial" w:cs="Arial" w:eastAsia="Arial" w:hAnsi="Arial"/>
          <w:sz w:val="18"/>
          <w:szCs w:val="18"/>
          <w:color w:val="auto"/>
        </w:rPr>
      </w:pPr>
    </w:p>
    <w:p>
      <w:pPr>
        <w:ind w:left="500" w:right="980" w:hanging="6"/>
        <w:spacing w:after="0" w:line="342" w:lineRule="auto"/>
        <w:tabs>
          <w:tab w:leader="none" w:pos="745"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500" w:right="20" w:hanging="6"/>
        <w:spacing w:after="0" w:line="264" w:lineRule="auto"/>
        <w:tabs>
          <w:tab w:leader="none" w:pos="75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54"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500" w:right="360" w:hanging="6"/>
        <w:spacing w:after="0" w:line="277" w:lineRule="auto"/>
        <w:tabs>
          <w:tab w:leader="none" w:pos="74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500" w:right="320" w:hanging="6"/>
        <w:spacing w:after="0" w:line="277" w:lineRule="auto"/>
        <w:tabs>
          <w:tab w:leader="none" w:pos="75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2013</w:t>
      </w:r>
    </w:p>
    <w:p>
      <w:pPr>
        <w:spacing w:after="0" w:line="200" w:lineRule="exact"/>
        <w:rPr>
          <w:sz w:val="20"/>
          <w:szCs w:val="20"/>
          <w:color w:val="auto"/>
        </w:rPr>
      </w:pPr>
    </w:p>
    <w:p>
      <w:pPr>
        <w:spacing w:after="0" w:line="24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23495</wp:posOffset>
            </wp:positionV>
            <wp:extent cx="26758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Kris Sennesael</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and Chief Financial Officer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3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Paul B. Nahi, President and Chief Executive Officer of Enphase Energy, Inc. (the “Company”), and Kris Sennesael, Vice President and Chief Financial Officer of the Company, each hereby certifies that, to the best of his or her knowledge:</w:t>
      </w:r>
    </w:p>
    <w:p>
      <w:pPr>
        <w:spacing w:after="0" w:line="120" w:lineRule="exact"/>
        <w:rPr>
          <w:sz w:val="20"/>
          <w:szCs w:val="20"/>
          <w:color w:val="auto"/>
        </w:rPr>
      </w:pPr>
    </w:p>
    <w:p>
      <w:pPr>
        <w:ind w:right="220" w:firstLine="8"/>
        <w:spacing w:after="0" w:line="277" w:lineRule="auto"/>
        <w:tabs>
          <w:tab w:leader="none" w:pos="18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The Company’s Quarterly Report on Form 10-Q for the period ended June 30, 2013, to which this Certification is attached as Exhibit 32.1 (the “Periodic Report”), fully complies with the requirements of Section 13(a) or Section 15(d) of the Exchange Act; and</w:t>
      </w:r>
    </w:p>
    <w:p>
      <w:pPr>
        <w:spacing w:after="0" w:line="143" w:lineRule="exact"/>
        <w:rPr>
          <w:rFonts w:ascii="Arial" w:cs="Arial" w:eastAsia="Arial" w:hAnsi="Arial"/>
          <w:sz w:val="18"/>
          <w:szCs w:val="18"/>
          <w:b w:val="1"/>
          <w:bCs w:val="1"/>
          <w:color w:val="auto"/>
        </w:rPr>
      </w:pPr>
    </w:p>
    <w:p>
      <w:pPr>
        <w:ind w:left="180" w:hanging="172"/>
        <w:spacing w:after="0"/>
        <w:tabs>
          <w:tab w:leader="none" w:pos="180" w:val="left"/>
        </w:tabs>
        <w:numPr>
          <w:ilvl w:val="0"/>
          <w:numId w:val="25"/>
        </w:numPr>
        <w:rPr>
          <w:rFonts w:ascii="Arial" w:cs="Arial" w:eastAsia="Arial" w:hAnsi="Arial"/>
          <w:sz w:val="16"/>
          <w:szCs w:val="16"/>
          <w:b w:val="1"/>
          <w:bCs w:val="1"/>
          <w:color w:val="auto"/>
        </w:rPr>
      </w:pPr>
      <w:r>
        <w:rPr>
          <w:rFonts w:ascii="Arial" w:cs="Arial" w:eastAsia="Arial" w:hAnsi="Arial"/>
          <w:sz w:val="16"/>
          <w:szCs w:val="16"/>
          <w:color w:val="auto"/>
        </w:rPr>
        <w:t>The information contained in the Periodic Report fairly presents, in all material respects, the financial condition and results of operations of the Company.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have set their hands hereto as of the 7 day of August,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Paul B. Nahi</w:t>
            </w:r>
          </w:p>
        </w:tc>
        <w:tc>
          <w:tcPr>
            <w:tcW w:w="100" w:type="dxa"/>
            <w:vAlign w:val="bottom"/>
          </w:tcPr>
          <w:p>
            <w:pPr>
              <w:spacing w:after="0"/>
              <w:rPr>
                <w:sz w:val="20"/>
                <w:szCs w:val="20"/>
                <w:color w:val="auto"/>
              </w:rPr>
            </w:pP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Kris Sennesael</w:t>
            </w: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Paul B. Nahi</w:t>
            </w:r>
          </w:p>
        </w:tc>
        <w:tc>
          <w:tcPr>
            <w:tcW w:w="5700" w:type="dxa"/>
            <w:vAlign w:val="bottom"/>
          </w:tcPr>
          <w:p>
            <w:pPr>
              <w:ind w:left="20"/>
              <w:spacing w:after="0"/>
              <w:rPr>
                <w:sz w:val="20"/>
                <w:szCs w:val="20"/>
                <w:color w:val="auto"/>
              </w:rPr>
            </w:pPr>
            <w:r>
              <w:rPr>
                <w:rFonts w:ascii="Arial" w:cs="Arial" w:eastAsia="Arial" w:hAnsi="Arial"/>
                <w:sz w:val="18"/>
                <w:szCs w:val="18"/>
                <w:color w:val="auto"/>
              </w:rPr>
              <w:t>Kris Sennesael</w:t>
            </w:r>
          </w:p>
        </w:tc>
      </w:tr>
      <w:tr>
        <w:trPr>
          <w:trHeight w:val="297"/>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5700" w:type="dxa"/>
            <w:vAlign w:val="bottom"/>
          </w:tcPr>
          <w:p>
            <w:pPr>
              <w:ind w:left="20"/>
              <w:spacing w:after="0"/>
              <w:rPr>
                <w:sz w:val="20"/>
                <w:szCs w:val="20"/>
                <w:color w:val="auto"/>
              </w:rPr>
            </w:pPr>
            <w:r>
              <w:rPr>
                <w:rFonts w:ascii="Arial" w:cs="Arial" w:eastAsia="Arial" w:hAnsi="Arial"/>
                <w:sz w:val="18"/>
                <w:szCs w:val="18"/>
                <w:color w:val="auto"/>
              </w:rPr>
              <w:t>Vice President and Chief Financial Officer</w:t>
            </w:r>
          </w:p>
        </w:tc>
      </w:tr>
    </w:tbl>
    <w:p>
      <w:pPr>
        <w:spacing w:after="0" w:line="17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Enphase Energy,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9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2019-12-07T20:08:59Z</dcterms:created>
  <dcterms:modified xsi:type="dcterms:W3CDTF">2019-12-07T20:08:59Z</dcterms:modified>
</cp:coreProperties>
</file>