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ind w:left="3540"/>
        <w:spacing w:after="0"/>
        <w:rPr>
          <w:sz w:val="20"/>
          <w:szCs w:val="20"/>
          <w:color w:val="auto"/>
        </w:rPr>
      </w:pPr>
      <w:r>
        <w:rPr>
          <w:rFonts w:ascii="Arial" w:cs="Arial" w:eastAsia="Arial" w:hAnsi="Arial"/>
          <w:sz w:val="18"/>
          <w:szCs w:val="18"/>
          <w:color w:val="auto"/>
        </w:rPr>
        <w:t>____________________________________________</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46"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____________________________________________</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26" w:lineRule="exact"/>
        <w:rPr>
          <w:sz w:val="24"/>
          <w:szCs w:val="24"/>
          <w:color w:val="auto"/>
        </w:rPr>
      </w:pPr>
    </w:p>
    <w:p>
      <w:pPr>
        <w:ind w:left="720" w:right="100" w:hanging="685"/>
        <w:spacing w:after="0" w:line="254"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00" w:hanging="685"/>
        <w:spacing w:after="0" w:line="254"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2" w:lineRule="exact"/>
        <w:rPr>
          <w:sz w:val="24"/>
          <w:szCs w:val="24"/>
          <w:color w:val="auto"/>
        </w:rPr>
      </w:pPr>
    </w:p>
    <w:tbl>
      <w:tblPr>
        <w:tblLayout w:type="fixed"/>
        <w:tblInd w:w="1400" w:type="dxa"/>
        <w:tblCellMar>
          <w:top w:w="0" w:type="dxa"/>
          <w:left w:w="0" w:type="dxa"/>
          <w:bottom w:w="0" w:type="dxa"/>
          <w:right w:w="0" w:type="dxa"/>
        </w:tblCellMar>
      </w:tblPr>
      <w:tr>
        <w:trPr>
          <w:trHeight w:val="234"/>
        </w:trPr>
        <w:tc>
          <w:tcPr>
            <w:tcW w:w="658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Commission File Number: 001-35480</w:t>
            </w:r>
          </w:p>
        </w:tc>
        <w:tc>
          <w:tcPr>
            <w:tcW w:w="1260" w:type="dxa"/>
            <w:vAlign w:val="bottom"/>
          </w:tcPr>
          <w:p>
            <w:pPr>
              <w:spacing w:after="0"/>
              <w:rPr>
                <w:sz w:val="20"/>
                <w:szCs w:val="20"/>
                <w:color w:val="auto"/>
              </w:rPr>
            </w:pPr>
          </w:p>
        </w:tc>
      </w:tr>
      <w:tr>
        <w:trPr>
          <w:trHeight w:val="130"/>
        </w:trPr>
        <w:tc>
          <w:tcPr>
            <w:tcW w:w="6580" w:type="dxa"/>
            <w:vAlign w:val="bottom"/>
          </w:tcPr>
          <w:p>
            <w:pPr>
              <w:jc w:val="center"/>
              <w:ind w:left="2010"/>
              <w:spacing w:after="0" w:line="131" w:lineRule="exact"/>
              <w:rPr>
                <w:sz w:val="20"/>
                <w:szCs w:val="20"/>
                <w:color w:val="auto"/>
              </w:rPr>
            </w:pPr>
            <w:r>
              <w:rPr>
                <w:rFonts w:ascii="Arial" w:cs="Arial" w:eastAsia="Arial" w:hAnsi="Arial"/>
                <w:sz w:val="14"/>
                <w:szCs w:val="14"/>
                <w:color w:val="auto"/>
              </w:rPr>
              <w:t>____________________________________________</w:t>
            </w:r>
          </w:p>
        </w:tc>
        <w:tc>
          <w:tcPr>
            <w:tcW w:w="1260" w:type="dxa"/>
            <w:vAlign w:val="bottom"/>
          </w:tcPr>
          <w:p>
            <w:pPr>
              <w:spacing w:after="0"/>
              <w:rPr>
                <w:sz w:val="11"/>
                <w:szCs w:val="11"/>
                <w:color w:val="auto"/>
              </w:rPr>
            </w:pPr>
          </w:p>
        </w:tc>
      </w:tr>
      <w:tr>
        <w:trPr>
          <w:trHeight w:val="575"/>
        </w:trPr>
        <w:tc>
          <w:tcPr>
            <w:tcW w:w="6580" w:type="dxa"/>
            <w:vAlign w:val="bottom"/>
          </w:tcPr>
          <w:p>
            <w:pPr>
              <w:ind w:left="2160"/>
              <w:spacing w:after="0"/>
              <w:rPr>
                <w:sz w:val="20"/>
                <w:szCs w:val="20"/>
                <w:color w:val="auto"/>
              </w:rPr>
            </w:pPr>
            <w:r>
              <w:rPr>
                <w:rFonts w:ascii="Arial" w:cs="Arial" w:eastAsia="Arial" w:hAnsi="Arial"/>
                <w:sz w:val="43"/>
                <w:szCs w:val="43"/>
                <w:b w:val="1"/>
                <w:bCs w:val="1"/>
                <w:color w:val="auto"/>
              </w:rPr>
              <w:t>Enphase Energy, Inc.</w:t>
            </w:r>
          </w:p>
        </w:tc>
        <w:tc>
          <w:tcPr>
            <w:tcW w:w="1260" w:type="dxa"/>
            <w:vAlign w:val="bottom"/>
          </w:tcPr>
          <w:p>
            <w:pPr>
              <w:spacing w:after="0"/>
              <w:rPr>
                <w:sz w:val="24"/>
                <w:szCs w:val="24"/>
                <w:color w:val="auto"/>
              </w:rPr>
            </w:pPr>
          </w:p>
        </w:tc>
      </w:tr>
      <w:tr>
        <w:trPr>
          <w:trHeight w:val="280"/>
        </w:trPr>
        <w:tc>
          <w:tcPr>
            <w:tcW w:w="658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(Exact name of registrant as specified in its charter)</w:t>
            </w:r>
          </w:p>
        </w:tc>
        <w:tc>
          <w:tcPr>
            <w:tcW w:w="1260" w:type="dxa"/>
            <w:vAlign w:val="bottom"/>
          </w:tcPr>
          <w:p>
            <w:pPr>
              <w:spacing w:after="0"/>
              <w:rPr>
                <w:sz w:val="24"/>
                <w:szCs w:val="24"/>
                <w:color w:val="auto"/>
              </w:rPr>
            </w:pPr>
          </w:p>
        </w:tc>
      </w:tr>
      <w:tr>
        <w:trPr>
          <w:trHeight w:val="172"/>
        </w:trPr>
        <w:tc>
          <w:tcPr>
            <w:tcW w:w="6580" w:type="dxa"/>
            <w:vAlign w:val="bottom"/>
          </w:tcPr>
          <w:p>
            <w:pPr>
              <w:jc w:val="center"/>
              <w:ind w:left="2010"/>
              <w:spacing w:after="0"/>
              <w:rPr>
                <w:sz w:val="20"/>
                <w:szCs w:val="20"/>
                <w:color w:val="auto"/>
              </w:rPr>
            </w:pPr>
            <w:r>
              <w:rPr>
                <w:rFonts w:ascii="Arial" w:cs="Arial" w:eastAsia="Arial" w:hAnsi="Arial"/>
                <w:sz w:val="14"/>
                <w:szCs w:val="14"/>
                <w:color w:val="auto"/>
              </w:rPr>
              <w:t>____________________________________________</w:t>
            </w:r>
          </w:p>
        </w:tc>
        <w:tc>
          <w:tcPr>
            <w:tcW w:w="1260" w:type="dxa"/>
            <w:vAlign w:val="bottom"/>
          </w:tcPr>
          <w:p>
            <w:pPr>
              <w:spacing w:after="0"/>
              <w:rPr>
                <w:sz w:val="14"/>
                <w:szCs w:val="14"/>
                <w:color w:val="auto"/>
              </w:rPr>
            </w:pPr>
          </w:p>
        </w:tc>
      </w:tr>
      <w:tr>
        <w:trPr>
          <w:trHeight w:val="323"/>
        </w:trPr>
        <w:tc>
          <w:tcPr>
            <w:tcW w:w="6580" w:type="dxa"/>
            <w:vAlign w:val="bottom"/>
          </w:tcPr>
          <w:p>
            <w:pPr>
              <w:jc w:val="center"/>
              <w:ind w:right="3790"/>
              <w:spacing w:after="0"/>
              <w:rPr>
                <w:sz w:val="20"/>
                <w:szCs w:val="20"/>
                <w:color w:val="auto"/>
              </w:rPr>
            </w:pPr>
            <w:r>
              <w:rPr>
                <w:rFonts w:ascii="Arial" w:cs="Arial" w:eastAsia="Arial" w:hAnsi="Arial"/>
                <w:sz w:val="18"/>
                <w:szCs w:val="18"/>
                <w:b w:val="1"/>
                <w:bCs w:val="1"/>
                <w:color w:val="auto"/>
                <w:w w:val="98"/>
              </w:rPr>
              <w:t>Delaware</w:t>
            </w:r>
          </w:p>
        </w:tc>
        <w:tc>
          <w:tcPr>
            <w:tcW w:w="1260" w:type="dxa"/>
            <w:vAlign w:val="bottom"/>
          </w:tcPr>
          <w:p>
            <w:pPr>
              <w:jc w:val="right"/>
              <w:ind w:right="61"/>
              <w:spacing w:after="0"/>
              <w:rPr>
                <w:sz w:val="20"/>
                <w:szCs w:val="20"/>
                <w:color w:val="auto"/>
              </w:rPr>
            </w:pPr>
            <w:r>
              <w:rPr>
                <w:rFonts w:ascii="Arial" w:cs="Arial" w:eastAsia="Arial" w:hAnsi="Arial"/>
                <w:sz w:val="18"/>
                <w:szCs w:val="18"/>
                <w:b w:val="1"/>
                <w:bCs w:val="1"/>
                <w:color w:val="auto"/>
              </w:rPr>
              <w:t>20-4645388</w:t>
            </w:r>
          </w:p>
        </w:tc>
      </w:tr>
      <w:tr>
        <w:trPr>
          <w:trHeight w:val="162"/>
        </w:trPr>
        <w:tc>
          <w:tcPr>
            <w:tcW w:w="6580" w:type="dxa"/>
            <w:vAlign w:val="bottom"/>
          </w:tcPr>
          <w:p>
            <w:pPr>
              <w:jc w:val="center"/>
              <w:ind w:right="3790"/>
              <w:spacing w:after="0"/>
              <w:rPr>
                <w:sz w:val="20"/>
                <w:szCs w:val="20"/>
                <w:color w:val="auto"/>
              </w:rPr>
            </w:pPr>
            <w:r>
              <w:rPr>
                <w:rFonts w:ascii="Arial" w:cs="Arial" w:eastAsia="Arial" w:hAnsi="Arial"/>
                <w:sz w:val="14"/>
                <w:szCs w:val="14"/>
                <w:b w:val="1"/>
                <w:bCs w:val="1"/>
                <w:color w:val="auto"/>
              </w:rPr>
              <w:t>(State or other jurisdiction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6580" w:type="dxa"/>
            <w:vAlign w:val="bottom"/>
          </w:tcPr>
          <w:p>
            <w:pPr>
              <w:jc w:val="center"/>
              <w:ind w:right="3790"/>
              <w:spacing w:after="0"/>
              <w:rPr>
                <w:sz w:val="20"/>
                <w:szCs w:val="20"/>
                <w:color w:val="auto"/>
              </w:rPr>
            </w:pPr>
            <w:r>
              <w:rPr>
                <w:rFonts w:ascii="Arial" w:cs="Arial" w:eastAsia="Arial" w:hAnsi="Arial"/>
                <w:sz w:val="14"/>
                <w:szCs w:val="14"/>
                <w:b w:val="1"/>
                <w:bCs w:val="1"/>
                <w:color w:val="auto"/>
              </w:rPr>
              <w:t>incorporation or organization)</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Identification No.)</w:t>
            </w:r>
          </w:p>
        </w:tc>
      </w:tr>
      <w:tr>
        <w:trPr>
          <w:trHeight w:val="340"/>
        </w:trPr>
        <w:tc>
          <w:tcPr>
            <w:tcW w:w="6580" w:type="dxa"/>
            <w:vAlign w:val="bottom"/>
          </w:tcPr>
          <w:p>
            <w:pPr>
              <w:jc w:val="center"/>
              <w:ind w:right="3790"/>
              <w:spacing w:after="0"/>
              <w:rPr>
                <w:sz w:val="20"/>
                <w:szCs w:val="20"/>
                <w:color w:val="auto"/>
              </w:rPr>
            </w:pPr>
            <w:r>
              <w:rPr>
                <w:rFonts w:ascii="Arial" w:cs="Arial" w:eastAsia="Arial" w:hAnsi="Arial"/>
                <w:sz w:val="18"/>
                <w:szCs w:val="18"/>
                <w:b w:val="1"/>
                <w:bCs w:val="1"/>
                <w:color w:val="auto"/>
              </w:rPr>
              <w:t>1420 N. McDowell Blvd.</w:t>
            </w:r>
          </w:p>
        </w:tc>
        <w:tc>
          <w:tcPr>
            <w:tcW w:w="1260" w:type="dxa"/>
            <w:vAlign w:val="bottom"/>
          </w:tcPr>
          <w:p>
            <w:pPr>
              <w:spacing w:after="0"/>
              <w:rPr>
                <w:sz w:val="24"/>
                <w:szCs w:val="24"/>
                <w:color w:val="auto"/>
              </w:rPr>
            </w:pPr>
          </w:p>
        </w:tc>
      </w:tr>
      <w:tr>
        <w:trPr>
          <w:trHeight w:val="239"/>
        </w:trPr>
        <w:tc>
          <w:tcPr>
            <w:tcW w:w="6580" w:type="dxa"/>
            <w:vAlign w:val="bottom"/>
          </w:tcPr>
          <w:p>
            <w:pPr>
              <w:jc w:val="center"/>
              <w:ind w:right="3790"/>
              <w:spacing w:after="0"/>
              <w:rPr>
                <w:sz w:val="20"/>
                <w:szCs w:val="20"/>
                <w:color w:val="auto"/>
              </w:rPr>
            </w:pPr>
            <w:r>
              <w:rPr>
                <w:rFonts w:ascii="Arial" w:cs="Arial" w:eastAsia="Arial" w:hAnsi="Arial"/>
                <w:sz w:val="18"/>
                <w:szCs w:val="18"/>
                <w:b w:val="1"/>
                <w:bCs w:val="1"/>
                <w:color w:val="auto"/>
              </w:rPr>
              <w:t>Petaluma, California</w:t>
            </w:r>
          </w:p>
        </w:tc>
        <w:tc>
          <w:tcPr>
            <w:tcW w:w="1260" w:type="dxa"/>
            <w:vAlign w:val="bottom"/>
          </w:tcPr>
          <w:p>
            <w:pPr>
              <w:jc w:val="right"/>
              <w:ind w:right="281"/>
              <w:spacing w:after="0"/>
              <w:rPr>
                <w:sz w:val="20"/>
                <w:szCs w:val="20"/>
                <w:color w:val="auto"/>
              </w:rPr>
            </w:pPr>
            <w:r>
              <w:rPr>
                <w:rFonts w:ascii="Arial" w:cs="Arial" w:eastAsia="Arial" w:hAnsi="Arial"/>
                <w:sz w:val="18"/>
                <w:szCs w:val="18"/>
                <w:b w:val="1"/>
                <w:bCs w:val="1"/>
                <w:color w:val="auto"/>
              </w:rPr>
              <w:t>94954</w:t>
            </w:r>
          </w:p>
        </w:tc>
      </w:tr>
      <w:tr>
        <w:trPr>
          <w:trHeight w:val="218"/>
        </w:trPr>
        <w:tc>
          <w:tcPr>
            <w:tcW w:w="6580" w:type="dxa"/>
            <w:vAlign w:val="bottom"/>
          </w:tcPr>
          <w:p>
            <w:pPr>
              <w:jc w:val="center"/>
              <w:ind w:right="3790"/>
              <w:spacing w:after="0"/>
              <w:rPr>
                <w:sz w:val="20"/>
                <w:szCs w:val="20"/>
                <w:color w:val="auto"/>
              </w:rPr>
            </w:pPr>
            <w:r>
              <w:rPr>
                <w:rFonts w:ascii="Arial" w:cs="Arial" w:eastAsia="Arial" w:hAnsi="Arial"/>
                <w:sz w:val="14"/>
                <w:szCs w:val="14"/>
                <w:b w:val="1"/>
                <w:bCs w:val="1"/>
                <w:color w:val="auto"/>
              </w:rPr>
              <w:t>(Address of principal executive offices)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(Zip Code)</w:t>
            </w:r>
          </w:p>
        </w:tc>
      </w:tr>
      <w:tr>
        <w:trPr>
          <w:trHeight w:val="350"/>
        </w:trPr>
        <w:tc>
          <w:tcPr>
            <w:tcW w:w="658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(707) 774-7000</w:t>
            </w:r>
          </w:p>
        </w:tc>
        <w:tc>
          <w:tcPr>
            <w:tcW w:w="1260" w:type="dxa"/>
            <w:vAlign w:val="bottom"/>
          </w:tcPr>
          <w:p>
            <w:pPr>
              <w:spacing w:after="0"/>
              <w:rPr>
                <w:sz w:val="24"/>
                <w:szCs w:val="24"/>
                <w:color w:val="auto"/>
              </w:rPr>
            </w:pPr>
          </w:p>
        </w:tc>
      </w:tr>
      <w:tr>
        <w:trPr>
          <w:trHeight w:val="167"/>
        </w:trPr>
        <w:tc>
          <w:tcPr>
            <w:tcW w:w="6580" w:type="dxa"/>
            <w:vAlign w:val="bottom"/>
          </w:tcPr>
          <w:p>
            <w:pPr>
              <w:jc w:val="center"/>
              <w:ind w:left="197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260" w:type="dxa"/>
            <w:vAlign w:val="bottom"/>
          </w:tcPr>
          <w:p>
            <w:pPr>
              <w:spacing w:after="0"/>
              <w:rPr>
                <w:sz w:val="14"/>
                <w:szCs w:val="14"/>
                <w:color w:val="auto"/>
              </w:rPr>
            </w:pPr>
          </w:p>
        </w:tc>
      </w:tr>
      <w:tr>
        <w:trPr>
          <w:trHeight w:val="172"/>
        </w:trPr>
        <w:tc>
          <w:tcPr>
            <w:tcW w:w="6580" w:type="dxa"/>
            <w:vAlign w:val="bottom"/>
          </w:tcPr>
          <w:p>
            <w:pPr>
              <w:jc w:val="center"/>
              <w:ind w:left="2010"/>
              <w:spacing w:after="0"/>
              <w:rPr>
                <w:sz w:val="20"/>
                <w:szCs w:val="20"/>
                <w:color w:val="auto"/>
              </w:rPr>
            </w:pPr>
            <w:r>
              <w:rPr>
                <w:rFonts w:ascii="Arial" w:cs="Arial" w:eastAsia="Arial" w:hAnsi="Arial"/>
                <w:sz w:val="14"/>
                <w:szCs w:val="14"/>
                <w:color w:val="auto"/>
              </w:rPr>
              <w:t>____________________________________________</w:t>
            </w:r>
          </w:p>
        </w:tc>
        <w:tc>
          <w:tcPr>
            <w:tcW w:w="1260" w:type="dxa"/>
            <w:vAlign w:val="bottom"/>
          </w:tcPr>
          <w:p>
            <w:pPr>
              <w:spacing w:after="0"/>
              <w:rPr>
                <w:sz w:val="14"/>
                <w:szCs w:val="14"/>
                <w:color w:val="auto"/>
              </w:rPr>
            </w:pPr>
          </w:p>
        </w:tc>
      </w:tr>
    </w:tbl>
    <w:p>
      <w:pPr>
        <w:spacing w:after="0" w:line="133" w:lineRule="exact"/>
        <w:rPr>
          <w:sz w:val="24"/>
          <w:szCs w:val="24"/>
          <w:color w:val="auto"/>
        </w:rPr>
      </w:pPr>
    </w:p>
    <w:p>
      <w:pPr>
        <w:ind w:right="2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62" w:lineRule="exact"/>
        <w:rPr>
          <w:sz w:val="24"/>
          <w:szCs w:val="24"/>
          <w:color w:val="auto"/>
        </w:rPr>
      </w:pPr>
    </w:p>
    <w:p>
      <w:pPr>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62" w:lineRule="exact"/>
        <w:rPr>
          <w:sz w:val="24"/>
          <w:szCs w:val="24"/>
          <w:color w:val="auto"/>
        </w:rPr>
      </w:pPr>
    </w:p>
    <w:p>
      <w:pPr>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247" w:right="299" w:bottom="1440" w:gutter="0" w:footer="0" w:header="0"/>
        </w:sectPr>
      </w:pPr>
    </w:p>
    <w:p>
      <w:pPr>
        <w:spacing w:after="0" w:line="161" w:lineRule="exact"/>
        <w:rPr>
          <w:sz w:val="24"/>
          <w:szCs w:val="24"/>
          <w:color w:val="auto"/>
        </w:rPr>
      </w:pPr>
    </w:p>
    <w:p>
      <w:pPr>
        <w:ind w:left="4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151" w:lineRule="exact"/>
        <w:rPr>
          <w:sz w:val="24"/>
          <w:szCs w:val="24"/>
          <w:color w:val="auto"/>
        </w:rPr>
      </w:pPr>
    </w:p>
    <w:p>
      <w:pPr>
        <w:sectPr>
          <w:pgSz w:w="11900" w:h="16838" w:orient="portrait"/>
          <w:cols w:equalWidth="0" w:num="4">
            <w:col w:w="1960" w:space="720"/>
            <w:col w:w="4520" w:space="720"/>
            <w:col w:w="2460" w:space="720"/>
            <w:col w:w="260"/>
          </w:cols>
          <w:pgMar w:left="240" w:top="247" w:right="299" w:bottom="1440" w:gutter="0" w:footer="0" w:header="0"/>
          <w:type w:val="continuous"/>
        </w:sectPr>
      </w:pPr>
    </w:p>
    <w:p>
      <w:pPr>
        <w:spacing w:after="0" w:line="60" w:lineRule="exact"/>
        <w:rPr>
          <w:sz w:val="24"/>
          <w:szCs w:val="24"/>
          <w:color w:val="auto"/>
        </w:rPr>
      </w:pPr>
    </w:p>
    <w:p>
      <w:pPr>
        <w:ind w:left="40"/>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43" w:lineRule="exact"/>
        <w:rPr>
          <w:sz w:val="24"/>
          <w:szCs w:val="24"/>
          <w:color w:val="auto"/>
        </w:rPr>
      </w:pPr>
    </w:p>
    <w:p>
      <w:pPr>
        <w:sectPr>
          <w:pgSz w:w="11900" w:h="16838" w:orient="portrait"/>
          <w:cols w:equalWidth="0" w:num="4">
            <w:col w:w="1960" w:space="720"/>
            <w:col w:w="4520" w:space="720"/>
            <w:col w:w="2460" w:space="720"/>
            <w:col w:w="260"/>
          </w:cols>
          <w:pgMar w:left="240" w:top="247" w:right="299" w:bottom="1440" w:gutter="0" w:footer="0" w:header="0"/>
          <w:type w:val="continuous"/>
        </w:sectPr>
      </w:pP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126" w:lineRule="exact"/>
        <w:rPr>
          <w:sz w:val="24"/>
          <w:szCs w:val="24"/>
          <w:color w:val="auto"/>
        </w:rPr>
      </w:pPr>
    </w:p>
    <w:p>
      <w:pPr>
        <w:sectPr>
          <w:pgSz w:w="11900" w:h="16838" w:orient="portrait"/>
          <w:cols w:equalWidth="0" w:num="5">
            <w:col w:w="9000" w:space="200"/>
            <w:col w:w="300" w:space="80"/>
            <w:col w:w="160" w:space="200"/>
            <w:col w:w="220" w:space="100"/>
            <w:col w:w="1100"/>
          </w:cols>
          <w:pgMar w:left="240" w:top="247" w:right="299" w:bottom="1440" w:gutter="0" w:footer="0" w:header="0"/>
          <w:type w:val="continuous"/>
        </w:sectPr>
      </w:pPr>
    </w:p>
    <w:p>
      <w:pPr>
        <w:spacing w:after="0"/>
        <w:rPr>
          <w:sz w:val="20"/>
          <w:szCs w:val="20"/>
          <w:color w:val="auto"/>
        </w:rPr>
      </w:pPr>
      <w:r>
        <w:rPr>
          <w:rFonts w:ascii="Arial" w:cs="Arial" w:eastAsia="Arial" w:hAnsi="Arial"/>
          <w:sz w:val="18"/>
          <w:szCs w:val="18"/>
          <w:color w:val="auto"/>
        </w:rPr>
        <w:t>As of July 29, 2016, there were 46,744,842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47"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JUNE 30,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3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40" w:type="dxa"/>
            <w:vAlign w:val="bottom"/>
            <w:gridSpan w:val="13"/>
          </w:tcPr>
          <w:p>
            <w:pPr>
              <w:jc w:val="center"/>
              <w:ind w:right="2700"/>
              <w:spacing w:after="0" w:line="189" w:lineRule="exact"/>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 FINANCIAL INFORMATION</w:t>
              </w:r>
            </w:hyperlink>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306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2940" w:type="dxa"/>
            <w:vAlign w:val="bottom"/>
            <w:tcBorders>
              <w:top w:val="single" w:sz="8" w:color="0000EE"/>
            </w:tcBorders>
            <w:gridSpan w:val="10"/>
          </w:tcPr>
          <w:p>
            <w:pPr>
              <w:spacing w:after="0"/>
              <w:rPr>
                <w:sz w:val="24"/>
                <w:szCs w:val="24"/>
                <w:color w:val="auto"/>
              </w:rPr>
            </w:pPr>
          </w:p>
        </w:tc>
        <w:tc>
          <w:tcPr>
            <w:tcW w:w="3100" w:type="dxa"/>
            <w:vAlign w:val="bottom"/>
            <w:gridSpan w:val="2"/>
          </w:tcPr>
          <w:p>
            <w:pPr>
              <w:spacing w:after="0"/>
              <w:rPr>
                <w:sz w:val="24"/>
                <w:szCs w:val="24"/>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910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0" w:type="dxa"/>
            <w:vAlign w:val="bottom"/>
          </w:tcPr>
          <w:p>
            <w:pPr>
              <w:spacing w:after="0"/>
              <w:rPr>
                <w:sz w:val="20"/>
                <w:szCs w:val="20"/>
                <w:color w:val="auto"/>
              </w:rPr>
            </w:pPr>
          </w:p>
        </w:tc>
        <w:tc>
          <w:tcPr>
            <w:tcW w:w="910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0" w:type="dxa"/>
            <w:vAlign w:val="bottom"/>
          </w:tcPr>
          <w:p>
            <w:pPr>
              <w:spacing w:after="0"/>
              <w:rPr>
                <w:sz w:val="20"/>
                <w:szCs w:val="20"/>
                <w:color w:val="auto"/>
              </w:rPr>
            </w:pPr>
          </w:p>
        </w:tc>
        <w:tc>
          <w:tcPr>
            <w:tcW w:w="492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Comprehensive Loss</w:t>
              </w:r>
            </w:hyperlink>
          </w:p>
        </w:tc>
        <w:tc>
          <w:tcPr>
            <w:tcW w:w="4180" w:type="dxa"/>
            <w:vAlign w:val="bottom"/>
            <w:gridSpan w:val="4"/>
          </w:tcPr>
          <w:p>
            <w:pPr>
              <w:spacing w:after="0"/>
              <w:rPr>
                <w:sz w:val="20"/>
                <w:szCs w:val="20"/>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100" w:type="dxa"/>
            <w:vAlign w:val="bottom"/>
            <w:gridSpan w:val="22"/>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0" w:type="dxa"/>
            <w:vAlign w:val="bottom"/>
          </w:tcPr>
          <w:p>
            <w:pPr>
              <w:spacing w:after="0"/>
              <w:rPr>
                <w:sz w:val="20"/>
                <w:szCs w:val="20"/>
                <w:color w:val="auto"/>
              </w:rPr>
            </w:pPr>
          </w:p>
        </w:tc>
        <w:tc>
          <w:tcPr>
            <w:tcW w:w="9100" w:type="dxa"/>
            <w:vAlign w:val="bottom"/>
            <w:gridSpan w:val="22"/>
            <w:vMerge w:val="continue"/>
          </w:tcPr>
          <w:p>
            <w:pPr>
              <w:spacing w:after="0"/>
              <w:rPr>
                <w:sz w:val="20"/>
                <w:szCs w:val="20"/>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0" w:type="dxa"/>
            <w:vAlign w:val="bottom"/>
          </w:tcPr>
          <w:p>
            <w:pPr>
              <w:spacing w:after="0"/>
              <w:rPr>
                <w:sz w:val="20"/>
                <w:szCs w:val="20"/>
                <w:color w:val="auto"/>
              </w:rPr>
            </w:pPr>
          </w:p>
        </w:tc>
        <w:tc>
          <w:tcPr>
            <w:tcW w:w="470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4400" w:type="dxa"/>
            <w:vAlign w:val="bottom"/>
            <w:gridSpan w:val="6"/>
          </w:tcPr>
          <w:p>
            <w:pPr>
              <w:spacing w:after="0"/>
              <w:rPr>
                <w:sz w:val="20"/>
                <w:szCs w:val="20"/>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660" w:type="dxa"/>
            <w:vAlign w:val="bottom"/>
            <w:gridSpan w:val="3"/>
            <w:shd w:val="clear" w:color="auto" w:fill="0000EE"/>
          </w:tcPr>
          <w:p>
            <w:pPr>
              <w:spacing w:after="0"/>
              <w:rPr>
                <w:sz w:val="2"/>
                <w:szCs w:val="2"/>
                <w:color w:val="auto"/>
              </w:rPr>
            </w:pPr>
          </w:p>
        </w:tc>
        <w:tc>
          <w:tcPr>
            <w:tcW w:w="1500" w:type="dxa"/>
            <w:vAlign w:val="bottom"/>
            <w:gridSpan w:val="5"/>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2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21"/>
          </w:tcPr>
          <w:p>
            <w:pPr>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Management’s Discussion and Analysis of Financial Condition and Results of Operations</w:t>
              </w:r>
            </w:hyperlink>
          </w:p>
        </w:tc>
        <w:tc>
          <w:tcPr>
            <w:tcW w:w="2020" w:type="dxa"/>
            <w:vAlign w:val="bottom"/>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2020" w:type="dxa"/>
            <w:vAlign w:val="bottom"/>
          </w:tcPr>
          <w:p>
            <w:pPr>
              <w:spacing w:after="0"/>
              <w:rPr>
                <w:sz w:val="20"/>
                <w:szCs w:val="20"/>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1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4400" w:type="dxa"/>
            <w:vAlign w:val="bottom"/>
            <w:gridSpan w:val="6"/>
          </w:tcPr>
          <w:p>
            <w:pPr>
              <w:spacing w:after="0"/>
              <w:rPr>
                <w:sz w:val="20"/>
                <w:szCs w:val="20"/>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358"/>
        </w:trPr>
        <w:tc>
          <w:tcPr>
            <w:tcW w:w="9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40" w:type="dxa"/>
            <w:vAlign w:val="bottom"/>
            <w:gridSpan w:val="12"/>
          </w:tcPr>
          <w:p>
            <w:pPr>
              <w:jc w:val="center"/>
              <w:ind w:right="3100"/>
              <w:spacing w:after="0"/>
              <w:rPr>
                <w:rFonts w:ascii="Arial" w:cs="Arial" w:eastAsia="Arial" w:hAnsi="Arial"/>
                <w:sz w:val="18"/>
                <w:szCs w:val="18"/>
                <w:b w:val="1"/>
                <w:bCs w:val="1"/>
                <w:color w:val="0000EE"/>
                <w:w w:val="98"/>
              </w:rPr>
            </w:pPr>
            <w:hyperlink w:anchor="page26">
              <w:r>
                <w:rPr>
                  <w:rFonts w:ascii="Arial" w:cs="Arial" w:eastAsia="Arial" w:hAnsi="Arial"/>
                  <w:sz w:val="18"/>
                  <w:szCs w:val="18"/>
                  <w:b w:val="1"/>
                  <w:bCs w:val="1"/>
                  <w:color w:val="0000EE"/>
                  <w:w w:val="98"/>
                </w:rPr>
                <w:t>PART II. OTHER INFORMATION</w:t>
              </w:r>
            </w:hyperlink>
          </w:p>
        </w:tc>
        <w:tc>
          <w:tcPr>
            <w:tcW w:w="1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3200" w:type="dxa"/>
            <w:vAlign w:val="bottom"/>
            <w:gridSpan w:val="1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2660" w:type="dxa"/>
            <w:vAlign w:val="bottom"/>
            <w:tcBorders>
              <w:top w:val="single" w:sz="8" w:color="0000EE"/>
            </w:tcBorders>
            <w:gridSpan w:val="8"/>
          </w:tcPr>
          <w:p>
            <w:pPr>
              <w:spacing w:after="0"/>
              <w:rPr>
                <w:sz w:val="24"/>
                <w:szCs w:val="24"/>
                <w:color w:val="auto"/>
              </w:rPr>
            </w:pPr>
          </w:p>
        </w:tc>
        <w:tc>
          <w:tcPr>
            <w:tcW w:w="3240" w:type="dxa"/>
            <w:vAlign w:val="bottom"/>
            <w:gridSpan w:val="3"/>
          </w:tcPr>
          <w:p>
            <w:pPr>
              <w:spacing w:after="0"/>
              <w:rPr>
                <w:sz w:val="24"/>
                <w:szCs w:val="24"/>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rFonts w:ascii="Arial" w:cs="Arial" w:eastAsia="Arial" w:hAnsi="Arial"/>
                <w:sz w:val="18"/>
                <w:szCs w:val="18"/>
                <w:color w:val="0000EE"/>
                <w:w w:val="97"/>
              </w:rPr>
            </w:pPr>
            <w:hyperlink w:anchor="page26">
              <w:r>
                <w:rPr>
                  <w:rFonts w:ascii="Arial" w:cs="Arial" w:eastAsia="Arial" w:hAnsi="Arial"/>
                  <w:sz w:val="18"/>
                  <w:szCs w:val="18"/>
                  <w:color w:val="0000EE"/>
                  <w:w w:val="97"/>
                </w:rPr>
                <w:t>Risk Factors</w:t>
              </w:r>
            </w:hyperlink>
          </w:p>
        </w:tc>
        <w:tc>
          <w:tcPr>
            <w:tcW w:w="480" w:type="dxa"/>
            <w:vAlign w:val="bottom"/>
            <w:gridSpan w:val="2"/>
          </w:tcPr>
          <w:p>
            <w:pPr>
              <w:spacing w:after="0"/>
              <w:rPr>
                <w:sz w:val="20"/>
                <w:szCs w:val="20"/>
                <w:color w:val="auto"/>
              </w:rPr>
            </w:pPr>
          </w:p>
        </w:tc>
        <w:tc>
          <w:tcPr>
            <w:tcW w:w="7620" w:type="dxa"/>
            <w:vAlign w:val="bottom"/>
            <w:gridSpan w:val="17"/>
          </w:tcPr>
          <w:p>
            <w:pPr>
              <w:spacing w:after="0"/>
              <w:rPr>
                <w:sz w:val="20"/>
                <w:szCs w:val="20"/>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100" w:type="dxa"/>
            <w:vAlign w:val="bottom"/>
            <w:gridSpan w:val="2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Unregistered Sales of Equity Securities and Use of Proceeds</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300" w:type="dxa"/>
            <w:vAlign w:val="bottom"/>
            <w:gridSpan w:val="9"/>
            <w:shd w:val="clear" w:color="auto" w:fill="0000EE"/>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840" w:type="dxa"/>
            <w:vAlign w:val="bottom"/>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Defaults Upon Senior Securities</w:t>
              </w:r>
            </w:hyperlink>
          </w:p>
        </w:tc>
        <w:tc>
          <w:tcPr>
            <w:tcW w:w="4260" w:type="dxa"/>
            <w:vAlign w:val="bottom"/>
            <w:gridSpan w:val="5"/>
          </w:tcPr>
          <w:p>
            <w:pPr>
              <w:spacing w:after="0"/>
              <w:rPr>
                <w:sz w:val="20"/>
                <w:szCs w:val="20"/>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560" w:type="dxa"/>
            <w:vAlign w:val="bottom"/>
            <w:gridSpan w:val="1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2540" w:type="dxa"/>
            <w:vAlign w:val="bottom"/>
            <w:gridSpan w:val="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Mine Safety Disclosures</w:t>
              </w:r>
            </w:hyperlink>
          </w:p>
        </w:tc>
        <w:tc>
          <w:tcPr>
            <w:tcW w:w="6560" w:type="dxa"/>
            <w:vAlign w:val="bottom"/>
            <w:gridSpan w:val="14"/>
          </w:tcPr>
          <w:p>
            <w:pPr>
              <w:spacing w:after="0"/>
              <w:rPr>
                <w:sz w:val="20"/>
                <w:szCs w:val="20"/>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180" w:type="dxa"/>
            <w:vAlign w:val="bottom"/>
            <w:gridSpan w:val="1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gridSpan w:val="4"/>
          </w:tcPr>
          <w:p>
            <w:pPr>
              <w:spacing w:after="0"/>
              <w:rPr>
                <w:rFonts w:ascii="Arial" w:cs="Arial" w:eastAsia="Arial" w:hAnsi="Arial"/>
                <w:sz w:val="18"/>
                <w:szCs w:val="18"/>
                <w:color w:val="0000EE"/>
                <w:w w:val="98"/>
              </w:rPr>
            </w:pPr>
            <w:hyperlink w:anchor="page46">
              <w:r>
                <w:rPr>
                  <w:rFonts w:ascii="Arial" w:cs="Arial" w:eastAsia="Arial" w:hAnsi="Arial"/>
                  <w:sz w:val="18"/>
                  <w:szCs w:val="18"/>
                  <w:color w:val="0000EE"/>
                  <w:w w:val="98"/>
                </w:rPr>
                <w:t>Other Information</w:t>
              </w:r>
            </w:hyperlink>
          </w:p>
        </w:tc>
        <w:tc>
          <w:tcPr>
            <w:tcW w:w="520" w:type="dxa"/>
            <w:vAlign w:val="bottom"/>
            <w:gridSpan w:val="2"/>
          </w:tcPr>
          <w:p>
            <w:pPr>
              <w:spacing w:after="0"/>
              <w:rPr>
                <w:sz w:val="20"/>
                <w:szCs w:val="20"/>
                <w:color w:val="auto"/>
              </w:rPr>
            </w:pPr>
          </w:p>
        </w:tc>
        <w:tc>
          <w:tcPr>
            <w:tcW w:w="7180" w:type="dxa"/>
            <w:vAlign w:val="bottom"/>
            <w:gridSpan w:val="16"/>
          </w:tcPr>
          <w:p>
            <w:pPr>
              <w:spacing w:after="0"/>
              <w:rPr>
                <w:sz w:val="20"/>
                <w:szCs w:val="20"/>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700" w:type="dxa"/>
            <w:vAlign w:val="bottom"/>
            <w:gridSpan w:val="1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1400" w:type="dxa"/>
            <w:vAlign w:val="bottom"/>
            <w:gridSpan w:val="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7700" w:type="dxa"/>
            <w:vAlign w:val="bottom"/>
            <w:gridSpan w:val="18"/>
          </w:tcPr>
          <w:p>
            <w:pPr>
              <w:spacing w:after="0"/>
              <w:rPr>
                <w:sz w:val="20"/>
                <w:szCs w:val="20"/>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340" w:type="dxa"/>
            <w:vAlign w:val="bottom"/>
            <w:gridSpan w:val="2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9100" w:type="dxa"/>
            <w:vAlign w:val="bottom"/>
            <w:gridSpan w:val="2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Signature</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0"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7680" w:type="dxa"/>
            <w:vAlign w:val="bottom"/>
          </w:tcPr>
          <w:p>
            <w:pPr>
              <w:ind w:left="42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60" w:type="dxa"/>
            <w:vAlign w:val="bottom"/>
          </w:tcPr>
          <w:p>
            <w:pPr>
              <w:spacing w:after="0"/>
              <w:rPr>
                <w:sz w:val="24"/>
                <w:szCs w:val="24"/>
                <w:color w:val="auto"/>
              </w:rPr>
            </w:pPr>
          </w:p>
        </w:tc>
        <w:tc>
          <w:tcPr>
            <w:tcW w:w="7680" w:type="dxa"/>
            <w:vAlign w:val="bottom"/>
          </w:tcPr>
          <w:p>
            <w:pPr>
              <w:jc w:val="center"/>
              <w:ind w:left="2350"/>
              <w:spacing w:after="0"/>
              <w:rPr>
                <w:sz w:val="20"/>
                <w:szCs w:val="20"/>
                <w:color w:val="auto"/>
              </w:rPr>
            </w:pPr>
            <w:r>
              <w:rPr>
                <w:rFonts w:ascii="Arial" w:cs="Arial" w:eastAsia="Arial" w:hAnsi="Arial"/>
                <w:sz w:val="18"/>
                <w:szCs w:val="18"/>
                <w:b w:val="1"/>
                <w:bCs w:val="1"/>
                <w:color w:val="auto"/>
                <w:w w:val="99"/>
              </w:rPr>
              <w:t>ENPHASE ENERGY, INC.</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4"/>
                <w:szCs w:val="24"/>
                <w:color w:val="auto"/>
              </w:rPr>
            </w:pPr>
          </w:p>
        </w:tc>
        <w:tc>
          <w:tcPr>
            <w:tcW w:w="7680" w:type="dxa"/>
            <w:vAlign w:val="bottom"/>
          </w:tcPr>
          <w:p>
            <w:pPr>
              <w:jc w:val="center"/>
              <w:ind w:left="23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680" w:type="dxa"/>
            <w:vAlign w:val="bottom"/>
          </w:tcPr>
          <w:p>
            <w:pPr>
              <w:jc w:val="center"/>
              <w:ind w:left="2330"/>
              <w:spacing w:after="0"/>
              <w:rPr>
                <w:sz w:val="20"/>
                <w:szCs w:val="20"/>
                <w:color w:val="auto"/>
              </w:rPr>
            </w:pPr>
            <w:r>
              <w:rPr>
                <w:rFonts w:ascii="Arial" w:cs="Arial" w:eastAsia="Arial" w:hAnsi="Arial"/>
                <w:sz w:val="18"/>
                <w:szCs w:val="18"/>
                <w:b w:val="1"/>
                <w:bCs w:val="1"/>
                <w:color w:val="auto"/>
                <w:w w:val="99"/>
              </w:rPr>
              <w:t>(In thousands, except par value)</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60" w:type="dxa"/>
            <w:vAlign w:val="bottom"/>
          </w:tcPr>
          <w:p>
            <w:pPr>
              <w:spacing w:after="0"/>
              <w:rPr>
                <w:sz w:val="20"/>
                <w:szCs w:val="20"/>
                <w:color w:val="auto"/>
              </w:rPr>
            </w:pPr>
          </w:p>
        </w:tc>
        <w:tc>
          <w:tcPr>
            <w:tcW w:w="7680" w:type="dxa"/>
            <w:vAlign w:val="bottom"/>
          </w:tcPr>
          <w:p>
            <w:pPr>
              <w:jc w:val="center"/>
              <w:ind w:left="2350"/>
              <w:spacing w:after="0"/>
              <w:rPr>
                <w:sz w:val="20"/>
                <w:szCs w:val="20"/>
                <w:color w:val="auto"/>
              </w:rPr>
            </w:pPr>
            <w:r>
              <w:rPr>
                <w:rFonts w:ascii="Arial" w:cs="Arial" w:eastAsia="Arial" w:hAnsi="Arial"/>
                <w:sz w:val="18"/>
                <w:szCs w:val="18"/>
                <w:b w:val="1"/>
                <w:bCs w:val="1"/>
                <w:color w:val="auto"/>
                <w:w w:val="99"/>
              </w:rPr>
              <w:t>(Unaudited)</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66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4"/>
                <w:szCs w:val="24"/>
                <w:color w:val="auto"/>
              </w:rPr>
            </w:pPr>
          </w:p>
        </w:tc>
        <w:tc>
          <w:tcPr>
            <w:tcW w:w="130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660" w:type="dxa"/>
            <w:vAlign w:val="bottom"/>
            <w:tcBorders>
              <w:bottom w:val="single" w:sz="8" w:color="CCEEFF"/>
            </w:tcBorders>
          </w:tcPr>
          <w:p>
            <w:pPr>
              <w:spacing w:after="0"/>
              <w:rPr>
                <w:sz w:val="17"/>
                <w:szCs w:val="17"/>
                <w:color w:val="auto"/>
              </w:rPr>
            </w:pPr>
          </w:p>
        </w:tc>
        <w:tc>
          <w:tcPr>
            <w:tcW w:w="76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60" w:type="dxa"/>
            <w:vAlign w:val="bottom"/>
            <w:tcBorders>
              <w:bottom w:val="single" w:sz="8" w:color="CCEEFF"/>
            </w:tcBorders>
            <w:shd w:val="clear" w:color="auto" w:fill="CCEEFF"/>
          </w:tcPr>
          <w:p>
            <w:pPr>
              <w:spacing w:after="0"/>
              <w:rPr>
                <w:sz w:val="21"/>
                <w:szCs w:val="21"/>
                <w:color w:val="auto"/>
              </w:rPr>
            </w:pPr>
          </w:p>
        </w:tc>
        <w:tc>
          <w:tcPr>
            <w:tcW w:w="7680" w:type="dxa"/>
            <w:vAlign w:val="bottom"/>
            <w:tcBorders>
              <w:bottom w:val="single" w:sz="8" w:color="CCEEFF"/>
            </w:tcBorders>
            <w:shd w:val="clear" w:color="auto" w:fill="CCEEFF"/>
          </w:tcPr>
          <w:p>
            <w:pPr>
              <w:ind w:left="316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28,452</w:t>
            </w: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allowances of $2,773 and $1,808 at June 30, 2016 and December 31,</w:t>
            </w:r>
          </w:p>
        </w:tc>
        <w:tc>
          <w:tcPr>
            <w:tcW w:w="280" w:type="dxa"/>
            <w:vAlign w:val="bottom"/>
          </w:tcPr>
          <w:p>
            <w:pPr>
              <w:spacing w:after="0"/>
              <w:rPr>
                <w:sz w:val="19"/>
                <w:szCs w:val="19"/>
                <w:color w:val="auto"/>
              </w:rPr>
            </w:pPr>
          </w:p>
        </w:tc>
        <w:tc>
          <w:tcPr>
            <w:tcW w:w="1200" w:type="dxa"/>
            <w:vAlign w:val="bottom"/>
            <w:vMerge w:val="restart"/>
          </w:tcPr>
          <w:p>
            <w:pPr>
              <w:jc w:val="right"/>
              <w:ind w:right="11"/>
              <w:spacing w:after="0"/>
              <w:rPr>
                <w:sz w:val="20"/>
                <w:szCs w:val="20"/>
                <w:color w:val="auto"/>
              </w:rPr>
            </w:pPr>
            <w:r>
              <w:rPr>
                <w:rFonts w:ascii="Arial" w:cs="Arial" w:eastAsia="Arial" w:hAnsi="Arial"/>
                <w:sz w:val="18"/>
                <w:szCs w:val="18"/>
                <w:color w:val="auto"/>
              </w:rPr>
              <w:t>48,973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vMerge w:val="restart"/>
          </w:tcPr>
          <w:p>
            <w:pPr>
              <w:jc w:val="right"/>
              <w:ind w:right="11"/>
              <w:spacing w:after="0"/>
              <w:rPr>
                <w:sz w:val="20"/>
                <w:szCs w:val="20"/>
                <w:color w:val="auto"/>
              </w:rPr>
            </w:pPr>
            <w:r>
              <w:rPr>
                <w:rFonts w:ascii="Arial" w:cs="Arial" w:eastAsia="Arial" w:hAnsi="Arial"/>
                <w:sz w:val="18"/>
                <w:szCs w:val="18"/>
                <w:color w:val="auto"/>
              </w:rPr>
              <w:t>46,099</w:t>
            </w:r>
          </w:p>
        </w:tc>
        <w:tc>
          <w:tcPr>
            <w:tcW w:w="0" w:type="dxa"/>
            <w:vAlign w:val="bottom"/>
          </w:tcPr>
          <w:p>
            <w:pPr>
              <w:spacing w:after="0"/>
              <w:rPr>
                <w:sz w:val="1"/>
                <w:szCs w:val="1"/>
                <w:color w:val="auto"/>
              </w:rPr>
            </w:pPr>
          </w:p>
        </w:tc>
      </w:tr>
      <w:tr>
        <w:trPr>
          <w:trHeight w:val="109"/>
        </w:trPr>
        <w:tc>
          <w:tcPr>
            <w:tcW w:w="8340" w:type="dxa"/>
            <w:vAlign w:val="bottom"/>
            <w:gridSpan w:val="2"/>
            <w:vMerge w:val="restart"/>
          </w:tcPr>
          <w:p>
            <w:pPr>
              <w:ind w:left="460"/>
              <w:spacing w:after="0"/>
              <w:rPr>
                <w:sz w:val="20"/>
                <w:szCs w:val="20"/>
                <w:color w:val="auto"/>
              </w:rPr>
            </w:pPr>
            <w:r>
              <w:rPr>
                <w:rFonts w:ascii="Arial" w:cs="Arial" w:eastAsia="Arial" w:hAnsi="Arial"/>
                <w:sz w:val="18"/>
                <w:szCs w:val="18"/>
                <w:color w:val="auto"/>
              </w:rPr>
              <w:t>2015, respectively</w:t>
            </w:r>
          </w:p>
        </w:tc>
        <w:tc>
          <w:tcPr>
            <w:tcW w:w="2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83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40,800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7,925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6,417</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7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 w:type="dxa"/>
            <w:vAlign w:val="bottom"/>
            <w:shd w:val="clear" w:color="auto" w:fill="CCEEFF"/>
          </w:tcPr>
          <w:p>
            <w:pPr>
              <w:spacing w:after="0"/>
              <w:rPr>
                <w:sz w:val="21"/>
                <w:szCs w:val="21"/>
                <w:color w:val="auto"/>
              </w:rPr>
            </w:pPr>
          </w:p>
        </w:tc>
        <w:tc>
          <w:tcPr>
            <w:tcW w:w="7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104,436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121,768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34,591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32,118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Intangibles, net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5,677</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152,509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165,528</w:t>
            </w:r>
          </w:p>
        </w:tc>
        <w:tc>
          <w:tcPr>
            <w:tcW w:w="0" w:type="dxa"/>
            <w:vAlign w:val="bottom"/>
          </w:tcPr>
          <w:p>
            <w:pPr>
              <w:spacing w:after="0"/>
              <w:rPr>
                <w:sz w:val="1"/>
                <w:szCs w:val="1"/>
                <w:color w:val="auto"/>
              </w:rPr>
            </w:pPr>
          </w:p>
        </w:tc>
      </w:tr>
      <w:tr>
        <w:trPr>
          <w:trHeight w:val="237"/>
        </w:trPr>
        <w:tc>
          <w:tcPr>
            <w:tcW w:w="660" w:type="dxa"/>
            <w:vAlign w:val="bottom"/>
            <w:tcBorders>
              <w:bottom w:val="single" w:sz="8" w:color="CCEEFF"/>
            </w:tcBorders>
            <w:shd w:val="clear" w:color="auto" w:fill="CCEEFF"/>
          </w:tcPr>
          <w:p>
            <w:pPr>
              <w:spacing w:after="0"/>
              <w:rPr>
                <w:sz w:val="20"/>
                <w:szCs w:val="20"/>
                <w:color w:val="auto"/>
              </w:rPr>
            </w:pPr>
          </w:p>
        </w:tc>
        <w:tc>
          <w:tcPr>
            <w:tcW w:w="768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25,569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21,987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19,292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revenues, current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Warranty obligations, current (includes $3,201 and $2,601 measured at fair value at June 30, 2016</w:t>
            </w:r>
          </w:p>
        </w:tc>
        <w:tc>
          <w:tcPr>
            <w:tcW w:w="280" w:type="dxa"/>
            <w:vAlign w:val="bottom"/>
          </w:tcPr>
          <w:p>
            <w:pPr>
              <w:spacing w:after="0"/>
              <w:rPr>
                <w:sz w:val="19"/>
                <w:szCs w:val="19"/>
                <w:color w:val="auto"/>
              </w:rPr>
            </w:pPr>
          </w:p>
        </w:tc>
        <w:tc>
          <w:tcPr>
            <w:tcW w:w="1200" w:type="dxa"/>
            <w:vAlign w:val="bottom"/>
            <w:vMerge w:val="restart"/>
          </w:tcPr>
          <w:p>
            <w:pPr>
              <w:jc w:val="right"/>
              <w:ind w:right="11"/>
              <w:spacing w:after="0"/>
              <w:rPr>
                <w:sz w:val="20"/>
                <w:szCs w:val="20"/>
                <w:color w:val="auto"/>
              </w:rPr>
            </w:pPr>
            <w:r>
              <w:rPr>
                <w:rFonts w:ascii="Arial" w:cs="Arial" w:eastAsia="Arial" w:hAnsi="Arial"/>
                <w:sz w:val="18"/>
                <w:szCs w:val="18"/>
                <w:color w:val="auto"/>
              </w:rPr>
              <w:t>6,726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vMerge w:val="restart"/>
          </w:tcPr>
          <w:p>
            <w:pPr>
              <w:jc w:val="right"/>
              <w:ind w:right="11"/>
              <w:spacing w:after="0"/>
              <w:rPr>
                <w:sz w:val="20"/>
                <w:szCs w:val="20"/>
                <w:color w:val="auto"/>
              </w:rPr>
            </w:pPr>
            <w:r>
              <w:rPr>
                <w:rFonts w:ascii="Arial" w:cs="Arial" w:eastAsia="Arial" w:hAnsi="Arial"/>
                <w:sz w:val="18"/>
                <w:szCs w:val="18"/>
                <w:color w:val="auto"/>
              </w:rPr>
              <w:t>7,072</w:t>
            </w:r>
          </w:p>
        </w:tc>
        <w:tc>
          <w:tcPr>
            <w:tcW w:w="0" w:type="dxa"/>
            <w:vAlign w:val="bottom"/>
          </w:tcPr>
          <w:p>
            <w:pPr>
              <w:spacing w:after="0"/>
              <w:rPr>
                <w:sz w:val="1"/>
                <w:szCs w:val="1"/>
                <w:color w:val="auto"/>
              </w:rPr>
            </w:pPr>
          </w:p>
        </w:tc>
      </w:tr>
      <w:tr>
        <w:trPr>
          <w:trHeight w:val="109"/>
        </w:trPr>
        <w:tc>
          <w:tcPr>
            <w:tcW w:w="8340" w:type="dxa"/>
            <w:vAlign w:val="bottom"/>
            <w:gridSpan w:val="2"/>
            <w:vMerge w:val="restart"/>
          </w:tcPr>
          <w:p>
            <w:pPr>
              <w:ind w:left="460"/>
              <w:spacing w:after="0"/>
              <w:rPr>
                <w:sz w:val="20"/>
                <w:szCs w:val="20"/>
                <w:color w:val="auto"/>
              </w:rPr>
            </w:pPr>
            <w:r>
              <w:rPr>
                <w:rFonts w:ascii="Arial" w:cs="Arial" w:eastAsia="Arial" w:hAnsi="Arial"/>
                <w:sz w:val="18"/>
                <w:szCs w:val="18"/>
                <w:color w:val="auto"/>
              </w:rPr>
              <w:t>and December 31, 2015, respectively)</w:t>
            </w:r>
          </w:p>
        </w:tc>
        <w:tc>
          <w:tcPr>
            <w:tcW w:w="2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83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Borrowings under revolving credit facility</w:t>
            </w: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12,450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44"/>
        </w:trPr>
        <w:tc>
          <w:tcPr>
            <w:tcW w:w="660" w:type="dxa"/>
            <w:vAlign w:val="bottom"/>
            <w:tcBorders>
              <w:bottom w:val="single" w:sz="8" w:color="CCEEFF"/>
            </w:tcBorders>
          </w:tcPr>
          <w:p>
            <w:pPr>
              <w:spacing w:after="0"/>
              <w:rPr>
                <w:sz w:val="21"/>
                <w:szCs w:val="21"/>
                <w:color w:val="auto"/>
              </w:rPr>
            </w:pPr>
          </w:p>
        </w:tc>
        <w:tc>
          <w:tcPr>
            <w:tcW w:w="76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84,617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72,848</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Deferred revenues, noncurrent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29,743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25,115</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Warranty obligations, noncurrent (includes $4,852 and $3,581 measured at fair value at June 30,</w:t>
            </w:r>
          </w:p>
        </w:tc>
        <w:tc>
          <w:tcPr>
            <w:tcW w:w="28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23,340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23,475</w:t>
            </w:r>
          </w:p>
        </w:tc>
        <w:tc>
          <w:tcPr>
            <w:tcW w:w="0" w:type="dxa"/>
            <w:vAlign w:val="bottom"/>
          </w:tcPr>
          <w:p>
            <w:pPr>
              <w:spacing w:after="0"/>
              <w:rPr>
                <w:sz w:val="1"/>
                <w:szCs w:val="1"/>
                <w:color w:val="auto"/>
              </w:rPr>
            </w:pPr>
          </w:p>
        </w:tc>
      </w:tr>
      <w:tr>
        <w:trPr>
          <w:trHeight w:val="109"/>
        </w:trPr>
        <w:tc>
          <w:tcPr>
            <w:tcW w:w="8340" w:type="dxa"/>
            <w:vAlign w:val="bottom"/>
            <w:gridSpan w:val="2"/>
            <w:vMerge w:val="restart"/>
            <w:shd w:val="clear" w:color="auto" w:fill="CCEEFF"/>
          </w:tcPr>
          <w:p>
            <w:pPr>
              <w:ind w:left="460"/>
              <w:spacing w:after="0"/>
              <w:rPr>
                <w:sz w:val="20"/>
                <w:szCs w:val="20"/>
                <w:color w:val="auto"/>
              </w:rPr>
            </w:pPr>
            <w:r>
              <w:rPr>
                <w:rFonts w:ascii="Arial" w:cs="Arial" w:eastAsia="Arial" w:hAnsi="Arial"/>
                <w:sz w:val="18"/>
                <w:szCs w:val="18"/>
                <w:color w:val="auto"/>
              </w:rPr>
              <w:t>2016 and December 31, 2015, respectively)</w:t>
            </w:r>
          </w:p>
        </w:tc>
        <w:tc>
          <w:tcPr>
            <w:tcW w:w="280" w:type="dxa"/>
            <w:vAlign w:val="bottom"/>
            <w:shd w:val="clear" w:color="auto" w:fill="CCEEFF"/>
          </w:tcPr>
          <w:p>
            <w:pPr>
              <w:spacing w:after="0"/>
              <w:rPr>
                <w:sz w:val="9"/>
                <w:szCs w:val="9"/>
                <w:color w:val="auto"/>
              </w:rPr>
            </w:pPr>
          </w:p>
        </w:tc>
        <w:tc>
          <w:tcPr>
            <w:tcW w:w="12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340" w:type="dxa"/>
            <w:vAlign w:val="bottom"/>
            <w:gridSpan w:val="2"/>
            <w:vMerge w:val="continue"/>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7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 w:type="dxa"/>
            <w:vAlign w:val="bottom"/>
            <w:shd w:val="clear" w:color="auto" w:fill="CCEEFF"/>
          </w:tcPr>
          <w:p>
            <w:pPr>
              <w:spacing w:after="0"/>
              <w:rPr>
                <w:sz w:val="21"/>
                <w:szCs w:val="21"/>
                <w:color w:val="auto"/>
              </w:rPr>
            </w:pPr>
          </w:p>
        </w:tc>
        <w:tc>
          <w:tcPr>
            <w:tcW w:w="7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140,052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124,079</w:t>
            </w:r>
          </w:p>
        </w:tc>
        <w:tc>
          <w:tcPr>
            <w:tcW w:w="0" w:type="dxa"/>
            <w:vAlign w:val="bottom"/>
          </w:tcPr>
          <w:p>
            <w:pPr>
              <w:spacing w:after="0"/>
              <w:rPr>
                <w:sz w:val="1"/>
                <w:szCs w:val="1"/>
                <w:color w:val="auto"/>
              </w:rPr>
            </w:pPr>
          </w:p>
        </w:tc>
      </w:tr>
      <w:tr>
        <w:trPr>
          <w:trHeight w:val="22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Preferred stock, $0.00001 par value, 10,000 shares authorized; none issued and outstanding</w:t>
            </w:r>
          </w:p>
        </w:tc>
        <w:tc>
          <w:tcPr>
            <w:tcW w:w="2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Common stock, $0.00001 par value, 100,000 shares authorized; 46,744 and 45,821 shares issued</w:t>
            </w:r>
          </w:p>
        </w:tc>
        <w:tc>
          <w:tcPr>
            <w:tcW w:w="280" w:type="dxa"/>
            <w:vAlign w:val="bottom"/>
            <w:shd w:val="clear" w:color="auto" w:fill="CCEEFF"/>
          </w:tcPr>
          <w:p>
            <w:pPr>
              <w:spacing w:after="0"/>
              <w:rPr>
                <w:sz w:val="19"/>
                <w:szCs w:val="19"/>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8340" w:type="dxa"/>
            <w:vAlign w:val="bottom"/>
            <w:gridSpan w:val="2"/>
            <w:vMerge w:val="restart"/>
            <w:shd w:val="clear" w:color="auto" w:fill="CCEEFF"/>
          </w:tcPr>
          <w:p>
            <w:pPr>
              <w:ind w:left="460"/>
              <w:spacing w:after="0"/>
              <w:rPr>
                <w:sz w:val="20"/>
                <w:szCs w:val="20"/>
                <w:color w:val="auto"/>
              </w:rPr>
            </w:pPr>
            <w:r>
              <w:rPr>
                <w:rFonts w:ascii="Arial" w:cs="Arial" w:eastAsia="Arial" w:hAnsi="Arial"/>
                <w:sz w:val="18"/>
                <w:szCs w:val="18"/>
                <w:color w:val="auto"/>
              </w:rPr>
              <w:t>and outstanding at June 30, 2016 and December 31, 2015, respectively</w:t>
            </w:r>
          </w:p>
        </w:tc>
        <w:tc>
          <w:tcPr>
            <w:tcW w:w="280" w:type="dxa"/>
            <w:vAlign w:val="bottom"/>
            <w:shd w:val="clear" w:color="auto" w:fill="CCEEFF"/>
          </w:tcPr>
          <w:p>
            <w:pPr>
              <w:spacing w:after="0"/>
              <w:rPr>
                <w:sz w:val="9"/>
                <w:szCs w:val="9"/>
                <w:color w:val="auto"/>
              </w:rPr>
            </w:pPr>
          </w:p>
        </w:tc>
        <w:tc>
          <w:tcPr>
            <w:tcW w:w="1320" w:type="dxa"/>
            <w:vAlign w:val="bottom"/>
            <w:gridSpan w:val="2"/>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340" w:type="dxa"/>
            <w:vAlign w:val="bottom"/>
            <w:gridSpan w:val="2"/>
            <w:vMerge w:val="continue"/>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231,248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224,732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(183,073)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7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shd w:val="clear" w:color="auto" w:fill="CCEEFF"/>
          </w:tcPr>
          <w:p>
            <w:pPr>
              <w:spacing w:after="0"/>
              <w:rPr>
                <w:sz w:val="21"/>
                <w:szCs w:val="21"/>
                <w:color w:val="auto"/>
              </w:rPr>
            </w:pPr>
          </w:p>
        </w:tc>
        <w:tc>
          <w:tcPr>
            <w:tcW w:w="7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12,457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41,449</w:t>
            </w:r>
          </w:p>
        </w:tc>
        <w:tc>
          <w:tcPr>
            <w:tcW w:w="0" w:type="dxa"/>
            <w:vAlign w:val="bottom"/>
          </w:tcPr>
          <w:p>
            <w:pPr>
              <w:spacing w:after="0"/>
              <w:rPr>
                <w:sz w:val="1"/>
                <w:szCs w:val="1"/>
                <w:color w:val="auto"/>
              </w:rPr>
            </w:pP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152,509</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165,528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4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40"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4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25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79,185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102,093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143,306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188,746</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65,049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69,066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117,410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127,695</w:t>
            </w: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14,136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33,027</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25,896</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61,051</w:t>
            </w:r>
          </w:p>
        </w:tc>
      </w:tr>
      <w:tr>
        <w:trPr>
          <w:trHeight w:val="257"/>
        </w:trPr>
        <w:tc>
          <w:tcPr>
            <w:tcW w:w="65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13,091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12,786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26,157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26,216</w:t>
            </w:r>
          </w:p>
        </w:tc>
      </w:tr>
      <w:tr>
        <w:trPr>
          <w:trHeight w:val="263"/>
        </w:trPr>
        <w:tc>
          <w:tcPr>
            <w:tcW w:w="650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2"/>
                <w:szCs w:val="22"/>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9,987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12,508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20,202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24,445</w:t>
            </w:r>
          </w:p>
        </w:tc>
      </w:tr>
      <w:tr>
        <w:trPr>
          <w:trHeight w:val="270"/>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6,846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8,102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14,413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16,307</w:t>
            </w:r>
          </w:p>
        </w:tc>
      </w:tr>
      <w:tr>
        <w:trPr>
          <w:trHeight w:val="250"/>
        </w:trPr>
        <w:tc>
          <w:tcPr>
            <w:tcW w:w="65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29,924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33,396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60,772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66,968</w:t>
            </w: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64"/>
        </w:trPr>
        <w:tc>
          <w:tcPr>
            <w:tcW w:w="65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r>
      <w:tr>
        <w:trPr>
          <w:trHeight w:val="250"/>
        </w:trPr>
        <w:tc>
          <w:tcPr>
            <w:tcW w:w="6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50"/>
        </w:trPr>
        <w:tc>
          <w:tcPr>
            <w:tcW w:w="65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(6,530)</w:t>
            </w: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97"/>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(6,923)</w:t>
            </w:r>
          </w:p>
        </w:tc>
      </w:tr>
      <w:tr>
        <w:trPr>
          <w:trHeight w:val="23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0"/>
        </w:trPr>
        <w:tc>
          <w:tcPr>
            <w:tcW w:w="6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Shares used in computing net loss per share, basic and diluted</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46,620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44,319</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46,415</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44,136</w:t>
            </w:r>
          </w:p>
        </w:tc>
      </w:tr>
      <w:tr>
        <w:trPr>
          <w:trHeight w:val="20"/>
        </w:trPr>
        <w:tc>
          <w:tcPr>
            <w:tcW w:w="6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4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r>
      <w:tr>
        <w:trPr>
          <w:trHeight w:val="25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44"/>
        </w:trPr>
        <w:tc>
          <w:tcPr>
            <w:tcW w:w="650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(35,508)</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(7,208)</w:t>
            </w:r>
          </w:p>
        </w:tc>
      </w:tr>
      <w:tr>
        <w:trPr>
          <w:trHeight w:val="20"/>
        </w:trPr>
        <w:tc>
          <w:tcPr>
            <w:tcW w:w="6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14605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2015</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0"/>
        </w:trPr>
        <w:tc>
          <w:tcPr>
            <w:tcW w:w="8580" w:type="dxa"/>
            <w:vAlign w:val="bottom"/>
          </w:tcPr>
          <w:p>
            <w:pPr>
              <w:ind w:left="38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(35,518)</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(6,923)</w:t>
            </w:r>
          </w:p>
        </w:tc>
      </w:tr>
      <w:tr>
        <w:trPr>
          <w:trHeight w:val="28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0"/>
        </w:trPr>
        <w:tc>
          <w:tcPr>
            <w:tcW w:w="858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5,388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5,054</w:t>
            </w:r>
          </w:p>
        </w:tc>
      </w:tr>
      <w:tr>
        <w:trPr>
          <w:trHeight w:val="280"/>
        </w:trPr>
        <w:tc>
          <w:tcPr>
            <w:tcW w:w="85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Provision for doubtful accounts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r>
      <w:tr>
        <w:trPr>
          <w:trHeight w:val="260"/>
        </w:trPr>
        <w:tc>
          <w:tcPr>
            <w:tcW w:w="8580" w:type="dxa"/>
            <w:vAlign w:val="bottom"/>
          </w:tcPr>
          <w:p>
            <w:pPr>
              <w:ind w:left="720"/>
              <w:spacing w:after="0"/>
              <w:rPr>
                <w:sz w:val="20"/>
                <w:szCs w:val="20"/>
                <w:color w:val="auto"/>
              </w:rPr>
            </w:pPr>
            <w:r>
              <w:rPr>
                <w:rFonts w:ascii="Arial" w:cs="Arial" w:eastAsia="Arial" w:hAnsi="Arial"/>
                <w:sz w:val="16"/>
                <w:szCs w:val="16"/>
                <w:color w:val="auto"/>
              </w:rPr>
              <w:t>Net loss on disposal of assets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275</w:t>
            </w:r>
          </w:p>
        </w:tc>
      </w:tr>
      <w:tr>
        <w:trPr>
          <w:trHeight w:val="280"/>
        </w:trPr>
        <w:tc>
          <w:tcPr>
            <w:tcW w:w="85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Non-cash interest expense</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r>
      <w:tr>
        <w:trPr>
          <w:trHeight w:val="260"/>
        </w:trPr>
        <w:tc>
          <w:tcPr>
            <w:tcW w:w="8580" w:type="dxa"/>
            <w:vAlign w:val="bottom"/>
          </w:tcPr>
          <w:p>
            <w:pPr>
              <w:ind w:left="72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5,707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6,296</w:t>
            </w:r>
          </w:p>
        </w:tc>
      </w:tr>
      <w:tr>
        <w:trPr>
          <w:trHeight w:val="280"/>
        </w:trPr>
        <w:tc>
          <w:tcPr>
            <w:tcW w:w="85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Revaluation of contingent consideration liability</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r>
      <w:tr>
        <w:trPr>
          <w:trHeight w:val="260"/>
        </w:trPr>
        <w:tc>
          <w:tcPr>
            <w:tcW w:w="8580" w:type="dxa"/>
            <w:vAlign w:val="bottom"/>
          </w:tcPr>
          <w:p>
            <w:pPr>
              <w:ind w:left="7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85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(22,295)</w:t>
            </w:r>
          </w:p>
        </w:tc>
      </w:tr>
      <w:tr>
        <w:trPr>
          <w:trHeight w:val="260"/>
        </w:trPr>
        <w:tc>
          <w:tcPr>
            <w:tcW w:w="8580" w:type="dxa"/>
            <w:vAlign w:val="bottom"/>
          </w:tcPr>
          <w:p>
            <w:pPr>
              <w:ind w:left="114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1,505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(12,464)</w:t>
            </w:r>
          </w:p>
        </w:tc>
      </w:tr>
      <w:tr>
        <w:trPr>
          <w:trHeight w:val="280"/>
        </w:trPr>
        <w:tc>
          <w:tcPr>
            <w:tcW w:w="85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(4,077)</w:t>
            </w:r>
          </w:p>
        </w:tc>
      </w:tr>
      <w:tr>
        <w:trPr>
          <w:trHeight w:val="260"/>
        </w:trPr>
        <w:tc>
          <w:tcPr>
            <w:tcW w:w="8580" w:type="dxa"/>
            <w:vAlign w:val="bottom"/>
          </w:tcPr>
          <w:p>
            <w:pPr>
              <w:ind w:left="1140"/>
              <w:spacing w:after="0"/>
              <w:rPr>
                <w:sz w:val="20"/>
                <w:szCs w:val="20"/>
                <w:color w:val="auto"/>
              </w:rPr>
            </w:pPr>
            <w:r>
              <w:rPr>
                <w:rFonts w:ascii="Arial" w:cs="Arial" w:eastAsia="Arial" w:hAnsi="Arial"/>
                <w:sz w:val="16"/>
                <w:szCs w:val="16"/>
                <w:color w:val="auto"/>
              </w:rPr>
              <w:t>Accounts payable, accrued and other liabilities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15,338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6,712</w:t>
            </w:r>
          </w:p>
        </w:tc>
      </w:tr>
      <w:tr>
        <w:trPr>
          <w:trHeight w:val="280"/>
        </w:trPr>
        <w:tc>
          <w:tcPr>
            <w:tcW w:w="85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Warranty obligations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64"/>
        </w:trPr>
        <w:tc>
          <w:tcPr>
            <w:tcW w:w="8580" w:type="dxa"/>
            <w:vAlign w:val="bottom"/>
            <w:tcBorders>
              <w:bottom w:val="single" w:sz="8" w:color="CCEEFF"/>
            </w:tcBorders>
          </w:tcPr>
          <w:p>
            <w:pPr>
              <w:ind w:left="1140"/>
              <w:spacing w:after="0"/>
              <w:rPr>
                <w:sz w:val="20"/>
                <w:szCs w:val="20"/>
                <w:color w:val="auto"/>
              </w:rPr>
            </w:pPr>
            <w:r>
              <w:rPr>
                <w:rFonts w:ascii="Arial" w:cs="Arial" w:eastAsia="Arial" w:hAnsi="Arial"/>
                <w:sz w:val="16"/>
                <w:szCs w:val="16"/>
                <w:color w:val="auto"/>
              </w:rPr>
              <w:t>Deferred revenues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6,557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5,049</w:t>
            </w:r>
          </w:p>
        </w:tc>
      </w:tr>
      <w:tr>
        <w:trPr>
          <w:trHeight w:val="257"/>
        </w:trPr>
        <w:tc>
          <w:tcPr>
            <w:tcW w:w="858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(7,991)</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(23,271)</w:t>
            </w:r>
          </w:p>
        </w:tc>
      </w:tr>
      <w:tr>
        <w:trPr>
          <w:trHeight w:val="25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(6,260)</w:t>
            </w:r>
          </w:p>
        </w:tc>
      </w:tr>
      <w:tr>
        <w:trPr>
          <w:trHeight w:val="264"/>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Purchases of intangible assets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858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(8,188)</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(6,260)</w:t>
            </w:r>
          </w:p>
        </w:tc>
      </w:tr>
      <w:tr>
        <w:trPr>
          <w:trHeight w:val="25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Proceeds from borrowings under revolving credit facility</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17,000</w:t>
            </w:r>
          </w:p>
        </w:tc>
      </w:tr>
      <w:tr>
        <w:trPr>
          <w:trHeight w:val="260"/>
        </w:trPr>
        <w:tc>
          <w:tcPr>
            <w:tcW w:w="8580" w:type="dxa"/>
            <w:vAlign w:val="bottom"/>
          </w:tcPr>
          <w:p>
            <w:pPr>
              <w:ind w:left="380"/>
              <w:spacing w:after="0"/>
              <w:rPr>
                <w:sz w:val="20"/>
                <w:szCs w:val="20"/>
                <w:color w:val="auto"/>
              </w:rPr>
            </w:pPr>
            <w:r>
              <w:rPr>
                <w:rFonts w:ascii="Arial" w:cs="Arial" w:eastAsia="Arial" w:hAnsi="Arial"/>
                <w:sz w:val="16"/>
                <w:szCs w:val="16"/>
                <w:color w:val="auto"/>
              </w:rPr>
              <w:t>Payments under revolving credit facility</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(14,550)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Payments for deferred financing costs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580" w:type="dxa"/>
            <w:vAlign w:val="bottom"/>
          </w:tcPr>
          <w:p>
            <w:pPr>
              <w:ind w:left="380"/>
              <w:spacing w:after="0"/>
              <w:rPr>
                <w:sz w:val="20"/>
                <w:szCs w:val="20"/>
                <w:color w:val="auto"/>
              </w:rPr>
            </w:pPr>
            <w:r>
              <w:rPr>
                <w:rFonts w:ascii="Arial" w:cs="Arial" w:eastAsia="Arial" w:hAnsi="Arial"/>
                <w:sz w:val="16"/>
                <w:szCs w:val="16"/>
                <w:color w:val="auto"/>
              </w:rPr>
              <w:t>Contingent consideration payment related to prior acquisition</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2,744</w:t>
            </w:r>
          </w:p>
        </w:tc>
      </w:tr>
      <w:tr>
        <w:trPr>
          <w:trHeight w:val="250"/>
        </w:trPr>
        <w:tc>
          <w:tcPr>
            <w:tcW w:w="8580" w:type="dxa"/>
            <w:vAlign w:val="bottom"/>
            <w:tcBorders>
              <w:bottom w:val="single" w:sz="8" w:color="CCEEFF"/>
            </w:tcBorders>
          </w:tcPr>
          <w:p>
            <w:pPr>
              <w:ind w:left="146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19,744</w:t>
            </w:r>
          </w:p>
        </w:tc>
      </w:tr>
      <w:tr>
        <w:trPr>
          <w:trHeight w:val="250"/>
        </w:trPr>
        <w:tc>
          <w:tcPr>
            <w:tcW w:w="858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w:t>
            </w:r>
          </w:p>
        </w:tc>
      </w:tr>
      <w:tr>
        <w:trPr>
          <w:trHeight w:val="247"/>
        </w:trPr>
        <w:tc>
          <w:tcPr>
            <w:tcW w:w="858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(10,145)</w:t>
            </w:r>
          </w:p>
        </w:tc>
      </w:tr>
      <w:tr>
        <w:trPr>
          <w:trHeight w:val="273"/>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28,452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42,032</w:t>
            </w:r>
          </w:p>
        </w:tc>
      </w:tr>
      <w:tr>
        <w:trPr>
          <w:trHeight w:val="280"/>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8,243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31,887</w:t>
            </w:r>
          </w:p>
        </w:tc>
      </w:tr>
      <w:tr>
        <w:trPr>
          <w:trHeight w:val="254"/>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4"/>
        </w:trPr>
        <w:tc>
          <w:tcPr>
            <w:tcW w:w="8580" w:type="dxa"/>
            <w:vAlign w:val="bottom"/>
          </w:tcPr>
          <w:p>
            <w:pPr>
              <w:ind w:left="380"/>
              <w:spacing w:after="0"/>
              <w:rPr>
                <w:sz w:val="20"/>
                <w:szCs w:val="20"/>
                <w:color w:val="auto"/>
              </w:rPr>
            </w:pPr>
            <w:r>
              <w:rPr>
                <w:rFonts w:ascii="Arial" w:cs="Arial" w:eastAsia="Arial" w:hAnsi="Arial"/>
                <w:sz w:val="16"/>
                <w:szCs w:val="16"/>
                <w:color w:val="auto"/>
              </w:rPr>
              <w:t>Purchases of fixed and intangible assets included in accounts payable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938</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1,611</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39" w:lineRule="exact"/>
        <w:rPr>
          <w:sz w:val="20"/>
          <w:szCs w:val="20"/>
          <w:color w:val="auto"/>
        </w:rPr>
      </w:pPr>
    </w:p>
    <w:p>
      <w:pPr>
        <w:ind w:right="20" w:firstLine="446"/>
        <w:spacing w:after="0" w:line="252" w:lineRule="auto"/>
        <w:rPr>
          <w:sz w:val="20"/>
          <w:szCs w:val="20"/>
          <w:color w:val="auto"/>
        </w:rPr>
      </w:pPr>
      <w:r>
        <w:rPr>
          <w:rFonts w:ascii="Arial" w:cs="Arial" w:eastAsia="Arial" w:hAnsi="Arial"/>
          <w:sz w:val="18"/>
          <w:szCs w:val="18"/>
          <w:color w:val="auto"/>
        </w:rPr>
        <w:t>Enphase Energy, Inc. and subsidiaries (the “Company”) delivers simple, innovative and reliable energy management solutions that advance the worldwide potential of renewable energy. Our semiconductor-based microinverter system converts direct current (DC) electricity to alternating current (AC) electricity at the individual solar module level, and brings a system-based, high technology approach to solar energy generation leveraging our design expertise across power electronics, semiconductors, networking, and cloud-based software technologies. Since inception, the Company has shipped approximately 12 million microinverters representing over 3 gigawatts of solar PV generating capacity, and more than 500,000 Enphase residential and commercial systems have been deployed in over 100 countries.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93" w:lineRule="exact"/>
        <w:rPr>
          <w:sz w:val="20"/>
          <w:szCs w:val="20"/>
          <w:color w:val="auto"/>
        </w:rPr>
      </w:pPr>
    </w:p>
    <w:p>
      <w:pPr>
        <w:ind w:right="260" w:firstLine="432"/>
        <w:spacing w:after="0" w:line="256" w:lineRule="auto"/>
        <w:rPr>
          <w:sz w:val="20"/>
          <w:szCs w:val="20"/>
          <w:color w:val="auto"/>
        </w:rPr>
      </w:pPr>
      <w:r>
        <w:rPr>
          <w:rFonts w:ascii="Arial" w:cs="Arial" w:eastAsia="Arial" w:hAnsi="Arial"/>
          <w:sz w:val="18"/>
          <w:szCs w:val="18"/>
          <w:color w:val="auto"/>
        </w:rPr>
        <w:t>The accompanying condensed consolidated financial statements are presented in accordance with accounting principles generally accepted in the U.S, or GAAP. The condensed consolidated financial statements include the accounts of the Company and its wholly-owned subsidiaries. All intercompany balances and transactions have been eliminated in the consolidation.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93"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These accompanying unaudited condensed consolidated financial statements have been prepared pursuant to the rules and regulations of the Securities and Exchange Commission (the “SEC”) for interim financial reporting. In the opinion of management, these unaudited condensed consolidated financial statements reflect all adjustments, consisting of normal recurring items, considered necessary to present fairly the Company's financial condition, results of operations, comprehensive income (loss) and cash flows for the interim periods indicated. The results of operations for the three and six months ended June 30, 2016 are not necessarily indicative of the operating results for the full year. Certain information and footnote disclosures typically included in annual consolidated financial statements have been condensed or omitted. Accordingly, these unaudited interim condensed consolidated financial statements should be read in conjunction with the consolidated financial statements and related notes included in the Company’s Annual Report on Form 10-K for the year ended December 31, 2015.</w:t>
      </w:r>
    </w:p>
    <w:p>
      <w:pPr>
        <w:spacing w:after="0" w:line="138" w:lineRule="exact"/>
        <w:rPr>
          <w:sz w:val="20"/>
          <w:szCs w:val="20"/>
          <w:color w:val="auto"/>
        </w:rPr>
      </w:pPr>
    </w:p>
    <w:p>
      <w:pPr>
        <w:jc w:val="both"/>
        <w:ind w:right="280" w:firstLine="432"/>
        <w:spacing w:after="0" w:line="256" w:lineRule="auto"/>
        <w:rPr>
          <w:sz w:val="20"/>
          <w:szCs w:val="20"/>
          <w:color w:val="auto"/>
        </w:rPr>
      </w:pPr>
      <w:r>
        <w:rPr>
          <w:rFonts w:ascii="Arial" w:cs="Arial" w:eastAsia="Arial" w:hAnsi="Arial"/>
          <w:sz w:val="18"/>
          <w:szCs w:val="18"/>
          <w:color w:val="auto"/>
        </w:rPr>
        <w:t>There have been no material changes in the Company’s significant accounting policies during the six months ended June 30, 2016, as compared to the significant accounting policies described in the Company’s Annual Report on Form 10-K for the year ended December 31, 2015. Reference is made to the disclosures therein for a summary of all of the Company’s significant accounting policies.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inventory valuation and accrued warranty obligations. These estimates are based on information available as of the date of the financial statements; therefore, actual results could differ materially from management’s estimates using different assumptions or under different conditions.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Effective</w:t>
      </w:r>
    </w:p>
    <w:p>
      <w:pPr>
        <w:spacing w:after="0" w:line="139"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which will replace most existing revenue recognition guidance under U.S. GAAP. The updated standard’s core principle is that revenue is recognized when promised goods or services are transferred to customers in an amount that reflects the consideration to which an entity expects to be entitled in exchange for those goods or services. The standard generally requires an entity to identify performance obligations in its contracts, estimate the amount of variable consideration to be received in the transaction price, allocate the transaction price to each separate performance obligation, and recognize revenue as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40"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obligations are satisfied. In addition, the updated standard requires additional disclosure about the nature, amount, timing and uncertainty of revenue and cash flows arising from customer contracts. In 2015, the FASB issued guidance to defer the effective date to fiscal years beginning after December 15, 2017 with early adoption for fiscal years beginning December 15, 2016. The guidance permits the use of either a retrospective or cumulative effect transition method. In March 2016, the FASB issued ASU 2016-08, “Revenue from Contracts with Customers: Principal versus Agent Considerations (Reporting Revenue Gross versus Net),” which clarifies the guidance in ASU 2014-09 and has the same effective date as the original standard. During the three months ended June 30, 2016, the FASB issued ASU 2016-10, “Revenue from Contracts with Customers: Identifying Performance Obligations and Licensing”; ASU 2016-11, “Rescission of SEC Guidance Because of Accounting Standards Updates 2014-09 and 2014-16 Pursuant to Staff Announcements at the March 3, 2016 EITF Meeting”; and ASU 2016-12, “Revenue from Contracts with Customers: Narrow-Scope Improvements and Practical Expedients.” These amendments are intended to improve and clarify the implementation guidance of ASU 2014-09 and have the same effective date as the original standard. The Company has not yet selected a transition method and is currently evaluating the impact of adoption on the consolidated financial statements.</w:t>
      </w:r>
    </w:p>
    <w:p>
      <w:pPr>
        <w:spacing w:after="0" w:line="104" w:lineRule="exact"/>
        <w:rPr>
          <w:sz w:val="20"/>
          <w:szCs w:val="20"/>
          <w:color w:val="auto"/>
        </w:rPr>
      </w:pPr>
    </w:p>
    <w:p>
      <w:pPr>
        <w:ind w:right="260" w:firstLine="432"/>
        <w:spacing w:after="0" w:line="252" w:lineRule="auto"/>
        <w:rPr>
          <w:sz w:val="20"/>
          <w:szCs w:val="20"/>
          <w:color w:val="auto"/>
        </w:rPr>
      </w:pPr>
      <w:r>
        <w:rPr>
          <w:rFonts w:ascii="Arial" w:cs="Arial" w:eastAsia="Arial" w:hAnsi="Arial"/>
          <w:sz w:val="18"/>
          <w:szCs w:val="18"/>
          <w:color w:val="auto"/>
        </w:rPr>
        <w:t>In August 2014, the FASB issued ASU 2014-15, “Presentation of Financial Statements—Going Concern.” The update provides U.S. GAAP guidance on management’s responsibility in evaluating whether there is substantial doubt about a company’s ability to continue as a going concern and about related footnote disclosures. For each reporting period, management will be required to evaluate whether there are conditions or events that raise substantial doubt about a company’s ability to continue as a going concern within one year from the date the financial statements are issued. The amendments in this update are effective for the annual period ending after December 15, 2016 and for annual and interim periods thereafter. The Company is currently evaluating the impact of adoption on the consolidated financial statements.</w:t>
      </w:r>
    </w:p>
    <w:p>
      <w:pPr>
        <w:spacing w:after="0" w:line="101"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In July 2015, the FASB issued ASU 2015-11, “Simplifying the Measurement of Inventory,” which requires most entities to measure most inventories at the lower of cost or net realizable value ("NRV"). This simplifies the evaluation from the current method of lower of cost or market, where market is based on one of three measures (i.e. replacement cost, net realizable value, or net realizable value less a normal profit margin). ASU 2015-11 does not apply to inventories measured under the last-in, first-out method or the retail inventory method, and defines NRV as the “estimated selling price in the ordinary course of business, less reasonably predictable costs of completion, disposal, and transportation.” ASU 2015-11 is effective for fiscal years beginning after December 15, 2016, including interim periods within those fiscal years. Early adoption is permitted for any interim and annual financial statements that have not yet been issued. The Company is currently evaluating the impact of adoption on the consolidated financial statements.</w:t>
      </w:r>
    </w:p>
    <w:p>
      <w:pPr>
        <w:spacing w:after="0" w:line="98" w:lineRule="exact"/>
        <w:rPr>
          <w:sz w:val="20"/>
          <w:szCs w:val="20"/>
          <w:color w:val="auto"/>
        </w:rPr>
      </w:pPr>
    </w:p>
    <w:p>
      <w:pPr>
        <w:ind w:right="40" w:firstLine="482"/>
        <w:spacing w:after="0" w:line="251"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which amends certain aspects of recognition, measurement, presentation, and disclosure of financial instruments. Changes to the current guidance include the accounting for equity investments, the presentation and disclosure requirements for financial instruments, and the assessment of valuation allowance on deferred tax assets related to available-for-sale securities. In addition, ASU 2016-01 establishes an incremental recognition and disclosure requirement related to the presentation of fair value changes of financial liabilities for which the fair value option has been elected. Under this guidance, an entity would be required to separately present in other comprehensive income the portion of the total fair value change attributable to instrument-specific credit risk as opposed to reflecting the entire amount in earnings. ASU 2016-01 is effective for fiscal years and interim periods beginning after December 15, 2017, and upon adoption, an entity should apply the amendments by means of a cumulative-effect adjustment to the balance sheet at the beginning of the first reporting period in which the guidance is effective. Early adoption is not permitted except for the provision to record fair value changes for financial liabilities under the fair value option resulting from instrument-specific credit risk in other comprehensive income. The Company is currently evaluating the impact of adoption on the consolidated financial statements.</w:t>
      </w:r>
    </w:p>
    <w:p>
      <w:pPr>
        <w:spacing w:after="0" w:line="103" w:lineRule="exact"/>
        <w:rPr>
          <w:sz w:val="20"/>
          <w:szCs w:val="20"/>
          <w:color w:val="auto"/>
        </w:rPr>
      </w:pPr>
    </w:p>
    <w:p>
      <w:pPr>
        <w:ind w:right="240" w:firstLine="432"/>
        <w:spacing w:after="0" w:line="254" w:lineRule="auto"/>
        <w:rPr>
          <w:sz w:val="20"/>
          <w:szCs w:val="20"/>
          <w:color w:val="auto"/>
        </w:rPr>
      </w:pPr>
      <w:r>
        <w:rPr>
          <w:rFonts w:ascii="Arial" w:cs="Arial" w:eastAsia="Arial" w:hAnsi="Arial"/>
          <w:sz w:val="18"/>
          <w:szCs w:val="18"/>
          <w:color w:val="auto"/>
        </w:rPr>
        <w:t>In March 2016, the FASB issued ASU 2016-09, “Improvements to Employee Share-Based Payment Accounting,” which will simplify the income tax consequences, accounting for forfeitures and classification on the Statements of Consolidated Cash Flows. ASU 2016-09 is effective for fiscal years and interim periods beginning after December 15, 2016, with early adoption permitted. The Company is currently evaluating the impact of adoption on the consolidated financial statements.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INVENTORY</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Inventory as of June 30, 2016 and December 31, 2015 consists of the following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300" w:type="dxa"/>
            <w:vAlign w:val="bottom"/>
          </w:tcPr>
          <w:p>
            <w:pPr>
              <w:jc w:val="right"/>
              <w:ind w:right="217"/>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2015</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2,202</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37,195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38,598</w:t>
            </w: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inventory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39,295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40,800</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WARRANTY OBLIGATIONS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warranty activities during the three and six months ended June 30, 2016 and 2015 were as follows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r>
      <w:tr>
        <w:trPr>
          <w:trHeight w:val="25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Warranty obligations, beginning of period</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29,659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34,163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30,547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33,940</w:t>
            </w:r>
          </w:p>
        </w:tc>
      </w:tr>
      <w:tr>
        <w:trPr>
          <w:trHeight w:val="263"/>
        </w:trPr>
        <w:tc>
          <w:tcPr>
            <w:tcW w:w="6500" w:type="dxa"/>
            <w:vAlign w:val="bottom"/>
          </w:tcPr>
          <w:p>
            <w:pPr>
              <w:ind w:left="280"/>
              <w:spacing w:after="0"/>
              <w:rPr>
                <w:sz w:val="20"/>
                <w:szCs w:val="20"/>
                <w:color w:val="auto"/>
              </w:rPr>
            </w:pPr>
            <w:r>
              <w:rPr>
                <w:rFonts w:ascii="Arial" w:cs="Arial" w:eastAsia="Arial" w:hAnsi="Arial"/>
                <w:sz w:val="18"/>
                <w:szCs w:val="18"/>
                <w:color w:val="auto"/>
              </w:rPr>
              <w:t>Accruals for warranties issued during period</w:t>
            </w:r>
          </w:p>
        </w:tc>
        <w:tc>
          <w:tcPr>
            <w:tcW w:w="280" w:type="dxa"/>
            <w:vAlign w:val="bottom"/>
          </w:tcPr>
          <w:p>
            <w:pPr>
              <w:spacing w:after="0"/>
              <w:rPr>
                <w:sz w:val="22"/>
                <w:szCs w:val="22"/>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1,737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2,307</w:t>
            </w:r>
          </w:p>
        </w:tc>
      </w:tr>
      <w:tr>
        <w:trPr>
          <w:trHeight w:val="277"/>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Changes in estimates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238</w:t>
            </w:r>
          </w:p>
        </w:tc>
      </w:tr>
      <w:tr>
        <w:trPr>
          <w:trHeight w:val="263"/>
        </w:trPr>
        <w:tc>
          <w:tcPr>
            <w:tcW w:w="650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(2,865)</w:t>
            </w:r>
          </w:p>
        </w:tc>
      </w:tr>
      <w:tr>
        <w:trPr>
          <w:trHeight w:val="277"/>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due to accretion expense</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371</w:t>
            </w:r>
          </w:p>
        </w:tc>
      </w:tr>
      <w:tr>
        <w:trPr>
          <w:trHeight w:val="264"/>
        </w:trPr>
        <w:tc>
          <w:tcPr>
            <w:tcW w:w="6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Warranty obligations, end of period</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30,066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33,763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30,066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33,763</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current portion</w:t>
            </w:r>
          </w:p>
        </w:tc>
        <w:tc>
          <w:tcPr>
            <w:tcW w:w="2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(7,251)</w:t>
            </w: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23,340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26,512</w:t>
            </w:r>
          </w:p>
        </w:tc>
      </w:tr>
      <w:tr>
        <w:trPr>
          <w:trHeight w:val="20"/>
        </w:trPr>
        <w:tc>
          <w:tcPr>
            <w:tcW w:w="6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color w:val="auto"/>
        </w:rPr>
        <w:t xml:space="preserve">As of June 30, 2016, the $30.1 million in warranty obligations included $8.1 million measured at fair value (see Note 4,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93" w:lineRule="exact"/>
        <w:rPr>
          <w:sz w:val="20"/>
          <w:szCs w:val="20"/>
          <w:color w:val="auto"/>
        </w:rPr>
      </w:pPr>
    </w:p>
    <w:p>
      <w:pPr>
        <w:ind w:right="320" w:firstLine="446"/>
        <w:spacing w:after="0" w:line="253" w:lineRule="auto"/>
        <w:rPr>
          <w:sz w:val="20"/>
          <w:szCs w:val="20"/>
          <w:color w:val="auto"/>
        </w:rPr>
      </w:pPr>
      <w:r>
        <w:rPr>
          <w:rFonts w:ascii="Arial" w:cs="Arial" w:eastAsia="Arial" w:hAnsi="Arial"/>
          <w:sz w:val="18"/>
          <w:szCs w:val="18"/>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152" w:lineRule="exact"/>
        <w:rPr>
          <w:sz w:val="20"/>
          <w:szCs w:val="20"/>
          <w:color w:val="auto"/>
        </w:rPr>
      </w:pPr>
    </w:p>
    <w:p>
      <w:pPr>
        <w:ind w:right="260" w:firstLine="446"/>
        <w:spacing w:after="0" w:line="256" w:lineRule="auto"/>
        <w:rPr>
          <w:sz w:val="20"/>
          <w:szCs w:val="20"/>
          <w:color w:val="auto"/>
        </w:rPr>
      </w:pPr>
      <w:r>
        <w:rPr>
          <w:rFonts w:ascii="Arial" w:cs="Arial" w:eastAsia="Arial" w:hAnsi="Arial"/>
          <w:sz w:val="18"/>
          <w:szCs w:val="18"/>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67" w:lineRule="exact"/>
        <w:rPr>
          <w:sz w:val="20"/>
          <w:szCs w:val="20"/>
          <w:color w:val="auto"/>
        </w:rPr>
      </w:pPr>
    </w:p>
    <w:p>
      <w:pPr>
        <w:ind w:left="980" w:right="20" w:hanging="486"/>
        <w:spacing w:after="0" w:line="256"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66" w:lineRule="exact"/>
        <w:rPr>
          <w:rFonts w:ascii="Arial" w:cs="Arial" w:eastAsia="Arial" w:hAnsi="Arial"/>
          <w:sz w:val="18"/>
          <w:szCs w:val="18"/>
          <w:color w:val="auto"/>
        </w:rPr>
      </w:pPr>
    </w:p>
    <w:p>
      <w:pPr>
        <w:ind w:left="980" w:right="640" w:hanging="486"/>
        <w:spacing w:after="0" w:line="262"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2—Valuations based on one or more quoted prices in markets that are not active or for which all significant inputs are observable, either directly or indirectly.</w:t>
      </w:r>
    </w:p>
    <w:p>
      <w:pPr>
        <w:spacing w:after="0" w:line="61"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1000" w:firstLine="446"/>
        <w:spacing w:after="0" w:line="262" w:lineRule="auto"/>
        <w:rPr>
          <w:sz w:val="20"/>
          <w:szCs w:val="20"/>
          <w:color w:val="auto"/>
        </w:rPr>
      </w:pPr>
      <w:r>
        <w:rPr>
          <w:rFonts w:ascii="Arial" w:cs="Arial" w:eastAsia="Arial" w:hAnsi="Arial"/>
          <w:sz w:val="18"/>
          <w:szCs w:val="18"/>
          <w:color w:val="auto"/>
        </w:rPr>
        <w:t>The following table presents the Company’s assets and liabilities that were measured at fair value on a recurring basis and its categorization within the fair value hierarchy at June 30, 2016 and December 31, 2015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20" w:type="dxa"/>
            <w:vAlign w:val="bottom"/>
          </w:tcPr>
          <w:p>
            <w:pPr>
              <w:jc w:val="right"/>
              <w:ind w:right="156"/>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08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Hierarchy</w:t>
            </w:r>
          </w:p>
        </w:tc>
        <w:tc>
          <w:tcPr>
            <w:tcW w:w="260" w:type="dxa"/>
            <w:vAlign w:val="bottom"/>
          </w:tcPr>
          <w:p>
            <w:pPr>
              <w:spacing w:after="0"/>
              <w:rPr>
                <w:sz w:val="17"/>
                <w:szCs w:val="17"/>
                <w:color w:val="auto"/>
              </w:rPr>
            </w:pPr>
          </w:p>
        </w:tc>
        <w:tc>
          <w:tcPr>
            <w:tcW w:w="1120" w:type="dxa"/>
            <w:vAlign w:val="bottom"/>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436"/>
              <w:spacing w:after="0"/>
              <w:rPr>
                <w:sz w:val="20"/>
                <w:szCs w:val="20"/>
                <w:color w:val="auto"/>
              </w:rPr>
            </w:pPr>
            <w:r>
              <w:rPr>
                <w:rFonts w:ascii="Arial" w:cs="Arial" w:eastAsia="Arial" w:hAnsi="Arial"/>
                <w:sz w:val="14"/>
                <w:szCs w:val="14"/>
                <w:b w:val="1"/>
                <w:bCs w:val="1"/>
                <w:color w:val="auto"/>
              </w:rPr>
              <w:t>2015</w:t>
            </w:r>
          </w:p>
        </w:tc>
      </w:tr>
      <w:tr>
        <w:trPr>
          <w:trHeight w:val="270"/>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Foreign currency forward contracts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Level 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86</w:t>
            </w:r>
          </w:p>
        </w:tc>
      </w:tr>
      <w:tr>
        <w:trPr>
          <w:trHeight w:val="304"/>
        </w:trPr>
        <w:tc>
          <w:tcPr>
            <w:tcW w:w="7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Level 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Warranty obligations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Level 3</w:t>
            </w:r>
          </w:p>
        </w:tc>
        <w:tc>
          <w:tcPr>
            <w:tcW w:w="260" w:type="dxa"/>
            <w:vAlign w:val="bottom"/>
          </w:tcPr>
          <w:p>
            <w:pPr>
              <w:spacing w:after="0"/>
              <w:rPr>
                <w:sz w:val="22"/>
                <w:szCs w:val="22"/>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8,053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6,182</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Level 3</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473</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193" w:lineRule="exact"/>
        <w:rPr>
          <w:sz w:val="20"/>
          <w:szCs w:val="20"/>
          <w:color w:val="auto"/>
        </w:rPr>
      </w:pPr>
    </w:p>
    <w:p>
      <w:pPr>
        <w:ind w:right="20" w:firstLine="446"/>
        <w:spacing w:after="0" w:line="253" w:lineRule="auto"/>
        <w:rPr>
          <w:sz w:val="20"/>
          <w:szCs w:val="20"/>
          <w:color w:val="auto"/>
        </w:rPr>
      </w:pPr>
      <w:r>
        <w:rPr>
          <w:rFonts w:ascii="Arial" w:cs="Arial" w:eastAsia="Arial" w:hAnsi="Arial"/>
          <w:sz w:val="18"/>
          <w:szCs w:val="18"/>
          <w:color w:val="auto"/>
        </w:rPr>
        <w:t>The Company utilizes foreign currency forward contracts from time to time to reduce the impact of foreign currency fluctuations arising from both sales and purchases denominated in Euros and the British Pound Sterling. At June 30, 2016 and December 31, 2015, the notional amounts of the Company’s foreign currency forward contracts outstanding were $0.7 million and $ 2.4 million, respectively. For the three and six months ended June 30, 2016 and 2015, gains and losses from foreign currency forward contracts recorded in other income (expense), net were insignificant.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Option for Warranty Obligations Related to Microinverters Sold Since January 1, 2014</w:t>
      </w:r>
    </w:p>
    <w:p>
      <w:pPr>
        <w:spacing w:after="0" w:line="193" w:lineRule="exact"/>
        <w:rPr>
          <w:sz w:val="20"/>
          <w:szCs w:val="20"/>
          <w:color w:val="auto"/>
        </w:rPr>
      </w:pPr>
    </w:p>
    <w:p>
      <w:pPr>
        <w:ind w:right="220" w:firstLine="446"/>
        <w:spacing w:after="0" w:line="252" w:lineRule="auto"/>
        <w:rPr>
          <w:sz w:val="20"/>
          <w:szCs w:val="20"/>
          <w:color w:val="auto"/>
        </w:rPr>
      </w:pPr>
      <w:r>
        <w:rPr>
          <w:rFonts w:ascii="Arial" w:cs="Arial" w:eastAsia="Arial" w:hAnsi="Arial"/>
          <w:sz w:val="18"/>
          <w:szCs w:val="18"/>
          <w:color w:val="auto"/>
        </w:rPr>
        <w:t>The Company’s warranty obligations related to microinverters sold since January 1, 2014 provide the Company the right, but not the requirement, to assign its warranty obligations to a third-party. Under Accounting Standards Codification (“ASC”) 825—Financial Instruments, (“fair value option”), an entity may choose to elect the fair value option for such warranties at the time it first recognizes the eligible item. The Company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w:t>
      </w:r>
    </w:p>
    <w:p>
      <w:pPr>
        <w:spacing w:after="0" w:line="155" w:lineRule="exact"/>
        <w:rPr>
          <w:sz w:val="20"/>
          <w:szCs w:val="20"/>
          <w:color w:val="auto"/>
        </w:rPr>
      </w:pPr>
    </w:p>
    <w:p>
      <w:pPr>
        <w:jc w:val="both"/>
        <w:ind w:right="320" w:firstLine="446"/>
        <w:spacing w:after="0" w:line="250" w:lineRule="auto"/>
        <w:rPr>
          <w:sz w:val="20"/>
          <w:szCs w:val="20"/>
          <w:color w:val="auto"/>
        </w:rPr>
      </w:pPr>
      <w:r>
        <w:rPr>
          <w:rFonts w:ascii="Arial" w:cs="Arial" w:eastAsia="Arial" w:hAnsi="Arial"/>
          <w:sz w:val="18"/>
          <w:szCs w:val="18"/>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w:t>
      </w:r>
    </w:p>
    <w:p>
      <w:pPr>
        <w:spacing w:after="0" w:line="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Such additional assumptions included a discount rate based on the Company’s credit-adjusted risk-free rate and compensation comprised of a profit element and risk premium required of a market participant to assume the obligation.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0"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620" w:firstLine="446"/>
        <w:spacing w:after="0" w:line="262" w:lineRule="auto"/>
        <w:rPr>
          <w:sz w:val="20"/>
          <w:szCs w:val="20"/>
          <w:color w:val="auto"/>
        </w:rPr>
      </w:pPr>
      <w:r>
        <w:rPr>
          <w:rFonts w:ascii="Arial" w:cs="Arial" w:eastAsia="Arial" w:hAnsi="Arial"/>
          <w:sz w:val="18"/>
          <w:szCs w:val="18"/>
          <w:color w:val="auto"/>
        </w:rPr>
        <w:t>The following table provides information regarding changes in nonfinancial liabilities related to the Company’s warranty obligations measured at fair value on a recurring basis using significant unobservable inputs (Level 3) for the periods indicated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94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r>
      <w:tr>
        <w:trPr>
          <w:trHeight w:val="249"/>
        </w:trPr>
        <w:tc>
          <w:tcPr>
            <w:tcW w:w="69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6,489</w:t>
            </w:r>
          </w:p>
        </w:tc>
        <w:tc>
          <w:tcPr>
            <w:tcW w:w="10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4,783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6,182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3,562</w:t>
            </w:r>
          </w:p>
        </w:tc>
      </w:tr>
      <w:tr>
        <w:trPr>
          <w:trHeight w:val="277"/>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 for warranties issued during period</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2,183</w:t>
            </w:r>
          </w:p>
        </w:tc>
      </w:tr>
      <w:tr>
        <w:trPr>
          <w:trHeight w:val="263"/>
        </w:trPr>
        <w:tc>
          <w:tcPr>
            <w:tcW w:w="6940" w:type="dxa"/>
            <w:vAlign w:val="bottom"/>
          </w:tcPr>
          <w:p>
            <w:pPr>
              <w:ind w:left="180"/>
              <w:spacing w:after="0"/>
              <w:rPr>
                <w:sz w:val="20"/>
                <w:szCs w:val="20"/>
                <w:color w:val="auto"/>
              </w:rPr>
            </w:pPr>
            <w:r>
              <w:rPr>
                <w:rFonts w:ascii="Arial" w:cs="Arial" w:eastAsia="Arial" w:hAnsi="Arial"/>
                <w:sz w:val="18"/>
                <w:szCs w:val="18"/>
                <w:color w:val="auto"/>
              </w:rPr>
              <w:t>Changes in estimates</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63"/>
        </w:trPr>
        <w:tc>
          <w:tcPr>
            <w:tcW w:w="6940" w:type="dxa"/>
            <w:vAlign w:val="bottom"/>
          </w:tcPr>
          <w:p>
            <w:pPr>
              <w:ind w:left="180"/>
              <w:spacing w:after="0"/>
              <w:rPr>
                <w:sz w:val="20"/>
                <w:szCs w:val="20"/>
                <w:color w:val="auto"/>
              </w:rPr>
            </w:pPr>
            <w:r>
              <w:rPr>
                <w:rFonts w:ascii="Arial" w:cs="Arial" w:eastAsia="Arial" w:hAnsi="Arial"/>
                <w:sz w:val="18"/>
                <w:szCs w:val="18"/>
                <w:color w:val="auto"/>
              </w:rPr>
              <w:t>Increase due to accretion expense</w:t>
            </w:r>
          </w:p>
        </w:tc>
        <w:tc>
          <w:tcPr>
            <w:tcW w:w="240" w:type="dxa"/>
            <w:vAlign w:val="bottom"/>
          </w:tcPr>
          <w:p>
            <w:pPr>
              <w:spacing w:after="0"/>
              <w:rPr>
                <w:sz w:val="22"/>
                <w:szCs w:val="22"/>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371</w:t>
            </w:r>
          </w:p>
        </w:tc>
      </w:tr>
      <w:tr>
        <w:trPr>
          <w:trHeight w:val="27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57"/>
        </w:trPr>
        <w:tc>
          <w:tcPr>
            <w:tcW w:w="69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8,053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5,803</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8,053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5,803</w:t>
            </w:r>
          </w:p>
        </w:tc>
      </w:tr>
      <w:tr>
        <w:trPr>
          <w:trHeight w:val="20"/>
        </w:trPr>
        <w:tc>
          <w:tcPr>
            <w:tcW w:w="6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 Liability</w:t>
      </w:r>
    </w:p>
    <w:p>
      <w:pPr>
        <w:spacing w:after="0" w:line="139" w:lineRule="exact"/>
        <w:rPr>
          <w:sz w:val="20"/>
          <w:szCs w:val="20"/>
          <w:color w:val="auto"/>
        </w:rPr>
      </w:pPr>
    </w:p>
    <w:p>
      <w:pPr>
        <w:ind w:right="100" w:firstLine="446"/>
        <w:spacing w:after="0" w:line="256" w:lineRule="auto"/>
        <w:rPr>
          <w:sz w:val="20"/>
          <w:szCs w:val="20"/>
          <w:color w:val="auto"/>
        </w:rPr>
      </w:pPr>
      <w:r>
        <w:rPr>
          <w:rFonts w:ascii="Arial" w:cs="Arial" w:eastAsia="Arial" w:hAnsi="Arial"/>
          <w:sz w:val="18"/>
          <w:szCs w:val="18"/>
          <w:color w:val="auto"/>
        </w:rPr>
        <w:t>The following table provides information regarding changes in financial liabilities related to the contingent consideration liability arising from a previous acquisition measured at fair value on a recurring basis using significant unobservable inputs (Level 3) for the periods indicated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94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r>
      <w:tr>
        <w:trPr>
          <w:trHeight w:val="249"/>
        </w:trPr>
        <w:tc>
          <w:tcPr>
            <w:tcW w:w="69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2,404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2,300</w:t>
            </w:r>
          </w:p>
        </w:tc>
      </w:tr>
      <w:tr>
        <w:trPr>
          <w:trHeight w:val="277"/>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Revaluations</w:t>
            </w:r>
          </w:p>
        </w:tc>
        <w:tc>
          <w:tcPr>
            <w:tcW w:w="2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64"/>
        </w:trPr>
        <w:tc>
          <w:tcPr>
            <w:tcW w:w="6940" w:type="dxa"/>
            <w:vAlign w:val="bottom"/>
          </w:tcPr>
          <w:p>
            <w:pPr>
              <w:ind w:left="180"/>
              <w:spacing w:after="0"/>
              <w:rPr>
                <w:sz w:val="20"/>
                <w:szCs w:val="20"/>
                <w:color w:val="auto"/>
              </w:rPr>
            </w:pPr>
            <w:r>
              <w:rPr>
                <w:rFonts w:ascii="Arial" w:cs="Arial" w:eastAsia="Arial" w:hAnsi="Arial"/>
                <w:sz w:val="18"/>
                <w:szCs w:val="18"/>
                <w:color w:val="auto"/>
              </w:rPr>
              <w:t>Contingent consideration payment</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444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444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1,400</w:t>
            </w:r>
          </w:p>
        </w:tc>
      </w:tr>
      <w:tr>
        <w:trPr>
          <w:trHeight w:val="20"/>
        </w:trPr>
        <w:tc>
          <w:tcPr>
            <w:tcW w:w="6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Information about Level 3 Fair Value Measurements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2016, the significant unobservable inputs used in the fair value measurement of the Company’s liabilities designated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3 are as follows:</w:t>
      </w:r>
    </w:p>
    <w:p>
      <w:pPr>
        <w:sectPr>
          <w:pgSz w:w="11900" w:h="16838" w:orient="portrait"/>
          <w:cols w:equalWidth="0" w:num="1">
            <w:col w:w="11420"/>
          </w:cols>
          <w:pgMar w:left="240" w:top="140" w:right="239" w:bottom="1440" w:gutter="0" w:footer="0" w:header="0"/>
        </w:sectPr>
      </w:pPr>
    </w:p>
    <w:p>
      <w:pPr>
        <w:spacing w:after="0" w:line="32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Item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344545" cy="403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4545" cy="403225"/>
                    </a:xfrm>
                    <a:prstGeom prst="rect">
                      <a:avLst/>
                    </a:prstGeom>
                    <a:noFill/>
                  </pic:spPr>
                </pic:pic>
              </a:graphicData>
            </a:graphic>
          </wp:anchor>
        </w:drawing>
      </w:r>
    </w:p>
    <w:p>
      <w:pPr>
        <w:spacing w:after="0" w:line="64" w:lineRule="exact"/>
        <w:rPr>
          <w:sz w:val="20"/>
          <w:szCs w:val="20"/>
          <w:color w:val="auto"/>
        </w:rPr>
      </w:pPr>
    </w:p>
    <w:p>
      <w:pPr>
        <w:ind w:left="200" w:hanging="80"/>
        <w:spacing w:after="0" w:line="253" w:lineRule="auto"/>
        <w:rPr>
          <w:sz w:val="20"/>
          <w:szCs w:val="20"/>
          <w:color w:val="auto"/>
        </w:rPr>
      </w:pPr>
      <w:r>
        <w:rPr>
          <w:rFonts w:ascii="Arial" w:cs="Arial" w:eastAsia="Arial" w:hAnsi="Arial"/>
          <w:sz w:val="16"/>
          <w:szCs w:val="16"/>
          <w:color w:val="auto"/>
        </w:rPr>
        <w:t>Warranty obligations for microinverters sold since January 1, 2014</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Contingent consideration liability</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Percent Used</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Borders>
              <w:bottom w:val="single" w:sz="8" w:color="CCEEFF"/>
            </w:tcBorders>
          </w:tcPr>
          <w:p>
            <w:pPr>
              <w:spacing w:after="0"/>
              <w:rPr>
                <w:sz w:val="17"/>
                <w:szCs w:val="17"/>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Description of Significant Unobservable Input</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277"/>
        </w:trPr>
        <w:tc>
          <w:tcPr>
            <w:tcW w:w="2400" w:type="dxa"/>
            <w:vAlign w:val="bottom"/>
            <w:vMerge w:val="restart"/>
          </w:tcPr>
          <w:p>
            <w:pPr>
              <w:jc w:val="center"/>
              <w:spacing w:after="0"/>
              <w:rPr>
                <w:sz w:val="20"/>
                <w:szCs w:val="20"/>
                <w:color w:val="auto"/>
              </w:rPr>
            </w:pPr>
            <w:r>
              <w:rPr>
                <w:rFonts w:ascii="Arial" w:cs="Arial" w:eastAsia="Arial" w:hAnsi="Arial"/>
                <w:sz w:val="16"/>
                <w:szCs w:val="16"/>
                <w:color w:val="auto"/>
              </w:rPr>
              <w:t>Discounted cash flows</w:t>
            </w:r>
          </w:p>
        </w:tc>
        <w:tc>
          <w:tcPr>
            <w:tcW w:w="120" w:type="dxa"/>
            <w:vAlign w:val="bottom"/>
            <w:tcBorders>
              <w:bottom w:val="single" w:sz="8" w:color="CCEEFF"/>
            </w:tcBorders>
            <w:shd w:val="clear" w:color="auto" w:fill="CCEEFF"/>
          </w:tcPr>
          <w:p>
            <w:pPr>
              <w:spacing w:after="0"/>
              <w:rPr>
                <w:sz w:val="24"/>
                <w:szCs w:val="24"/>
                <w:color w:val="auto"/>
              </w:rPr>
            </w:pPr>
          </w:p>
        </w:tc>
        <w:tc>
          <w:tcPr>
            <w:tcW w:w="43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Profit element and risk premium</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16"/>
        </w:trPr>
        <w:tc>
          <w:tcPr>
            <w:tcW w:w="24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3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rPr>
              <w:t>Credit-adjusted risk-free rate</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20" w:type="dxa"/>
            <w:vAlign w:val="bottom"/>
            <w:gridSpan w:val="2"/>
            <w:vMerge w:val="continue"/>
            <w:shd w:val="clear" w:color="auto" w:fill="CCEEFF"/>
          </w:tcPr>
          <w:p>
            <w:pPr>
              <w:spacing w:after="0"/>
              <w:rPr>
                <w:sz w:val="12"/>
                <w:szCs w:val="12"/>
                <w:color w:val="auto"/>
              </w:rPr>
            </w:pPr>
          </w:p>
        </w:tc>
        <w:tc>
          <w:tcPr>
            <w:tcW w:w="1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2400" w:type="dxa"/>
            <w:vAlign w:val="bottom"/>
            <w:vMerge w:val="restart"/>
          </w:tcPr>
          <w:p>
            <w:pPr>
              <w:jc w:val="center"/>
              <w:spacing w:after="0"/>
              <w:rPr>
                <w:sz w:val="20"/>
                <w:szCs w:val="20"/>
                <w:color w:val="auto"/>
              </w:rPr>
            </w:pPr>
            <w:r>
              <w:rPr>
                <w:rFonts w:ascii="Arial" w:cs="Arial" w:eastAsia="Arial" w:hAnsi="Arial"/>
                <w:sz w:val="16"/>
                <w:szCs w:val="16"/>
                <w:color w:val="auto"/>
              </w:rPr>
              <w:t>Probability-weighted discounted</w:t>
            </w:r>
          </w:p>
        </w:tc>
        <w:tc>
          <w:tcPr>
            <w:tcW w:w="120" w:type="dxa"/>
            <w:vAlign w:val="bottom"/>
          </w:tcPr>
          <w:p>
            <w:pPr>
              <w:spacing w:after="0"/>
              <w:rPr>
                <w:sz w:val="5"/>
                <w:szCs w:val="5"/>
                <w:color w:val="auto"/>
              </w:rPr>
            </w:pPr>
          </w:p>
        </w:tc>
        <w:tc>
          <w:tcPr>
            <w:tcW w:w="4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94"/>
        </w:trPr>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32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rPr>
              <w:t>Risk-adjusted discount rate</w:t>
            </w:r>
          </w:p>
        </w:tc>
        <w:tc>
          <w:tcPr>
            <w:tcW w:w="1820" w:type="dxa"/>
            <w:vAlign w:val="bottom"/>
            <w:vMerge w:val="restart"/>
          </w:tcPr>
          <w:p>
            <w:pPr>
              <w:jc w:val="center"/>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00"/>
        </w:trPr>
        <w:tc>
          <w:tcPr>
            <w:tcW w:w="2400" w:type="dxa"/>
            <w:vAlign w:val="bottom"/>
            <w:vMerge w:val="restart"/>
          </w:tcPr>
          <w:p>
            <w:pPr>
              <w:jc w:val="center"/>
              <w:spacing w:after="0"/>
              <w:rPr>
                <w:sz w:val="20"/>
                <w:szCs w:val="20"/>
                <w:color w:val="auto"/>
              </w:rPr>
            </w:pPr>
            <w:r>
              <w:rPr>
                <w:rFonts w:ascii="Arial" w:cs="Arial" w:eastAsia="Arial" w:hAnsi="Arial"/>
                <w:sz w:val="16"/>
                <w:szCs w:val="16"/>
                <w:color w:val="auto"/>
              </w:rPr>
              <w:t>cash flows</w:t>
            </w:r>
          </w:p>
        </w:tc>
        <w:tc>
          <w:tcPr>
            <w:tcW w:w="120" w:type="dxa"/>
            <w:vAlign w:val="bottom"/>
          </w:tcPr>
          <w:p>
            <w:pPr>
              <w:spacing w:after="0"/>
              <w:rPr>
                <w:sz w:val="8"/>
                <w:szCs w:val="8"/>
                <w:color w:val="auto"/>
              </w:rPr>
            </w:pPr>
          </w:p>
        </w:tc>
        <w:tc>
          <w:tcPr>
            <w:tcW w:w="4320" w:type="dxa"/>
            <w:vAlign w:val="bottom"/>
            <w:gridSpan w:val="2"/>
            <w:vMerge w:val="continue"/>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4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ectPr>
          <w:pgSz w:w="11900" w:h="16838" w:orient="portrait"/>
          <w:cols w:equalWidth="0" w:num="2">
            <w:col w:w="2600" w:space="160"/>
            <w:col w:w="8660"/>
          </w:cols>
          <w:pgMar w:left="240" w:top="140" w:right="239" w:bottom="1440" w:gutter="0" w:footer="0" w:header="0"/>
          <w:type w:val="continuous"/>
        </w:sectPr>
      </w:pPr>
    </w:p>
    <w:p>
      <w:pPr>
        <w:ind w:right="60" w:firstLine="486"/>
        <w:spacing w:after="0" w:line="262" w:lineRule="auto"/>
        <w:rPr>
          <w:sz w:val="20"/>
          <w:szCs w:val="20"/>
          <w:color w:val="auto"/>
        </w:rPr>
      </w:pPr>
      <w:r>
        <w:rPr>
          <w:rFonts w:ascii="Arial" w:cs="Arial" w:eastAsia="Arial" w:hAnsi="Arial"/>
          <w:sz w:val="18"/>
          <w:szCs w:val="18"/>
          <w:color w:val="auto"/>
        </w:rPr>
        <w:t>As of December 31, 2015, the significant unobservable inputs used in the fair value measurement of the Company’s liabilities designated as Level 3 are as follows:</w:t>
      </w:r>
    </w:p>
    <w:p>
      <w:pPr>
        <w:sectPr>
          <w:pgSz w:w="11900" w:h="16838" w:orient="portrait"/>
          <w:cols w:equalWidth="0" w:num="1">
            <w:col w:w="11420"/>
          </w:cols>
          <w:pgMar w:left="240" w:top="140" w:right="239" w:bottom="1440" w:gutter="0" w:footer="0" w:header="0"/>
          <w:type w:val="continuous"/>
        </w:sect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Item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344545" cy="403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4545" cy="403225"/>
                    </a:xfrm>
                    <a:prstGeom prst="rect">
                      <a:avLst/>
                    </a:prstGeom>
                    <a:noFill/>
                  </pic:spPr>
                </pic:pic>
              </a:graphicData>
            </a:graphic>
          </wp:anchor>
        </w:drawing>
      </w:r>
    </w:p>
    <w:p>
      <w:pPr>
        <w:spacing w:after="0" w:line="64" w:lineRule="exact"/>
        <w:rPr>
          <w:sz w:val="20"/>
          <w:szCs w:val="20"/>
          <w:color w:val="auto"/>
        </w:rPr>
      </w:pPr>
    </w:p>
    <w:p>
      <w:pPr>
        <w:ind w:left="200" w:hanging="80"/>
        <w:spacing w:after="0" w:line="253" w:lineRule="auto"/>
        <w:rPr>
          <w:sz w:val="20"/>
          <w:szCs w:val="20"/>
          <w:color w:val="auto"/>
        </w:rPr>
      </w:pPr>
      <w:r>
        <w:rPr>
          <w:rFonts w:ascii="Arial" w:cs="Arial" w:eastAsia="Arial" w:hAnsi="Arial"/>
          <w:sz w:val="16"/>
          <w:szCs w:val="16"/>
          <w:color w:val="auto"/>
        </w:rPr>
        <w:t>Warranty obligations for microinverters sold since January 1, 2014</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Contingent consideration liability</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Percent Used</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Borders>
              <w:bottom w:val="single" w:sz="8" w:color="CCEEFF"/>
            </w:tcBorders>
          </w:tcPr>
          <w:p>
            <w:pPr>
              <w:spacing w:after="0"/>
              <w:rPr>
                <w:sz w:val="17"/>
                <w:szCs w:val="17"/>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Description of Significant Unobservable Input</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277"/>
        </w:trPr>
        <w:tc>
          <w:tcPr>
            <w:tcW w:w="2400" w:type="dxa"/>
            <w:vAlign w:val="bottom"/>
            <w:vMerge w:val="restart"/>
          </w:tcPr>
          <w:p>
            <w:pPr>
              <w:jc w:val="center"/>
              <w:spacing w:after="0"/>
              <w:rPr>
                <w:sz w:val="20"/>
                <w:szCs w:val="20"/>
                <w:color w:val="auto"/>
              </w:rPr>
            </w:pPr>
            <w:r>
              <w:rPr>
                <w:rFonts w:ascii="Arial" w:cs="Arial" w:eastAsia="Arial" w:hAnsi="Arial"/>
                <w:sz w:val="16"/>
                <w:szCs w:val="16"/>
                <w:color w:val="auto"/>
              </w:rPr>
              <w:t>Discounted cash flows</w:t>
            </w:r>
          </w:p>
        </w:tc>
        <w:tc>
          <w:tcPr>
            <w:tcW w:w="120" w:type="dxa"/>
            <w:vAlign w:val="bottom"/>
            <w:tcBorders>
              <w:bottom w:val="single" w:sz="8" w:color="CCEEFF"/>
            </w:tcBorders>
            <w:shd w:val="clear" w:color="auto" w:fill="CCEEFF"/>
          </w:tcPr>
          <w:p>
            <w:pPr>
              <w:spacing w:after="0"/>
              <w:rPr>
                <w:sz w:val="24"/>
                <w:szCs w:val="24"/>
                <w:color w:val="auto"/>
              </w:rPr>
            </w:pPr>
          </w:p>
        </w:tc>
        <w:tc>
          <w:tcPr>
            <w:tcW w:w="43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Profit element and risk premium</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16"/>
        </w:trPr>
        <w:tc>
          <w:tcPr>
            <w:tcW w:w="24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3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rPr>
              <w:t>Credit-adjusted risk-free rate</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20" w:type="dxa"/>
            <w:vAlign w:val="bottom"/>
            <w:gridSpan w:val="2"/>
            <w:vMerge w:val="continue"/>
            <w:shd w:val="clear" w:color="auto" w:fill="CCEEFF"/>
          </w:tcPr>
          <w:p>
            <w:pPr>
              <w:spacing w:after="0"/>
              <w:rPr>
                <w:sz w:val="12"/>
                <w:szCs w:val="12"/>
                <w:color w:val="auto"/>
              </w:rPr>
            </w:pPr>
          </w:p>
        </w:tc>
        <w:tc>
          <w:tcPr>
            <w:tcW w:w="1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2400" w:type="dxa"/>
            <w:vAlign w:val="bottom"/>
            <w:vMerge w:val="restart"/>
          </w:tcPr>
          <w:p>
            <w:pPr>
              <w:jc w:val="center"/>
              <w:spacing w:after="0"/>
              <w:rPr>
                <w:sz w:val="20"/>
                <w:szCs w:val="20"/>
                <w:color w:val="auto"/>
              </w:rPr>
            </w:pPr>
            <w:r>
              <w:rPr>
                <w:rFonts w:ascii="Arial" w:cs="Arial" w:eastAsia="Arial" w:hAnsi="Arial"/>
                <w:sz w:val="16"/>
                <w:szCs w:val="16"/>
                <w:color w:val="auto"/>
              </w:rPr>
              <w:t>Probability-weighted discounted</w:t>
            </w:r>
          </w:p>
        </w:tc>
        <w:tc>
          <w:tcPr>
            <w:tcW w:w="120" w:type="dxa"/>
            <w:vAlign w:val="bottom"/>
          </w:tcPr>
          <w:p>
            <w:pPr>
              <w:spacing w:after="0"/>
              <w:rPr>
                <w:sz w:val="5"/>
                <w:szCs w:val="5"/>
                <w:color w:val="auto"/>
              </w:rPr>
            </w:pPr>
          </w:p>
        </w:tc>
        <w:tc>
          <w:tcPr>
            <w:tcW w:w="4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94"/>
        </w:trPr>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32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rPr>
              <w:t>Risk-adjusted discount rate</w:t>
            </w:r>
          </w:p>
        </w:tc>
        <w:tc>
          <w:tcPr>
            <w:tcW w:w="1820" w:type="dxa"/>
            <w:vAlign w:val="bottom"/>
            <w:vMerge w:val="restart"/>
          </w:tcPr>
          <w:p>
            <w:pPr>
              <w:jc w:val="center"/>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00"/>
        </w:trPr>
        <w:tc>
          <w:tcPr>
            <w:tcW w:w="2400" w:type="dxa"/>
            <w:vAlign w:val="bottom"/>
            <w:vMerge w:val="restart"/>
          </w:tcPr>
          <w:p>
            <w:pPr>
              <w:jc w:val="center"/>
              <w:spacing w:after="0"/>
              <w:rPr>
                <w:sz w:val="20"/>
                <w:szCs w:val="20"/>
                <w:color w:val="auto"/>
              </w:rPr>
            </w:pPr>
            <w:r>
              <w:rPr>
                <w:rFonts w:ascii="Arial" w:cs="Arial" w:eastAsia="Arial" w:hAnsi="Arial"/>
                <w:sz w:val="16"/>
                <w:szCs w:val="16"/>
                <w:color w:val="auto"/>
              </w:rPr>
              <w:t>cash flows</w:t>
            </w:r>
          </w:p>
        </w:tc>
        <w:tc>
          <w:tcPr>
            <w:tcW w:w="120" w:type="dxa"/>
            <w:vAlign w:val="bottom"/>
          </w:tcPr>
          <w:p>
            <w:pPr>
              <w:spacing w:after="0"/>
              <w:rPr>
                <w:sz w:val="8"/>
                <w:szCs w:val="8"/>
                <w:color w:val="auto"/>
              </w:rPr>
            </w:pPr>
          </w:p>
        </w:tc>
        <w:tc>
          <w:tcPr>
            <w:tcW w:w="4320" w:type="dxa"/>
            <w:vAlign w:val="bottom"/>
            <w:gridSpan w:val="2"/>
            <w:vMerge w:val="continue"/>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4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600" w:space="160"/>
            <w:col w:w="8660"/>
          </w:cols>
          <w:pgMar w:left="240" w:top="140" w:right="239" w:bottom="1440" w:gutter="0" w:footer="0" w:header="0"/>
          <w:type w:val="continuous"/>
        </w:sectPr>
      </w:pP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40"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Inputs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Warranty Obligations</w:t>
      </w:r>
    </w:p>
    <w:p>
      <w:pPr>
        <w:spacing w:after="0" w:line="193"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Each of the significant unobservable inputs is independent of the other. The profit element and risk premium are estimated based on requirements of a third-party participant willing to assume the Company’s warranty obligations. The credit-adjusted risk free rate (“discount rate”) is determined by reference to the Company’s own credit standing at the fair value measurement date. Increasing or decreasing the profit element and risk premium input by 100 basis points would not have a material impact on the fair value measurement of the liability. Increasing the discount rate by 100 basis points would result in a $0.2 million reduction of the liability. Decreasing the discount rate by 100 basis points would result in a $0.2 million increase to the liability.</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Contingent Consideration Liability</w:t>
      </w:r>
    </w:p>
    <w:p>
      <w:pPr>
        <w:spacing w:after="0" w:line="193"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Changes in assumed probability adjustments with respect to achievement of target metrics can materially impact the fair value measurement of contingent consideration as of the acquisition date and for each subsequent period. Assumptions about the probability and amount of payout require less subjectivity over the course of the earnout period as management refines estimates based on actual events. Due to the short duration of the remaining earnout period, increasing or decreasing the risk-adjusted discount rate by 100 basis points would not have a material impact on the fair value measurement of the contingent consideration liability.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details of the Company’s goodwill and purchased intangible assets as of June 30, 2016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2015</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75"/>
        </w:trPr>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6"/>
        </w:trPr>
        <w:tc>
          <w:tcPr>
            <w:tcW w:w="35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Net</w:t>
            </w:r>
          </w:p>
        </w:tc>
      </w:tr>
      <w:tr>
        <w:trPr>
          <w:trHeight w:val="25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3,745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3,745</w:t>
            </w:r>
          </w:p>
        </w:tc>
      </w:tr>
      <w:tr>
        <w:trPr>
          <w:trHeight w:val="324"/>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indefinite-lived intangibles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286</w:t>
            </w:r>
          </w:p>
        </w:tc>
      </w:tr>
      <w:tr>
        <w:trPr>
          <w:trHeight w:val="324"/>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 with finite lives:</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3"/>
        </w:trPr>
        <w:tc>
          <w:tcPr>
            <w:tcW w:w="35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720</w:t>
            </w: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Patents and licensed technology</w:t>
            </w: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1,665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936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1,665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1,214</w:t>
            </w:r>
          </w:p>
        </w:tc>
      </w:tr>
      <w:tr>
        <w:trPr>
          <w:trHeight w:val="257"/>
        </w:trPr>
        <w:tc>
          <w:tcPr>
            <w:tcW w:w="3540" w:type="dxa"/>
            <w:vAlign w:val="bottom"/>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1,934</w:t>
            </w: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In July 2014, the Company purchased certain patents related to system interconnection and photovoltaic AC module construction. The patents are being amortized over their legal life of 3 years. The customer relationship intangible asset associated with a prior acquisition is being amortized on a straight-line basis over its estimated useful life of 5 years. In October 2015, the Company licensed certain technology related to ASIC development for a 3 year term, which is also its estimated useful life.</w:t>
      </w:r>
    </w:p>
    <w:p>
      <w:pPr>
        <w:spacing w:after="0" w:line="96" w:lineRule="exact"/>
        <w:rPr>
          <w:sz w:val="20"/>
          <w:szCs w:val="20"/>
          <w:color w:val="auto"/>
        </w:rPr>
      </w:pPr>
    </w:p>
    <w:p>
      <w:pPr>
        <w:ind w:right="620" w:firstLine="486"/>
        <w:spacing w:after="0" w:line="262" w:lineRule="auto"/>
        <w:rPr>
          <w:sz w:val="20"/>
          <w:szCs w:val="20"/>
          <w:color w:val="auto"/>
        </w:rPr>
      </w:pPr>
      <w:r>
        <w:rPr>
          <w:rFonts w:ascii="Arial" w:cs="Arial" w:eastAsia="Arial" w:hAnsi="Arial"/>
          <w:sz w:val="18"/>
          <w:szCs w:val="18"/>
          <w:color w:val="auto"/>
        </w:rPr>
        <w:t>For the six months ended June 30, 2016, amortization expense related to intangible assets was $0.4 million. As of June 30, 2016, estimated future amortization expense related to finite-lived intangible assets was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w:t>
            </w:r>
          </w:p>
        </w:tc>
        <w:tc>
          <w:tcPr>
            <w:tcW w:w="5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 (remaining 6 months)</w:t>
            </w:r>
          </w:p>
        </w:tc>
        <w:tc>
          <w:tcPr>
            <w:tcW w:w="5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2017</w:t>
            </w:r>
          </w:p>
        </w:tc>
        <w:tc>
          <w:tcPr>
            <w:tcW w:w="5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2019</w:t>
            </w:r>
          </w:p>
        </w:tc>
        <w:tc>
          <w:tcPr>
            <w:tcW w:w="5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bottom w:val="single" w:sz="8" w:color="CCEEFF"/>
            </w:tcBorders>
            <w:vMerge w:val="restart"/>
          </w:tcPr>
          <w:p>
            <w:pPr>
              <w:jc w:val="right"/>
              <w:ind w:right="323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0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93" w:lineRule="exact"/>
        <w:rPr>
          <w:sz w:val="20"/>
          <w:szCs w:val="20"/>
          <w:color w:val="auto"/>
        </w:rPr>
      </w:pPr>
    </w:p>
    <w:p>
      <w:pPr>
        <w:ind w:right="520" w:firstLine="432"/>
        <w:spacing w:after="0" w:line="254" w:lineRule="auto"/>
        <w:rPr>
          <w:sz w:val="20"/>
          <w:szCs w:val="20"/>
          <w:color w:val="auto"/>
        </w:rPr>
      </w:pPr>
      <w:r>
        <w:rPr>
          <w:rFonts w:ascii="Arial" w:cs="Arial" w:eastAsia="Arial" w:hAnsi="Arial"/>
          <w:sz w:val="18"/>
          <w:szCs w:val="18"/>
          <w:color w:val="auto"/>
        </w:rPr>
        <w:t>The Company maintains a $50.0 million revolving credit facility with Wells Fargo Bank, N.A. (“Wells Fargo”) that was entered into in November 2012, as first amended on February 14, 2014. On December 18, 2015, the Company entered into an amended and restated revolving credit agreement with Wells Fargo (the “Revolver”) which extended the maturity date to November 7, 2019 and added an uncommitted accordion feature that could increase the size of the facility by $25.0 million, subject to the satisfaction of certain conditions.</w:t>
      </w:r>
    </w:p>
    <w:p>
      <w:pPr>
        <w:spacing w:after="0" w:line="150"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Availability under the Revolver is subject to a borrowing base calculation that limits availability to a percentage of eligible domestic accounts receivable plus a percentage of the value of eligible domestic inventory, less certain reserves. Borrowings under the Revolver bear interest in cash at an annual rate equal to, at the Company’s option, either LIBOR or a “base rate” that is comprised of, among other things, the prime rate, plus a margin that is between 1.0% and 3.75% depending on the currency borrowed and the specific term of repayment. The Revolver requires the Company to pay an unused line fee between 0.25% and 0.375% based on the average daily unused portion of the revolving credit commitment.</w:t>
      </w:r>
    </w:p>
    <w:p>
      <w:pPr>
        <w:spacing w:after="0" w:line="155"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The Revolver is secured by a first-priority security interest on substantially all assets of the Company other than intellectual property and contains customary affirmative and negative covenants (including restrictions on the Company’s ability to make dividend payments) and events of default. In addition, the Revolver requires the Company to maintain at least $15.0 million of liquidity at all times, consisting of cash on hand and undrawn availability under the Revolver (defined as borrowing base less outstanding borrowings under the Revolver) of at least $5.0 million. The Company was in compliance with such covenants as of June 30, 2016.</w:t>
      </w:r>
    </w:p>
    <w:p>
      <w:pPr>
        <w:spacing w:after="0" w:line="179" w:lineRule="exact"/>
        <w:rPr>
          <w:sz w:val="20"/>
          <w:szCs w:val="20"/>
          <w:color w:val="auto"/>
        </w:rPr>
      </w:pPr>
    </w:p>
    <w:p>
      <w:pPr>
        <w:ind w:right="300" w:firstLine="432"/>
        <w:spacing w:after="0" w:line="291" w:lineRule="auto"/>
        <w:rPr>
          <w:sz w:val="20"/>
          <w:szCs w:val="20"/>
          <w:color w:val="auto"/>
        </w:rPr>
      </w:pPr>
      <w:r>
        <w:rPr>
          <w:rFonts w:ascii="Arial" w:cs="Arial" w:eastAsia="Arial" w:hAnsi="Arial"/>
          <w:sz w:val="18"/>
          <w:szCs w:val="18"/>
          <w:color w:val="auto"/>
        </w:rPr>
        <w:t xml:space="preserve">As of June 30, 2016, outstanding borrowings under the Revolver were $12.5 million. Based upon its eligible borrowing base, net of the restrictions concerning minimum liquidity requirement, the Company could </w:t>
      </w:r>
      <w:r>
        <w:rPr>
          <w:rFonts w:ascii="Arial" w:cs="Arial" w:eastAsia="Arial" w:hAnsi="Arial"/>
          <w:sz w:val="21"/>
          <w:szCs w:val="21"/>
          <w:color w:val="auto"/>
        </w:rPr>
        <w:t>ha</w:t>
      </w:r>
      <w:r>
        <w:rPr>
          <w:rFonts w:ascii="Arial" w:cs="Arial" w:eastAsia="Arial" w:hAnsi="Arial"/>
          <w:sz w:val="18"/>
          <w:szCs w:val="18"/>
          <w:color w:val="auto"/>
        </w:rPr>
        <w:t>ve borrowed an additional $10.0 million. The weighted-average interest rate related to the outstanding balance was 5.0%.</w:t>
      </w:r>
    </w:p>
    <w:p>
      <w:pPr>
        <w:spacing w:after="0" w:line="124" w:lineRule="exact"/>
        <w:rPr>
          <w:sz w:val="20"/>
          <w:szCs w:val="20"/>
          <w:color w:val="auto"/>
        </w:rPr>
      </w:pPr>
    </w:p>
    <w:p>
      <w:pPr>
        <w:jc w:val="both"/>
        <w:ind w:right="160" w:firstLine="432"/>
        <w:spacing w:after="0" w:line="256" w:lineRule="auto"/>
        <w:rPr>
          <w:sz w:val="20"/>
          <w:szCs w:val="20"/>
          <w:color w:val="auto"/>
        </w:rPr>
      </w:pPr>
      <w:r>
        <w:rPr>
          <w:rFonts w:ascii="Arial" w:cs="Arial" w:eastAsia="Arial" w:hAnsi="Arial"/>
          <w:sz w:val="18"/>
          <w:szCs w:val="18"/>
          <w:color w:val="auto"/>
        </w:rPr>
        <w:t>In July 2016, the Company entered into an amendment to the Revolver with Wells Fargo. The amendment, among other things, allowed the Company to incur indebtedness related to the term loans described below and increased the amount of undrawn availability that must be maintained as part of the Revolver’s $15.0 million minimum liquidity covenant from $5.0 million to $12.5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193" w:lineRule="exact"/>
        <w:rPr>
          <w:sz w:val="20"/>
          <w:szCs w:val="20"/>
          <w:color w:val="auto"/>
        </w:rPr>
      </w:pPr>
    </w:p>
    <w:p>
      <w:pPr>
        <w:ind w:firstLine="432"/>
        <w:spacing w:after="0" w:line="256" w:lineRule="auto"/>
        <w:rPr>
          <w:sz w:val="20"/>
          <w:szCs w:val="20"/>
          <w:color w:val="auto"/>
        </w:rPr>
      </w:pPr>
      <w:r>
        <w:rPr>
          <w:rFonts w:ascii="Arial" w:cs="Arial" w:eastAsia="Arial" w:hAnsi="Arial"/>
          <w:sz w:val="18"/>
          <w:szCs w:val="18"/>
          <w:color w:val="auto"/>
        </w:rPr>
        <w:t>In July 2016, the Company entered into the Term Loan Agreement with lenders that are affiliates of Tennenbaum Capital Partners, LLC. Under the agreement, the lenders committed to advance term loans in an aggregate principal amount of up to $25.0 million with a maturity date of July 1, 2020. The Company borrowed the entire $25.0 million of term loan commitments on the loan closing date.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Monthly payments due through June 30, 2017 are for interest only, followed by consecutive equal monthly payments of principal plus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beginning on July 1, 2017 and continuing through the maturity date. The term loan provides for an interest rate 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annum equal to the higher of (i) 10.25% and (ii) LIBOR plus 9.5625%, subject to a 1.0% reduction if we achieve minimum levels of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EBITDA (each as defined in the Term Loan Agreement) for the twelve consecutive month period ending June 30, 2017 as set forth in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Term Loan Agreement. In addition, the Company paid a commitment fee of 3.3% of the loan amount upon closing and a closing fee of 10.0%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loan amount is payable in four equal installments at each anniversary of the closing date. We may elect to prepay the loan by incurring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prepayment fee between 1% and 3% of the principal amount of the term loan depending on the timing and circumstances of prepayment.</w:t>
      </w:r>
    </w:p>
    <w:p>
      <w:pPr>
        <w:spacing w:after="0" w:line="171" w:lineRule="exact"/>
        <w:rPr>
          <w:sz w:val="20"/>
          <w:szCs w:val="20"/>
          <w:color w:val="auto"/>
        </w:rPr>
      </w:pPr>
    </w:p>
    <w:p>
      <w:pPr>
        <w:ind w:right="100" w:firstLine="432"/>
        <w:spacing w:after="0" w:line="252" w:lineRule="auto"/>
        <w:rPr>
          <w:sz w:val="20"/>
          <w:szCs w:val="20"/>
          <w:color w:val="auto"/>
        </w:rPr>
      </w:pPr>
      <w:r>
        <w:rPr>
          <w:rFonts w:ascii="Arial" w:cs="Arial" w:eastAsia="Arial" w:hAnsi="Arial"/>
          <w:sz w:val="18"/>
          <w:szCs w:val="18"/>
          <w:color w:val="auto"/>
        </w:rPr>
        <w:t>The term loan is secured by a second-priority security interest on substantially all our assets except intellectual property. The Term Loan Agreement does not contain any financial covenants, but is subject to customary affirmative and negative covenants including restrictions on creation of liens, dispositions of assets, dividends, mergers, or changing the nature of its business, in each case, subject to certain customary exceptions. In addition, the Term Loan Agreement contains certain customary events of default including, but are not limited to, failure to pay interest, principal and fees or other amounts when due, material breach of any representation or warranty, covenant defaults, cross defaults to other material indebtedness and events of bankruptcy.</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40"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93" w:lineRule="exact"/>
        <w:rPr>
          <w:sz w:val="20"/>
          <w:szCs w:val="20"/>
          <w:color w:val="auto"/>
        </w:rPr>
      </w:pPr>
    </w:p>
    <w:p>
      <w:pPr>
        <w:ind w:right="240" w:firstLine="446"/>
        <w:spacing w:after="0" w:line="256" w:lineRule="auto"/>
        <w:rPr>
          <w:sz w:val="20"/>
          <w:szCs w:val="20"/>
          <w:color w:val="auto"/>
        </w:rPr>
      </w:pPr>
      <w:r>
        <w:rPr>
          <w:rFonts w:ascii="Arial" w:cs="Arial" w:eastAsia="Arial" w:hAnsi="Arial"/>
          <w:sz w:val="18"/>
          <w:szCs w:val="18"/>
          <w:color w:val="auto"/>
        </w:rPr>
        <w:t>The Company is not currently involved in any material legal proceedings. The Company may become involved in various legal proceedings and claims that arise in the ordinary course of business. Such matters are subject to uncertainty and there can be no assurance that such legal proceedings will not have a material adverse effect on its business, results of operations, financial position or cash flows.</w:t>
      </w:r>
    </w:p>
    <w:p>
      <w:pPr>
        <w:spacing w:after="0" w:line="94" w:lineRule="exact"/>
        <w:rPr>
          <w:sz w:val="20"/>
          <w:szCs w:val="20"/>
          <w:color w:val="auto"/>
        </w:rPr>
      </w:pPr>
    </w:p>
    <w:p>
      <w:pPr>
        <w:ind w:right="60" w:firstLine="432"/>
        <w:spacing w:after="0" w:line="252" w:lineRule="auto"/>
        <w:rPr>
          <w:sz w:val="20"/>
          <w:szCs w:val="20"/>
          <w:color w:val="auto"/>
        </w:rPr>
      </w:pPr>
      <w:r>
        <w:rPr>
          <w:rFonts w:ascii="Arial" w:cs="Arial" w:eastAsia="Arial" w:hAnsi="Arial"/>
          <w:sz w:val="18"/>
          <w:szCs w:val="18"/>
          <w:color w:val="auto"/>
        </w:rPr>
        <w:t xml:space="preserve">The Company believes its cash on hand of $8.2 million as of June 30, 2016 and proceeds received in July 2016 from the $25.0 million term loan (see Note 6, </w:t>
      </w:r>
      <w:r>
        <w:rPr>
          <w:rFonts w:ascii="Arial" w:cs="Arial" w:eastAsia="Arial" w:hAnsi="Arial"/>
          <w:sz w:val="18"/>
          <w:szCs w:val="18"/>
          <w:i w:val="1"/>
          <w:iCs w:val="1"/>
          <w:color w:val="auto"/>
        </w:rPr>
        <w:t>Debt</w:t>
      </w:r>
      <w:r>
        <w:rPr>
          <w:rFonts w:ascii="Arial" w:cs="Arial" w:eastAsia="Arial" w:hAnsi="Arial"/>
          <w:sz w:val="18"/>
          <w:szCs w:val="18"/>
          <w:color w:val="auto"/>
        </w:rPr>
        <w:t>), together with borrowings expected to be available under its Revolver, will be sufficient to fund its operations and satisfy its working capital needs, capital asset purchases, indebtedness payments and outstanding commitments for at least the next 12 months. If the Company is unable to meet its projected performance targets or manage its inventory levels to align with anticipated demand, its liquidity could be adversely impacted and it may need to seek additional sources of liquidity. If additional sources of liquidity are needed, the Company may consider new debt or equity offerings, but there is no assurance that such transactions could be consummated on acceptable terms or at all. Failure to raise sufficient capital when needed could have a material adverse effect on its business, results of operations and financial position.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93" w:lineRule="exact"/>
        <w:rPr>
          <w:sz w:val="20"/>
          <w:szCs w:val="20"/>
          <w:color w:val="auto"/>
        </w:rPr>
      </w:pPr>
    </w:p>
    <w:p>
      <w:pPr>
        <w:ind w:right="260" w:firstLine="405"/>
        <w:spacing w:after="0" w:line="262" w:lineRule="auto"/>
        <w:rPr>
          <w:sz w:val="20"/>
          <w:szCs w:val="20"/>
          <w:color w:val="auto"/>
        </w:rPr>
      </w:pPr>
      <w:r>
        <w:rPr>
          <w:rFonts w:ascii="Arial" w:cs="Arial" w:eastAsia="Arial" w:hAnsi="Arial"/>
          <w:sz w:val="18"/>
          <w:szCs w:val="18"/>
          <w:color w:val="auto"/>
        </w:rPr>
        <w:t>The Company has adopted certain equity incentive and stock purchase plans as described in the consolidated financial statements and related notes included in the Company’s Annual Report on Form 10-K for the year ended December 31,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 Activity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stock option activity for the six months ended June 30, 2016 (in thousands, except per share data):</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8"/>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83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8"/>
              <w:spacing w:after="0"/>
              <w:rPr>
                <w:sz w:val="20"/>
                <w:szCs w:val="20"/>
                <w:color w:val="auto"/>
              </w:rPr>
            </w:pPr>
            <w:r>
              <w:rPr>
                <w:rFonts w:ascii="Arial" w:cs="Arial" w:eastAsia="Arial" w:hAnsi="Arial"/>
                <w:sz w:val="14"/>
                <w:szCs w:val="14"/>
                <w:b w:val="1"/>
                <w:bCs w:val="1"/>
                <w:color w:val="auto"/>
              </w:rPr>
              <w:t>Average</w:t>
            </w:r>
          </w:p>
        </w:tc>
      </w:tr>
      <w:tr>
        <w:trPr>
          <w:trHeight w:val="162"/>
        </w:trPr>
        <w:tc>
          <w:tcPr>
            <w:tcW w:w="83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18"/>
              <w:spacing w:after="0"/>
              <w:rPr>
                <w:sz w:val="20"/>
                <w:szCs w:val="20"/>
                <w:color w:val="auto"/>
              </w:rPr>
            </w:pPr>
            <w:r>
              <w:rPr>
                <w:rFonts w:ascii="Arial" w:cs="Arial" w:eastAsia="Arial" w:hAnsi="Arial"/>
                <w:sz w:val="14"/>
                <w:szCs w:val="14"/>
                <w:b w:val="1"/>
                <w:bCs w:val="1"/>
                <w:color w:val="auto"/>
              </w:rPr>
              <w:t>Exercise Price</w:t>
            </w:r>
          </w:p>
        </w:tc>
      </w:tr>
      <w:tr>
        <w:trPr>
          <w:trHeight w:val="196"/>
        </w:trPr>
        <w:tc>
          <w:tcPr>
            <w:tcW w:w="83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per Share</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8,173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5.36</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2,065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2.18</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0.29</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ind w:right="18"/>
              <w:spacing w:after="0"/>
              <w:rPr>
                <w:sz w:val="20"/>
                <w:szCs w:val="20"/>
                <w:color w:val="auto"/>
              </w:rPr>
            </w:pPr>
            <w:r>
              <w:rPr>
                <w:rFonts w:ascii="Arial" w:cs="Arial" w:eastAsia="Arial" w:hAnsi="Arial"/>
                <w:sz w:val="18"/>
                <w:szCs w:val="18"/>
                <w:color w:val="auto"/>
              </w:rPr>
              <w:t>7.52</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2016</w:t>
            </w: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9,401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4.73</w:t>
            </w: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8"/>
          <w:szCs w:val="18"/>
          <w:color w:val="auto"/>
        </w:rPr>
        <w:t>The intrinsic value of options exercised in the six months ended June 30, 2016 was $ 0.7 million. As of June 30, 2016, the intrinsic value of options outstanding was $2.6 million based on the closing price of the Company’s stock as of June 30,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restricted stock unit activity for the six months ended June 30, 2016 (in thousands, except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 Value per Share</w:t>
            </w:r>
          </w:p>
        </w:tc>
      </w:t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95"/>
              <w:spacing w:after="0"/>
              <w:rPr>
                <w:sz w:val="20"/>
                <w:szCs w:val="20"/>
                <w:color w:val="auto"/>
              </w:rPr>
            </w:pPr>
            <w:r>
              <w:rPr>
                <w:rFonts w:ascii="Arial" w:cs="Arial" w:eastAsia="Arial" w:hAnsi="Arial"/>
                <w:sz w:val="14"/>
                <w:szCs w:val="14"/>
                <w:b w:val="1"/>
                <w:bCs w:val="1"/>
                <w:color w:val="auto"/>
                <w:w w:val="96"/>
              </w:rPr>
              <w:t>at</w:t>
            </w:r>
          </w:p>
        </w:tc>
      </w:tr>
      <w:tr>
        <w:trPr>
          <w:trHeight w:val="196"/>
        </w:trPr>
        <w:tc>
          <w:tcPr>
            <w:tcW w:w="83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RSUs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Grant Date</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1,313</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9.31</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2.14</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9.00</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6.58</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2016</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946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9.70</w:t>
            </w: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61" w:lineRule="exact"/>
        <w:rPr>
          <w:sz w:val="20"/>
          <w:szCs w:val="20"/>
          <w:color w:val="auto"/>
        </w:rPr>
      </w:pPr>
    </w:p>
    <w:p>
      <w:pPr>
        <w:ind w:left="5620" w:right="2360" w:hanging="5173"/>
        <w:spacing w:after="0" w:line="543" w:lineRule="auto"/>
        <w:rPr>
          <w:sz w:val="20"/>
          <w:szCs w:val="20"/>
          <w:color w:val="auto"/>
        </w:rPr>
      </w:pPr>
      <w:r>
        <w:rPr>
          <w:rFonts w:ascii="Arial" w:cs="Arial" w:eastAsia="Arial" w:hAnsi="Arial"/>
          <w:sz w:val="18"/>
          <w:szCs w:val="18"/>
          <w:color w:val="auto"/>
        </w:rPr>
        <w:t>The total intrinsic value of restricted stock units that were vested in the six months ended June 30, 2016 was 14</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$0.5 million. As of June 30, 2016, the intrinsic value of restricted stock units outstanding was $1.9 million based on the closing price of the Company’s stock as of June 30,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93" w:lineRule="exact"/>
        <w:rPr>
          <w:sz w:val="20"/>
          <w:szCs w:val="20"/>
          <w:color w:val="auto"/>
        </w:rPr>
      </w:pPr>
    </w:p>
    <w:p>
      <w:pPr>
        <w:ind w:right="40" w:firstLine="432"/>
        <w:spacing w:after="0" w:line="256" w:lineRule="auto"/>
        <w:rPr>
          <w:sz w:val="20"/>
          <w:szCs w:val="20"/>
          <w:color w:val="auto"/>
        </w:rPr>
      </w:pPr>
      <w:r>
        <w:rPr>
          <w:rFonts w:ascii="Arial" w:cs="Arial" w:eastAsia="Arial" w:hAnsi="Arial"/>
          <w:sz w:val="18"/>
          <w:szCs w:val="18"/>
          <w:color w:val="auto"/>
        </w:rPr>
        <w:t xml:space="preserve">Compensation cost for all stock-based awards expected to vest is measured at fair value on the date of grant and recognized ratably over the requisite service period. The following table summarizes the components of total stock-based compensation expense included </w:t>
      </w:r>
      <w:r>
        <w:rPr>
          <w:rFonts w:ascii="Arial" w:cs="Arial" w:eastAsia="Arial" w:hAnsi="Arial"/>
          <w:sz w:val="18"/>
          <w:szCs w:val="18"/>
          <w:color w:val="010202"/>
        </w:rPr>
        <w:t>in the</w:t>
      </w:r>
      <w:r>
        <w:rPr>
          <w:rFonts w:ascii="Arial" w:cs="Arial" w:eastAsia="Arial" w:hAnsi="Arial"/>
          <w:sz w:val="18"/>
          <w:szCs w:val="18"/>
          <w:color w:val="auto"/>
        </w:rPr>
        <w:t xml:space="preserve"> </w:t>
      </w:r>
      <w:r>
        <w:rPr>
          <w:rFonts w:ascii="Arial" w:cs="Arial" w:eastAsia="Arial" w:hAnsi="Arial"/>
          <w:sz w:val="18"/>
          <w:szCs w:val="18"/>
          <w:color w:val="010202"/>
        </w:rPr>
        <w:t xml:space="preserve">condensed consolidated statements of operations for the periods presented (in </w:t>
      </w:r>
      <w:r>
        <w:rPr>
          <w:rFonts w:ascii="Arial" w:cs="Arial" w:eastAsia="Arial" w:hAnsi="Arial"/>
          <w:sz w:val="18"/>
          <w:szCs w:val="18"/>
          <w:color w:val="000000"/>
        </w:rPr>
        <w:t>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50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96"/>
        </w:trPr>
        <w:tc>
          <w:tcPr>
            <w:tcW w:w="51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2015</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582</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22"/>
                <w:szCs w:val="22"/>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1,158</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w w:val="97"/>
              </w:rPr>
              <w:t>2,106</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2,238</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7"/>
              </w:rPr>
              <w:t>1,200</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1,707</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97"/>
              </w:rPr>
              <w:t>1,789</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1,769</w:t>
            </w: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2,708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3,307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7"/>
              </w:rPr>
              <w:t>5,707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6,296</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various types of stock-based compensation for the periods presented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50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96"/>
        </w:trPr>
        <w:tc>
          <w:tcPr>
            <w:tcW w:w="51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6"/>
              </w:rPr>
              <w:t>2015</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2,236</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2,874</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7"/>
              </w:rPr>
              <w:t>4,720</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5,400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Employee stock purchase plan</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896</w:t>
            </w: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2,708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3,307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97"/>
              </w:rPr>
              <w:t>5,707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6,296</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firstLine="432"/>
        <w:spacing w:after="0" w:line="262" w:lineRule="auto"/>
        <w:rPr>
          <w:sz w:val="20"/>
          <w:szCs w:val="20"/>
          <w:color w:val="auto"/>
        </w:rPr>
      </w:pPr>
      <w:r>
        <w:rPr>
          <w:rFonts w:ascii="Arial" w:cs="Arial" w:eastAsia="Arial" w:hAnsi="Arial"/>
          <w:sz w:val="18"/>
          <w:szCs w:val="18"/>
          <w:color w:val="auto"/>
        </w:rPr>
        <w:t>The following table presents the weighted-average grant date fair value of options granted for the periods presented and the assumptions used to estimate those values using a Black-Scholes option pricing model:</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940" w:type="dxa"/>
            <w:vAlign w:val="bottom"/>
            <w:gridSpan w:val="2"/>
          </w:tcPr>
          <w:p>
            <w:pPr>
              <w:jc w:val="center"/>
              <w:ind w:left="557"/>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Pr>
          <w:p>
            <w:pPr>
              <w:spacing w:after="0"/>
              <w:rPr>
                <w:sz w:val="14"/>
                <w:szCs w:val="14"/>
                <w:color w:val="auto"/>
              </w:rPr>
            </w:pPr>
          </w:p>
        </w:tc>
      </w:tr>
      <w:tr>
        <w:trPr>
          <w:trHeight w:val="196"/>
        </w:trPr>
        <w:tc>
          <w:tcPr>
            <w:tcW w:w="46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left="737"/>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center"/>
              <w:ind w:left="557"/>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r>
      <w:tr>
        <w:trPr>
          <w:trHeight w:val="264"/>
        </w:trPr>
        <w:tc>
          <w:tcPr>
            <w:tcW w:w="46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1.32</w:t>
            </w:r>
          </w:p>
        </w:tc>
        <w:tc>
          <w:tcPr>
            <w:tcW w:w="7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6.38</w:t>
            </w: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400" w:type="dxa"/>
            <w:vAlign w:val="bottom"/>
          </w:tcPr>
          <w:p>
            <w:pPr>
              <w:spacing w:after="0"/>
              <w:rPr>
                <w:sz w:val="22"/>
                <w:szCs w:val="22"/>
                <w:color w:val="auto"/>
              </w:rPr>
            </w:pP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jc w:val="right"/>
              <w:ind w:right="23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4.5</w:t>
            </w:r>
          </w:p>
        </w:tc>
        <w:tc>
          <w:tcPr>
            <w:tcW w:w="720" w:type="dxa"/>
            <w:vAlign w:val="bottom"/>
          </w:tcPr>
          <w:p>
            <w:pPr>
              <w:spacing w:after="0"/>
              <w:rPr>
                <w:sz w:val="22"/>
                <w:szCs w:val="22"/>
                <w:color w:val="auto"/>
              </w:rPr>
            </w:pPr>
          </w:p>
        </w:tc>
        <w:tc>
          <w:tcPr>
            <w:tcW w:w="1000" w:type="dxa"/>
            <w:vAlign w:val="bottom"/>
          </w:tcPr>
          <w:p>
            <w:pPr>
              <w:jc w:val="right"/>
              <w:ind w:right="233"/>
              <w:spacing w:after="0"/>
              <w:rPr>
                <w:sz w:val="20"/>
                <w:szCs w:val="20"/>
                <w:color w:val="auto"/>
              </w:rPr>
            </w:pPr>
            <w:r>
              <w:rPr>
                <w:rFonts w:ascii="Arial" w:cs="Arial" w:eastAsia="Arial" w:hAnsi="Arial"/>
                <w:sz w:val="18"/>
                <w:szCs w:val="18"/>
                <w:color w:val="auto"/>
              </w:rPr>
              <w:t>4.5</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79.1%</w:t>
            </w:r>
          </w:p>
        </w:tc>
        <w:tc>
          <w:tcPr>
            <w:tcW w:w="7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72.0%</w:t>
            </w: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Annual risk-free rate of return</w:t>
            </w:r>
          </w:p>
        </w:tc>
        <w:tc>
          <w:tcPr>
            <w:tcW w:w="400" w:type="dxa"/>
            <w:vAlign w:val="bottom"/>
          </w:tcPr>
          <w:p>
            <w:pPr>
              <w:spacing w:after="0"/>
              <w:rPr>
                <w:sz w:val="22"/>
                <w:szCs w:val="22"/>
                <w:color w:val="auto"/>
              </w:rPr>
            </w:pPr>
          </w:p>
        </w:tc>
        <w:tc>
          <w:tcPr>
            <w:tcW w:w="1220" w:type="dxa"/>
            <w:vAlign w:val="bottom"/>
          </w:tcPr>
          <w:p>
            <w:pPr>
              <w:jc w:val="right"/>
              <w:ind w:right="7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77"/>
              <w:spacing w:after="0"/>
              <w:rPr>
                <w:sz w:val="20"/>
                <w:szCs w:val="20"/>
                <w:color w:val="auto"/>
              </w:rPr>
            </w:pPr>
            <w:r>
              <w:rPr>
                <w:rFonts w:ascii="Arial" w:cs="Arial" w:eastAsia="Arial" w:hAnsi="Arial"/>
                <w:sz w:val="18"/>
                <w:szCs w:val="18"/>
                <w:color w:val="auto"/>
              </w:rPr>
              <w:t>1.2%</w:t>
            </w:r>
          </w:p>
        </w:tc>
        <w:tc>
          <w:tcPr>
            <w:tcW w:w="720" w:type="dxa"/>
            <w:vAlign w:val="bottom"/>
          </w:tcPr>
          <w:p>
            <w:pPr>
              <w:spacing w:after="0"/>
              <w:rPr>
                <w:sz w:val="22"/>
                <w:szCs w:val="22"/>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1.3%</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0.0%</w:t>
            </w:r>
          </w:p>
        </w:tc>
        <w:tc>
          <w:tcPr>
            <w:tcW w:w="7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0.0%</w:t>
            </w:r>
          </w:p>
        </w:tc>
      </w:tr>
    </w:tbl>
    <w:p>
      <w:pPr>
        <w:spacing w:after="0" w:line="161" w:lineRule="exact"/>
        <w:rPr>
          <w:sz w:val="20"/>
          <w:szCs w:val="20"/>
          <w:color w:val="auto"/>
        </w:rPr>
      </w:pPr>
    </w:p>
    <w:p>
      <w:pPr>
        <w:jc w:val="both"/>
        <w:ind w:right="260" w:firstLine="432"/>
        <w:spacing w:after="0" w:line="262" w:lineRule="auto"/>
        <w:rPr>
          <w:sz w:val="20"/>
          <w:szCs w:val="20"/>
          <w:color w:val="auto"/>
        </w:rPr>
      </w:pPr>
      <w:r>
        <w:rPr>
          <w:rFonts w:ascii="Arial" w:cs="Arial" w:eastAsia="Arial" w:hAnsi="Arial"/>
          <w:sz w:val="18"/>
          <w:szCs w:val="18"/>
          <w:color w:val="auto"/>
        </w:rPr>
        <w:t>As of June 30, 2016, there was approximately $14.8 million of total unrecognized compensation cost related to unvested equity awards expected to be recognized over a weighted-average period of 2.4 years.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93" w:lineRule="exact"/>
        <w:rPr>
          <w:sz w:val="20"/>
          <w:szCs w:val="20"/>
          <w:color w:val="auto"/>
        </w:rPr>
      </w:pPr>
    </w:p>
    <w:p>
      <w:pPr>
        <w:jc w:val="both"/>
        <w:ind w:right="220" w:firstLine="432"/>
        <w:spacing w:after="0" w:line="254" w:lineRule="auto"/>
        <w:rPr>
          <w:sz w:val="20"/>
          <w:szCs w:val="20"/>
          <w:color w:val="auto"/>
        </w:rPr>
      </w:pPr>
      <w:r>
        <w:rPr>
          <w:rFonts w:ascii="Arial" w:cs="Arial" w:eastAsia="Arial" w:hAnsi="Arial"/>
          <w:sz w:val="18"/>
          <w:szCs w:val="18"/>
          <w:color w:val="auto"/>
        </w:rPr>
        <w:t>The Company has used the discrete tax approach in calculating the tax expense for the three and six months ended June 30, 2016 and 2015 due to the fact that a relatively small change in the Company’s projected pre-tax net income (loss) could result in a volatile effective tax rate. Under the discrete method, the Company determines its tax (expense) benefit based upon actual results as if the interim period was an annual period. The tax provisions recorded were primarily related to income taxes attributable to its foreign operations.</w:t>
      </w:r>
    </w:p>
    <w:p>
      <w:pPr>
        <w:spacing w:after="0" w:line="150"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Under Accounting Standards Codification 740, “Income Taxes,” a provision for income taxes must be provided on the undistributed earnings of foreign subsidiaries unless such earnings are deemed to be permanently reinvested outside the United States. Prior to the second quarter of 2016, the Company did not provide for U.S. tax on foreign unremitted earnings because the Company considered such earnings to be permanently reinvested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outside the U.S. During the second quarter of 2006, due to recent developments in its business, the Company determined that subsidiaries with cumulative earnings were not deemed to be permanently invested. Accordingly, during the quarter ended June 30, 2016, the Company recorded income tax expense of $0.1 million on cumulative foreign earnings of approximately $4.5 million that the Company determined no longer meet the criteria to be considered permanently invested.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93" w:lineRule="exact"/>
        <w:rPr>
          <w:sz w:val="20"/>
          <w:szCs w:val="20"/>
          <w:color w:val="auto"/>
        </w:rPr>
      </w:pPr>
    </w:p>
    <w:p>
      <w:pPr>
        <w:ind w:right="200" w:firstLine="432"/>
        <w:spacing w:after="0" w:line="262" w:lineRule="auto"/>
        <w:rPr>
          <w:sz w:val="20"/>
          <w:szCs w:val="20"/>
          <w:color w:val="auto"/>
        </w:rPr>
      </w:pPr>
      <w:r>
        <w:rPr>
          <w:rFonts w:ascii="Arial" w:cs="Arial" w:eastAsia="Arial" w:hAnsi="Arial"/>
          <w:sz w:val="18"/>
          <w:szCs w:val="18"/>
          <w:color w:val="auto"/>
        </w:rPr>
        <w:t>The following table presents the computation of basic and diluted net loss per share for the periods presented (in thousands,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3"/>
        </w:trPr>
        <w:tc>
          <w:tcPr>
            <w:tcW w:w="5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6"/>
              </w:rPr>
              <w:t>2015</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Numerator:</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3"/>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(35,518)</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(6,923)</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0"/>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97"/>
        </w:trPr>
        <w:tc>
          <w:tcPr>
            <w:tcW w:w="51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46,620</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44,319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46,415</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44,136</w:t>
            </w:r>
          </w:p>
        </w:tc>
      </w:tr>
      <w:tr>
        <w:trPr>
          <w:trHeight w:val="170"/>
        </w:trPr>
        <w:tc>
          <w:tcPr>
            <w:tcW w:w="5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57"/>
        </w:trPr>
        <w:tc>
          <w:tcPr>
            <w:tcW w:w="5160" w:type="dxa"/>
            <w:vAlign w:val="bottom"/>
          </w:tcPr>
          <w:p>
            <w:pPr>
              <w:ind w:left="280"/>
              <w:spacing w:after="0"/>
              <w:rPr>
                <w:sz w:val="20"/>
                <w:szCs w:val="20"/>
                <w:color w:val="auto"/>
              </w:rPr>
            </w:pPr>
            <w:r>
              <w:rPr>
                <w:rFonts w:ascii="Arial" w:cs="Arial" w:eastAsia="Arial" w:hAnsi="Arial"/>
                <w:sz w:val="18"/>
                <w:szCs w:val="18"/>
                <w:color w:val="auto"/>
              </w:rPr>
              <w:t>Net loss per share, basic and diluted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22"/>
                <w:szCs w:val="22"/>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As the Company incurred a net loss for all periods presented, potential dilutive securities from employee stock options, restricted stock units and warrants have been excluded from the diluted net loss per share computations because the effect of including such shares would have been anti-dilutive. The following table sets forth the potentially dilutive securities excluded from the computation of the diluted net loss per share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2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306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160" w:type="dxa"/>
            <w:vAlign w:val="bottom"/>
          </w:tcPr>
          <w:p>
            <w:pPr>
              <w:spacing w:after="0"/>
              <w:rPr>
                <w:sz w:val="17"/>
                <w:szCs w:val="17"/>
                <w:color w:val="auto"/>
              </w:rPr>
            </w:pPr>
          </w:p>
        </w:tc>
        <w:tc>
          <w:tcPr>
            <w:tcW w:w="2020" w:type="dxa"/>
            <w:vAlign w:val="bottom"/>
            <w:tcBorders>
              <w:bottom w:val="single" w:sz="8" w:color="auto"/>
            </w:tcBorders>
            <w:gridSpan w:val="3"/>
          </w:tcPr>
          <w:p>
            <w:pPr>
              <w:jc w:val="center"/>
              <w:ind w:left="1017"/>
              <w:spacing w:after="0"/>
              <w:rPr>
                <w:sz w:val="20"/>
                <w:szCs w:val="20"/>
                <w:color w:val="auto"/>
              </w:rPr>
            </w:pPr>
            <w:r>
              <w:rPr>
                <w:rFonts w:ascii="Arial" w:cs="Arial" w:eastAsia="Arial" w:hAnsi="Arial"/>
                <w:sz w:val="14"/>
                <w:szCs w:val="14"/>
                <w:b w:val="1"/>
                <w:bCs w:val="1"/>
                <w:color w:val="auto"/>
                <w:w w:val="99"/>
              </w:rPr>
              <w:t>June 30,</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Borders>
              <w:bottom w:val="single" w:sz="8" w:color="auto"/>
            </w:tcBorders>
            <w:gridSpan w:val="3"/>
          </w:tcPr>
          <w:p>
            <w:pPr>
              <w:jc w:val="center"/>
              <w:ind w:left="101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stock options</w:t>
            </w: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9,285</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8,738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8,723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8,683</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22"/>
                <w:szCs w:val="22"/>
                <w:color w:val="auto"/>
              </w:rPr>
            </w:pP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1,537</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Warrants to purchase common stock</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111</w:t>
            </w:r>
          </w:p>
        </w:tc>
      </w:tr>
      <w:tr>
        <w:trPr>
          <w:trHeight w:val="244"/>
        </w:trPr>
        <w:tc>
          <w:tcPr>
            <w:tcW w:w="5160" w:type="dxa"/>
            <w:vAlign w:val="bottom"/>
          </w:tcPr>
          <w:p>
            <w:pPr>
              <w:ind w:left="38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10,363</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10,489</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9,899</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10,331</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1500" w:type="dxa"/>
            <w:vAlign w:val="bottom"/>
          </w:tcPr>
          <w:p>
            <w:pPr>
              <w:jc w:val="right"/>
              <w:ind w:right="757"/>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20" w:firstLine="432"/>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related notes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expense levels and liquidity sources are forward-looking statements. Our actual results and the timing of events may differ materially from those discussed in our forward-looking statements as a result of various factors, including those discussed below and those discussed in the section entitled “Risk Factors” included in this Quarterly Report on Form 10-Q and our Annual Report on Form 10-K for the year ended December 31,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ind w:right="100" w:firstLine="446"/>
        <w:spacing w:after="0" w:line="252" w:lineRule="auto"/>
        <w:rPr>
          <w:sz w:val="20"/>
          <w:szCs w:val="20"/>
          <w:color w:val="auto"/>
        </w:rPr>
      </w:pPr>
      <w:r>
        <w:rPr>
          <w:rFonts w:ascii="Arial" w:cs="Arial" w:eastAsia="Arial" w:hAnsi="Arial"/>
          <w:sz w:val="18"/>
          <w:szCs w:val="18"/>
          <w:color w:val="auto"/>
        </w:rPr>
        <w:t>We deliver simple, innovative and reliable energy management solutions that advance the worldwide potential of renewable energy. We were founded in March 2006 and have grown rapidly to become the market leader in the microinverter category. Our technology was designed to increase energy production, simplify design and installation, improve system uptime and reliability, reduce fire safety risk, and provide a platform for intelligent energy management. Since inception, we have shipped approximately 12.0 million microinverters representing over 3 gigawatts of solar PV generating capacity, and more than 500,000 Enphase residential and commercial systems have been deployed in over 100 countries.</w:t>
      </w:r>
    </w:p>
    <w:p>
      <w:pPr>
        <w:spacing w:after="0" w:line="101" w:lineRule="exact"/>
        <w:rPr>
          <w:sz w:val="20"/>
          <w:szCs w:val="20"/>
          <w:color w:val="auto"/>
        </w:rPr>
      </w:pPr>
    </w:p>
    <w:p>
      <w:pPr>
        <w:ind w:right="240" w:firstLine="446"/>
        <w:spacing w:after="0" w:line="256" w:lineRule="auto"/>
        <w:rPr>
          <w:sz w:val="20"/>
          <w:szCs w:val="20"/>
          <w:color w:val="auto"/>
        </w:rPr>
      </w:pPr>
      <w:r>
        <w:rPr>
          <w:rFonts w:ascii="Arial" w:cs="Arial" w:eastAsia="Arial" w:hAnsi="Arial"/>
          <w:sz w:val="18"/>
          <w:szCs w:val="18"/>
          <w:color w:val="auto"/>
        </w:rPr>
        <w:t>We sell our microinverter systems primarily to distributors who resell them to solar installers. We also sell directly to large installers and through original equipment manufacturers (“OEMs”) and strategic partners. Historically, revenue generated from the U.S. market has represented more than 80% of our total revenue.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Condensed Consolidated Statements of Operations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Revenues</w:t>
      </w:r>
    </w:p>
    <w:p>
      <w:pPr>
        <w:spacing w:after="0" w:line="112"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We generate net revenues from sales of our microinverter systems, which include microinverter units, an Envoy communications gateway, and our Enlighten cloud-based monitoring service. Our revenue is affected by changes in the volume and average selling prices of our microinverter systems, driven by supply and demand, sales incentives, and competitive product offerings. Our revenue growth is dependent on our ability to compete effectively in the marketplace by developing and introducing new products to meet the changing technology and performance requirements of our customers, the diversification and expansion of our revenue base, and our ability to market our products in a manner that increases awareness for microinverter technology and differentiates us in the marketplace.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139" w:lineRule="exact"/>
        <w:rPr>
          <w:sz w:val="20"/>
          <w:szCs w:val="20"/>
          <w:color w:val="auto"/>
        </w:rPr>
      </w:pPr>
    </w:p>
    <w:p>
      <w:pPr>
        <w:ind w:right="20" w:firstLine="446"/>
        <w:spacing w:after="0" w:line="253" w:lineRule="auto"/>
        <w:rPr>
          <w:sz w:val="20"/>
          <w:szCs w:val="20"/>
          <w:color w:val="auto"/>
        </w:rPr>
      </w:pPr>
      <w:r>
        <w:rPr>
          <w:rFonts w:ascii="Arial" w:cs="Arial" w:eastAsia="Arial" w:hAnsi="Arial"/>
          <w:sz w:val="18"/>
          <w:szCs w:val="18"/>
          <w:color w:val="auto"/>
        </w:rPr>
        <w:t>Cost of revenues is comprised primarily of product costs, warranty, manufacturing personnel and logistics costs, freight costs, depreciation and amortization of test equipment and hosting services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and amortization of test equipment, are not directly affected by sales volume.</w:t>
      </w:r>
    </w:p>
    <w:p>
      <w:pPr>
        <w:spacing w:after="0" w:line="97" w:lineRule="exact"/>
        <w:rPr>
          <w:sz w:val="20"/>
          <w:szCs w:val="20"/>
          <w:color w:val="auto"/>
        </w:rPr>
      </w:pPr>
    </w:p>
    <w:p>
      <w:pPr>
        <w:ind w:right="100" w:firstLine="446"/>
        <w:spacing w:after="0" w:line="254" w:lineRule="auto"/>
        <w:rPr>
          <w:sz w:val="20"/>
          <w:szCs w:val="20"/>
          <w:color w:val="auto"/>
        </w:rPr>
      </w:pPr>
      <w:r>
        <w:rPr>
          <w:rFonts w:ascii="Arial" w:cs="Arial" w:eastAsia="Arial" w:hAnsi="Arial"/>
          <w:sz w:val="18"/>
          <w:szCs w:val="18"/>
          <w:color w:val="auto"/>
        </w:rPr>
        <w:t>We outsource our manufacturing to third-party contract manufacturers and generally negotiate product pricing with them on a quarterly basis. We believe our contract manufacturing partners have sufficient production capacity to meet the growing demand for our products for the foreseeable future. However, shortages in the supply of certain key raw materials could adversely affect our ability to meet customer demand for our products.</w:t>
      </w:r>
    </w:p>
    <w:p>
      <w:pPr>
        <w:spacing w:after="0" w:line="96" w:lineRule="exact"/>
        <w:rPr>
          <w:sz w:val="20"/>
          <w:szCs w:val="20"/>
          <w:color w:val="auto"/>
        </w:rPr>
      </w:pPr>
    </w:p>
    <w:p>
      <w:pPr>
        <w:ind w:right="180" w:firstLine="446"/>
        <w:spacing w:after="0" w:line="262" w:lineRule="auto"/>
        <w:rPr>
          <w:sz w:val="20"/>
          <w:szCs w:val="20"/>
          <w:color w:val="auto"/>
        </w:rPr>
      </w:pPr>
      <w:r>
        <w:rPr>
          <w:rFonts w:ascii="Arial" w:cs="Arial" w:eastAsia="Arial" w:hAnsi="Arial"/>
          <w:sz w:val="18"/>
          <w:szCs w:val="18"/>
          <w:color w:val="auto"/>
        </w:rPr>
        <w:t>In addition, third parties, including one of our contract manufacturers, serve as our logistics providers by warehousing and delivering our products in the United States, Europe and Asia.</w:t>
      </w:r>
    </w:p>
    <w:p>
      <w:pPr>
        <w:spacing w:after="0" w:line="88" w:lineRule="exact"/>
        <w:rPr>
          <w:sz w:val="20"/>
          <w:szCs w:val="20"/>
          <w:color w:val="auto"/>
        </w:rPr>
      </w:pPr>
    </w:p>
    <w:p>
      <w:pPr>
        <w:ind w:right="220" w:firstLine="446"/>
        <w:spacing w:after="0" w:line="262" w:lineRule="auto"/>
        <w:rPr>
          <w:sz w:val="20"/>
          <w:szCs w:val="20"/>
          <w:color w:val="auto"/>
        </w:rPr>
      </w:pPr>
      <w:r>
        <w:rPr>
          <w:rFonts w:ascii="Arial" w:cs="Arial" w:eastAsia="Arial" w:hAnsi="Arial"/>
          <w:sz w:val="18"/>
          <w:szCs w:val="18"/>
          <w:color w:val="auto"/>
        </w:rPr>
        <w:t>Gross profit may vary from quarter to quarter and is primarily affected by our average selling prices, product cost, product mix, warranty costs and sales volume fluctuations resulting from seasonality.</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p>
      <w:pPr>
        <w:ind w:right="340" w:firstLine="446"/>
        <w:spacing w:after="0" w:line="256" w:lineRule="auto"/>
        <w:rPr>
          <w:sz w:val="20"/>
          <w:szCs w:val="20"/>
          <w:color w:val="auto"/>
        </w:rPr>
      </w:pPr>
      <w:r>
        <w:rPr>
          <w:rFonts w:ascii="Arial" w:cs="Arial" w:eastAsia="Arial" w:hAnsi="Arial"/>
          <w:sz w:val="18"/>
          <w:szCs w:val="18"/>
          <w:color w:val="auto"/>
        </w:rPr>
        <w:t>Operating expenses consist of research and development, sales and marketing and general and administrative expenses. Personnel-related costs are the most significant component of each of these expense categories and include salaries, benefits, payroll taxes, sales commissions, incentive compensation and stock-based compensation.</w:t>
      </w:r>
    </w:p>
    <w:p>
      <w:pPr>
        <w:spacing w:after="0" w:line="94" w:lineRule="exact"/>
        <w:rPr>
          <w:sz w:val="20"/>
          <w:szCs w:val="20"/>
          <w:color w:val="auto"/>
        </w:rPr>
      </w:pPr>
    </w:p>
    <w:p>
      <w:pPr>
        <w:ind w:right="140" w:firstLine="446"/>
        <w:spacing w:after="0" w:line="252" w:lineRule="auto"/>
        <w:rPr>
          <w:sz w:val="20"/>
          <w:szCs w:val="20"/>
          <w:color w:val="auto"/>
        </w:rPr>
      </w:pPr>
      <w:r>
        <w:rPr>
          <w:rFonts w:ascii="Arial" w:cs="Arial" w:eastAsia="Arial" w:hAnsi="Arial"/>
          <w:sz w:val="18"/>
          <w:szCs w:val="18"/>
          <w:color w:val="auto"/>
        </w:rPr>
        <w:t>Research and development expense includes personnel-related expenses such as salaries, incentive compensation, stock-based compensation and employee benefits. Research and development employees are engaged in the design and development of power electronics, semiconductors, powerline communications, networking and software functionality, and storage. Research and development expense also includes third-party design and development costs, testing and evaluation costs, depreciation expense and other indirect costs. We devote substantial resources to research and development programs that focus on enhancements to, and cost efficiencies in, our existing products and timely development of new products that utilize technological innovation to drive down product costs, improve functionality, and enhance reliability. We intend to continue to invest in our research and development efforts because we believe they are critical to maintaining our competitive position.</w:t>
      </w:r>
    </w:p>
    <w:p>
      <w:pPr>
        <w:spacing w:after="0" w:line="98" w:lineRule="exact"/>
        <w:rPr>
          <w:sz w:val="20"/>
          <w:szCs w:val="20"/>
          <w:color w:val="auto"/>
        </w:rPr>
      </w:pPr>
    </w:p>
    <w:p>
      <w:pPr>
        <w:ind w:right="60" w:firstLine="446"/>
        <w:spacing w:after="0" w:line="252" w:lineRule="auto"/>
        <w:rPr>
          <w:sz w:val="20"/>
          <w:szCs w:val="20"/>
          <w:color w:val="auto"/>
        </w:rPr>
      </w:pPr>
      <w:r>
        <w:rPr>
          <w:rFonts w:ascii="Arial" w:cs="Arial" w:eastAsia="Arial" w:hAnsi="Arial"/>
          <w:sz w:val="18"/>
          <w:szCs w:val="18"/>
          <w:color w:val="auto"/>
        </w:rPr>
        <w:t>Sales and marketing expense consists primarily of personnel-related expenses such as salaries, commissions, incentive compensation, stock-based compensation, employee benefits and travel. It also includes trade shows, marketing, customer support and other indirect costs. We expect to continue to make the necessary investments to enable us to execute our strategy to increase our market penetration geographically and enter into new markets by expanding our customer base of distributors, large installers, OEMs and strategic partners. We currently offer microinverter systems targeting the residential and commercial markets in the United States, Canada, Mexico and certain Central American markets, the United Kingdom, France, the Benelux region, certain other European markets, Australia, New Zealand and certain other Asian markets. We expect to continue to expand the geographic reach of our product offerings and explore new sales channels in addressable markets in the future.</w:t>
      </w:r>
    </w:p>
    <w:p>
      <w:pPr>
        <w:spacing w:after="0" w:line="98" w:lineRule="exact"/>
        <w:rPr>
          <w:sz w:val="20"/>
          <w:szCs w:val="20"/>
          <w:color w:val="auto"/>
        </w:rPr>
      </w:pPr>
    </w:p>
    <w:p>
      <w:pPr>
        <w:ind w:right="140" w:firstLine="446"/>
        <w:spacing w:after="0" w:line="254" w:lineRule="auto"/>
        <w:rPr>
          <w:sz w:val="20"/>
          <w:szCs w:val="20"/>
          <w:color w:val="auto"/>
        </w:rPr>
      </w:pPr>
      <w:r>
        <w:rPr>
          <w:rFonts w:ascii="Arial" w:cs="Arial" w:eastAsia="Arial" w:hAnsi="Arial"/>
          <w:sz w:val="18"/>
          <w:szCs w:val="18"/>
          <w:color w:val="auto"/>
        </w:rPr>
        <w:t>General and administrative expense consists primarily of salaries, incentive compensation, stock-based compensation and employee benefits for personnel related to our executive, finance, human resources, information technology and legal organizations. General and administrative expense also includes facilities costs and fees for professional services. Professional services consist primarily of outside legal, accounting and information technology consulting costs.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39" w:lineRule="exact"/>
        <w:rPr>
          <w:sz w:val="20"/>
          <w:szCs w:val="20"/>
          <w:color w:val="auto"/>
        </w:rPr>
      </w:pPr>
    </w:p>
    <w:p>
      <w:pPr>
        <w:jc w:val="both"/>
        <w:ind w:right="440" w:firstLine="446"/>
        <w:spacing w:after="0" w:line="256" w:lineRule="auto"/>
        <w:rPr>
          <w:sz w:val="20"/>
          <w:szCs w:val="20"/>
          <w:color w:val="auto"/>
        </w:rPr>
      </w:pPr>
      <w:r>
        <w:rPr>
          <w:rFonts w:ascii="Arial" w:cs="Arial" w:eastAsia="Arial" w:hAnsi="Arial"/>
          <w:sz w:val="18"/>
          <w:szCs w:val="18"/>
          <w:color w:val="auto"/>
        </w:rPr>
        <w:t>Other expense, net includes interest expense and commitment fees under our revolving credit facility and non-cash interest expense related to the amortization of deferred financing costs, as well as gains or losses upon conversion of non-U.S. dollar transactions into U.S. dollars and from foreign currency forward contracts.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2" w:lineRule="exact"/>
        <w:rPr>
          <w:sz w:val="20"/>
          <w:szCs w:val="20"/>
          <w:color w:val="auto"/>
        </w:rPr>
      </w:pPr>
    </w:p>
    <w:p>
      <w:pPr>
        <w:ind w:right="80" w:firstLine="446"/>
        <w:spacing w:after="0" w:line="252" w:lineRule="auto"/>
        <w:rPr>
          <w:sz w:val="20"/>
          <w:szCs w:val="20"/>
          <w:color w:val="auto"/>
        </w:rPr>
      </w:pPr>
      <w:r>
        <w:rPr>
          <w:rFonts w:ascii="Arial" w:cs="Arial" w:eastAsia="Arial" w:hAnsi="Arial"/>
          <w:sz w:val="18"/>
          <w:szCs w:val="18"/>
          <w:color w:val="auto"/>
        </w:rPr>
        <w:t>We are subject to income taxes in the countries where we sell our products. Historically, we have primarily been subject to taxation in the United States because we have sold the vast majority of our products to customers in the United States. As we have expanded the sale of products to customers outside the United States, we have become subject to taxation based on the foreign statutory rates in the countries where these sales took place. As sales in foreign jurisdictions increase in the future, our effective tax rate may fluctuate accordingly. Due to the history of losses we have generated in the United States since inception, we believe that it is more-likely-than-not that all of our U.S. and state deferred tax assets will not be realized as of June 30, 2016.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Six Months Ended June 30, 2016 and 2015</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Revenues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2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Change in</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left="446"/>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r>
      <w:tr>
        <w:trPr>
          <w:trHeight w:val="264"/>
        </w:trPr>
        <w:tc>
          <w:tcPr>
            <w:tcW w:w="2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925"/>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925"/>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r>
      <w:tr>
        <w:trPr>
          <w:trHeight w:val="250"/>
        </w:trPr>
        <w:tc>
          <w:tcPr>
            <w:tcW w:w="2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0" w:type="dxa"/>
            <w:vAlign w:val="bottom"/>
            <w:gridSpan w:val="4"/>
          </w:tcPr>
          <w:p>
            <w:pPr>
              <w:jc w:val="right"/>
              <w:ind w:right="725"/>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20" w:type="dxa"/>
            <w:vAlign w:val="bottom"/>
            <w:gridSpan w:val="4"/>
          </w:tcPr>
          <w:p>
            <w:pPr>
              <w:ind w:left="6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79,185</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102,093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rPr>
              <w:t>(22,908)</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(22)%  $</w:t>
            </w: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143,306</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60"/>
              <w:spacing w:after="0"/>
              <w:rPr>
                <w:sz w:val="20"/>
                <w:szCs w:val="20"/>
                <w:color w:val="auto"/>
              </w:rPr>
            </w:pPr>
            <w:r>
              <w:rPr>
                <w:rFonts w:ascii="Arial" w:cs="Arial" w:eastAsia="Arial" w:hAnsi="Arial"/>
                <w:sz w:val="16"/>
                <w:szCs w:val="16"/>
                <w:color w:val="auto"/>
              </w:rPr>
              <w:t>188,746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rPr>
              <w:t>(45,440)</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2016 and 2015</w:t>
      </w:r>
    </w:p>
    <w:p>
      <w:pPr>
        <w:spacing w:after="0" w:line="189" w:lineRule="exact"/>
        <w:rPr>
          <w:sz w:val="20"/>
          <w:szCs w:val="20"/>
          <w:color w:val="auto"/>
        </w:rPr>
      </w:pPr>
    </w:p>
    <w:p>
      <w:pPr>
        <w:ind w:right="100" w:firstLine="432"/>
        <w:spacing w:after="0" w:line="253" w:lineRule="auto"/>
        <w:rPr>
          <w:sz w:val="20"/>
          <w:szCs w:val="20"/>
          <w:color w:val="auto"/>
        </w:rPr>
      </w:pPr>
      <w:r>
        <w:rPr>
          <w:rFonts w:ascii="Arial" w:cs="Arial" w:eastAsia="Arial" w:hAnsi="Arial"/>
          <w:sz w:val="18"/>
          <w:szCs w:val="18"/>
          <w:color w:val="auto"/>
        </w:rPr>
        <w:t>Net revenues decreased by 22% for the three months ended June 30, 2016, as compared to the same period in 2015, due to a decrease in microinverter systems sold and lower average selling prices. We sold 796,000 microinverter units in the three months ended June 30, 2016, as compared to 859,000 units in the same period in 2015. The average revenue per watt of microinverter systems sold declined by approximately 18% for the three months ended June 30, 2016, as compared to the same period in 2015. We expect average selling prices for microinverter systems to continue to decline in the future which may negatively affect net revenues.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Six Months Ended June 30, 2016 </w:t>
      </w:r>
      <w:r>
        <w:rPr>
          <w:rFonts w:ascii="Arial" w:cs="Arial" w:eastAsia="Arial" w:hAnsi="Arial"/>
          <w:sz w:val="18"/>
          <w:szCs w:val="18"/>
          <w:color w:val="auto"/>
        </w:rPr>
        <w:t>and</w:t>
      </w:r>
      <w:r>
        <w:rPr>
          <w:rFonts w:ascii="Arial" w:cs="Arial" w:eastAsia="Arial" w:hAnsi="Arial"/>
          <w:sz w:val="18"/>
          <w:szCs w:val="18"/>
          <w:i w:val="1"/>
          <w:iCs w:val="1"/>
          <w:color w:val="auto"/>
        </w:rPr>
        <w:t xml:space="preserve"> 2015</w:t>
      </w:r>
    </w:p>
    <w:p>
      <w:pPr>
        <w:spacing w:after="0" w:line="189" w:lineRule="exact"/>
        <w:rPr>
          <w:sz w:val="20"/>
          <w:szCs w:val="20"/>
          <w:color w:val="auto"/>
        </w:rPr>
      </w:pPr>
    </w:p>
    <w:p>
      <w:pPr>
        <w:jc w:val="both"/>
        <w:ind w:right="100" w:firstLine="432"/>
        <w:spacing w:after="0" w:line="254" w:lineRule="auto"/>
        <w:rPr>
          <w:sz w:val="20"/>
          <w:szCs w:val="20"/>
          <w:color w:val="auto"/>
        </w:rPr>
      </w:pPr>
      <w:r>
        <w:rPr>
          <w:rFonts w:ascii="Arial" w:cs="Arial" w:eastAsia="Arial" w:hAnsi="Arial"/>
          <w:sz w:val="18"/>
          <w:szCs w:val="18"/>
          <w:color w:val="auto"/>
        </w:rPr>
        <w:t>Net revenues decreased by 24% for the six months ended June 30, 2016, as compared to the same period in 2015, due to a decrease in microinverter systems sold and lower average selling prices. We sold 1,407,000 microinverter units in the six months ended June 30, 2016, as compared to 1,578,000 units in the same period in 2015. The average revenue per watt of microinverter systems sold declined approximately 17% for the six months ended June 30, 2016, as compared to the same period in 2015.</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Six Months Ended</w:t>
            </w:r>
          </w:p>
        </w:tc>
        <w:tc>
          <w:tcPr>
            <w:tcW w:w="15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6"/>
        </w:trPr>
        <w:tc>
          <w:tcPr>
            <w:tcW w:w="20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4"/>
                <w:szCs w:val="14"/>
                <w:b w:val="1"/>
                <w:bCs w:val="1"/>
                <w:color w:val="auto"/>
                <w:w w:val="99"/>
              </w:rPr>
              <w:t>June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Change in</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left="523"/>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Change in</w:t>
            </w:r>
          </w:p>
        </w:tc>
        <w:tc>
          <w:tcPr>
            <w:tcW w:w="680" w:type="dxa"/>
            <w:vAlign w:val="bottom"/>
            <w:tcBorders>
              <w:bottom w:val="single" w:sz="8" w:color="auto"/>
            </w:tcBorders>
          </w:tcPr>
          <w:p>
            <w:pPr>
              <w:spacing w:after="0"/>
              <w:rPr>
                <w:sz w:val="17"/>
                <w:szCs w:val="17"/>
                <w:color w:val="auto"/>
              </w:rPr>
            </w:pPr>
          </w:p>
        </w:tc>
      </w:tr>
      <w:tr>
        <w:trPr>
          <w:trHeight w:val="264"/>
        </w:trPr>
        <w:tc>
          <w:tcPr>
            <w:tcW w:w="20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03"/>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903"/>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w:t>
            </w:r>
          </w:p>
        </w:tc>
      </w:tr>
      <w:tr>
        <w:trPr>
          <w:trHeight w:val="250"/>
        </w:trPr>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gridSpan w:val="4"/>
          </w:tcPr>
          <w:p>
            <w:pPr>
              <w:jc w:val="right"/>
              <w:ind w:right="763"/>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20" w:type="dxa"/>
            <w:vAlign w:val="bottom"/>
            <w:gridSpan w:val="3"/>
          </w:tcPr>
          <w:p>
            <w:pPr>
              <w:jc w:val="right"/>
              <w:ind w:right="843"/>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r>
      <w:tr>
        <w:trPr>
          <w:trHeight w:val="276"/>
        </w:trPr>
        <w:tc>
          <w:tcPr>
            <w:tcW w:w="2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65,049</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69,066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563"/>
              <w:spacing w:after="0"/>
              <w:rPr>
                <w:sz w:val="20"/>
                <w:szCs w:val="20"/>
                <w:color w:val="auto"/>
              </w:rPr>
            </w:pPr>
            <w:r>
              <w:rPr>
                <w:rFonts w:ascii="Arial" w:cs="Arial" w:eastAsia="Arial" w:hAnsi="Arial"/>
                <w:sz w:val="16"/>
                <w:szCs w:val="16"/>
                <w:color w:val="auto"/>
              </w:rPr>
              <w:t>(4,017)</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(6)%  $</w:t>
            </w:r>
          </w:p>
        </w:tc>
        <w:tc>
          <w:tcPr>
            <w:tcW w:w="96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117,410</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127,695</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563"/>
              <w:spacing w:after="0"/>
              <w:rPr>
                <w:sz w:val="20"/>
                <w:szCs w:val="20"/>
                <w:color w:val="auto"/>
              </w:rPr>
            </w:pPr>
            <w:r>
              <w:rPr>
                <w:rFonts w:ascii="Arial" w:cs="Arial" w:eastAsia="Arial" w:hAnsi="Arial"/>
                <w:sz w:val="16"/>
                <w:szCs w:val="16"/>
                <w:color w:val="auto"/>
              </w:rPr>
              <w:t>$   (10,285)</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60"/>
        </w:trPr>
        <w:tc>
          <w:tcPr>
            <w:tcW w:w="202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22"/>
                <w:szCs w:val="22"/>
                <w:color w:val="auto"/>
              </w:rPr>
            </w:pPr>
          </w:p>
        </w:tc>
        <w:tc>
          <w:tcPr>
            <w:tcW w:w="860" w:type="dxa"/>
            <w:vAlign w:val="bottom"/>
          </w:tcPr>
          <w:p>
            <w:pPr>
              <w:jc w:val="right"/>
              <w:ind w:right="143"/>
              <w:spacing w:after="0"/>
              <w:rPr>
                <w:sz w:val="20"/>
                <w:szCs w:val="20"/>
                <w:color w:val="auto"/>
              </w:rPr>
            </w:pPr>
            <w:r>
              <w:rPr>
                <w:rFonts w:ascii="Arial" w:cs="Arial" w:eastAsia="Arial" w:hAnsi="Arial"/>
                <w:sz w:val="16"/>
                <w:szCs w:val="16"/>
                <w:color w:val="auto"/>
              </w:rPr>
              <w:t>14,136</w:t>
            </w:r>
          </w:p>
        </w:tc>
        <w:tc>
          <w:tcPr>
            <w:tcW w:w="360" w:type="dxa"/>
            <w:vAlign w:val="bottom"/>
          </w:tcPr>
          <w:p>
            <w:pPr>
              <w:spacing w:after="0"/>
              <w:rPr>
                <w:sz w:val="22"/>
                <w:szCs w:val="22"/>
                <w:color w:val="auto"/>
              </w:rPr>
            </w:pPr>
          </w:p>
        </w:tc>
        <w:tc>
          <w:tcPr>
            <w:tcW w:w="760" w:type="dxa"/>
            <w:vAlign w:val="bottom"/>
          </w:tcPr>
          <w:p>
            <w:pPr>
              <w:jc w:val="right"/>
              <w:ind w:right="103"/>
              <w:spacing w:after="0"/>
              <w:rPr>
                <w:sz w:val="20"/>
                <w:szCs w:val="20"/>
                <w:color w:val="auto"/>
              </w:rPr>
            </w:pPr>
            <w:r>
              <w:rPr>
                <w:rFonts w:ascii="Arial" w:cs="Arial" w:eastAsia="Arial" w:hAnsi="Arial"/>
                <w:sz w:val="16"/>
                <w:szCs w:val="16"/>
                <w:color w:val="auto"/>
              </w:rPr>
              <w:t>33,027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563"/>
              <w:spacing w:after="0"/>
              <w:rPr>
                <w:sz w:val="20"/>
                <w:szCs w:val="20"/>
                <w:color w:val="auto"/>
              </w:rPr>
            </w:pPr>
            <w:r>
              <w:rPr>
                <w:rFonts w:ascii="Arial" w:cs="Arial" w:eastAsia="Arial" w:hAnsi="Arial"/>
                <w:sz w:val="16"/>
                <w:szCs w:val="16"/>
                <w:color w:val="auto"/>
              </w:rPr>
              <w:t>(18,891)</w:t>
            </w:r>
          </w:p>
        </w:tc>
        <w:tc>
          <w:tcPr>
            <w:tcW w:w="68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143"/>
              <w:spacing w:after="0"/>
              <w:rPr>
                <w:sz w:val="20"/>
                <w:szCs w:val="20"/>
                <w:color w:val="auto"/>
              </w:rPr>
            </w:pPr>
            <w:r>
              <w:rPr>
                <w:rFonts w:ascii="Arial" w:cs="Arial" w:eastAsia="Arial" w:hAnsi="Arial"/>
                <w:sz w:val="16"/>
                <w:szCs w:val="16"/>
                <w:color w:val="auto"/>
              </w:rPr>
              <w:t>25,896</w:t>
            </w:r>
          </w:p>
        </w:tc>
        <w:tc>
          <w:tcPr>
            <w:tcW w:w="300" w:type="dxa"/>
            <w:vAlign w:val="bottom"/>
          </w:tcPr>
          <w:p>
            <w:pPr>
              <w:spacing w:after="0"/>
              <w:rPr>
                <w:sz w:val="22"/>
                <w:szCs w:val="22"/>
                <w:color w:val="auto"/>
              </w:rPr>
            </w:pPr>
          </w:p>
        </w:tc>
        <w:tc>
          <w:tcPr>
            <w:tcW w:w="820" w:type="dxa"/>
            <w:vAlign w:val="bottom"/>
          </w:tcPr>
          <w:p>
            <w:pPr>
              <w:jc w:val="right"/>
              <w:ind w:right="103"/>
              <w:spacing w:after="0"/>
              <w:rPr>
                <w:sz w:val="20"/>
                <w:szCs w:val="20"/>
                <w:color w:val="auto"/>
              </w:rPr>
            </w:pPr>
            <w:r>
              <w:rPr>
                <w:rFonts w:ascii="Arial" w:cs="Arial" w:eastAsia="Arial" w:hAnsi="Arial"/>
                <w:sz w:val="16"/>
                <w:szCs w:val="16"/>
                <w:color w:val="auto"/>
              </w:rPr>
              <w:t>61,051</w:t>
            </w:r>
          </w:p>
        </w:tc>
        <w:tc>
          <w:tcPr>
            <w:tcW w:w="120" w:type="dxa"/>
            <w:vAlign w:val="bottom"/>
          </w:tcPr>
          <w:p>
            <w:pPr>
              <w:spacing w:after="0"/>
              <w:rPr>
                <w:sz w:val="22"/>
                <w:szCs w:val="22"/>
                <w:color w:val="auto"/>
              </w:rPr>
            </w:pPr>
          </w:p>
        </w:tc>
        <w:tc>
          <w:tcPr>
            <w:tcW w:w="1580" w:type="dxa"/>
            <w:vAlign w:val="bottom"/>
          </w:tcPr>
          <w:p>
            <w:pPr>
              <w:jc w:val="right"/>
              <w:ind w:right="563"/>
              <w:spacing w:after="0"/>
              <w:rPr>
                <w:sz w:val="20"/>
                <w:szCs w:val="20"/>
                <w:color w:val="auto"/>
              </w:rPr>
            </w:pPr>
            <w:r>
              <w:rPr>
                <w:rFonts w:ascii="Arial" w:cs="Arial" w:eastAsia="Arial" w:hAnsi="Arial"/>
                <w:sz w:val="16"/>
                <w:szCs w:val="16"/>
                <w:color w:val="auto"/>
              </w:rPr>
              <w:t>(35,155)</w:t>
            </w:r>
          </w:p>
        </w:tc>
        <w:tc>
          <w:tcPr>
            <w:tcW w:w="6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80"/>
        </w:trPr>
        <w:tc>
          <w:tcPr>
            <w:tcW w:w="2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17.9%</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23"/>
              <w:spacing w:after="0"/>
              <w:rPr>
                <w:sz w:val="20"/>
                <w:szCs w:val="20"/>
                <w:color w:val="auto"/>
              </w:rPr>
            </w:pPr>
            <w:r>
              <w:rPr>
                <w:rFonts w:ascii="Arial" w:cs="Arial" w:eastAsia="Arial" w:hAnsi="Arial"/>
                <w:sz w:val="16"/>
                <w:szCs w:val="16"/>
                <w:color w:val="auto"/>
              </w:rPr>
              <w:t>(14.4)%</w:t>
            </w: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18.1%</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23"/>
              <w:spacing w:after="0"/>
              <w:rPr>
                <w:sz w:val="20"/>
                <w:szCs w:val="20"/>
                <w:color w:val="auto"/>
              </w:rPr>
            </w:pPr>
            <w:r>
              <w:rPr>
                <w:rFonts w:ascii="Arial" w:cs="Arial" w:eastAsia="Arial" w:hAnsi="Arial"/>
                <w:sz w:val="16"/>
                <w:szCs w:val="16"/>
                <w:color w:val="auto"/>
              </w:rPr>
              <w:t>(14.2)%</w:t>
            </w:r>
          </w:p>
        </w:tc>
        <w:tc>
          <w:tcPr>
            <w:tcW w:w="680" w:type="dxa"/>
            <w:vAlign w:val="bottom"/>
            <w:shd w:val="clear" w:color="auto" w:fill="CCEEFF"/>
          </w:tcPr>
          <w:p>
            <w:pPr>
              <w:spacing w:after="0"/>
              <w:rPr>
                <w:sz w:val="24"/>
                <w:szCs w:val="24"/>
                <w:color w:val="auto"/>
              </w:rPr>
            </w:pP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2016 and 2015</w:t>
      </w:r>
    </w:p>
    <w:p>
      <w:pPr>
        <w:spacing w:after="0" w:line="189" w:lineRule="exact"/>
        <w:rPr>
          <w:sz w:val="20"/>
          <w:szCs w:val="20"/>
          <w:color w:val="auto"/>
        </w:rPr>
      </w:pPr>
    </w:p>
    <w:p>
      <w:pPr>
        <w:jc w:val="both"/>
        <w:ind w:right="160" w:firstLine="432"/>
        <w:spacing w:after="0" w:line="253" w:lineRule="auto"/>
        <w:rPr>
          <w:sz w:val="20"/>
          <w:szCs w:val="20"/>
          <w:color w:val="auto"/>
        </w:rPr>
      </w:pPr>
      <w:r>
        <w:rPr>
          <w:rFonts w:ascii="Arial" w:cs="Arial" w:eastAsia="Arial" w:hAnsi="Arial"/>
          <w:sz w:val="18"/>
          <w:szCs w:val="18"/>
          <w:color w:val="auto"/>
        </w:rPr>
        <w:t>Cost of revenues decreased by 6% for the three months ended June 30, 2016, as compared to the same period in 2015, which reflects the lower volume of shipments of our products. Gross margin decreased by 14 percentage points for the three months ended June 30, 2016, as compared to the same period in 2015. The primary driver of the decrease in gross margin was our shift towards a more competitive pricing strategy implemented in late 2015. Our ability to reduce product costs and the timing of product cost reductions relative to declines in average selling prices can have a significant impact on our gross margin.</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Six Months Ended June 30, 2016 </w:t>
      </w:r>
      <w:r>
        <w:rPr>
          <w:rFonts w:ascii="Arial" w:cs="Arial" w:eastAsia="Arial" w:hAnsi="Arial"/>
          <w:sz w:val="18"/>
          <w:szCs w:val="18"/>
          <w:color w:val="auto"/>
        </w:rPr>
        <w:t>and</w:t>
      </w:r>
      <w:r>
        <w:rPr>
          <w:rFonts w:ascii="Arial" w:cs="Arial" w:eastAsia="Arial" w:hAnsi="Arial"/>
          <w:sz w:val="18"/>
          <w:szCs w:val="18"/>
          <w:i w:val="1"/>
          <w:iCs w:val="1"/>
          <w:color w:val="auto"/>
        </w:rPr>
        <w:t xml:space="preserve"> 2015</w:t>
      </w:r>
    </w:p>
    <w:p>
      <w:pPr>
        <w:spacing w:after="0" w:line="189"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Cost of revenues decreased by 8% for the six months ended June 30, 2016, as compared to the same period in 2015, which reflects the lower volume of shipments of our products. Gross margin decreased by 14 percentage points for the six months ended June 30, 2016, as compared to the same period in 2015. The primary driver of the decrease in gross margin was our shift towards a more competitive pricing strategy implemented in late 2015.</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ind w:left="280"/>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2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Change in</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r>
      <w:tr>
        <w:trPr>
          <w:trHeight w:val="264"/>
        </w:trPr>
        <w:tc>
          <w:tcPr>
            <w:tcW w:w="2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05"/>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r>
      <w:tr>
        <w:trPr>
          <w:trHeight w:val="250"/>
        </w:trPr>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60" w:type="dxa"/>
            <w:vAlign w:val="bottom"/>
            <w:gridSpan w:val="4"/>
          </w:tcPr>
          <w:p>
            <w:pPr>
              <w:jc w:val="right"/>
              <w:ind w:right="725"/>
              <w:spacing w:after="0"/>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20" w:type="dxa"/>
            <w:vAlign w:val="bottom"/>
            <w:gridSpan w:val="4"/>
          </w:tcPr>
          <w:p>
            <w:pPr>
              <w:ind w:left="6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r>
      <w:tr>
        <w:trPr>
          <w:trHeight w:val="276"/>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Research and development   $</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13,091</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12,786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305</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  $</w:t>
            </w:r>
          </w:p>
        </w:tc>
        <w:tc>
          <w:tcPr>
            <w:tcW w:w="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26,157</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26,216</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23"/>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03"/>
              <w:spacing w:after="0"/>
              <w:rPr>
                <w:sz w:val="20"/>
                <w:szCs w:val="20"/>
                <w:color w:val="auto"/>
              </w:rPr>
            </w:pPr>
            <w:r>
              <w:rPr>
                <w:rFonts w:ascii="Arial" w:cs="Arial" w:eastAsia="Arial" w:hAnsi="Arial"/>
                <w:sz w:val="16"/>
                <w:szCs w:val="16"/>
                <w:color w:val="auto"/>
              </w:rPr>
              <w:t>(59)</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2016 and 2015</w:t>
      </w:r>
    </w:p>
    <w:p>
      <w:pPr>
        <w:spacing w:after="0" w:line="189"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Research and development expenses increased by 2% for the three months ended June 30, 2016, as compared to the same period in 2015. Costs incurred for outside services increased by $1.2 million, which was offset by a $0.9 million decrease in personnel-related costs driven by lower incentive compensation expense. The amount of research and development expenses may fluctuate from period to period due to the differing levels and stages of development activity.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Six Months Ended June 30, 2016 </w:t>
      </w:r>
      <w:r>
        <w:rPr>
          <w:rFonts w:ascii="Arial" w:cs="Arial" w:eastAsia="Arial" w:hAnsi="Arial"/>
          <w:sz w:val="18"/>
          <w:szCs w:val="18"/>
          <w:color w:val="auto"/>
        </w:rPr>
        <w:t>and</w:t>
      </w:r>
      <w:r>
        <w:rPr>
          <w:rFonts w:ascii="Arial" w:cs="Arial" w:eastAsia="Arial" w:hAnsi="Arial"/>
          <w:sz w:val="18"/>
          <w:szCs w:val="18"/>
          <w:i w:val="1"/>
          <w:iCs w:val="1"/>
          <w:color w:val="auto"/>
        </w:rPr>
        <w:t xml:space="preserve"> 2015</w:t>
      </w:r>
    </w:p>
    <w:p>
      <w:pPr>
        <w:spacing w:after="0" w:line="189" w:lineRule="exact"/>
        <w:rPr>
          <w:sz w:val="20"/>
          <w:szCs w:val="20"/>
          <w:color w:val="auto"/>
        </w:rPr>
      </w:pPr>
    </w:p>
    <w:p>
      <w:pPr>
        <w:ind w:right="160" w:firstLine="432"/>
        <w:spacing w:after="0" w:line="256" w:lineRule="auto"/>
        <w:rPr>
          <w:sz w:val="20"/>
          <w:szCs w:val="20"/>
          <w:color w:val="auto"/>
        </w:rPr>
      </w:pPr>
      <w:r>
        <w:rPr>
          <w:rFonts w:ascii="Arial" w:cs="Arial" w:eastAsia="Arial" w:hAnsi="Arial"/>
          <w:sz w:val="18"/>
          <w:szCs w:val="18"/>
          <w:color w:val="auto"/>
        </w:rPr>
        <w:t>Research and development expenses remained flat for the six months ended June 30, 2016, as compared to the same period in 2015. Costs incurred for outside services increased by $1.2 million, which was offset by a $1.1 million decrease in personnel-related costs driven by lower incentive compensation expense.</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ind w:left="26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2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r>
      <w:tr>
        <w:trPr>
          <w:trHeight w:val="264"/>
        </w:trPr>
        <w:tc>
          <w:tcPr>
            <w:tcW w:w="2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r>
      <w:tr>
        <w:trPr>
          <w:trHeight w:val="250"/>
        </w:trPr>
        <w:tc>
          <w:tcPr>
            <w:tcW w:w="2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380" w:type="dxa"/>
            <w:vAlign w:val="bottom"/>
            <w:gridSpan w:val="4"/>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20" w:type="dxa"/>
            <w:vAlign w:val="bottom"/>
            <w:gridSpan w:val="4"/>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r>
      <w:tr>
        <w:trPr>
          <w:trHeight w:val="276"/>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9,987</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12,508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(2,521)</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(20)%  $</w:t>
            </w:r>
          </w:p>
        </w:tc>
        <w:tc>
          <w:tcPr>
            <w:tcW w:w="8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20,202</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24,445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(4,243)</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2016 and 2015</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Sales and marketing expenses decreased by 20% for the three months ended June 30, 2016, as compared to the same period in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primarily driven by decreased personnel-related costs of $3.6 million resulting from reduced sales and marketing headcount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we realigned our resources toward development of new products. In addition, promotional and marketing related activities decreased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$0.6 million. These decreases were partially offset by a $0.7 million increase in bad debt expense. In addition, there was no change in fair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related to the contingent consideration liability for the three months ended June 30, 2016 compared to a $1.0 million revaluation gain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same period in 2015, which was recorded as an offset to sales and marketing expense.</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Six Months Ended June 30, 2016 </w:t>
      </w:r>
      <w:r>
        <w:rPr>
          <w:rFonts w:ascii="Arial" w:cs="Arial" w:eastAsia="Arial" w:hAnsi="Arial"/>
          <w:sz w:val="18"/>
          <w:szCs w:val="18"/>
          <w:color w:val="auto"/>
        </w:rPr>
        <w:t>and</w:t>
      </w:r>
      <w:r>
        <w:rPr>
          <w:rFonts w:ascii="Arial" w:cs="Arial" w:eastAsia="Arial" w:hAnsi="Arial"/>
          <w:sz w:val="18"/>
          <w:szCs w:val="18"/>
          <w:i w:val="1"/>
          <w:iCs w:val="1"/>
          <w:color w:val="auto"/>
        </w:rPr>
        <w:t xml:space="preserve"> 2015</w:t>
      </w:r>
    </w:p>
    <w:p>
      <w:pPr>
        <w:spacing w:after="0" w:line="189"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Sales and marketing expenses decreased by 17% for the six months ended June 30, 2016, as compared to the same period in 2015. The decrease was primarily driven by decreased personnel-related costs of $5.3 million resulting from reduced sales and marketing headcount as we realigned our resources toward development of new products. In addition, promotional and marketing related activities decreased by $1.0 million. These decreases were partially offset by a $1.2 million increase in bad debt expense. In addition, there was no change in fair value related to the contingent consideration liability for the six months ended June 30, 2016 compared to a $0.9 million revaluation gain in the same period in 2015, which was recorded as an offset to sales and marketing expense.</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ind w:left="26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2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r>
      <w:tr>
        <w:trPr>
          <w:trHeight w:val="264"/>
        </w:trPr>
        <w:tc>
          <w:tcPr>
            <w:tcW w:w="2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r>
      <w:tr>
        <w:trPr>
          <w:trHeight w:val="250"/>
        </w:trPr>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60" w:type="dxa"/>
            <w:vAlign w:val="bottom"/>
            <w:gridSpan w:val="4"/>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20" w:type="dxa"/>
            <w:vAlign w:val="bottom"/>
            <w:gridSpan w:val="4"/>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r>
      <w:tr>
        <w:trPr>
          <w:trHeight w:val="276"/>
        </w:trPr>
        <w:tc>
          <w:tcPr>
            <w:tcW w:w="2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6,846</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8,102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(1,256)</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(16)%  $</w:t>
            </w:r>
          </w:p>
        </w:tc>
        <w:tc>
          <w:tcPr>
            <w:tcW w:w="8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14,413</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16,307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(1,894)</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2016 and 2015</w:t>
      </w:r>
    </w:p>
    <w:p>
      <w:pPr>
        <w:spacing w:after="0" w:line="189" w:lineRule="exact"/>
        <w:rPr>
          <w:sz w:val="20"/>
          <w:szCs w:val="20"/>
          <w:color w:val="auto"/>
        </w:rPr>
      </w:pPr>
    </w:p>
    <w:p>
      <w:pPr>
        <w:jc w:val="both"/>
        <w:ind w:right="140" w:firstLine="432"/>
        <w:spacing w:after="0" w:line="254" w:lineRule="auto"/>
        <w:rPr>
          <w:sz w:val="20"/>
          <w:szCs w:val="20"/>
          <w:color w:val="auto"/>
        </w:rPr>
      </w:pPr>
      <w:r>
        <w:rPr>
          <w:rFonts w:ascii="Arial" w:cs="Arial" w:eastAsia="Arial" w:hAnsi="Arial"/>
          <w:sz w:val="18"/>
          <w:szCs w:val="18"/>
          <w:color w:val="auto"/>
        </w:rPr>
        <w:t>General and administrative expenses decreased by 16% for the three months ended June 30, 2016, as compared to the same period in 2015. The decrease was primarily attributable to a decrease in personnel-related costs of $0.8 million driven by lower incentive compensation expense and a decrease in our usage of professional services of $0.7 million. These decreases were partially offset by a $0.3 million increase in facilities-related expenses including rent, utilities and depreciation related to corporate fixed assets.</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Six Months Ended June 30, 2016 </w:t>
      </w:r>
      <w:r>
        <w:rPr>
          <w:rFonts w:ascii="Arial" w:cs="Arial" w:eastAsia="Arial" w:hAnsi="Arial"/>
          <w:sz w:val="18"/>
          <w:szCs w:val="18"/>
          <w:color w:val="auto"/>
        </w:rPr>
        <w:t>and</w:t>
      </w:r>
      <w:r>
        <w:rPr>
          <w:rFonts w:ascii="Arial" w:cs="Arial" w:eastAsia="Arial" w:hAnsi="Arial"/>
          <w:sz w:val="18"/>
          <w:szCs w:val="18"/>
          <w:i w:val="1"/>
          <w:iCs w:val="1"/>
          <w:color w:val="auto"/>
        </w:rPr>
        <w:t xml:space="preserve"> 2015</w:t>
      </w:r>
    </w:p>
    <w:p>
      <w:pPr>
        <w:spacing w:after="0" w:line="189" w:lineRule="exact"/>
        <w:rPr>
          <w:sz w:val="20"/>
          <w:szCs w:val="20"/>
          <w:color w:val="auto"/>
        </w:rPr>
      </w:pPr>
    </w:p>
    <w:p>
      <w:pPr>
        <w:ind w:right="140" w:firstLine="432"/>
        <w:spacing w:after="0" w:line="254" w:lineRule="auto"/>
        <w:rPr>
          <w:sz w:val="20"/>
          <w:szCs w:val="20"/>
          <w:color w:val="auto"/>
        </w:rPr>
      </w:pPr>
      <w:r>
        <w:rPr>
          <w:rFonts w:ascii="Arial" w:cs="Arial" w:eastAsia="Arial" w:hAnsi="Arial"/>
          <w:sz w:val="18"/>
          <w:szCs w:val="18"/>
          <w:color w:val="auto"/>
        </w:rPr>
        <w:t>General and administrative expenses decreased by 12% for the six months ended June 30, 2016, as compared to the same period in 2015. The decrease was primarily attributable to a decrease in personnel-related costs of $1.3 million driven by lower incentive compensation expense and a decrease in our usage of professional services of $1.2 million. These decreases were partially offset by a $0.6 million increase in facilities-related expenses including rent, utilities and depreciation related to corporate fixed assets.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2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ind w:right="385"/>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Change in</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left="486"/>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Change in</w:t>
            </w:r>
          </w:p>
        </w:tc>
      </w:tr>
      <w:tr>
        <w:trPr>
          <w:trHeight w:val="264"/>
        </w:trPr>
        <w:tc>
          <w:tcPr>
            <w:tcW w:w="2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05"/>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r>
      <w:tr>
        <w:trPr>
          <w:trHeight w:val="250"/>
        </w:trPr>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740" w:type="dxa"/>
            <w:vAlign w:val="bottom"/>
            <w:gridSpan w:val="5"/>
          </w:tcPr>
          <w:p>
            <w:pPr>
              <w:jc w:val="right"/>
              <w:ind w:right="725"/>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gridSpan w:val="4"/>
          </w:tcPr>
          <w:p>
            <w:pPr>
              <w:jc w:val="right"/>
              <w:ind w:right="445"/>
              <w:spacing w:after="0"/>
              <w:rPr>
                <w:sz w:val="20"/>
                <w:szCs w:val="20"/>
                <w:color w:val="auto"/>
              </w:rPr>
            </w:pPr>
            <w:r>
              <w:rPr>
                <w:rFonts w:ascii="Arial" w:cs="Arial" w:eastAsia="Arial" w:hAnsi="Arial"/>
                <w:sz w:val="14"/>
                <w:szCs w:val="14"/>
                <w:b w:val="1"/>
                <w:bCs w:val="1"/>
                <w:color w:val="auto"/>
              </w:rPr>
              <w:t>(dollars in thousands)</w:t>
            </w:r>
          </w:p>
        </w:tc>
        <w:tc>
          <w:tcPr>
            <w:tcW w:w="980" w:type="dxa"/>
            <w:vAlign w:val="bottom"/>
          </w:tcPr>
          <w:p>
            <w:pPr>
              <w:spacing w:after="0"/>
              <w:rPr>
                <w:sz w:val="21"/>
                <w:szCs w:val="21"/>
                <w:color w:val="auto"/>
              </w:rPr>
            </w:pPr>
          </w:p>
        </w:tc>
      </w:tr>
      <w:tr>
        <w:trPr>
          <w:trHeight w:val="276"/>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income (expense), net   $</w:t>
            </w:r>
          </w:p>
        </w:tc>
        <w:tc>
          <w:tcPr>
            <w:tcW w:w="84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(591)</w:t>
            </w:r>
          </w:p>
        </w:tc>
        <w:tc>
          <w:tcPr>
            <w:tcW w:w="780" w:type="dxa"/>
            <w:vAlign w:val="bottom"/>
            <w:shd w:val="clear" w:color="auto" w:fill="CCEEFF"/>
          </w:tcPr>
          <w:p>
            <w:pPr>
              <w:jc w:val="right"/>
              <w:ind w:right="525"/>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85"/>
              <w:spacing w:after="0"/>
              <w:rPr>
                <w:sz w:val="20"/>
                <w:szCs w:val="20"/>
                <w:color w:val="auto"/>
              </w:rPr>
            </w:pPr>
            <w:r>
              <w:rPr>
                <w:rFonts w:ascii="Arial" w:cs="Arial" w:eastAsia="Arial" w:hAnsi="Arial"/>
                <w:sz w:val="16"/>
                <w:szCs w:val="16"/>
                <w:color w:val="auto"/>
              </w:rPr>
              <w:t>(583)</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7,288%  $</w:t>
            </w:r>
          </w:p>
        </w:tc>
        <w:tc>
          <w:tcPr>
            <w:tcW w:w="92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(62)</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85"/>
              <w:spacing w:after="0"/>
              <w:rPr>
                <w:sz w:val="20"/>
                <w:szCs w:val="20"/>
                <w:color w:val="auto"/>
              </w:rPr>
            </w:pPr>
            <w:r>
              <w:rPr>
                <w:rFonts w:ascii="Arial" w:cs="Arial" w:eastAsia="Arial" w:hAnsi="Arial"/>
                <w:sz w:val="16"/>
                <w:szCs w:val="16"/>
                <w:color w:val="auto"/>
              </w:rPr>
              <w:t>551</w:t>
            </w:r>
          </w:p>
        </w:tc>
        <w:tc>
          <w:tcPr>
            <w:tcW w:w="980" w:type="dxa"/>
            <w:vAlign w:val="bottom"/>
            <w:shd w:val="clear" w:color="auto" w:fill="CCEEFF"/>
          </w:tcPr>
          <w:p>
            <w:pPr>
              <w:jc w:val="right"/>
              <w:ind w:right="223"/>
              <w:spacing w:after="0"/>
              <w:rPr>
                <w:sz w:val="20"/>
                <w:szCs w:val="20"/>
                <w:color w:val="auto"/>
              </w:rPr>
            </w:pPr>
            <w:r>
              <w:rPr>
                <w:rFonts w:ascii="Arial" w:cs="Arial" w:eastAsia="Arial" w:hAnsi="Arial"/>
                <w:sz w:val="16"/>
                <w:szCs w:val="16"/>
                <w:color w:val="auto"/>
              </w:rPr>
              <w:t>(90)%</w:t>
            </w: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2016 and 2015</w:t>
      </w:r>
    </w:p>
    <w:p>
      <w:pPr>
        <w:spacing w:after="0" w:line="189" w:lineRule="exact"/>
        <w:rPr>
          <w:sz w:val="20"/>
          <w:szCs w:val="20"/>
          <w:color w:val="auto"/>
        </w:rPr>
      </w:pPr>
    </w:p>
    <w:p>
      <w:pPr>
        <w:ind w:right="100" w:firstLine="432"/>
        <w:spacing w:after="0" w:line="278" w:lineRule="auto"/>
        <w:rPr>
          <w:sz w:val="20"/>
          <w:szCs w:val="20"/>
          <w:color w:val="auto"/>
        </w:rPr>
      </w:pPr>
      <w:r>
        <w:rPr>
          <w:rFonts w:ascii="Arial" w:cs="Arial" w:eastAsia="Arial" w:hAnsi="Arial"/>
          <w:sz w:val="17"/>
          <w:szCs w:val="17"/>
          <w:color w:val="auto"/>
        </w:rPr>
        <w:t>Other expense, net increased by $0.6 million for the three months ended June 30, 2016, as compared to the same period in 2015. The increase was primarily attributable to a $ 0.5 million increase in net losses from movements associated with transactions denominated in Euros and the Australian Dollar. The remaining increase was due to higher interest expense resulting from increased borrowings under the Revolver.</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Six Months Ended June 30, 2016 </w:t>
      </w:r>
      <w:r>
        <w:rPr>
          <w:rFonts w:ascii="Arial" w:cs="Arial" w:eastAsia="Arial" w:hAnsi="Arial"/>
          <w:sz w:val="18"/>
          <w:szCs w:val="18"/>
          <w:color w:val="auto"/>
        </w:rPr>
        <w:t>and</w:t>
      </w:r>
      <w:r>
        <w:rPr>
          <w:rFonts w:ascii="Arial" w:cs="Arial" w:eastAsia="Arial" w:hAnsi="Arial"/>
          <w:sz w:val="18"/>
          <w:szCs w:val="18"/>
          <w:i w:val="1"/>
          <w:iCs w:val="1"/>
          <w:color w:val="auto"/>
        </w:rPr>
        <w:t xml:space="preserve"> 2015</w:t>
      </w:r>
    </w:p>
    <w:p>
      <w:pPr>
        <w:spacing w:after="0" w:line="189"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Other expense, net decreased by $0.6 million for the six months ended June 30, 2016, as compared to the same period in 2015. The decrease was primarily attributable to a $0.7 million increase in net gains from movements associated with transactions denominated in Euros and the Australian Dollar. This decrease was offset by a $0.2 million increase in interest expense resulting from increased borrowings under the Revolver.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39" w:lineRule="exact"/>
        <w:rPr>
          <w:sz w:val="20"/>
          <w:szCs w:val="20"/>
          <w:color w:val="auto"/>
        </w:rPr>
      </w:pPr>
    </w:p>
    <w:p>
      <w:pPr>
        <w:ind w:right="40" w:firstLine="432"/>
        <w:spacing w:after="0" w:line="256" w:lineRule="auto"/>
        <w:rPr>
          <w:sz w:val="20"/>
          <w:szCs w:val="20"/>
          <w:color w:val="auto"/>
        </w:rPr>
      </w:pPr>
      <w:r>
        <w:rPr>
          <w:rFonts w:ascii="Arial" w:cs="Arial" w:eastAsia="Arial" w:hAnsi="Arial"/>
          <w:sz w:val="18"/>
          <w:szCs w:val="18"/>
          <w:color w:val="auto"/>
        </w:rPr>
        <w:t>As of June 30, 2016, we had $8.2 million in cash and cash equivalents and working capital of $19.8 million. Cash and cash equivalents held in the United States were $1.4 million and consisted primarily of non-interest bearing checking deposits, with the remainder held in various foreign subsidiaries.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35" w:lineRule="exact"/>
        <w:rPr>
          <w:sz w:val="20"/>
          <w:szCs w:val="20"/>
          <w:color w:val="auto"/>
        </w:rPr>
      </w:pPr>
    </w:p>
    <w:p>
      <w:pPr>
        <w:ind w:right="140" w:firstLine="432"/>
        <w:spacing w:after="0" w:line="254" w:lineRule="auto"/>
        <w:rPr>
          <w:sz w:val="20"/>
          <w:szCs w:val="20"/>
          <w:color w:val="auto"/>
        </w:rPr>
      </w:pPr>
      <w:r>
        <w:rPr>
          <w:rFonts w:ascii="Arial" w:cs="Arial" w:eastAsia="Arial" w:hAnsi="Arial"/>
          <w:sz w:val="18"/>
          <w:szCs w:val="18"/>
          <w:color w:val="auto"/>
        </w:rPr>
        <w:t>We maintain a $50.0 million revolving credit facility with Wells Fargo Bank, N.A. (“Wells Fargo”) that was entered into in November 2012, as first amended on February 14, 2014. On December 18, 2015, we entered into an amended and restated revolving credit agreement with Wells Fargo (the “Revolver) which extended the maturity date to November 7, 2019 and added an uncommitted accordion feature that could increase the size of the facility by $25.0 million, subject to the satisfaction of certain conditions.</w:t>
      </w:r>
    </w:p>
    <w:p>
      <w:pPr>
        <w:spacing w:after="0" w:line="96"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Availability under the Revolver is subject to a borrowing base calculation that limits availability to a percentage of eligible domestic accounts receivable plus a percentage of the value of eligible domestic inventory, less certain reserves. Borrowings under the Revolver bear interest in cash at an annual rate equal to, at our option, either LIBOR or a “base rate” that is comprised of, among other things, the prime rate, plus a margin that is between 1.0% and 3.75% depending on the currency borrowed and the specific term of repayment. The Revolver requires us to pay a commitment fee between 0.25% and 0.375% based on the average daily unused portion of the revolving credit commitment.</w:t>
      </w:r>
    </w:p>
    <w:p>
      <w:pPr>
        <w:spacing w:after="0" w:line="152"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Revolver is secured by a first-priority security interest on substantially all our assets other than intellectual property and contains customary affirmative and negative covenants (including restrictions on our ability to make dividend payments) and events of default. In addition, the Revolver requires us to maintain at least $15.0 million of liquidity at all times, consisting of cash on hand and undrawn availability under the Revolver (defined as borrowing base less outstanding borrowings under the Revolver) of at least $5.0 million. We were in compliance with such covenants as of June 30, 2016.</w:t>
      </w:r>
    </w:p>
    <w:p>
      <w:pPr>
        <w:spacing w:after="0" w:line="179" w:lineRule="exact"/>
        <w:rPr>
          <w:sz w:val="20"/>
          <w:szCs w:val="20"/>
          <w:color w:val="auto"/>
        </w:rPr>
      </w:pPr>
    </w:p>
    <w:p>
      <w:pPr>
        <w:ind w:right="80" w:firstLine="432"/>
        <w:spacing w:after="0" w:line="291" w:lineRule="auto"/>
        <w:rPr>
          <w:sz w:val="20"/>
          <w:szCs w:val="20"/>
          <w:color w:val="auto"/>
        </w:rPr>
      </w:pPr>
      <w:r>
        <w:rPr>
          <w:rFonts w:ascii="Arial" w:cs="Arial" w:eastAsia="Arial" w:hAnsi="Arial"/>
          <w:sz w:val="18"/>
          <w:szCs w:val="18"/>
          <w:color w:val="auto"/>
        </w:rPr>
        <w:t xml:space="preserve">As of June 30, 2016, outstanding borrowings under the Revolver were $12.5 million. Based upon our eligible borrowing base, net of the restrictions concerning minimum liquidity requirement, we could </w:t>
      </w:r>
      <w:r>
        <w:rPr>
          <w:rFonts w:ascii="Arial" w:cs="Arial" w:eastAsia="Arial" w:hAnsi="Arial"/>
          <w:sz w:val="21"/>
          <w:szCs w:val="21"/>
          <w:color w:val="auto"/>
        </w:rPr>
        <w:t>ha</w:t>
      </w:r>
      <w:r>
        <w:rPr>
          <w:rFonts w:ascii="Arial" w:cs="Arial" w:eastAsia="Arial" w:hAnsi="Arial"/>
          <w:sz w:val="18"/>
          <w:szCs w:val="18"/>
          <w:color w:val="auto"/>
        </w:rPr>
        <w:t>ve borrowed an additional $10.0 million. The weighted-average interest rate related to the outstanding balance was 5.0%.</w:t>
      </w:r>
    </w:p>
    <w:p>
      <w:pPr>
        <w:spacing w:after="0" w:line="124" w:lineRule="exact"/>
        <w:rPr>
          <w:sz w:val="20"/>
          <w:szCs w:val="20"/>
          <w:color w:val="auto"/>
        </w:rPr>
      </w:pPr>
    </w:p>
    <w:p>
      <w:pPr>
        <w:ind w:right="140" w:firstLine="432"/>
        <w:spacing w:after="0" w:line="256" w:lineRule="auto"/>
        <w:rPr>
          <w:sz w:val="20"/>
          <w:szCs w:val="20"/>
          <w:color w:val="auto"/>
        </w:rPr>
      </w:pPr>
      <w:r>
        <w:rPr>
          <w:rFonts w:ascii="Arial" w:cs="Arial" w:eastAsia="Arial" w:hAnsi="Arial"/>
          <w:sz w:val="18"/>
          <w:szCs w:val="18"/>
          <w:color w:val="auto"/>
        </w:rPr>
        <w:t>In July 2016, we entered into an amendment to the Revolver with Wells Fargo. The amendment, among other things, allowed us to incur indebtedness related to the term loans described below and increased the amount of undrawn availability that must be maintained as part of the Revolver’s $15.0 million minimum liquidity covenant from $5.0 million to $12.5 million.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0"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189"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In July 2016, we entered into a loan and security agreement (the “Term Loan Agreement”) with lenders that are affiliates of Tennenbaum Capital Partners, LLC. Under the agreement, the lenders committed to advance a term loan in an aggregate principal amount of up to $25.0 million with a maturity date of July 1, 2020. We borrowed the entire $25.0 million of term loan commitments on the loan closing date. We expect to use the proceeds for general corporate purposes.</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Monthly payments due through June 30, 2017 are for interest only, followed by consecutive equal monthly payments of principal plus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beginning on July 1, 2017 and continuing through the maturity date. The term loan provides for an interest rate 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annum equal to the higher of (i) 10.25% and (ii) LIBOR plus 9.5625%, subject to a 1.0% reduction if we achieve minimum levels of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EBITDA (each as defined in the Term Loan Agreement) for the twelve consecutive month period ending June 30, 2017 as set forth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Loan Agreement. In addition, we paid a commitment fee of 3.3% of the loan amount upon closing and a closing fee of 10.0% of the 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 is payable in four equal installments at each anniversary of the closing date. We may elect to prepay the loan by incurring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prepayment fee between 1% and 3% of the principal amount of the term loan depending on the timing and circumstances of prepayment.</w:t>
      </w:r>
    </w:p>
    <w:p>
      <w:pPr>
        <w:spacing w:after="0" w:line="171" w:lineRule="exact"/>
        <w:rPr>
          <w:sz w:val="20"/>
          <w:szCs w:val="20"/>
          <w:color w:val="auto"/>
        </w:rPr>
      </w:pPr>
    </w:p>
    <w:p>
      <w:pPr>
        <w:ind w:right="120" w:firstLine="432"/>
        <w:spacing w:after="0" w:line="252" w:lineRule="auto"/>
        <w:rPr>
          <w:sz w:val="20"/>
          <w:szCs w:val="20"/>
          <w:color w:val="auto"/>
        </w:rPr>
      </w:pPr>
      <w:r>
        <w:rPr>
          <w:rFonts w:ascii="Arial" w:cs="Arial" w:eastAsia="Arial" w:hAnsi="Arial"/>
          <w:sz w:val="18"/>
          <w:szCs w:val="18"/>
          <w:color w:val="auto"/>
        </w:rPr>
        <w:t>The term loan is secured by a second-priority security interest on substantially all our assets except intellectual property. The Term Loan Agreement does not contain any financial covenants, but is subject to customary affirmative and negative covenants including restrictions on creation of liens, dispositions of assets, dividends, mergers, or changing the nature of its business, in each case, subject to certain customary exceptions. In addition, the Term Loan Agreement contains certain customary events of default including, but are not limited to, failure to pay interest, principal and fees or other amounts when due, material breach of any representation or warranty, covenant defaults, cross defaults to other material indebtedness and events of bankruptcy.</w:t>
      </w:r>
    </w:p>
    <w:p>
      <w:pPr>
        <w:spacing w:after="0" w:line="101"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We believe our cash on hand of $8.2 million as of June 30, 2016 and proceeds received in July 2016 from the $25.0 million term loan, together with borrowings expected to be available under our Revolver, will be sufficient to fund our operations and satisfy our working capital needs, capital asset purchases, indebtedness payments and outstanding commitments for at least the next 12 months. If we are unable to meet our projected performance targets or manage our inventory levels to align with anticipated demand, our liquidity could be adversely impacted and we may need to seek additional sources of liquidity. If additional sources of liquidity are needed, we may consider new debt or equity offerings, but there is no assurance that such transactions could be consummated on acceptable terms or at all. Failure to raise sufficient capital when needed could have a material adverse effect on our business, results of operations and financial position.</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32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(7,991)</w:t>
            </w:r>
          </w:p>
        </w:tc>
        <w:tc>
          <w:tcPr>
            <w:tcW w:w="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(8,188)</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(6,260)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(20,209)</w:t>
            </w: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(10,145)</w:t>
            </w: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six months ended June 30, 2016, net cash used in operating activities of $8.0 million was primarily attributable to a net loss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$35.5 million offset by non-cash charges of $12.5 million and net cash inflows from changes in operating assets and liabilities of $15.0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Non-cash charges included $5.7 million of stock-based compensation, $5.4 million of depreciation and amortization and a $1.3 million provision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doubtful accounts.</w:t>
      </w:r>
    </w:p>
    <w:p>
      <w:pPr>
        <w:spacing w:after="0" w:line="171" w:lineRule="exact"/>
        <w:rPr>
          <w:sz w:val="20"/>
          <w:szCs w:val="20"/>
          <w:color w:val="auto"/>
        </w:rPr>
      </w:pPr>
    </w:p>
    <w:p>
      <w:pPr>
        <w:ind w:right="300" w:firstLine="432"/>
        <w:spacing w:after="0" w:line="256" w:lineRule="auto"/>
        <w:rPr>
          <w:sz w:val="20"/>
          <w:szCs w:val="20"/>
          <w:color w:val="auto"/>
        </w:rPr>
      </w:pPr>
      <w:r>
        <w:rPr>
          <w:rFonts w:ascii="Arial" w:cs="Arial" w:eastAsia="Arial" w:hAnsi="Arial"/>
          <w:sz w:val="18"/>
          <w:szCs w:val="18"/>
          <w:color w:val="auto"/>
        </w:rPr>
        <w:t>The primary driver of cash inflows from changes in operating assets and liabilities was a $ 15.3 million increase in accounts payable, accrued and other liabilities resulting from timing of vendor payments. Also contributing to cash inflows was an increase in deferred revenue related to our cloud-based monitoring service of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$6.6 million and a decrease in inventory of $1.5 million, which was attributable to improved working capital management. Cash outflows from changes in operating assets and liabilities included a $4.2 million increase in accounts receivable as a result of higher sales in</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second quarter of 2016 compared to the fourth quarter of 2015, a $3.7 million increase in prepaid expenses and other assets attributable to deferral of costs for certain sales arrangements with extended payment terms and a $0.5 million decrease to warranty obligations.</w:t>
      </w:r>
    </w:p>
    <w:p>
      <w:pPr>
        <w:spacing w:after="0" w:line="142" w:lineRule="exact"/>
        <w:rPr>
          <w:sz w:val="20"/>
          <w:szCs w:val="20"/>
          <w:color w:val="auto"/>
        </w:rPr>
      </w:pPr>
    </w:p>
    <w:p>
      <w:pPr>
        <w:ind w:right="280" w:firstLine="432"/>
        <w:spacing w:after="0" w:line="253" w:lineRule="auto"/>
        <w:rPr>
          <w:sz w:val="20"/>
          <w:szCs w:val="20"/>
          <w:color w:val="auto"/>
        </w:rPr>
      </w:pPr>
      <w:r>
        <w:rPr>
          <w:rFonts w:ascii="Arial" w:cs="Arial" w:eastAsia="Arial" w:hAnsi="Arial"/>
          <w:sz w:val="18"/>
          <w:szCs w:val="18"/>
          <w:color w:val="auto"/>
        </w:rPr>
        <w:t>For the six months ended June 30, 2015, net cash used in operating activities of $ 23.3 million was primarily attributable to a net loss of $6.9 million, net changes in our operating assets and liabilities of $27.3 million, offset by non-cash charges of $10.9 million primarily consisting of stock-based compensation and depreciation and amortization. Cash used for operating assets and liabilities included a $22.3 million increase in accounts receivable. Other changes in operating assets and liabilities that used cash included a $12.5 million increase in inventory, a $4.1 million increase in other assets and a $0.2 million decrease in warranty obligations.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93" w:lineRule="exact"/>
        <w:rPr>
          <w:sz w:val="20"/>
          <w:szCs w:val="20"/>
          <w:color w:val="auto"/>
        </w:rPr>
      </w:pPr>
    </w:p>
    <w:p>
      <w:pPr>
        <w:ind w:right="20" w:firstLine="432"/>
        <w:spacing w:after="0" w:line="262" w:lineRule="auto"/>
        <w:rPr>
          <w:sz w:val="20"/>
          <w:szCs w:val="20"/>
          <w:color w:val="auto"/>
        </w:rPr>
      </w:pPr>
      <w:r>
        <w:rPr>
          <w:rFonts w:ascii="Arial" w:cs="Arial" w:eastAsia="Arial" w:hAnsi="Arial"/>
          <w:sz w:val="18"/>
          <w:szCs w:val="18"/>
          <w:color w:val="auto"/>
        </w:rPr>
        <w:t>For the six months ended June 30, 2016, net cash used in investing activities of $8.2 million primarily resulted from purchases of test and assembly equipment, capitalized costs related to internal-use software and license fees for certain technology related to ASIC development.</w:t>
      </w:r>
    </w:p>
    <w:p>
      <w:pPr>
        <w:spacing w:after="0" w:line="142" w:lineRule="exact"/>
        <w:rPr>
          <w:sz w:val="20"/>
          <w:szCs w:val="20"/>
          <w:color w:val="auto"/>
        </w:rPr>
      </w:pPr>
    </w:p>
    <w:p>
      <w:pPr>
        <w:ind w:right="20" w:firstLine="432"/>
        <w:spacing w:after="0" w:line="262" w:lineRule="auto"/>
        <w:rPr>
          <w:sz w:val="20"/>
          <w:szCs w:val="20"/>
          <w:color w:val="auto"/>
        </w:rPr>
      </w:pPr>
      <w:r>
        <w:rPr>
          <w:rFonts w:ascii="Arial" w:cs="Arial" w:eastAsia="Arial" w:hAnsi="Arial"/>
          <w:sz w:val="18"/>
          <w:szCs w:val="18"/>
          <w:color w:val="auto"/>
        </w:rPr>
        <w:t>For the six months ended June 30, 2015, net cash used in investing activities of $6.3 million primarily resulted from purchases of test and assembly equipment and capitalized costs related to internal-use software.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93" w:lineRule="exact"/>
        <w:rPr>
          <w:sz w:val="20"/>
          <w:szCs w:val="20"/>
          <w:color w:val="auto"/>
        </w:rPr>
      </w:pPr>
    </w:p>
    <w:p>
      <w:pPr>
        <w:jc w:val="both"/>
        <w:ind w:right="120" w:firstLine="432"/>
        <w:spacing w:after="0" w:line="256" w:lineRule="auto"/>
        <w:rPr>
          <w:sz w:val="20"/>
          <w:szCs w:val="20"/>
          <w:color w:val="auto"/>
        </w:rPr>
      </w:pPr>
      <w:r>
        <w:rPr>
          <w:rFonts w:ascii="Arial" w:cs="Arial" w:eastAsia="Arial" w:hAnsi="Arial"/>
          <w:sz w:val="18"/>
          <w:szCs w:val="18"/>
          <w:color w:val="auto"/>
        </w:rPr>
        <w:t>For the six months ended June 30, 2016, net cash used by financing activities of $3.9 million was primarily due to net repayments under our Revolver of $4.6 million, which was offset by $0.8 million in proceeds received from the issuance of common stock under employee stock plans.</w:t>
      </w:r>
    </w:p>
    <w:p>
      <w:pPr>
        <w:spacing w:after="0" w:line="148"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For the six months ended June 30, 2015, net cash provided by financing activities of $19.7 million was primarily attributed to $17.0 million drawn under the Revolver and $2.7 million in proceeds received from the issuance of common stock under employee stock plans.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93"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color w:val="auto"/>
        </w:rPr>
        <w:t>As of June 30, 2016, there have been no material changes to our contractual obligations from those disclosed in “Management’s Discussion and Analysis of Financial Condition and Results of Operations” of our 2015 Form 10-K that were outside the ordinary course of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2016, we did not have any off-balance sheet arrangements, as defined in Item 303(a)(4)(ii) of SEC Regulation S-K.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3"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U.S., or GAAP. In connection with the preparation of our condensed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consolidated financial statements are presented fairly and in accordance with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159" w:lineRule="exact"/>
        <w:rPr>
          <w:sz w:val="20"/>
          <w:szCs w:val="20"/>
          <w:color w:val="auto"/>
        </w:rPr>
      </w:pPr>
    </w:p>
    <w:p>
      <w:pPr>
        <w:ind w:right="40" w:firstLine="432"/>
        <w:spacing w:after="0" w:line="256" w:lineRule="auto"/>
        <w:rPr>
          <w:sz w:val="20"/>
          <w:szCs w:val="20"/>
          <w:color w:val="auto"/>
        </w:rPr>
      </w:pPr>
      <w:r>
        <w:rPr>
          <w:rFonts w:ascii="Arial" w:cs="Arial" w:eastAsia="Arial" w:hAnsi="Arial"/>
          <w:sz w:val="18"/>
          <w:szCs w:val="18"/>
          <w:color w:val="auto"/>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140"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260" w:firstLine="432"/>
        <w:spacing w:after="0" w:line="256" w:lineRule="auto"/>
        <w:rPr>
          <w:sz w:val="20"/>
          <w:szCs w:val="20"/>
          <w:color w:val="auto"/>
        </w:rPr>
      </w:pPr>
      <w:r>
        <w:rPr>
          <w:rFonts w:ascii="Arial" w:cs="Arial" w:eastAsia="Arial" w:hAnsi="Arial"/>
          <w:sz w:val="18"/>
          <w:szCs w:val="18"/>
          <w:color w:val="auto"/>
        </w:rPr>
        <w:t>There have been no significant changes during the six months ended June 30, 2016 to the items that we disclosed as our critical accounting policies and estimates in Management’s Discussion and Analysis of Financial Condition and Results of Operations in our Annual Report on Form 10-K for the year ended December 31,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Effective</w:t>
      </w:r>
    </w:p>
    <w:p>
      <w:pPr>
        <w:spacing w:after="0" w:line="175"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of the Notes to Condensed Consolidated Financial Statements under Item 1 for recently issued accounting pronouncements not yet effective.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40"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53" w:lineRule="exact"/>
        <w:rPr>
          <w:sz w:val="20"/>
          <w:szCs w:val="20"/>
          <w:color w:val="auto"/>
        </w:rPr>
      </w:pPr>
    </w:p>
    <w:p>
      <w:pPr>
        <w:ind w:right="120" w:firstLine="432"/>
        <w:spacing w:after="0" w:line="256" w:lineRule="auto"/>
        <w:rPr>
          <w:sz w:val="20"/>
          <w:szCs w:val="20"/>
          <w:color w:val="auto"/>
        </w:rPr>
      </w:pPr>
      <w:r>
        <w:rPr>
          <w:rFonts w:ascii="Arial" w:cs="Arial" w:eastAsia="Arial" w:hAnsi="Arial"/>
          <w:sz w:val="18"/>
          <w:szCs w:val="18"/>
          <w:color w:val="auto"/>
        </w:rPr>
        <w:t>For quantitative and qualitative disclosures about market risk, see Item 7A, “Quantitative and Qualitative Disclosures About Market Risk” of our annual report on Form 10-K for the year ended December 31, 2015. Our exposures to market risk have not changed materially since December 31, 2015.</w:t>
      </w:r>
    </w:p>
    <w:p>
      <w:pPr>
        <w:spacing w:after="0" w:line="288"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3" w:lineRule="exact"/>
        <w:rPr>
          <w:sz w:val="20"/>
          <w:szCs w:val="20"/>
          <w:color w:val="auto"/>
        </w:rPr>
      </w:pPr>
    </w:p>
    <w:p>
      <w:pPr>
        <w:ind w:right="360" w:firstLine="432"/>
        <w:spacing w:after="0" w:line="250"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June 30, 2016. The term “disclosure controls and procedures,” as defined in Rules 13a-15(e) and</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15d-15(e) under the Securities Exchange Act of 1934, as amended, or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June 30, 2016, our chief executive officer and chief financial officer concluded that, as of such date, our disclosure controls and procedures were effective at the reasonable assurance level.</w:t>
      </w:r>
    </w:p>
    <w:p>
      <w:pPr>
        <w:spacing w:after="0" w:line="155"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193" w:lineRule="exact"/>
        <w:rPr>
          <w:sz w:val="20"/>
          <w:szCs w:val="20"/>
          <w:color w:val="auto"/>
        </w:rPr>
      </w:pPr>
    </w:p>
    <w:p>
      <w:pPr>
        <w:ind w:right="100" w:firstLine="432"/>
        <w:spacing w:after="0" w:line="256"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that materially affected, or are reasonably likely to materially affect, our internal control over financial reporting.</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40"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7" w:lineRule="exact"/>
        <w:rPr>
          <w:sz w:val="20"/>
          <w:szCs w:val="20"/>
          <w:color w:val="auto"/>
        </w:rPr>
      </w:pPr>
    </w:p>
    <w:p>
      <w:pPr>
        <w:ind w:right="180" w:firstLine="446"/>
        <w:spacing w:after="0" w:line="254" w:lineRule="auto"/>
        <w:rPr>
          <w:sz w:val="20"/>
          <w:szCs w:val="20"/>
          <w:color w:val="auto"/>
        </w:rPr>
      </w:pPr>
      <w:r>
        <w:rPr>
          <w:rFonts w:ascii="Arial" w:cs="Arial" w:eastAsia="Arial" w:hAnsi="Arial"/>
          <w:sz w:val="18"/>
          <w:szCs w:val="18"/>
          <w:color w:val="auto"/>
        </w:rPr>
        <w:t>From time to time, we may be involved in litigation relating to claims arising out of our operations. We are not currently involved in any material legal proceedings.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128"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not material may also significantly impair our business operations. Our business could be harmed by any of these risks. The trading price of our common stock could decline due to any of these risks, and you may lose all or part of your investment. In assessing these risks, you should also refer to the other information contained in this Quarterly Report on Form 10-Q, including our condensed consolidated financial statements and related notes.</w:t>
      </w:r>
    </w:p>
    <w:p>
      <w:pPr>
        <w:spacing w:after="0" w:line="129" w:lineRule="exact"/>
        <w:rPr>
          <w:sz w:val="20"/>
          <w:szCs w:val="20"/>
          <w:color w:val="auto"/>
        </w:rPr>
      </w:pPr>
    </w:p>
    <w:p>
      <w:pPr>
        <w:ind w:firstLine="405"/>
        <w:spacing w:after="0" w:line="282" w:lineRule="auto"/>
        <w:rPr>
          <w:sz w:val="20"/>
          <w:szCs w:val="20"/>
          <w:color w:val="auto"/>
        </w:rPr>
      </w:pPr>
      <w:r>
        <w:rPr>
          <w:rFonts w:ascii="Arial" w:cs="Arial" w:eastAsia="Arial" w:hAnsi="Arial"/>
          <w:sz w:val="18"/>
          <w:szCs w:val="18"/>
          <w:i w:val="1"/>
          <w:iCs w:val="1"/>
          <w:color w:val="auto"/>
        </w:rPr>
        <w:t>We have marked with an asterisk (*) those risks described below that reflect substantive changes from, or additions to, the risks described in our Annual Report on Form 10-K for the year ended December 31, 2015.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93" w:lineRule="exact"/>
        <w:rPr>
          <w:sz w:val="20"/>
          <w:szCs w:val="20"/>
          <w:color w:val="auto"/>
        </w:rPr>
      </w:pPr>
    </w:p>
    <w:p>
      <w:pPr>
        <w:ind w:right="60" w:firstLine="432"/>
        <w:spacing w:after="0" w:line="252" w:lineRule="auto"/>
        <w:rPr>
          <w:sz w:val="20"/>
          <w:szCs w:val="20"/>
          <w:color w:val="auto"/>
        </w:rPr>
      </w:pPr>
      <w:r>
        <w:rPr>
          <w:rFonts w:ascii="Arial" w:cs="Arial" w:eastAsia="Arial" w:hAnsi="Arial"/>
          <w:sz w:val="18"/>
          <w:szCs w:val="18"/>
          <w:color w:val="auto"/>
        </w:rPr>
        <w:t>We have incurred significant net losses since we began doing business, including a net loss of $35.5 million during the six months ended June 30, 2016. As of June 30, 2016, we had an accumulated deficit of $218.6 million. We have incurred substantial operating losses since our inception, and we may continue to incur additional losses in the future. Our revenue growth may slow or revenue may decline for a number of possible reasons, many of which are outside our control, including a decline in demand for our offerings, increased competition, a decrease in the growth of the solar industry or our market share, or our failure to continue to capitalize on growth opportunities. If we fail to generate sufficient revenue to support our operations, we may not be able to achieve or sustain profitability.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rapidly changing solar industry makes it difficult to evaluate our current business and future prospects.</w:t>
      </w:r>
    </w:p>
    <w:p>
      <w:pPr>
        <w:spacing w:after="0" w:line="193"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The rapidly changing solar industry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150" w:lineRule="exact"/>
        <w:rPr>
          <w:sz w:val="20"/>
          <w:szCs w:val="20"/>
          <w:color w:val="auto"/>
        </w:rPr>
      </w:pPr>
    </w:p>
    <w:p>
      <w:pPr>
        <w:ind w:right="200" w:firstLine="432"/>
        <w:spacing w:after="0" w:line="254" w:lineRule="auto"/>
        <w:rPr>
          <w:sz w:val="20"/>
          <w:szCs w:val="20"/>
          <w:color w:val="auto"/>
        </w:rPr>
      </w:pPr>
      <w:r>
        <w:rPr>
          <w:rFonts w:ascii="Arial" w:cs="Arial" w:eastAsia="Arial" w:hAnsi="Arial"/>
          <w:sz w:val="18"/>
          <w:szCs w:val="18"/>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demand for solar energy solutions does not continue to grow or grows at a slower rate than we anticipate, our business will suffer.</w:t>
      </w:r>
    </w:p>
    <w:p>
      <w:pPr>
        <w:spacing w:after="0" w:line="139"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Our microinverter systems are utilized in solar photovoltaic, or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w:t>
      </w:r>
      <w:r>
        <w:rPr>
          <w:rFonts w:ascii="Arial" w:cs="Arial" w:eastAsia="Arial" w:hAnsi="Arial"/>
          <w:sz w:val="18"/>
          <w:szCs w:val="18"/>
          <w:i w:val="1"/>
          <w:iCs w:val="1"/>
          <w:color w:val="auto"/>
        </w:rPr>
        <w:t>,</w:t>
      </w:r>
      <w:r>
        <w:rPr>
          <w:rFonts w:ascii="Arial" w:cs="Arial" w:eastAsia="Arial" w:hAnsi="Arial"/>
          <w:sz w:val="18"/>
          <w:szCs w:val="18"/>
          <w:color w:val="auto"/>
        </w:rPr>
        <w:t xml:space="preserve"> and we cannot be certain that consumers and businesses will adopt solar PV systems as an alternative energy source at levels sufficient to continue to grow our business. Traditional electricity distribution is based on the regulated industry model whereby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40"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5" w:lineRule="exact"/>
        <w:rPr>
          <w:sz w:val="20"/>
          <w:szCs w:val="20"/>
          <w:color w:val="auto"/>
        </w:rPr>
      </w:pPr>
    </w:p>
    <w:p>
      <w:pPr>
        <w:ind w:left="980" w:hanging="48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solar PV systems based on our product platform;</w:t>
      </w:r>
    </w:p>
    <w:p>
      <w:pPr>
        <w:spacing w:after="0" w:line="117" w:lineRule="exact"/>
        <w:rPr>
          <w:rFonts w:ascii="Arial" w:cs="Arial" w:eastAsia="Arial" w:hAnsi="Arial"/>
          <w:sz w:val="18"/>
          <w:szCs w:val="18"/>
          <w:color w:val="auto"/>
        </w:rPr>
      </w:pPr>
    </w:p>
    <w:p>
      <w:pPr>
        <w:ind w:left="980" w:right="160" w:hanging="486"/>
        <w:spacing w:after="0" w:line="262"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 competitiveness, reliability and performance of solar PV systems compared to conventional and non-solar renewable energy sources and products;</w:t>
      </w:r>
    </w:p>
    <w:p>
      <w:pPr>
        <w:spacing w:after="0" w:line="88" w:lineRule="exact"/>
        <w:rPr>
          <w:rFonts w:ascii="Arial" w:cs="Arial" w:eastAsia="Arial" w:hAnsi="Arial"/>
          <w:sz w:val="18"/>
          <w:szCs w:val="18"/>
          <w:color w:val="auto"/>
        </w:rPr>
      </w:pPr>
    </w:p>
    <w:p>
      <w:pPr>
        <w:ind w:left="980" w:right="580" w:hanging="486"/>
        <w:spacing w:after="0" w:line="262"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amount of government subsidies and incentives to support the development and deployment of solar energy solutions;</w:t>
      </w:r>
    </w:p>
    <w:p>
      <w:pPr>
        <w:spacing w:after="0" w:line="88" w:lineRule="exact"/>
        <w:rPr>
          <w:rFonts w:ascii="Arial" w:cs="Arial" w:eastAsia="Arial" w:hAnsi="Arial"/>
          <w:sz w:val="18"/>
          <w:szCs w:val="18"/>
          <w:color w:val="auto"/>
        </w:rPr>
      </w:pPr>
    </w:p>
    <w:p>
      <w:pPr>
        <w:ind w:left="980" w:right="220" w:hanging="486"/>
        <w:spacing w:after="0" w:line="262"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to which the electric power industry and broader energy industries are deregulated to permit broader adoption of solar electricity generation;</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and availability of key raw materials and components used in the production of solar PV systems;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prices of traditional utility-provided energy sources;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levels of investment by end-users of solar energy products, which tend to decrease when economic growth slows; and</w:t>
      </w:r>
    </w:p>
    <w:p>
      <w:pPr>
        <w:spacing w:after="0" w:line="117" w:lineRule="exact"/>
        <w:rPr>
          <w:rFonts w:ascii="Arial" w:cs="Arial" w:eastAsia="Arial" w:hAnsi="Arial"/>
          <w:sz w:val="18"/>
          <w:szCs w:val="18"/>
          <w:color w:val="auto"/>
        </w:rPr>
      </w:pPr>
    </w:p>
    <w:p>
      <w:pPr>
        <w:ind w:left="980" w:right="100" w:hanging="486"/>
        <w:spacing w:after="0" w:line="262"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emergence, continuance or success of, or increased government support for, other alternative energy generation technologies and products.</w:t>
      </w:r>
    </w:p>
    <w:p>
      <w:pPr>
        <w:spacing w:after="0" w:line="196" w:lineRule="exact"/>
        <w:rPr>
          <w:sz w:val="20"/>
          <w:szCs w:val="20"/>
          <w:color w:val="auto"/>
        </w:rPr>
      </w:pPr>
    </w:p>
    <w:p>
      <w:pPr>
        <w:ind w:right="140" w:firstLine="432"/>
        <w:spacing w:after="0" w:line="262" w:lineRule="auto"/>
        <w:rPr>
          <w:sz w:val="20"/>
          <w:szCs w:val="20"/>
          <w:color w:val="auto"/>
        </w:rPr>
      </w:pPr>
      <w:r>
        <w:rPr>
          <w:rFonts w:ascii="Arial" w:cs="Arial" w:eastAsia="Arial" w:hAnsi="Arial"/>
          <w:sz w:val="18"/>
          <w:szCs w:val="18"/>
          <w:color w:val="auto"/>
        </w:rPr>
        <w:t>If demand for solar energy solutions fails to develop sufficiently, demand for our customers' products as well as demand for our products will decrease, which would have an adverse impact on our ability to increase our revenue and grow our business.</w:t>
      </w:r>
    </w:p>
    <w:p>
      <w:pPr>
        <w:spacing w:after="0" w:line="142" w:lineRule="exact"/>
        <w:rPr>
          <w:sz w:val="20"/>
          <w:szCs w:val="20"/>
          <w:color w:val="auto"/>
        </w:rPr>
      </w:pPr>
    </w:p>
    <w:p>
      <w:pPr>
        <w:ind w:right="200" w:firstLine="432"/>
        <w:spacing w:after="0" w:line="254" w:lineRule="auto"/>
        <w:rPr>
          <w:sz w:val="20"/>
          <w:szCs w:val="20"/>
          <w:color w:val="auto"/>
        </w:rPr>
      </w:pPr>
      <w:r>
        <w:rPr>
          <w:rFonts w:ascii="Arial" w:cs="Arial" w:eastAsia="Arial" w:hAnsi="Arial"/>
          <w:sz w:val="18"/>
          <w:szCs w:val="18"/>
          <w:color w:val="auto"/>
        </w:rPr>
        <w:t>Short-term demand and supply imbalances, especially for solar module technology, have recently caused prices for solar technology solutions to decline rapidly. Furthermore, competition in the solar industry has increased due to the emergence of Asian manufacturers along the entire solar value chain causing further price declines, excess inventory and oversupply. These market disruptions may continue to occur and may increase pressure to reduce prices, which could adversely affect our business and financial results.</w:t>
      </w:r>
    </w:p>
    <w:p>
      <w:pPr>
        <w:spacing w:after="0" w:line="128"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auto"/>
        </w:rPr>
        <w:t>The loss of, or events affecting, one of our major customers could reduce our sales and have a material adverse effect on our business, financial condition and results of operations.</w:t>
      </w:r>
    </w:p>
    <w:p>
      <w:pPr>
        <w:spacing w:after="0" w:line="121"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In 2015, CED Greentech and Vivint Solar, Inc. accounted for 17% and 12% of net revenues, respectively. In 2014, Vivint Solar, Inc. and CED Greentech accounted for 24% and 16% of total net revenues, respectively. Our customers’ decisions to purchase our products are influenced by a number of factors outside of our control, including retail energy prices and government regulation and incentives, among others. Although we have agreements with some of our largest customers, these agreements generally do not have long-term purchase commitments and are generally terminable by either party after a relatively short notice period. In addition, these customers may decide to no longer use, or to reduce the use of, our products and services for other reasons which may be out of our control. For example, beginning in 2015, Vivint Solar, Inc. has been pursuing a multi-sourcing strategy, and therefore, is not sole-sourcing our microinverters, which has resulted and may continue to result in a reduction in our revenue generated from sales to Vivint. The loss of, or events affecting, Vivint or one or more of our other large customers have had, could have and could continue to have a material adverse effect on our business,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gross profit may fluctuate over time, which could impair our ability to achieve or maintain profitability.</w:t>
      </w:r>
    </w:p>
    <w:p>
      <w:pPr>
        <w:spacing w:after="0" w:line="139" w:lineRule="exact"/>
        <w:rPr>
          <w:sz w:val="20"/>
          <w:szCs w:val="20"/>
          <w:color w:val="auto"/>
        </w:rPr>
      </w:pPr>
    </w:p>
    <w:p>
      <w:pPr>
        <w:ind w:right="780" w:firstLine="432"/>
        <w:spacing w:after="0" w:line="262" w:lineRule="auto"/>
        <w:rPr>
          <w:sz w:val="20"/>
          <w:szCs w:val="20"/>
          <w:color w:val="auto"/>
        </w:rPr>
      </w:pPr>
      <w:r>
        <w:rPr>
          <w:rFonts w:ascii="Arial" w:cs="Arial" w:eastAsia="Arial" w:hAnsi="Arial"/>
          <w:sz w:val="18"/>
          <w:szCs w:val="18"/>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34" w:lineRule="exact"/>
        <w:rPr>
          <w:sz w:val="20"/>
          <w:szCs w:val="20"/>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customer, geographic or product mix;</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price competition, including the impact of customer and competitor discounts and rebates;</w:t>
      </w:r>
    </w:p>
    <w:p>
      <w:pPr>
        <w:spacing w:after="0" w:line="117" w:lineRule="exact"/>
        <w:rPr>
          <w:rFonts w:ascii="Arial" w:cs="Arial" w:eastAsia="Arial" w:hAnsi="Arial"/>
          <w:sz w:val="18"/>
          <w:szCs w:val="18"/>
          <w:color w:val="auto"/>
        </w:rPr>
      </w:pPr>
    </w:p>
    <w:p>
      <w:pPr>
        <w:ind w:left="980" w:right="340" w:hanging="486"/>
        <w:spacing w:after="0" w:line="262"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reduce and control product costs, including our ability to make product cost reductions in a timely manner to offset declines in our product prices;</w:t>
      </w:r>
    </w:p>
    <w:p>
      <w:pPr>
        <w:spacing w:after="0" w:line="88" w:lineRule="exact"/>
        <w:rPr>
          <w:rFonts w:ascii="Arial" w:cs="Arial" w:eastAsia="Arial" w:hAnsi="Arial"/>
          <w:sz w:val="18"/>
          <w:szCs w:val="18"/>
          <w:color w:val="auto"/>
        </w:rPr>
      </w:pPr>
    </w:p>
    <w:p>
      <w:pPr>
        <w:ind w:left="980" w:right="260" w:hanging="486"/>
        <w:spacing w:after="0" w:line="262"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warranty costs and reserves, including changes resulting from changes in estimates related to the long-term performance of our products, product replacement costs and warranty claim rates;</w:t>
      </w:r>
    </w:p>
    <w:p>
      <w:pPr>
        <w:spacing w:after="0" w:line="88" w:lineRule="exact"/>
        <w:rPr>
          <w:rFonts w:ascii="Arial" w:cs="Arial" w:eastAsia="Arial" w:hAnsi="Arial"/>
          <w:sz w:val="18"/>
          <w:szCs w:val="18"/>
          <w:color w:val="auto"/>
        </w:rPr>
      </w:pPr>
    </w:p>
    <w:p>
      <w:pPr>
        <w:ind w:left="980" w:right="280" w:hanging="486"/>
        <w:spacing w:after="0" w:line="262"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cost savings due to changes in component or raw material pricing or charges incurred due to inventory holding periods if product demand is not correctly anticipated;</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introduction of new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ordering patterns from our distributors;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price reductions on older products to sell remaining inventory;</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40"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5" w:lineRule="exact"/>
        <w:rPr>
          <w:sz w:val="20"/>
          <w:szCs w:val="20"/>
          <w:color w:val="auto"/>
        </w:rPr>
      </w:pPr>
    </w:p>
    <w:p>
      <w:pPr>
        <w:ind w:left="980" w:right="20" w:hanging="486"/>
        <w:spacing w:after="0" w:line="262"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reduce production costs, such as through technology innovations, in order to offset price declines in our products over time;</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shipment volume;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distribution channels;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excess and obsolete inventory and inventory holding charges;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expediting costs incurred to meet customer delivery requirements;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Fluctuations in gross profit may adversely affect our ability to manage our business or achieve or maintain profitability.</w:t>
      </w:r>
    </w:p>
    <w:p>
      <w:pPr>
        <w:spacing w:after="0" w:line="149"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i w:val="1"/>
          <w:iCs w:val="1"/>
          <w:color w:val="auto"/>
        </w:rPr>
        <w:t>We are under continuous pressure to reduce the prices of our products, which has adversely affected, and may continue to adversely affect, our gross margins.</w:t>
      </w:r>
    </w:p>
    <w:p>
      <w:pPr>
        <w:spacing w:after="0" w:line="121"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The solar power industry has been characterized by declining product prices over time. We have reduced the prices of our products in the past and we expect to continue to experience pricing pressure for our products in the future, including from our major customers. In addition, we are reducing our prices ahead of planned costs reductions of our products, which has adversely affected our gross margins. When seeking to maintain or increase their market share, our competitors may also reduce the prices of their products. In addition, our customers may have the ability or seek to internally develop and manufacture competing products at a lower cost than we would otherwise charge, which would add additional pressure on us to lower our selling prices. If we are unable to offset any future reductions in our average selling prices by increasing our sales volume, reducing our costs and expenses or introducing new products, our gross margin would continue to be adversely affected.</w:t>
      </w:r>
    </w:p>
    <w:p>
      <w:pPr>
        <w:spacing w:after="0" w:line="153"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Given the general downward pressure on prices for our products driven by competitive pressure and technological change, a principal component of our business strategy is reducing our costs to manufacture our products to remain competitive. If our competitors are able to drive down their manufacturing costs faster than we can or increase the efficiency of their products, our products may become less competitive even when adjusted for efficiency. Further, if raw materials costs and other third-party component costs were to increase, we may not meet our cost reduction targets. If we cannot effectively execute our cost reduction roadmap, our competitive position will suffer, and we could lose market share and our margins would be adversely affected as we face downward pricing pressure.</w:t>
      </w:r>
    </w:p>
    <w:p>
      <w:pPr>
        <w:spacing w:after="0" w:line="13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may not be able to raise additional capital to execute on our current or future business opportunities on favorable terms, if at all, or without dilution to our stockholders.</w:t>
      </w:r>
    </w:p>
    <w:p>
      <w:pPr>
        <w:spacing w:after="0" w:line="67" w:lineRule="exact"/>
        <w:rPr>
          <w:sz w:val="20"/>
          <w:szCs w:val="20"/>
          <w:color w:val="auto"/>
        </w:rPr>
      </w:pPr>
    </w:p>
    <w:p>
      <w:pPr>
        <w:jc w:val="both"/>
        <w:ind w:right="80" w:firstLine="432"/>
        <w:spacing w:after="0" w:line="256" w:lineRule="auto"/>
        <w:rPr>
          <w:sz w:val="20"/>
          <w:szCs w:val="20"/>
          <w:color w:val="auto"/>
        </w:rPr>
      </w:pPr>
      <w:r>
        <w:rPr>
          <w:rFonts w:ascii="Arial" w:cs="Arial" w:eastAsia="Arial" w:hAnsi="Arial"/>
          <w:sz w:val="18"/>
          <w:szCs w:val="18"/>
          <w:color w:val="auto"/>
        </w:rPr>
        <w:t>We believe that our existing cash on hand and proceeds received in July 2016 from the $25.0 million term loan, together with borrowings expected to be available under our Revolver will be sufficient to meet our anticipated cash needs for at least the next 12 months. However, we may need to raise additional capital to execute on our current or future business strategies, including to:</w:t>
      </w:r>
    </w:p>
    <w:p>
      <w:pPr>
        <w:spacing w:after="0" w:line="40" w:lineRule="exact"/>
        <w:rPr>
          <w:sz w:val="20"/>
          <w:szCs w:val="20"/>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fund our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 in our research and development efforts by hiring additional technical and other personnel;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our operations into new product markets and new geographies;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 complementary businesses, products, services or technologies; or</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otherwise pursue our strategic plans and respond to competitive pressures.</w:t>
      </w:r>
    </w:p>
    <w:p>
      <w:pPr>
        <w:spacing w:after="0" w:line="225" w:lineRule="exact"/>
        <w:rPr>
          <w:sz w:val="20"/>
          <w:szCs w:val="20"/>
          <w:color w:val="auto"/>
        </w:rPr>
      </w:pPr>
    </w:p>
    <w:p>
      <w:pPr>
        <w:ind w:right="160" w:firstLine="432"/>
        <w:spacing w:after="0" w:line="252" w:lineRule="auto"/>
        <w:rPr>
          <w:sz w:val="20"/>
          <w:szCs w:val="20"/>
          <w:color w:val="auto"/>
        </w:rPr>
      </w:pPr>
      <w:r>
        <w:rPr>
          <w:rFonts w:ascii="Arial" w:cs="Arial" w:eastAsia="Arial" w:hAnsi="Arial"/>
          <w:sz w:val="18"/>
          <w:szCs w:val="18"/>
          <w:color w:val="auto"/>
        </w:rPr>
        <w:t>We do not know what forms of financing, if any, will be available to us. If financing is not available on acceptable terms, if and when needed, our ability to fund our operations, expand our research and development,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40"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The inverter industry is highly competitive and we expect to face increased competition as new and existing competitors introduce products, which could negatively impact our results of operations and market share.</w:t>
      </w:r>
    </w:p>
    <w:p>
      <w:pPr>
        <w:spacing w:after="0" w:line="121"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The market for PV inverter solutions is highly competitive. To date, we have competed primarily against central and string inverter manufacturers, but as the solar industry rapidly grows, new solutions and technologies are emerging that will directly compete with our business. Competitors in the inverter market are, amongst others, SMA Solar Technology AG, Fronius International GmbH, ABB Ltd. and SolarEdge Technologies, Inc., and other emerging companies offering alternative microinverter, DC to DC optimizer and other power electronic solutions.</w:t>
      </w:r>
    </w:p>
    <w:p>
      <w:pPr>
        <w:spacing w:after="0" w:line="152"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Competition has intensified and we expect the trend to continue as new and existing competitors enter the microinverter market or market and sell related products, such as DC to DC optimizers that can be used in conjunction with central or string inverters. SMA Solar Technology AG and ABB Ltd. market and sell microinverter products, and several new entrants to the microinverter market have recently announced plans to ship or have already shipped products. We believe that a number of companies have developed or are developing microinverters and other products that will compete directly with our microinverter systems in the module-level power electronics, or MLPE market, including low-cost Asian manufacturers. In addition, central and string inverter manufacturers continue to drive down their prices, putting additional pressure on us and other alternative technologies.</w:t>
      </w:r>
    </w:p>
    <w:p>
      <w:pPr>
        <w:spacing w:after="0" w:line="153"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Several of our existing and potential competitors are significantly larger and more established than we are and may have greater financial, marketing, distribution, and customer support resources, and may have significantly broader brand recognition, especially in certain markets. In addition, some of our competitors have more resources and experience to develop or acquire new products and technologies and create market awareness for these offerings.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for our microinverter systems in order to compete effectively. Suppliers of solar products, particularly solar modules, have experienced eroding prices over the last several years and as a result many have faced margin compression and declining revenues. If we have to reduce our prices by more than we anticipated, or if we are unable to offset any future reductions in our average selling prices by increasing our sales volume, reducing our costs and expenses or introducing new products, our revenues and gross profit would suffer.</w:t>
      </w:r>
    </w:p>
    <w:p>
      <w:pPr>
        <w:spacing w:after="0" w:line="158"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We also may face competition from some of our customers or potential customers who evaluate our capabilities against the merits of manufacturing products internally. For instance, SunPower Corporation acquired a microinverter company SolarBridge Technologies, Inc. in November of 2014. Other solar module manufacturers could also develop or acquire competing inverter technology or attempt to develop components that directly perform DC to AC 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or potential customers may purchase fewer of our microinverter systems or sell products that compete with our microinverters systems, which would negatively impact our revenue and gross profit.</w:t>
      </w:r>
    </w:p>
    <w:p>
      <w:pPr>
        <w:spacing w:after="0" w:line="18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Developments in alternative technologies or improvements in distributed solar energy generation may have a material adverse effect on demand for our offerings.</w:t>
      </w:r>
    </w:p>
    <w:p>
      <w:pPr>
        <w:spacing w:after="0" w:line="12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Significant developments in alternative technologies, such as advances in other forms of distributed solar PV power generation, storage solutions such as batteries, the widespread use or adoption of fuel cells for residential or commercial properties or improvements in other forms of centralized power production may have a material adverse effect on our business and prospects. Any failure by us to adopt new or enhanced technologies or processes, or to react to changes in existing technologies, could result in product obsolescence, the loss of competitiveness of our products, decreased revenue and a loss of market share to competitors.</w:t>
      </w:r>
    </w:p>
    <w:p>
      <w:pPr>
        <w:spacing w:after="0" w:line="130"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Our microinverter systems may not achieve broader market acceptance, which would prevent us from increasing our revenue and market share.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40"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jc w:val="both"/>
        <w:ind w:right="20" w:firstLine="432"/>
        <w:spacing w:after="0" w:line="256" w:lineRule="auto"/>
        <w:rPr>
          <w:sz w:val="20"/>
          <w:szCs w:val="20"/>
          <w:color w:val="auto"/>
        </w:rPr>
      </w:pPr>
      <w:r>
        <w:rPr>
          <w:rFonts w:ascii="Arial" w:cs="Arial" w:eastAsia="Arial" w:hAnsi="Arial"/>
          <w:sz w:val="18"/>
          <w:szCs w:val="18"/>
          <w:color w:val="auto"/>
        </w:rPr>
        <w:t>If we fail to achieve broader market acceptance of our products, there would be an adverse impact on our ability to increase our revenue, gain market share and achieve and sustain profitability. Our ability to achieve broader market acceptance for our products will be impacted by a number of factors, including:</w:t>
      </w:r>
    </w:p>
    <w:p>
      <w:pPr>
        <w:spacing w:after="0" w:line="40" w:lineRule="exact"/>
        <w:rPr>
          <w:sz w:val="20"/>
          <w:szCs w:val="20"/>
          <w:color w:val="auto"/>
        </w:rPr>
      </w:pPr>
    </w:p>
    <w:p>
      <w:pPr>
        <w:ind w:left="980" w:right="180" w:hanging="486"/>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produce microinverter systems that compete favorably against other solutions on the basis of price, quality, reliability and performance;</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timely introduce and complete new designs and timely qualify and certify our products;</w:t>
      </w:r>
    </w:p>
    <w:p>
      <w:pPr>
        <w:spacing w:after="0" w:line="117" w:lineRule="exact"/>
        <w:rPr>
          <w:rFonts w:ascii="Arial" w:cs="Arial" w:eastAsia="Arial" w:hAnsi="Arial"/>
          <w:sz w:val="18"/>
          <w:szCs w:val="18"/>
          <w:color w:val="auto"/>
        </w:rPr>
      </w:pPr>
    </w:p>
    <w:p>
      <w:pPr>
        <w:ind w:left="980" w:right="660" w:hanging="486"/>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continue to adopt our microinverter systems, which is a relatively new technology with a limited history with respect to reliability and performance;</w:t>
      </w:r>
    </w:p>
    <w:p>
      <w:pPr>
        <w:spacing w:after="0" w:line="88" w:lineRule="exact"/>
        <w:rPr>
          <w:rFonts w:ascii="Arial" w:cs="Arial" w:eastAsia="Arial" w:hAnsi="Arial"/>
          <w:sz w:val="18"/>
          <w:szCs w:val="18"/>
          <w:color w:val="auto"/>
        </w:rPr>
      </w:pPr>
    </w:p>
    <w:p>
      <w:pPr>
        <w:ind w:left="980" w:right="60" w:hanging="486"/>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be willing to purchase microinverter systems from us given our limited operating history;</w:t>
      </w:r>
    </w:p>
    <w:p>
      <w:pPr>
        <w:spacing w:after="0" w:line="88" w:lineRule="exact"/>
        <w:rPr>
          <w:rFonts w:ascii="Arial" w:cs="Arial" w:eastAsia="Arial" w:hAnsi="Arial"/>
          <w:sz w:val="18"/>
          <w:szCs w:val="18"/>
          <w:color w:val="auto"/>
        </w:rPr>
      </w:pPr>
    </w:p>
    <w:p>
      <w:pPr>
        <w:ind w:left="980" w:right="260" w:hanging="486"/>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prospective system owners to obtain long-term financing for solar PV installations based on our product platform on acceptable terms or at all;</w:t>
      </w:r>
    </w:p>
    <w:p>
      <w:pPr>
        <w:spacing w:after="0" w:line="88" w:lineRule="exact"/>
        <w:rPr>
          <w:rFonts w:ascii="Arial" w:cs="Arial" w:eastAsia="Arial" w:hAnsi="Arial"/>
          <w:sz w:val="18"/>
          <w:szCs w:val="18"/>
          <w:color w:val="auto"/>
        </w:rPr>
      </w:pPr>
    </w:p>
    <w:p>
      <w:pPr>
        <w:ind w:left="980" w:right="680" w:hanging="486"/>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products that comply with local standards and regulatory requirements, as well as potential in-country manufacturing requirements; and</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and maintain successful relationships with our customers and suppliers.</w:t>
      </w:r>
    </w:p>
    <w:p>
      <w:pPr>
        <w:spacing w:after="0" w:line="225"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In addition, our ability to achieve increased market share will depend on our ability to increase sales to established solar installers, who have traditionally sold central or string inverters. These installers often have made substantial investments in design, installation resources and training in traditional central or string inverter systems, which may create challenges for us to achieve their adoption of our microinverter systems.</w:t>
      </w:r>
    </w:p>
    <w:p>
      <w:pPr>
        <w:spacing w:after="0" w:line="12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12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152"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In general, the cost of solar power currently exceeds retail electricity rates, and we believe this tendency will continue in the near term. As a result, national, state and local government bodies in many countries, most notably Australia, Canada, France, Belgium, Germany, Italy, Japan, the People’s Republic of China, the United Kingdom, Spain and the United States,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changed by governments due to changing market circumstances or changes to national, state or local energy policy.</w:t>
      </w:r>
    </w:p>
    <w:p>
      <w:pPr>
        <w:spacing w:after="0" w:line="153"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that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Additionally, electric utility companies may establish pricing structures or interconnection requirements that could adversely affect our sales and be harmful to the solar and distributed rooftop solar generation industry.</w:t>
      </w:r>
    </w:p>
    <w:p>
      <w:pPr>
        <w:spacing w:after="0" w:line="77" w:lineRule="exact"/>
        <w:rPr>
          <w:sz w:val="20"/>
          <w:szCs w:val="20"/>
          <w:color w:val="auto"/>
        </w:rPr>
      </w:pPr>
    </w:p>
    <w:p>
      <w:pPr>
        <w:jc w:val="both"/>
        <w:ind w:right="540"/>
        <w:spacing w:after="0" w:line="318" w:lineRule="auto"/>
        <w:rPr>
          <w:sz w:val="20"/>
          <w:szCs w:val="20"/>
          <w:color w:val="auto"/>
        </w:rPr>
      </w:pPr>
      <w:r>
        <w:rPr>
          <w:rFonts w:ascii="Arial" w:cs="Arial" w:eastAsia="Arial" w:hAnsi="Arial"/>
          <w:sz w:val="17"/>
          <w:szCs w:val="17"/>
          <w:b w:val="1"/>
          <w:bCs w:val="1"/>
          <w:i w:val="1"/>
          <w:iCs w:val="1"/>
          <w:color w:val="auto"/>
        </w:rPr>
        <w:t>*If we do not forecast demand for our products accurately, we may experience product shortages, delays in product shipment, excess product inventory, or difficulties in planning expenses, which will adversely affect our business and financial condition.</w:t>
      </w:r>
    </w:p>
    <w:p>
      <w:pPr>
        <w:spacing w:after="0" w:line="44" w:lineRule="exact"/>
        <w:rPr>
          <w:sz w:val="20"/>
          <w:szCs w:val="20"/>
          <w:color w:val="auto"/>
        </w:rPr>
      </w:pPr>
    </w:p>
    <w:p>
      <w:pPr>
        <w:ind w:right="200" w:firstLine="432"/>
        <w:spacing w:after="0" w:line="262" w:lineRule="auto"/>
        <w:rPr>
          <w:sz w:val="20"/>
          <w:szCs w:val="20"/>
          <w:color w:val="auto"/>
        </w:rPr>
      </w:pPr>
      <w:r>
        <w:rPr>
          <w:rFonts w:ascii="Arial" w:cs="Arial" w:eastAsia="Arial" w:hAnsi="Arial"/>
          <w:sz w:val="18"/>
          <w:szCs w:val="18"/>
          <w:color w:val="auto"/>
        </w:rPr>
        <w:t>We manufacture our products according to our estimates of customer demand. This process requires us to make multiple forecasts and assumptions relating to the demand of our distributors, their end customers and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0"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101"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short term and in light of our outsourced manufacturing processes, which could prevent us from fulfilling orders in a timely and cost 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104" w:lineRule="exact"/>
        <w:rPr>
          <w:sz w:val="20"/>
          <w:szCs w:val="20"/>
          <w:color w:val="auto"/>
        </w:rPr>
      </w:pPr>
    </w:p>
    <w:p>
      <w:pPr>
        <w:ind w:right="140" w:firstLine="432"/>
        <w:spacing w:after="0" w:line="254" w:lineRule="auto"/>
        <w:rPr>
          <w:sz w:val="20"/>
          <w:szCs w:val="20"/>
          <w:color w:val="auto"/>
        </w:rPr>
      </w:pPr>
      <w:r>
        <w:rPr>
          <w:rFonts w:ascii="Arial" w:cs="Arial" w:eastAsia="Arial" w:hAnsi="Arial"/>
          <w:sz w:val="18"/>
          <w:szCs w:val="18"/>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128"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Our focus on a limited number of specific markets increases risks associated with the modification, elimination or expiration of governmental subsidies and economic incentives for on-grid solar electricity applications.</w:t>
      </w:r>
    </w:p>
    <w:p>
      <w:pPr>
        <w:spacing w:after="0" w:line="121" w:lineRule="exact"/>
        <w:rPr>
          <w:sz w:val="20"/>
          <w:szCs w:val="20"/>
          <w:color w:val="auto"/>
        </w:rPr>
      </w:pPr>
    </w:p>
    <w:p>
      <w:pPr>
        <w:ind w:right="140" w:firstLine="432"/>
        <w:spacing w:after="0" w:line="252" w:lineRule="auto"/>
        <w:rPr>
          <w:sz w:val="20"/>
          <w:szCs w:val="20"/>
          <w:color w:val="auto"/>
        </w:rPr>
      </w:pPr>
      <w:r>
        <w:rPr>
          <w:rFonts w:ascii="Arial" w:cs="Arial" w:eastAsia="Arial" w:hAnsi="Arial"/>
          <w:sz w:val="18"/>
          <w:szCs w:val="18"/>
          <w:color w:val="auto"/>
        </w:rPr>
        <w:t>To date, we have generated the majority of our revenues from North America and expect to continue to generate a substantial amount of our revenues from North America in the future. There are a number of important incentives that are expected to phase-out or terminate in the future, which could adversely affect sales of our products. A substantial majority of our revenues come from the United States, which has both federal and state incentives. For instance, the Renewable Energy and Job Creation Act of 2008 was recently extended as part of an Omnibus Appropriations Bill and provides a 30% federal tax credit for residential and commercial solar installations through December 31, 2019 and reduced tax credits of 26% and 22% through December 31, 2020 and 2021 respectively, before being reduced to 10% for commercial installations and 0% for residential installations beginning in 2022.</w:t>
      </w:r>
    </w:p>
    <w:p>
      <w:pPr>
        <w:spacing w:after="0" w:line="153" w:lineRule="exact"/>
        <w:rPr>
          <w:sz w:val="20"/>
          <w:szCs w:val="20"/>
          <w:color w:val="auto"/>
        </w:rPr>
      </w:pPr>
    </w:p>
    <w:p>
      <w:pPr>
        <w:ind w:right="120" w:firstLine="432"/>
        <w:spacing w:after="0" w:line="251" w:lineRule="auto"/>
        <w:rPr>
          <w:sz w:val="20"/>
          <w:szCs w:val="20"/>
          <w:color w:val="auto"/>
        </w:rPr>
      </w:pPr>
      <w:r>
        <w:rPr>
          <w:rFonts w:ascii="Arial" w:cs="Arial" w:eastAsia="Arial" w:hAnsi="Arial"/>
          <w:sz w:val="18"/>
          <w:szCs w:val="18"/>
          <w:color w:val="auto"/>
        </w:rPr>
        <w:t>In addition, net energy metering tariffs are being evaluated and in some instances modified which may have a negative impact on future inverter sales. We derive a significant portion of our revenues from California’s residential solar market and the existing California net energy metering tariff has been very successful in incentivizing the installation of residential solar systems. California, however, is re-evaluating existing incentives, tariffs and rates for residential systems in order to accommodate a sustainable growth trajectory for residential solar and to also encourage the adoption of other distributed energy resources, such as energy storage, that provide additional benefits to the consumer and the electricity grid. There is a risk that future regulatory changes do not adequately stimulate future growth in the residential solar market. We also sell our products in Europe. A number of European countries, including Germany, Belgium, Spain, Italy and the United Kingdom have adopted reductions or concluded their FiT programs. Certain countries, notably Greece and Spain, have proposed or enacted taxes levied on renewable energy. These and related developments have significantly impacted the solar industry in Europe and may adversely affect the future demand for the solar energy solutions in Europe.</w:t>
      </w:r>
    </w:p>
    <w:p>
      <w:pPr>
        <w:spacing w:after="0" w:line="158"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We also sell our products in Australia. In 2012, Australia enacted a national price on carbon emissions intended to increase the cost of traditional energy sources, thereby making renewable energy sources more attractive. Beginning in 2012, several states in Australia began to gradually reduce their FiTs. In 2013, Australia elected a new national government. The new leadership pledged to revise national energy policy, including potentially reducing Australia’s renewable energy target and revising certain renewable energy financing mechanisms. In July 2014, the new leadership successfully repealed the tax on carbon emissions.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We also sell our products in Ontario, Canada. The Government of Ontario has the authority to change the FiTs for future contracts at its discretion and has the authority to modify, suspend, or discontinue the program at any time. Suspension of the FiT program in Ontario directly impacted and could continue to impact our business. Furthermore, any future suspension or modification of the program could negatively affect our business, financial condition and results of operations.</w:t>
      </w:r>
    </w:p>
    <w:p>
      <w:pPr>
        <w:spacing w:after="0" w:line="150"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We believe the Federal and State tax credits, applicable federal and state grants, applicable tariffs and other incentive programs have had a positive effect on our sales since inception. However, unless these programs are further extended or modified to allow for continued growth in the residential solar market, the phase-out of such programs could adversely affect sales of our products in the future. The reductions in incentives and uncertainty around future energy policy, including local content requirements, have negatively affected and may continue to negatively affect our business, financial condition, and results of operations as we seek to increase our business domestically and abroad. Additionally, as we further expand to other countries, changes in incentive programs or electricity policies could negatively affect returns on our investments in those countries as well as our business, financial condition, and results of operations.</w:t>
      </w:r>
    </w:p>
    <w:p>
      <w:pPr>
        <w:spacing w:after="0" w:line="131"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Changes in current laws or regulations or the imposition of new laws or regulations, or new interpretations thereof, by federal or state agencies or foreign governments could impair our ability to compete in international markets.</w:t>
      </w:r>
    </w:p>
    <w:p>
      <w:pPr>
        <w:spacing w:after="0" w:line="121"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Changes in current laws or regulations applicable to us or the imposition of new laws and regulations in the United States, Canada, Mexico and certain Central American markets, the United Kingdom, France, the Benelux region, certain other European markets, Australia, New Zealand and certain other Asian markets, could materially and adversely affect 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w:t>
      </w:r>
    </w:p>
    <w:p>
      <w:pPr>
        <w:spacing w:after="0" w:line="155" w:lineRule="exact"/>
        <w:rPr>
          <w:sz w:val="20"/>
          <w:szCs w:val="20"/>
          <w:color w:val="auto"/>
        </w:rPr>
      </w:pPr>
    </w:p>
    <w:p>
      <w:pPr>
        <w:jc w:val="both"/>
        <w:ind w:right="580" w:firstLine="432"/>
        <w:spacing w:after="0" w:line="254" w:lineRule="auto"/>
        <w:rPr>
          <w:sz w:val="20"/>
          <w:szCs w:val="20"/>
          <w:color w:val="auto"/>
        </w:rPr>
      </w:pPr>
      <w:r>
        <w:rPr>
          <w:rFonts w:ascii="Arial" w:cs="Arial" w:eastAsia="Arial" w:hAnsi="Arial"/>
          <w:sz w:val="18"/>
          <w:szCs w:val="18"/>
          <w:color w:val="auto"/>
        </w:rPr>
        <w:t>For example, the Italian energy authority (AEEG) enacted a new set of interconnection standards for solar energy installations that became effective in July 2012, which has negatively impacted our sales in Italy. We continue to explore potential solutions to meet these requirements. However, in the event that we cannot implement a solution in the near term the total market available for our microinverter products in Italy, and our business as a result, may continue to be adversely impacted.</w:t>
      </w:r>
    </w:p>
    <w:p>
      <w:pPr>
        <w:spacing w:after="0" w:line="150"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In addition, several states or territories, including California, Hawaii and Queensland, Australia, have either implemented or are considering implementing new restrictions on incentives or rules regulating the installation of solar systems that we may not be able to currently comply with. In the event that we cannot comply with these or other new regulations or implement a solution to such noncompliance as they arise, the total market available for our microinverter products in such states, and our business as a result, may be adversely impacted.</w:t>
      </w:r>
    </w:p>
    <w:p>
      <w:pPr>
        <w:spacing w:after="0" w:line="150"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While we are not aware of any other current or proposed export or import regulations that would materially restrict our ability to sell our products in countries where we offer our products for sale,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3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The threat of continuing global economic, capital markets and credit disruptions, including sovereign debt issues, pose risks for our business.</w:t>
      </w:r>
    </w:p>
    <w:p>
      <w:pPr>
        <w:spacing w:after="0" w:line="121"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The threat of continuing global economic, capital markets and credit disruptions, including the sovereign debt issues in Europe, pose risks for our business. These risks include slower economic activity and investment in projects that make use of our products and services. These economic developments, particularly decreased credit availability, have reduced demand for solar products. The European sovereign debt crisis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 Europe.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121"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improvements to the utility infrastructure could reduce the retail price of electricity from the utility grid, making the purchase of solar PV systems less economically attractive and lowering sales of our microinverter systems. In addition, energy conservation technologies and public initiatives to reduce demand for electricity also could cause a fall in the retail price of electricity from the utility grid. Moreover, technological developments by our competitors in the solar components industry, including manufacturers of central inverters and DC to DC optimizers, could allow these competitors or their partners to offer electricity at costs lower than those that can be achieved from solar PV installations based on our product platform, which could result in reduced demand for our products. Additionally, as increasing adoption of distributed generation places pressure on traditional utility business models or utility infrastructure, utilities may change their pricing structures to make installation or operation of solar distributed generation more costly. Such measures can include grid access fees, costly or lengthy interconnection studies, limitations on distributed generation penetration levels, or other measures. If the cost of electricity generated by solar PV installations incorporating our microinverter systems is high relative to the cost of electricity from other sources, our business, financial condition and results of operations may be harmed.</w:t>
      </w:r>
    </w:p>
    <w:p>
      <w:pPr>
        <w:spacing w:after="0" w:line="134"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continue to incur additional warranty expenses and may damage our market reputation and cause our revenue and gross profit to decline.</w:t>
      </w:r>
    </w:p>
    <w:p>
      <w:pPr>
        <w:spacing w:after="0" w:line="121"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We have offered 15-year limited warranties for our first and second generation microinverters and offer a limited warranty of up to 25 years on our third and fourth generation microinverters. Our limited warranties cover defects in materials and workmanship of our microinverters under normal use and service conditions for up to 25 years following installation. As a result, we bear the risk of warranty claims long after we have sold the product and recognized revenue. Our estimated costs of warranty for previously sold products may change to the extent future products are not compatible with earlier generation products under warranty.</w:t>
      </w:r>
    </w:p>
    <w:p>
      <w:pPr>
        <w:spacing w:after="0" w:line="152"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While we offer warranties of up to 25 years, our microinverters have only been in use since mid-2008, when we first commenced commercial sales of our products. Although we conduct accelerated life cycle testing to measure performance and reliability, our microinverter systems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 installation may perform in a different way than under standard test conditions. If our products perform below expectations or have unexpected reliability problems, we may be unable to gain or retain customers and could face substantial warranty expense.</w:t>
      </w:r>
    </w:p>
    <w:p>
      <w:pPr>
        <w:spacing w:after="0" w:line="153"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We are required to make assumptions and apply judgments, based on our accelerated life cycle testing and the limited operating history of our products, regarding a number of factors, including the durability and reliability of our products, our anticipated rate of warranty claims and the costs of replacement of defective products. Our assumptions have proven and could in the future prove to be materially different from the actual performance of our products, which has caused and may in the future cause us to incur substantial expense to repair or replace defective products. Increases in our estimates of future warranty obligations due to actual product failure rates, field service obligations and rework costs incurred in correcting product failures have caused and could in the future cause us to materially increase the amount of warranty obligations, and have had and may have in the future a corresponding negative impact on our results of operations.</w:t>
      </w:r>
    </w:p>
    <w:p>
      <w:pPr>
        <w:spacing w:after="0" w:line="153"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We also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reputation could be significantly impaired and we may lose, or be unable to gain or retain, customers.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0"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Defects and poor performance in our products could result in loss of customers, decreased revenue and unexpected expenses, and we may face warranty, indemnity and product liability claims arising from defective products.</w:t>
      </w:r>
    </w:p>
    <w:p>
      <w:pPr>
        <w:spacing w:after="0" w:line="121"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Our products must meet stringent quality requirements and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certain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158"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Furthermore, defective, inefficient or poorly performing power components may give rise to warranty, indemnity or product liability claims against us that exceed any revenue or profit we receive from the affected products. We could incur significant costs and liabilities if we are sued and if damages are awarded against us. We currently maintain a moderate level of product liability insurance, and there can be no assurance that this insurance will provide sufficient coverage in the event 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153"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Our Enlighten web-based monitoring service, which our customers use to track and monitor the performance of their solar PV systems based on our product platform,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growth, our business and operating results may suffer.</w:t>
      </w:r>
    </w:p>
    <w:p>
      <w:pPr>
        <w:spacing w:after="0" w:line="139" w:lineRule="exact"/>
        <w:rPr>
          <w:sz w:val="20"/>
          <w:szCs w:val="20"/>
          <w:color w:val="auto"/>
        </w:rPr>
      </w:pPr>
    </w:p>
    <w:p>
      <w:pPr>
        <w:ind w:right="340" w:firstLine="432"/>
        <w:spacing w:after="0" w:line="256" w:lineRule="auto"/>
        <w:rPr>
          <w:sz w:val="20"/>
          <w:szCs w:val="20"/>
          <w:color w:val="auto"/>
        </w:rPr>
      </w:pPr>
      <w:r>
        <w:rPr>
          <w:rFonts w:ascii="Arial" w:cs="Arial" w:eastAsia="Arial" w:hAnsi="Arial"/>
          <w:sz w:val="18"/>
          <w:szCs w:val="18"/>
          <w:color w:val="auto"/>
        </w:rPr>
        <w:t>We have experienced, and expect to experience in the future, significant growth in our sales and operations. Our historical growth has placed, and planned future growth is expected to continue to place, significant demands on our management, as well as our financial and operational resources, to:</w:t>
      </w:r>
    </w:p>
    <w:p>
      <w:pPr>
        <w:spacing w:after="0" w:line="40"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 a larger organization;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 third-party manufacturing, testing and distribution capacity;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 additional custom manufacturing test equipment;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 an increasing number of relationships with customers, suppliers and other third parties;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our sales and marketing efforts;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train and manage a growing employee base;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broaden our customer support capabilities;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 new and upgrade existing operational and financial systems;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enhance our financial disclosure controls and procedures.</w:t>
      </w:r>
    </w:p>
    <w:p>
      <w:pPr>
        <w:spacing w:after="0" w:line="225"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We cannot assure you that our current and planned operations, personnel, systems, internal procedures and controls will be adequate to support our future growth. If we cannot manage our growth effectively, we may be unable to take advantage of market opportunities, execute our business strategies or respond to competitive pressures, any of which could have a material adverse effect on our financial condition, results of operation, business or prospects.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and planned expansion into new markets could subject us to additional business, financial and competitive risks.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220" w:firstLine="446"/>
        <w:spacing w:after="0" w:line="253" w:lineRule="auto"/>
        <w:rPr>
          <w:sz w:val="20"/>
          <w:szCs w:val="20"/>
          <w:color w:val="auto"/>
        </w:rPr>
      </w:pPr>
      <w:r>
        <w:rPr>
          <w:rFonts w:ascii="Arial" w:cs="Arial" w:eastAsia="Arial" w:hAnsi="Arial"/>
          <w:sz w:val="18"/>
          <w:szCs w:val="18"/>
          <w:color w:val="auto"/>
        </w:rPr>
        <w:t>We currently offer microinverter systems targeting the residential and commercial markets in the United States, Canada, Mexico and certain Central American markets, the United Kingdom, France, the Benelux region, certain other European markets, Australia, New Zealand and certain other Asian markets. We also intend to expand into other international markets and to introduce new microinverter systems targeted at larger commercial and utility-scale installations. Our success in these new geographic and product markets will depend on a number of factors, such as:</w:t>
      </w:r>
    </w:p>
    <w:p>
      <w:pPr>
        <w:spacing w:after="0" w:line="43"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acceptance of microinverters in markets in which they have not traditionally been used;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compete in new product markets to which we are not accustomed;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manage an increasing manufacturing capacity and production;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willingness of our potential customers to incur a higher upfront capital investment than may be required for competing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solutions to address the requirements of the larger commercial and utility-scale markets;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qualification and certification of new products for larger commercial and utility-scale installations;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reduce production costs in order to price our products competitively over time;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government subsidies and economic incentives for solar energy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accurate forecasting and effective management of inventory levels in line with anticipated product demand;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customer service capabilities and responsiveness.</w:t>
      </w:r>
    </w:p>
    <w:p>
      <w:pPr>
        <w:spacing w:after="0" w:line="171"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Further, new geographic markets and the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40" w:lineRule="exact"/>
        <w:rPr>
          <w:sz w:val="20"/>
          <w:szCs w:val="20"/>
          <w:color w:val="auto"/>
        </w:rPr>
      </w:pPr>
    </w:p>
    <w:p>
      <w:pPr>
        <w:ind w:left="980" w:right="420" w:hanging="486"/>
        <w:spacing w:after="0" w:line="26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differing regulatory requirements, including tax laws, trade laws, labor, safety, local content, recycling and consumer protection regulations, tariffs, export quotas, customs duties or other trade restrictions;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limited or unfavorable intellectual property protection;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 of change in international political or economic conditions;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117" w:lineRule="exact"/>
        <w:rPr>
          <w:rFonts w:ascii="Arial" w:cs="Arial" w:eastAsia="Arial" w:hAnsi="Arial"/>
          <w:sz w:val="18"/>
          <w:szCs w:val="18"/>
          <w:color w:val="auto"/>
        </w:rPr>
      </w:pPr>
    </w:p>
    <w:p>
      <w:pPr>
        <w:ind w:left="980" w:right="100" w:hanging="486"/>
        <w:spacing w:after="0" w:line="26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longer sales cycles;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volume requirements;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customer concentrations;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warranty expectations and product return policies;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 performance and compatibility requirements.</w:t>
      </w:r>
    </w:p>
    <w:p>
      <w:pPr>
        <w:spacing w:after="0" w:line="225"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Failure to develop and introduce these new products successfully, to generate sufficient revenue from these products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Ordering patterns from our distributors may cause our revenue to fluctuate significantly from period to period.</w:t>
      </w:r>
    </w:p>
    <w:p>
      <w:pPr>
        <w:spacing w:after="0" w:line="193"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adjust their purchase orders placed with us in 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 and operating results to fluctuate significantly. This fluctuation may cause our results to fall short of analyst or investor expectations in a certain period, which may cause our stock price to decline.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We depend upon a small number of outside contract manufacturers. Our operations could be disrupted if we encounter problems with these contract manufacturers.</w:t>
      </w:r>
    </w:p>
    <w:p>
      <w:pPr>
        <w:spacing w:after="0" w:line="121"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We do not have internal manufacturing capabilities, and rely upon a small number of contract manufacturers to build our products. In particular, we rely on contract manufacturers for the manufacture of microinverter products, cabling and our communications gateway related to our microinverter systems. Our reliance on a small number of contract manufacturers makes us vulnerable to possible capacity constraints and reduced control over component availability, delivery schedules, manufacturing yields and costs. We do not have long-term supply contracts with our other manufacturing partners. Consequently, these manufacturers are not obligated to supply products to us for any period, in any specified quantity or at any certain price.</w:t>
      </w:r>
    </w:p>
    <w:p>
      <w:pPr>
        <w:spacing w:after="0" w:line="155" w:lineRule="exact"/>
        <w:rPr>
          <w:sz w:val="20"/>
          <w:szCs w:val="20"/>
          <w:color w:val="auto"/>
        </w:rPr>
      </w:pPr>
    </w:p>
    <w:p>
      <w:pPr>
        <w:ind w:right="340" w:firstLine="432"/>
        <w:spacing w:after="0" w:line="253" w:lineRule="auto"/>
        <w:rPr>
          <w:sz w:val="20"/>
          <w:szCs w:val="20"/>
          <w:color w:val="auto"/>
        </w:rPr>
      </w:pPr>
      <w:r>
        <w:rPr>
          <w:rFonts w:ascii="Arial" w:cs="Arial" w:eastAsia="Arial" w:hAnsi="Arial"/>
          <w:sz w:val="18"/>
          <w:szCs w:val="18"/>
          <w:color w:val="auto"/>
        </w:rPr>
        <w:t>The revenues that our contract manufacturers generate from our orders may represent a relatively small percentage of their overall revenues. As a result, fulfilling our orders may not be considered a priority in the event of constrained ability to fulfill all of their customer obligations in a timely manner. In addition, the facilities in which the vast majority of our microinverters, related cabling and communications gateway products are manufactured are located outside of the United States. We believe that the location of these facilities outside of the United States increases supply risk, including the risk of supply interruptions or reductions in manufacturing quality or controls.</w:t>
      </w:r>
    </w:p>
    <w:p>
      <w:pPr>
        <w:spacing w:after="0" w:line="152"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which in turn would reduce our revenues, harm our relationships with our customers and damage our relationships with our distributors and end customers and cause us to forgo potential revenue opportunities.</w:t>
      </w:r>
    </w:p>
    <w:p>
      <w:pPr>
        <w:spacing w:after="0" w:line="133"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b w:val="1"/>
          <w:bCs w:val="1"/>
          <w:i w:val="1"/>
          <w:iCs w:val="1"/>
          <w:color w:val="auto"/>
        </w:rPr>
        <w:t>Manufacturing problems could result in delays in product shipments to customers and could adversely affect our revenue, competitive position and reputation.</w:t>
      </w:r>
    </w:p>
    <w:p>
      <w:pPr>
        <w:spacing w:after="0" w:line="121" w:lineRule="exact"/>
        <w:rPr>
          <w:sz w:val="20"/>
          <w:szCs w:val="20"/>
          <w:color w:val="auto"/>
        </w:rPr>
      </w:pPr>
    </w:p>
    <w:p>
      <w:pPr>
        <w:ind w:right="120" w:firstLine="432"/>
        <w:spacing w:after="0" w:line="252" w:lineRule="auto"/>
        <w:rPr>
          <w:sz w:val="20"/>
          <w:szCs w:val="20"/>
          <w:color w:val="auto"/>
        </w:rPr>
      </w:pPr>
      <w:r>
        <w:rPr>
          <w:rFonts w:ascii="Arial" w:cs="Arial" w:eastAsia="Arial" w:hAnsi="Arial"/>
          <w:sz w:val="18"/>
          <w:szCs w:val="18"/>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152" w:lineRule="exact"/>
        <w:rPr>
          <w:sz w:val="20"/>
          <w:szCs w:val="20"/>
          <w:color w:val="auto"/>
        </w:rPr>
      </w:pPr>
    </w:p>
    <w:p>
      <w:pPr>
        <w:jc w:val="both"/>
        <w:ind w:right="160" w:firstLine="432"/>
        <w:spacing w:after="0" w:line="254" w:lineRule="auto"/>
        <w:rPr>
          <w:sz w:val="20"/>
          <w:szCs w:val="20"/>
          <w:color w:val="auto"/>
        </w:rPr>
      </w:pPr>
      <w:r>
        <w:rPr>
          <w:rFonts w:ascii="Arial" w:cs="Arial" w:eastAsia="Arial" w:hAnsi="Arial"/>
          <w:sz w:val="18"/>
          <w:szCs w:val="18"/>
          <w:color w:val="auto"/>
        </w:rPr>
        <w:t>A disruption could also occur in our manufacturing partner’s fabrication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shipment schedules requested by our customers, which would negatively affect our revenue, competitive position and reputation.</w:t>
      </w:r>
    </w:p>
    <w:p>
      <w:pPr>
        <w:spacing w:after="0" w:line="150" w:lineRule="exact"/>
        <w:rPr>
          <w:sz w:val="20"/>
          <w:szCs w:val="20"/>
          <w:color w:val="auto"/>
        </w:rPr>
      </w:pPr>
    </w:p>
    <w:p>
      <w:pPr>
        <w:ind w:right="220" w:firstLine="432"/>
        <w:spacing w:after="0" w:line="252" w:lineRule="auto"/>
        <w:rPr>
          <w:sz w:val="20"/>
          <w:szCs w:val="20"/>
          <w:color w:val="auto"/>
        </w:rPr>
      </w:pPr>
      <w:r>
        <w:rPr>
          <w:rFonts w:ascii="Arial" w:cs="Arial" w:eastAsia="Arial" w:hAnsi="Arial"/>
          <w:sz w:val="18"/>
          <w:szCs w:val="18"/>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changes in customer requirements, manufacturing facilities or processes, or those of some third-party contract manufacturers and suppliers of raw materials and components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153"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risks of these types of manufacturing problems are further increased during the introduction of new product lines, which has from time to time caused, and may in the future cause, temporary suspension of production lines while problems are addressed or corrected. Since our business is substantially dependent on a limited number of product lines, any prolonged or substantial suspension of manufacturing production lines could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0"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result in a material adverse effect on our revenue, gross profit, competitive position, and distributor and customer relationships.</w:t>
      </w:r>
    </w:p>
    <w:p>
      <w:pPr>
        <w:spacing w:after="0" w:line="149"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i w:val="1"/>
          <w:iCs w:val="1"/>
          <w:color w:val="auto"/>
        </w:rPr>
        <w:t>We depend on sole source and limited source suppliers for key components and products. If we are unable to source these components on a timely basis, we will not be able to deliver our products to our customers.</w:t>
      </w:r>
    </w:p>
    <w:p>
      <w:pPr>
        <w:spacing w:after="0" w:line="121"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We depend on sole source and limited source suppliers for key components of our products. For example, our ASICs are purchased from a sole source supplier or developed for us by sole source suppliers. Similarly, the battery cells for our AC Battery product will also initially be sole sourced. Any of the sole source and limited source suppliers upon whom we rely could experience quality and reliability issues, could stop producing our components, cease operations or be acquired by, or enter into exclusive arrangements with, our competitors. We generally do not have long-term supply agreements with our suppliers, and our purchase volumes may currently be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including price, or at all. Switching suppliers may require that we redesign our products to accommodate new components, and may potentially require us to re-qualify our products, which would be costly and time-consuming. Any interruption in the quality or supply of sole source or limited source components for our products would adversely affect our ability to meet scheduled product deliveries to our customers and could result in lost revenue or higher expenses and would harm our business.</w:t>
      </w:r>
    </w:p>
    <w:p>
      <w:pPr>
        <w:spacing w:after="0" w:line="13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121" w:lineRule="exact"/>
        <w:rPr>
          <w:sz w:val="20"/>
          <w:szCs w:val="20"/>
          <w:color w:val="auto"/>
        </w:rPr>
      </w:pPr>
    </w:p>
    <w:p>
      <w:pPr>
        <w:ind w:right="80" w:firstLine="432"/>
        <w:spacing w:after="0" w:line="251" w:lineRule="auto"/>
        <w:rPr>
          <w:sz w:val="20"/>
          <w:szCs w:val="20"/>
          <w:color w:val="auto"/>
        </w:rPr>
      </w:pPr>
      <w:r>
        <w:rPr>
          <w:rFonts w:ascii="Arial" w:cs="Arial" w:eastAsia="Arial" w:hAnsi="Arial"/>
          <w:sz w:val="18"/>
          <w:szCs w:val="18"/>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13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121"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Many owners of solar PV systems depend on financing to purchase their systems. The limited use of microinverters to date, coupled with our limited operating history,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systems on favorable terms, or increases in interest rates or changes in tax incentives, could lower an investor’s return on investment in a solar PV system,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 In addition, an increasing share of residential solar installations has been provided through third party financing structures, such as power purchase or lease agreements. Our sales growth therefore increasingly depends on sales to developers of third party solar finance offerings who provide solar as a service via power purchase agreements or leasing structures. The third party finance market for residential solar in the United States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0"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and elsewhere is or may become highly concentrated, with a few significant finance companies and several smaller entrants. If we are unable develop relationships and gain a significant share of inverter sales to the major finance companies or new entrants, our overall sales growth will be constrained.</w:t>
      </w:r>
    </w:p>
    <w:p>
      <w:pPr>
        <w:spacing w:after="0" w:line="12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We rely primarily on distributors, large installers and providers of solar financing to assist in selling our products, and the failure of these customers to perform as expected could reduce our future revenue.</w:t>
      </w:r>
    </w:p>
    <w:p>
      <w:pPr>
        <w:spacing w:after="0" w:line="121"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We sell our microinverter systems primarily through distributors, as well as through direct sales to solar equipment installers and sales to developers of third party solar finance offerings. We do not have exclusive arrangements with these third parties and, as a result, many of our customers also use or market and sell products from our competitors, which may reduce our sales. Our customers may generally terminate their relationships with us at any time, or with short notice. Our customers may fail to devote resources necessary to sell our products at the prices, in the volumes and within the time frames that we expect, or may focus their marketing and sales efforts on products of our competitors. In addition, participants in the solar industry are becoming increasingly focused on vertical integration of the solar financing and installation process, which may lead to an overall reduction in the number of potential parties who may purchase and install our products.</w:t>
      </w:r>
    </w:p>
    <w:p>
      <w:pPr>
        <w:spacing w:after="0" w:line="153"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Our future performance depends on our ability to effectively manage our relationships with our existing customers, as well as to attract additional customers that will be able to market and support our products effectively, especially in markets in which we have not previously distributed our products. Termination of agreements with current customers, failure by these customers to perform as expected, or failure by us to cultivate new customer relationships, could hinder our ability to expand our operations and harm our revenue and operating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capture customers in the new product and geographic markets that we are pursuing.</w:t>
      </w:r>
    </w:p>
    <w:p>
      <w:pPr>
        <w:spacing w:after="0" w:line="193"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We are pursuing opportunities in energy management and energy storage which are highly competitive markets. We have made investments in our infrastructure, increased our operating costs and forgone other business opportunities in order to seek opportunities in these areas and will continue to do so. Any new product is subject to certain risks, including component sourcing, strategic partner selection and execution, customer acceptance, competition, product differentiation, market timing, challenges relating to economies of scale in component sourcing and the ability to attract and retain qualified personnel. There can be no assurance that we will be able to develop and grow these or any other new concepts to a point where they will become profitable, or generate positive cash flow. If we fail to execute on our plan with respect to new product introductions, these new potential business segments fail to translate into revenue in the quantities or timeline projected, thus, having a materially adverse impact on our revenue, operating results and financial stability. In addition, we are pursuing new geographic markets. The inability to capture new customers in the high-growth geographic markets could have a material adverse effect on our business, financial condition or results of operations.</w:t>
      </w:r>
    </w:p>
    <w:p>
      <w:pPr>
        <w:spacing w:after="0" w:line="13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Our success in an “AC module” version of our microinverter system may depend in part upon our ability to continue to work closely with leading solar module manufacturers.</w:t>
      </w:r>
    </w:p>
    <w:p>
      <w:pPr>
        <w:spacing w:after="0" w:line="121"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We are currently working on variants of our microinverter system that will enable an “AC module” for direct attachment of the microinverter to the solar modules. The market success of such solutions will depend in part on our ability to continue to work closely with solar module manufacturers to design solar modules that are compatible with such direct attachment of our microinverter. We may not be able to encourage solar module manufacturers to work with us on the development of such compatible solutions combining our microinverter system and solar modules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changes faced by many of these manufacturers due to declining prices and revenues from sales of solar modules.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0"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67"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technical people is extremely intense, and we face challenges identifying, hiring and retaining qualified personnel in many areas of our business. If we fail to retain our senior management and other key personnel or if we fail to attract additional qualified personnel, we may not be able to achieve our strategic objectives and our business could suffer.</w:t>
      </w:r>
    </w:p>
    <w:p>
      <w:pPr>
        <w:spacing w:after="0" w:line="13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21"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United States and in certain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159"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To protect our unregistered intellectual property, including our trade secrets and know-how, we rely in part on trade secret laws and confidentiality and invention assignment agreements with our employees and independent consultants. We also require other third parties who may have access to our proprietary technologies and 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in which case we would not be able to assert trade secret rights,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159"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13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121" w:lineRule="exact"/>
        <w:rPr>
          <w:sz w:val="20"/>
          <w:szCs w:val="20"/>
          <w:color w:val="auto"/>
        </w:rPr>
      </w:pPr>
    </w:p>
    <w:p>
      <w:pPr>
        <w:ind w:right="100" w:firstLine="432"/>
        <w:spacing w:after="0" w:line="251" w:lineRule="auto"/>
        <w:rPr>
          <w:sz w:val="20"/>
          <w:szCs w:val="20"/>
          <w:color w:val="auto"/>
        </w:rPr>
      </w:pPr>
      <w:r>
        <w:rPr>
          <w:rFonts w:ascii="Arial" w:cs="Arial" w:eastAsia="Arial" w:hAnsi="Arial"/>
          <w:sz w:val="18"/>
          <w:szCs w:val="18"/>
          <w:color w:val="auto"/>
        </w:rPr>
        <w:t>Our competitors and other third parties hold numerous patents related to technology used in our industry, and claims of patent or other intellectual property right infringement or violation have been litigated against certain of our competitors. From time to time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in any material respect upon any valid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or protect inventions covered by our patents or patent applications. As we become more visible as a publicly traded company, the possibility that third</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140" w:right="2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parties may make claims of intellectual property infringement or other violations against us may grow. An adverse outcome with respect to any such claim could invalidate our proprietary rights and force us to do one or more of the following:</w:t>
      </w:r>
    </w:p>
    <w:p>
      <w:pPr>
        <w:spacing w:after="0" w:line="34" w:lineRule="exact"/>
        <w:rPr>
          <w:sz w:val="20"/>
          <w:szCs w:val="20"/>
          <w:color w:val="auto"/>
        </w:rPr>
      </w:pPr>
    </w:p>
    <w:p>
      <w:pPr>
        <w:ind w:left="980" w:right="500" w:hanging="486"/>
        <w:spacing w:after="0" w:line="262"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sell or use the relevant technology, which may not be available on reasonable terms, or at all;</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embody the asserted intellectual property;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monetary damages;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indemnify our customers pursuant to indemnification obligations under some of our customer contracts; or</w:t>
      </w:r>
    </w:p>
    <w:p>
      <w:pPr>
        <w:spacing w:after="0" w:line="117" w:lineRule="exact"/>
        <w:rPr>
          <w:rFonts w:ascii="Arial" w:cs="Arial" w:eastAsia="Arial" w:hAnsi="Arial"/>
          <w:sz w:val="18"/>
          <w:szCs w:val="18"/>
          <w:color w:val="auto"/>
        </w:rPr>
      </w:pPr>
    </w:p>
    <w:p>
      <w:pPr>
        <w:ind w:left="980" w:right="220" w:hanging="486"/>
        <w:spacing w:after="0" w:line="262"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infringing technology and to develop or acquire non-infringing technology.</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14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121"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From time to time we have licensed, and in the future we may choose to or be required to license, technology or intellectual property from third parties in connection with the development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applicable open source licenses, we may be subject to costly third party claims of intellectual property infringement or ownership of our proprietary source code. Any of the foregoing could harm our business and put us at a competitive disadvantage.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could continue to be affected by seasonal trends and construction cycles.</w:t>
      </w:r>
    </w:p>
    <w:p>
      <w:pPr>
        <w:spacing w:after="0" w:line="193"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We have been and could continue to be subject to industry-specific seasonal fluctuations, particularly in climates that experience colder weather during the winter months, such as northern Europe, Canada, and the United States. In general, we expect our products in the second, third and fourth quarters will be positively affected by seasonal customer demand trends, including solar economic incentives, weather patterns and construction cycles, preceded by a seasonally softer first quarter. In the United States, customers will sometimes make purchasing decisions towards the end of the year in order to take advantage of tax credits or for budgetary reasons. In addition, construction levels are typically slower in colder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13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Covenants in our credit facility may limit our flexibility in responding to business opportunities and competitive developments and increase our vulnerability to adverse economic or industry conditions.</w:t>
      </w:r>
    </w:p>
    <w:p>
      <w:pPr>
        <w:spacing w:after="0" w:line="121"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We are a party to a loan and security agreement with Wells Fargo Bank, National Association (“Wells Fargo”). The loan and security agreement with Wells Fargo restricts our ability to take certain actions such as incurring additional debt, encumbering our tangible or intangible property, paying dividends, or engaging in certain transactions, such as mergers and acquisitions, investments and asset sales. Our loan and security agreement with</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40"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Wells Fargo also requires us to maintain certain financial covenants, including liquidity ratios. These restrictions may limit our flexibility in responding to business opportunities, competitive developments and adverse economic or industry conditions. In addition, our obligations under our loan and security agreement with Wells Fargo is secured by substantially all of our assets (excluding intellectual property), which limits our ability to provide collateral for additional financing. A breach of any of these covenants, or a failure to pay interest or indebtedness when due under any of our credit facilities, could result in a variety of adverse consequences, including the acceleration of our indebtedness and the forfeiture of our assets subject to security interests in favor of the lenders.</w:t>
      </w:r>
    </w:p>
    <w:p>
      <w:pPr>
        <w:spacing w:after="0" w:line="13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21"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We are an “emerging growth company,” as defined in the Jumpstart Our Business Startups Act enacted in April 2012, or the JOBS Act, and, for as long as we continue to be an “emerging growth company,” we may choose to take advantage of exemptions from various reporting requirements applicable to other public companies but not to “emerging growth companies,” including, but not limited to, not being required to comply with the auditor attestation requirements of Section 404 of the Sarbanes-Oxley Act of 2002, or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until December 31, 2017 (the last day of the fiscal year following the fifth anniversary of our initial public offering), although we could cease to be an “emerging growth company” earlier if certain events occur as specified in the JOBS Act, such as our achieving annual revenue of at least $1 billion or our becoming a “large accelerated filer” as defined in Rule 12b-2 of the Exchange Act.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be more volatile.</w:t>
      </w:r>
    </w:p>
    <w:p>
      <w:pPr>
        <w:spacing w:after="0" w:line="135" w:lineRule="exact"/>
        <w:rPr>
          <w:sz w:val="20"/>
          <w:szCs w:val="20"/>
          <w:color w:val="auto"/>
        </w:rPr>
      </w:pPr>
    </w:p>
    <w:p>
      <w:pPr>
        <w:jc w:val="both"/>
        <w:ind w:right="180"/>
        <w:spacing w:after="0" w:line="269"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136" w:lineRule="exact"/>
        <w:rPr>
          <w:sz w:val="20"/>
          <w:szCs w:val="20"/>
          <w:color w:val="auto"/>
        </w:rPr>
      </w:pPr>
    </w:p>
    <w:p>
      <w:pPr>
        <w:ind w:right="60" w:firstLine="432"/>
        <w:spacing w:after="0" w:line="251" w:lineRule="auto"/>
        <w:rPr>
          <w:sz w:val="20"/>
          <w:szCs w:val="20"/>
          <w:color w:val="auto"/>
        </w:rPr>
      </w:pPr>
      <w:r>
        <w:rPr>
          <w:rFonts w:ascii="Arial" w:cs="Arial" w:eastAsia="Arial" w:hAnsi="Arial"/>
          <w:sz w:val="18"/>
          <w:szCs w:val="18"/>
          <w:color w:val="auto"/>
        </w:rPr>
        <w:t>Effective internal controls are necessary for us to provide reliable financial reports and prevent fraud. In addition, Section 404 of the Sarbanes-Oxley Act requires us to establish and maintain internal control over financial reporting and disclosure controls procedures. The process of implementing our internal controls and complying with Section 404 of the Sarbanes-Oxley Act has required, and will continue to require, significant attention of management. Although we are currently not required to provide an auditor’s attestation report on management’s assessment of the effectiveness of our internal control over financial reporting, otherwise required by Section 404(b) of the Sarbanes-Oxley Act, this exemption will no longer be available to us beginning with our first Annual Report on 10-K for the year in which we cease to be an “emerging growth company,” as defined in the JOBS Act. If we or our independent registered public accounting firm discover a material weakness in the future, the disclosure of that fact, even if quickly remedied, could reduce the market’s confidence in our financial statements and harm our stock price. In addition, a delay in compliance with Section 404 of the Sarbanes-Oxley Act could subject us to a variety of administrative sanctions, including SEC action, ineligibility for short form resale registration, the suspension or delisting of our common stock from the stock exchange on which it is listed and the inability of registered broker-dealers to make a market in our common stock, which would further reduce our stock price and could harm our business. To the extent any material weaknesses in our internal control over financial reporting are identified in the future, we could be required to expend significant management time and financial resources to correct such material weaknesses or to respond to any resulting regulatory investigations or proceedings</w:t>
      </w:r>
    </w:p>
    <w:p>
      <w:pPr>
        <w:spacing w:after="0" w:line="13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121"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Sections 382 and 383 of the Internal Revenue Code of 1986, as amended (the “Code”), contain rules that limit the ability of a company that undergoes an “ownership change,” generally defined as a more than 50 percentage point increase in the percentage of its stock owned by certain stockholders over a three-year period, to utilize its net operating loss and tax credit carryforwards and certain built-in losses recognized in the years after the ownership change. These rules generally operate by focusing on ownership changes involving stockholders who directly or indirectly own 5% or more of the stock of a company and any change in ownership arising from a new issuance of</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0"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stock by the company. Generally, if an ownership change occurs, the yearly taxable income limitation on the use of net operating loss and tax credit carryforwards is equal to the product of the applicable long-term tax exempt rate and the value of the company’s stock immediately before the ownership change. If these limitations apply, we may be unable to offset our taxable income with net operating losses, or our tax liability with credits, before these losses and credits expire. We recently completed a study to assess whether an ownership change has occurred or whether there have been multiple ownership changes since we became a loss corporation under the Code. However, we do not anticipate these limitations will significantly impact our ability to utilize the net operating losses and tax credit carryforwards.</w:t>
      </w:r>
    </w:p>
    <w:p>
      <w:pPr>
        <w:spacing w:after="0" w:line="155"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In addition, it is possible that future transactions (including issuances of new shares of our common stock and sales of shares of our common stock) will cause us to undergo one or more additional ownership changes. In that event, we generally would not be able to use our net operating losses from periods prior to this ownership change to offset future taxable income in excess of the annual limitations imposed by Sections 382 and 383 and those attributes that are already subject to limitations (as a result of our prior ownership changes) may be subject to more stringent limitations.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terrorist or cyber attacks, or other catastrophic events could harm our operations.</w:t>
      </w:r>
    </w:p>
    <w:p>
      <w:pPr>
        <w:spacing w:after="0" w:line="193"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Our worldwide operations could be subject to natural disasters and other business disruptions, which could harm our future revenue and financial condition and increase our costs and expenses. For example, our corporate headquarters in Petaluma, California is located near major earthquake fault lines. Further, a terrorist attack, including one aimed at energy or communications infrastructure suppliers or our cloud-based monitoring service, could hinder or delay the development and sale or performance of our products. In the event that an earthquake, tsunami, typhoon, terrorist or cyber attack, or other natural, manmade or technical catastrophe were to destroy any part of our facilities or those of our contract manufacturer, destroy or disrupt vital infrastructure systems or interrupt our operations or services for any extended period of time, our business, financial condition and results of operations would be materially and adversely affected.</w:t>
      </w:r>
    </w:p>
    <w:p>
      <w:pPr>
        <w:spacing w:after="0" w:line="13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Any unauthorized access to, or disclosure or theft of personal information we gather, store or use could harm our reputation and subject us to claims or litigation.</w:t>
      </w:r>
    </w:p>
    <w:p>
      <w:pPr>
        <w:spacing w:after="0" w:line="121" w:lineRule="exact"/>
        <w:rPr>
          <w:sz w:val="20"/>
          <w:szCs w:val="20"/>
          <w:color w:val="auto"/>
        </w:rPr>
      </w:pPr>
    </w:p>
    <w:p>
      <w:pPr>
        <w:ind w:right="60" w:firstLine="432"/>
        <w:spacing w:after="0" w:line="252" w:lineRule="auto"/>
        <w:rPr>
          <w:sz w:val="20"/>
          <w:szCs w:val="20"/>
          <w:color w:val="auto"/>
        </w:rPr>
      </w:pPr>
      <w:r>
        <w:rPr>
          <w:rFonts w:ascii="Arial" w:cs="Arial" w:eastAsia="Arial" w:hAnsi="Arial"/>
          <w:sz w:val="18"/>
          <w:szCs w:val="18"/>
          <w:color w:val="auto"/>
        </w:rPr>
        <w:t>We receive, store and use certain personal information of our customers, and the end-users of our customers’ solar PV systems, including names, addresses, e-mail addresses, credit information and energy production statistics. We also store and use personal information of our employees. We take steps to protect the security, integrity and confidentiality of the personal information we collect, store and transmit, but there is no guarantee that inadvertent or unauthorized use or disclosure will not occur or that third parties will not gain unauthorized access to this information despite our efforts. Because techniques used to obtain unauthorized access or sabotage systems change frequently and generally are not identified until they are launched against a target, we and our suppliers or vendors may be unable to anticipate these techniques or to implement adequate preventative or mitigation measures.</w:t>
      </w:r>
    </w:p>
    <w:p>
      <w:pPr>
        <w:spacing w:after="0" w:line="153" w:lineRule="exact"/>
        <w:rPr>
          <w:sz w:val="20"/>
          <w:szCs w:val="20"/>
          <w:color w:val="auto"/>
        </w:rPr>
      </w:pPr>
    </w:p>
    <w:p>
      <w:pPr>
        <w:ind w:right="100" w:firstLine="432"/>
        <w:spacing w:after="0" w:line="251" w:lineRule="auto"/>
        <w:rPr>
          <w:sz w:val="20"/>
          <w:szCs w:val="20"/>
          <w:color w:val="auto"/>
        </w:rPr>
      </w:pPr>
      <w:r>
        <w:rPr>
          <w:rFonts w:ascii="Arial" w:cs="Arial" w:eastAsia="Arial" w:hAnsi="Arial"/>
          <w:sz w:val="18"/>
          <w:szCs w:val="18"/>
          <w:color w:val="auto"/>
        </w:rPr>
        <w:t>Unauthorized use or disclosure of, or access to, any personal information maintained by us or on our behalf, whether through breach of our systems, breach of the systems of our suppliers or vendors by an unauthorized party, or through employee or contractor error, theft or misuse, or otherwise, could harm our business. If any such unauthorized use or disclosure of, or access to, such personal information were to occur, our operations could be seriously disrupted and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Finally, any perceived or actual unauthorized access to, or use or disclosure of, such information could harm our reputation, substantially impair our ability to attract and retain customers and have an adverse impact on our business, financial condition and results of operations.</w:t>
      </w:r>
    </w:p>
    <w:p>
      <w:pPr>
        <w:spacing w:after="0" w:line="137"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2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cyber attacks, third-party security breaches, employee error, theft or misuse, malfeasance, power disruptions, natural disasters or accidents could cause breaches of data security, loss of intellectual property and critical data and the release and</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40"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misappropriation of sensitive competitive information and partner, customer and employee personal data. We have been and may in the future be subject to fraud attempts from outside parties through our electronic systems (such as “phishing” e-mail communications to our finance, technical or other personnel), which could put us at risk for harm from fraud, theft or other loss if our internal controls do not operate as intended. Any of these events could harm our competitive position, result in a loss of customer confidence, cause us to incur significant costs to remedy any damages and ultimately materially adversely affect our business and financial condition.</w:t>
      </w:r>
    </w:p>
    <w:p>
      <w:pPr>
        <w:spacing w:after="0" w:line="130" w:lineRule="exact"/>
        <w:rPr>
          <w:sz w:val="20"/>
          <w:szCs w:val="20"/>
          <w:color w:val="auto"/>
        </w:rPr>
      </w:pPr>
    </w:p>
    <w:p>
      <w:pPr>
        <w:ind w:right="940"/>
        <w:spacing w:after="0" w:line="318" w:lineRule="auto"/>
        <w:rPr>
          <w:sz w:val="20"/>
          <w:szCs w:val="20"/>
          <w:color w:val="auto"/>
        </w:rPr>
      </w:pPr>
      <w:r>
        <w:rPr>
          <w:rFonts w:ascii="Arial" w:cs="Arial" w:eastAsia="Arial" w:hAnsi="Arial"/>
          <w:sz w:val="17"/>
          <w:szCs w:val="17"/>
          <w:b w:val="1"/>
          <w:bCs w:val="1"/>
          <w:i w:val="1"/>
          <w:iCs w:val="1"/>
          <w:color w:val="auto"/>
        </w:rPr>
        <w:t>We are dependent on ocean transportation to deliver our products in a cost efficient manner. If we are unable to use ocean transportation to deliver our products, our business and financial condition could be materially and adversely impacted.</w:t>
      </w:r>
    </w:p>
    <w:p>
      <w:pPr>
        <w:spacing w:after="0" w:line="98"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We rely on commercial ocean transportation for the delivery of a large percentage of our products to our customers in North America. We also rely on more expensive air transportation when ocean transportation is not available or compatible with the delivery time requirements of our customers. Our ability to deliver our products via ocean transportation could be adversely impacted by shortages in available cargo capacity, changes by carriers and transportation companies in policies and practices, such as scheduling, pricing, payment terms and frequency of service or increases in the cost of fuel, taxes and labor; and other factors, such as labor strikes and work stoppages, not within our control. If we are unable to use ocean transportation and are required to substitute more expensive air transportation, our financial condition and results of operations could be materially and adversely impacted. Material interruptions in service or stoppages in transportation, whether caused by strike, work stoppage, lock-out, slowdown or otherwise, could materially and adversely impact our business, results of operations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or may decline regardless of our operating performance.</w:t>
      </w:r>
    </w:p>
    <w:p>
      <w:pPr>
        <w:spacing w:after="0" w:line="193"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The market price of our common stock has been and could be subject to wide fluctuations in response to, among other things, the risk factors described in this Quarterly Report on Form 10-Q,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37"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Our financial results may vary significantly from quarter to quarter due to a number of factors, which may lead to volatility in our stock price.</w:t>
      </w:r>
    </w:p>
    <w:p>
      <w:pPr>
        <w:spacing w:after="0" w:line="67" w:lineRule="exact"/>
        <w:rPr>
          <w:sz w:val="20"/>
          <w:szCs w:val="20"/>
          <w:color w:val="auto"/>
        </w:rPr>
      </w:pPr>
    </w:p>
    <w:p>
      <w:pPr>
        <w:jc w:val="both"/>
        <w:ind w:right="20" w:firstLine="432"/>
        <w:spacing w:after="0" w:line="256" w:lineRule="auto"/>
        <w:rPr>
          <w:sz w:val="20"/>
          <w:szCs w:val="20"/>
          <w:color w:val="auto"/>
        </w:rPr>
      </w:pPr>
      <w:r>
        <w:rPr>
          <w:rFonts w:ascii="Arial" w:cs="Arial" w:eastAsia="Arial" w:hAnsi="Arial"/>
          <w:sz w:val="18"/>
          <w:szCs w:val="18"/>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40" w:lineRule="exact"/>
        <w:rPr>
          <w:sz w:val="20"/>
          <w:szCs w:val="20"/>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demand for our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volume and product mix of sales of our products, which may have different average selling prices or profit margins;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117" w:lineRule="exact"/>
        <w:rPr>
          <w:rFonts w:ascii="Arial" w:cs="Arial" w:eastAsia="Arial" w:hAnsi="Arial"/>
          <w:sz w:val="18"/>
          <w:szCs w:val="18"/>
          <w:color w:val="auto"/>
        </w:rPr>
      </w:pPr>
    </w:p>
    <w:p>
      <w:pPr>
        <w:ind w:left="980" w:right="600" w:hanging="486"/>
        <w:spacing w:after="0" w:line="26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manage our relationships with our contract manufacturers, customers and suppliers;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anticipation, announcement or introductions of new or enhanced products by our competitors and ourselves;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reductions in the retail price of electricity;</w:t>
      </w:r>
    </w:p>
    <w:p>
      <w:pPr>
        <w:spacing w:after="0" w:line="117" w:lineRule="exact"/>
        <w:rPr>
          <w:rFonts w:ascii="Arial" w:cs="Arial" w:eastAsia="Arial" w:hAnsi="Arial"/>
          <w:sz w:val="18"/>
          <w:szCs w:val="18"/>
          <w:color w:val="auto"/>
        </w:rPr>
      </w:pPr>
    </w:p>
    <w:p>
      <w:pPr>
        <w:ind w:left="980" w:right="660" w:hanging="486"/>
        <w:spacing w:after="0" w:line="26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regulations and policies applicable to our business and products, particularly those relating to government incentives for solar energy applications;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0"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5"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117" w:lineRule="exact"/>
        <w:rPr>
          <w:rFonts w:ascii="Arial" w:cs="Arial" w:eastAsia="Arial" w:hAnsi="Arial"/>
          <w:sz w:val="18"/>
          <w:szCs w:val="18"/>
          <w:color w:val="auto"/>
        </w:rPr>
      </w:pPr>
    </w:p>
    <w:p>
      <w:pPr>
        <w:ind w:left="980" w:right="520" w:hanging="486"/>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maintenance and expansion of our business operations;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government-sponsored programs on our customers;</w:t>
      </w:r>
    </w:p>
    <w:p>
      <w:pPr>
        <w:spacing w:after="0" w:line="117" w:lineRule="exact"/>
        <w:rPr>
          <w:rFonts w:ascii="Arial" w:cs="Arial" w:eastAsia="Arial" w:hAnsi="Arial"/>
          <w:sz w:val="18"/>
          <w:szCs w:val="18"/>
          <w:color w:val="auto"/>
        </w:rPr>
      </w:pPr>
    </w:p>
    <w:p>
      <w:pPr>
        <w:ind w:left="980" w:right="520" w:hanging="486"/>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exposure to the credit risks of our customers, particularly in light of the fact that some of our customers are relatively new entrants to the solar market without long operating or credit histories;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estimate future warranty obligations due to product failure rates, claim rates or replacement costs;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forecast our customer demand and manufacturing requirements, and manage our inventory;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our gross profit;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predict our revenue and plan our expenses appropriately;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sz w:val="20"/>
          <w:szCs w:val="20"/>
          <w:color w:val="auto"/>
        </w:rPr>
      </w:pPr>
    </w:p>
    <w:p>
      <w:pPr>
        <w:ind w:right="180" w:firstLine="432"/>
        <w:spacing w:after="0" w:line="253" w:lineRule="auto"/>
        <w:rPr>
          <w:sz w:val="20"/>
          <w:szCs w:val="20"/>
          <w:color w:val="auto"/>
        </w:rPr>
      </w:pPr>
      <w:r>
        <w:rPr>
          <w:rFonts w:ascii="Arial" w:cs="Arial" w:eastAsia="Arial" w:hAnsi="Arial"/>
          <w:sz w:val="18"/>
          <w:szCs w:val="18"/>
          <w:color w:val="auto"/>
        </w:rPr>
        <w:t>The foregoing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3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21"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13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affiliated stockholders, executive officers and directors own a significant percentage of our stock, and they may take actions that our other stockholders may not view as beneficial.</w:t>
      </w:r>
    </w:p>
    <w:p>
      <w:pPr>
        <w:spacing w:after="0" w:line="121"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Our affiliated stockholders, executive officers and directors collectively own a significant percentage of our common stock.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130"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21"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All outstanding shares of our common stock are eligible for sale in the public market, subject in some cases to the volume limitations and manner of sale requirements of Rule 144 under the Securities Act. Sales of stock by our stockholders could have a material adverse effect on the trading price of our common stock.</w:t>
      </w:r>
    </w:p>
    <w:p>
      <w:pPr>
        <w:spacing w:after="0" w:line="152" w:lineRule="exact"/>
        <w:rPr>
          <w:sz w:val="20"/>
          <w:szCs w:val="20"/>
          <w:color w:val="auto"/>
        </w:rPr>
      </w:pPr>
    </w:p>
    <w:p>
      <w:pPr>
        <w:ind w:right="140" w:firstLine="432"/>
        <w:spacing w:after="0" w:line="262" w:lineRule="auto"/>
        <w:rPr>
          <w:sz w:val="20"/>
          <w:szCs w:val="20"/>
          <w:color w:val="auto"/>
        </w:rPr>
      </w:pPr>
      <w:r>
        <w:rPr>
          <w:rFonts w:ascii="Arial" w:cs="Arial" w:eastAsia="Arial" w:hAnsi="Arial"/>
          <w:sz w:val="18"/>
          <w:szCs w:val="18"/>
          <w:color w:val="auto"/>
        </w:rPr>
        <w:t>Certain holders of our securities are entitled to rights with respect to the registration of their shares under the Securities Act. Registration of these shares under the Securities Act would result in the shares becoming freely</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0"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tradable without restriction under the Securities Act. Any sales of securities by these stockholders could have a material adverse effect on the trading price of our common stock.</w:t>
      </w:r>
    </w:p>
    <w:p>
      <w:pPr>
        <w:spacing w:after="0" w:line="12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21" w:lineRule="exact"/>
        <w:rPr>
          <w:sz w:val="20"/>
          <w:szCs w:val="20"/>
          <w:color w:val="auto"/>
        </w:rPr>
      </w:pPr>
    </w:p>
    <w:p>
      <w:pPr>
        <w:ind w:right="140" w:firstLine="432"/>
        <w:spacing w:after="0" w:line="256" w:lineRule="auto"/>
        <w:rPr>
          <w:sz w:val="20"/>
          <w:szCs w:val="20"/>
          <w:color w:val="auto"/>
        </w:rPr>
      </w:pPr>
      <w:r>
        <w:rPr>
          <w:rFonts w:ascii="Arial" w:cs="Arial" w:eastAsia="Arial" w:hAnsi="Arial"/>
          <w:sz w:val="18"/>
          <w:szCs w:val="18"/>
          <w:color w:val="auto"/>
        </w:rPr>
        <w:t>We currently do not plan to declare dividends on shares of our common stock in the foreseeable future. In addition, the terms of our revolving credit facility restrict our ability to pay dividends. Consequently, an investor’s only opportunity to achieve a return on its investment in our company will be if the market price of our common stock appreciates and the investor sells its shares at a profit.</w:t>
      </w:r>
    </w:p>
    <w:p>
      <w:pPr>
        <w:spacing w:after="0" w:line="12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67" w:lineRule="exact"/>
        <w:rPr>
          <w:sz w:val="20"/>
          <w:szCs w:val="20"/>
          <w:color w:val="auto"/>
        </w:rPr>
      </w:pPr>
    </w:p>
    <w:p>
      <w:pPr>
        <w:jc w:val="both"/>
        <w:ind w:right="200" w:firstLine="432"/>
        <w:spacing w:after="0" w:line="256" w:lineRule="auto"/>
        <w:rPr>
          <w:sz w:val="20"/>
          <w:szCs w:val="20"/>
          <w:color w:val="auto"/>
        </w:rPr>
      </w:pPr>
      <w:r>
        <w:rPr>
          <w:rFonts w:ascii="Arial" w:cs="Arial" w:eastAsia="Arial" w:hAnsi="Arial"/>
          <w:sz w:val="18"/>
          <w:szCs w:val="18"/>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40" w:lineRule="exact"/>
        <w:rPr>
          <w:sz w:val="20"/>
          <w:szCs w:val="20"/>
          <w:color w:val="auto"/>
        </w:rPr>
      </w:pPr>
    </w:p>
    <w:p>
      <w:pPr>
        <w:ind w:left="980" w:right="620" w:hanging="486"/>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 which could delay the ability of stockholders to change the membership of a majority of our board of directors;</w:t>
      </w:r>
    </w:p>
    <w:p>
      <w:pPr>
        <w:spacing w:after="0" w:line="88" w:lineRule="exact"/>
        <w:rPr>
          <w:rFonts w:ascii="Arial" w:cs="Arial" w:eastAsia="Arial" w:hAnsi="Arial"/>
          <w:sz w:val="18"/>
          <w:szCs w:val="18"/>
          <w:color w:val="auto"/>
        </w:rPr>
      </w:pPr>
    </w:p>
    <w:p>
      <w:pPr>
        <w:ind w:left="980" w:right="560" w:hanging="486"/>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 which limits the ability of minority stockholders to elect director candidates;</w:t>
      </w:r>
    </w:p>
    <w:p>
      <w:pPr>
        <w:spacing w:after="0" w:line="88" w:lineRule="exact"/>
        <w:rPr>
          <w:rFonts w:ascii="Arial" w:cs="Arial" w:eastAsia="Arial" w:hAnsi="Arial"/>
          <w:sz w:val="18"/>
          <w:szCs w:val="18"/>
          <w:color w:val="auto"/>
        </w:rPr>
      </w:pPr>
    </w:p>
    <w:p>
      <w:pPr>
        <w:ind w:left="980" w:right="260" w:hanging="486"/>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acquiror;</w:t>
      </w:r>
    </w:p>
    <w:p>
      <w:pPr>
        <w:spacing w:after="0" w:line="88" w:lineRule="exact"/>
        <w:rPr>
          <w:rFonts w:ascii="Arial" w:cs="Arial" w:eastAsia="Arial" w:hAnsi="Arial"/>
          <w:sz w:val="18"/>
          <w:szCs w:val="18"/>
          <w:color w:val="auto"/>
        </w:rPr>
      </w:pPr>
    </w:p>
    <w:p>
      <w:pPr>
        <w:ind w:left="980" w:hanging="486"/>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forces stockholder action to be taken at an annual or special meeting of our stockholders;</w:t>
      </w:r>
    </w:p>
    <w:p>
      <w:pPr>
        <w:spacing w:after="0" w:line="88" w:lineRule="exact"/>
        <w:rPr>
          <w:rFonts w:ascii="Arial" w:cs="Arial" w:eastAsia="Arial" w:hAnsi="Arial"/>
          <w:sz w:val="18"/>
          <w:szCs w:val="18"/>
          <w:color w:val="auto"/>
        </w:rPr>
      </w:pPr>
    </w:p>
    <w:p>
      <w:pPr>
        <w:ind w:left="980" w:right="60" w:hanging="486"/>
        <w:spacing w:after="0" w:line="253"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97" w:lineRule="exact"/>
        <w:rPr>
          <w:rFonts w:ascii="Arial" w:cs="Arial" w:eastAsia="Arial" w:hAnsi="Arial"/>
          <w:sz w:val="18"/>
          <w:szCs w:val="18"/>
          <w:color w:val="auto"/>
        </w:rPr>
      </w:pPr>
    </w:p>
    <w:p>
      <w:pPr>
        <w:ind w:left="980" w:right="200" w:hanging="486"/>
        <w:spacing w:after="0" w:line="256"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93" w:lineRule="exact"/>
        <w:rPr>
          <w:rFonts w:ascii="Arial" w:cs="Arial" w:eastAsia="Arial" w:hAnsi="Arial"/>
          <w:sz w:val="18"/>
          <w:szCs w:val="18"/>
          <w:color w:val="auto"/>
        </w:rPr>
      </w:pPr>
    </w:p>
    <w:p>
      <w:pPr>
        <w:ind w:left="980" w:right="180" w:hanging="486"/>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196"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148" w:lineRule="exact"/>
        <w:rPr>
          <w:sz w:val="20"/>
          <w:szCs w:val="20"/>
          <w:color w:val="auto"/>
        </w:rPr>
      </w:pPr>
    </w:p>
    <w:p>
      <w:pPr>
        <w:ind w:right="260" w:firstLine="432"/>
        <w:spacing w:after="0" w:line="256" w:lineRule="auto"/>
        <w:rPr>
          <w:sz w:val="20"/>
          <w:szCs w:val="20"/>
          <w:color w:val="auto"/>
        </w:rPr>
      </w:pPr>
      <w:r>
        <w:rPr>
          <w:rFonts w:ascii="Arial" w:cs="Arial" w:eastAsia="Arial" w:hAnsi="Arial"/>
          <w:sz w:val="18"/>
          <w:szCs w:val="18"/>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0"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9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0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See the Exhibit Index which follows the signature page of this Quarterly Report on Form 10-Q, which is incorporated herein by reference.</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20"/>
          </w:cols>
          <w:pgMar w:left="240" w:top="140"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193"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August 3, 2016</w:t>
      </w:r>
    </w:p>
    <w:p>
      <w:pPr>
        <w:spacing w:after="0" w:line="338"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ENPHASE ENERGY, INC.</w:t>
      </w:r>
    </w:p>
    <w:p>
      <w:pPr>
        <w:spacing w:after="0" w:line="207" w:lineRule="exact"/>
        <w:rPr>
          <w:sz w:val="20"/>
          <w:szCs w:val="20"/>
          <w:color w:val="auto"/>
        </w:rPr>
      </w:pPr>
    </w:p>
    <w:p>
      <w:pPr>
        <w:ind w:left="586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23495</wp:posOffset>
            </wp:positionV>
            <wp:extent cx="2752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Kris Sennesael</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Vice President and Chief Financial Officer</w:t>
      </w: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00"/>
          </w:cols>
          <w:pgMar w:left="240" w:top="140"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6280" w:type="dxa"/>
            <w:vAlign w:val="bottom"/>
            <w:gridSpan w:val="2"/>
          </w:tcPr>
          <w:p>
            <w:pPr>
              <w:ind w:left="4480"/>
              <w:spacing w:after="0"/>
              <w:rPr>
                <w:sz w:val="20"/>
                <w:szCs w:val="20"/>
                <w:color w:val="auto"/>
              </w:rPr>
            </w:pPr>
            <w:r>
              <w:rPr>
                <w:rFonts w:ascii="Arial" w:cs="Arial" w:eastAsia="Arial" w:hAnsi="Arial"/>
                <w:sz w:val="18"/>
                <w:szCs w:val="18"/>
                <w:b w:val="1"/>
                <w:bCs w:val="1"/>
                <w:color w:val="auto"/>
              </w:rPr>
              <w:t>EXHIBIT INDEX</w:t>
            </w:r>
          </w:p>
        </w:tc>
      </w:tr>
      <w:tr>
        <w:trPr>
          <w:trHeight w:val="500"/>
        </w:trPr>
        <w:tc>
          <w:tcPr>
            <w:tcW w:w="5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2"/>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5480" w:type="dxa"/>
            <w:vAlign w:val="bottom"/>
          </w:tcPr>
          <w:p>
            <w:pPr>
              <w:spacing w:after="0"/>
              <w:rPr>
                <w:sz w:val="14"/>
                <w:szCs w:val="1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bl>
    <w:p>
      <w:pPr>
        <w:spacing w:after="0" w:line="172"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4.1</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4.2</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4.3</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4.4</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31.1</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31.2</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101.INS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101.SCH</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101.CAL</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101.DEF</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101.LAB</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Amended and Restated Certificate of Incorporation of Enphase Energy, Inc.</w:t>
      </w:r>
      <w:r>
        <w:rPr>
          <w:rFonts w:ascii="Arial" w:cs="Arial" w:eastAsia="Arial" w:hAnsi="Arial"/>
          <w:sz w:val="21"/>
          <w:szCs w:val="21"/>
          <w:color w:val="auto"/>
          <w:vertAlign w:val="superscript"/>
        </w:rPr>
        <w:t>(1)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Bylaws of Enphase Energy, Inc.</w:t>
      </w:r>
      <w:r>
        <w:rPr>
          <w:rFonts w:ascii="Arial" w:cs="Arial" w:eastAsia="Arial" w:hAnsi="Arial"/>
          <w:sz w:val="21"/>
          <w:szCs w:val="21"/>
          <w:color w:val="auto"/>
          <w:vertAlign w:val="superscript"/>
        </w:rPr>
        <w:t>(2)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Specimen Common Stock Certificate of Enphase Energy, Inc.</w:t>
      </w:r>
      <w:r>
        <w:rPr>
          <w:rFonts w:ascii="Arial" w:cs="Arial" w:eastAsia="Arial" w:hAnsi="Arial"/>
          <w:sz w:val="21"/>
          <w:szCs w:val="21"/>
          <w:color w:val="auto"/>
          <w:vertAlign w:val="superscript"/>
        </w:rPr>
        <w:t>(3)</w:t>
      </w:r>
    </w:p>
    <w:p>
      <w:pPr>
        <w:spacing w:after="0" w:line="15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2010 Amended and Restated Investors’ Rights Agreement by and between Enphase Energy, Inc. and the investors listed on Exhibit A thereto, dated March 15, 2010, as amended.</w:t>
      </w:r>
      <w:r>
        <w:rPr>
          <w:rFonts w:ascii="Arial" w:cs="Arial" w:eastAsia="Arial" w:hAnsi="Arial"/>
          <w:sz w:val="21"/>
          <w:szCs w:val="21"/>
          <w:color w:val="auto"/>
          <w:vertAlign w:val="superscript"/>
        </w:rPr>
        <w:t>(3)</w:t>
      </w:r>
    </w:p>
    <w:p>
      <w:pPr>
        <w:spacing w:after="0" w:line="8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Form of June 2011 Warrant to Purchase Common Stock of Enphase Energy, Inc., pursuant to that certain Amended and Restated Subordinated Convertible Loan Facility and Security Agreement.</w:t>
      </w:r>
      <w:r>
        <w:rPr>
          <w:rFonts w:ascii="Arial" w:cs="Arial" w:eastAsia="Arial" w:hAnsi="Arial"/>
          <w:sz w:val="21"/>
          <w:szCs w:val="21"/>
          <w:color w:val="auto"/>
          <w:vertAlign w:val="superscript"/>
        </w:rPr>
        <w:t>(3)</w:t>
      </w:r>
    </w:p>
    <w:p>
      <w:pPr>
        <w:spacing w:after="0" w:line="8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Form of November 2011 Warrant to Purchase Common Stock of Enphase Energy, Inc., pursuant to that certain Amended and Restated Subordinated Convertible Loan Facility and Security Agreement.</w:t>
      </w:r>
      <w:r>
        <w:rPr>
          <w:rFonts w:ascii="Arial" w:cs="Arial" w:eastAsia="Arial" w:hAnsi="Arial"/>
          <w:sz w:val="21"/>
          <w:szCs w:val="21"/>
          <w:color w:val="auto"/>
          <w:vertAlign w:val="superscript"/>
        </w:rPr>
        <w:t>(3)</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2011 Equity Incentive Plan, as amended.</w:t>
      </w:r>
      <w:r>
        <w:rPr>
          <w:rFonts w:ascii="Arial" w:cs="Arial" w:eastAsia="Arial" w:hAnsi="Arial"/>
          <w:sz w:val="21"/>
          <w:szCs w:val="21"/>
          <w:color w:val="auto"/>
          <w:vertAlign w:val="superscript"/>
        </w:rPr>
        <w:t>(4)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 pursuant to Rule 13a-14(a)/15d-14(a).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 pursuant to Rule 13a-14(a)/15d-14(a).</w:t>
      </w:r>
    </w:p>
    <w:p>
      <w:pPr>
        <w:spacing w:after="0" w:line="18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Document.</w:t>
      </w:r>
    </w:p>
    <w:p>
      <w:pPr>
        <w:spacing w:after="0" w:line="36" w:lineRule="exact"/>
        <w:rPr>
          <w:sz w:val="20"/>
          <w:szCs w:val="20"/>
          <w:color w:val="auto"/>
        </w:rPr>
      </w:pPr>
    </w:p>
    <w:p>
      <w:pPr>
        <w:sectPr>
          <w:pgSz w:w="11900" w:h="16838" w:orient="portrait"/>
          <w:cols w:equalWidth="0" w:num="2">
            <w:col w:w="800" w:space="720"/>
            <w:col w:w="9900"/>
          </w:cols>
          <w:pgMar w:left="240" w:top="140" w:right="2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________________________</w:t>
      </w:r>
    </w:p>
    <w:p>
      <w:pPr>
        <w:spacing w:after="0" w:line="306" w:lineRule="exact"/>
        <w:rPr>
          <w:sz w:val="20"/>
          <w:szCs w:val="20"/>
          <w:color w:val="auto"/>
        </w:rPr>
      </w:pPr>
    </w:p>
    <w:p>
      <w:pPr>
        <w:ind w:left="1300" w:hanging="482"/>
        <w:spacing w:after="0" w:line="262"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as Exhibit 3.1 to the Current Report on Form 8-K (File No. 001-35480), filed with the Securities and Exchange Commission on April 6, 2012, and incorporated by reference herein.</w:t>
      </w:r>
    </w:p>
    <w:p>
      <w:pPr>
        <w:spacing w:after="0" w:line="61" w:lineRule="exact"/>
        <w:rPr>
          <w:rFonts w:ascii="Arial" w:cs="Arial" w:eastAsia="Arial" w:hAnsi="Arial"/>
          <w:sz w:val="18"/>
          <w:szCs w:val="18"/>
          <w:color w:val="auto"/>
        </w:rPr>
      </w:pPr>
    </w:p>
    <w:p>
      <w:pPr>
        <w:ind w:left="1300" w:right="20" w:hanging="482"/>
        <w:spacing w:after="0" w:line="262"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as Exhibit 3.5 to Amendment No. 7 to the Registration Statement on Form S-1/A (File No. 333-174925), filed with the Securities and Exchange Commission on March 12, 2012, and incorporated by reference herein.</w:t>
      </w:r>
    </w:p>
    <w:p>
      <w:pPr>
        <w:spacing w:after="0" w:line="61" w:lineRule="exact"/>
        <w:rPr>
          <w:rFonts w:ascii="Arial" w:cs="Arial" w:eastAsia="Arial" w:hAnsi="Arial"/>
          <w:sz w:val="18"/>
          <w:szCs w:val="18"/>
          <w:color w:val="auto"/>
        </w:rPr>
      </w:pPr>
    </w:p>
    <w:p>
      <w:pPr>
        <w:ind w:left="1300" w:hanging="482"/>
        <w:spacing w:after="0" w:line="262"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as the like-numbered exhibit to the Registration Statement on Form S-1/A (File No. 333-174925), and incorporated herein by reference.</w:t>
      </w:r>
    </w:p>
    <w:p>
      <w:pPr>
        <w:spacing w:after="0" w:line="61" w:lineRule="exact"/>
        <w:rPr>
          <w:rFonts w:ascii="Arial" w:cs="Arial" w:eastAsia="Arial" w:hAnsi="Arial"/>
          <w:sz w:val="18"/>
          <w:szCs w:val="18"/>
          <w:color w:val="auto"/>
        </w:rPr>
      </w:pPr>
    </w:p>
    <w:p>
      <w:pPr>
        <w:ind w:left="1300" w:hanging="482"/>
        <w:spacing w:after="0" w:line="262"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as Appendix A to the Definitive Proxy Statement on Schedule 14A, filed with the Securities and Exchange Commission on March 18, 2016, and incorporated by reference herein.</w:t>
      </w:r>
    </w:p>
    <w:p>
      <w:pPr>
        <w:spacing w:after="0" w:line="61" w:lineRule="exact"/>
        <w:rPr>
          <w:sz w:val="20"/>
          <w:szCs w:val="20"/>
          <w:color w:val="auto"/>
        </w:rPr>
      </w:pPr>
    </w:p>
    <w:p>
      <w:pPr>
        <w:jc w:val="both"/>
        <w:ind w:left="1300" w:hanging="482"/>
        <w:spacing w:after="0" w:line="256"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Enphase Energy, Inc. for purposes of Section 18 of the Securities Exchange Act of 1934, as amended.</w:t>
      </w:r>
    </w:p>
    <w:p>
      <w:pPr>
        <w:spacing w:after="0" w:line="67" w:lineRule="exact"/>
        <w:rPr>
          <w:sz w:val="20"/>
          <w:szCs w:val="20"/>
          <w:color w:val="auto"/>
        </w:rPr>
      </w:pPr>
    </w:p>
    <w:p>
      <w:pPr>
        <w:ind w:left="1300" w:hanging="48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 compensatory plan or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0" w:right="239" w:bottom="144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Paul B. Nahi, certify that:</w:t>
      </w:r>
    </w:p>
    <w:p>
      <w:pPr>
        <w:spacing w:after="0" w:line="198"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left="340" w:right="240" w:hanging="332"/>
        <w:spacing w:after="0" w:line="256"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340" w:hanging="332"/>
        <w:spacing w:after="0" w:line="291"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340" w:right="320" w:hanging="332"/>
        <w:spacing w:after="0" w:line="265"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1140" w:right="60" w:hanging="322"/>
        <w:spacing w:after="0" w:line="256"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360" w:hanging="322"/>
        <w:spacing w:after="0" w:line="256"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140" w:right="300" w:hanging="322"/>
        <w:spacing w:after="0" w:line="256"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140" w:right="120" w:hanging="322"/>
        <w:spacing w:after="0" w:line="256"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320" w:hanging="332"/>
        <w:spacing w:after="0" w:line="256"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140" w:right="260" w:hanging="322"/>
        <w:spacing w:after="0" w:line="256"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8"/>
          <w:szCs w:val="18"/>
          <w:color w:val="auto"/>
        </w:rPr>
      </w:pPr>
    </w:p>
    <w:p>
      <w:pPr>
        <w:ind w:left="1140" w:right="180" w:hanging="322"/>
        <w:spacing w:after="0" w:line="262"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2016</w:t>
      </w:r>
    </w:p>
    <w:p>
      <w:pPr>
        <w:spacing w:after="0" w:line="200" w:lineRule="exact"/>
        <w:rPr>
          <w:sz w:val="20"/>
          <w:szCs w:val="20"/>
          <w:color w:val="auto"/>
        </w:rPr>
      </w:pPr>
    </w:p>
    <w:p>
      <w:pPr>
        <w:spacing w:after="0" w:line="24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670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Paul B. Nahi</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27"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Kris Sennesael, certify that:</w:t>
      </w:r>
    </w:p>
    <w:p>
      <w:pPr>
        <w:spacing w:after="0" w:line="198"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left="340" w:right="240" w:hanging="332"/>
        <w:spacing w:after="0" w:line="256"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340" w:hanging="332"/>
        <w:spacing w:after="0" w:line="291"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340" w:right="320" w:hanging="332"/>
        <w:spacing w:after="0" w:line="265"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1140" w:right="60" w:hanging="322"/>
        <w:spacing w:after="0" w:line="256"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360" w:hanging="322"/>
        <w:spacing w:after="0" w:line="256"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140" w:right="300" w:hanging="322"/>
        <w:spacing w:after="0" w:line="256"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140" w:right="120" w:hanging="322"/>
        <w:spacing w:after="0" w:line="256"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320" w:hanging="332"/>
        <w:spacing w:after="0" w:line="256"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140" w:right="260" w:hanging="322"/>
        <w:spacing w:after="0" w:line="256"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8"/>
          <w:szCs w:val="18"/>
          <w:color w:val="auto"/>
        </w:rPr>
      </w:pPr>
    </w:p>
    <w:p>
      <w:pPr>
        <w:ind w:left="1140" w:right="180" w:hanging="322"/>
        <w:spacing w:after="0" w:line="262"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2016</w:t>
      </w:r>
    </w:p>
    <w:p>
      <w:pPr>
        <w:spacing w:after="0" w:line="200" w:lineRule="exact"/>
        <w:rPr>
          <w:sz w:val="20"/>
          <w:szCs w:val="20"/>
          <w:color w:val="auto"/>
        </w:rPr>
      </w:pPr>
    </w:p>
    <w:p>
      <w:pPr>
        <w:spacing w:after="0" w:line="24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670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Kris Sennesael</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Chief Financial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27"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Paul B. Nahi, President and Chief Executive Officer of Enphase Energy, Inc. (the “Company”), and Kris Sennesael, Vice President and Chief Financial Officer of the Company, each hereby certifies that, to the best of his or her knowledge:</w:t>
      </w:r>
    </w:p>
    <w:p>
      <w:pPr>
        <w:spacing w:after="0" w:line="177" w:lineRule="exact"/>
        <w:rPr>
          <w:sz w:val="20"/>
          <w:szCs w:val="20"/>
          <w:color w:val="auto"/>
        </w:rPr>
      </w:pPr>
    </w:p>
    <w:p>
      <w:pPr>
        <w:ind w:right="300" w:firstLine="8"/>
        <w:spacing w:after="0" w:line="262" w:lineRule="auto"/>
        <w:tabs>
          <w:tab w:leader="none" w:pos="20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June 30, 2016, to which this Certification is attached as Exhibit 32.1 (the “Periodic Report”), fully complies with the requirements of Section 13(a) or Section 15(d) of the Exchange Act; and</w:t>
      </w:r>
    </w:p>
    <w:p>
      <w:pPr>
        <w:spacing w:after="0" w:line="169" w:lineRule="exact"/>
        <w:rPr>
          <w:rFonts w:ascii="Arial" w:cs="Arial" w:eastAsia="Arial" w:hAnsi="Arial"/>
          <w:sz w:val="18"/>
          <w:szCs w:val="18"/>
          <w:b w:val="1"/>
          <w:bCs w:val="1"/>
          <w:color w:val="auto"/>
        </w:rPr>
      </w:pPr>
    </w:p>
    <w:p>
      <w:pPr>
        <w:ind w:right="240" w:firstLine="8"/>
        <w:spacing w:after="0" w:line="262" w:lineRule="auto"/>
        <w:tabs>
          <w:tab w:leader="none" w:pos="20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3rd day of August,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Paul B. Nahi</w:t>
            </w:r>
          </w:p>
        </w:tc>
        <w:tc>
          <w:tcPr>
            <w:tcW w:w="100" w:type="dxa"/>
            <w:vAlign w:val="bottom"/>
          </w:tcPr>
          <w:p>
            <w:pPr>
              <w:spacing w:after="0"/>
              <w:rPr>
                <w:sz w:val="19"/>
                <w:szCs w:val="19"/>
                <w:color w:val="auto"/>
              </w:rPr>
            </w:pP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Kris Sennesael</w:t>
            </w: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Paul B. Nahi</w:t>
            </w:r>
          </w:p>
        </w:tc>
        <w:tc>
          <w:tcPr>
            <w:tcW w:w="5680" w:type="dxa"/>
            <w:vAlign w:val="bottom"/>
          </w:tcPr>
          <w:p>
            <w:pPr>
              <w:ind w:left="20"/>
              <w:spacing w:after="0"/>
              <w:rPr>
                <w:sz w:val="20"/>
                <w:szCs w:val="20"/>
                <w:color w:val="auto"/>
              </w:rPr>
            </w:pPr>
            <w:r>
              <w:rPr>
                <w:rFonts w:ascii="Arial" w:cs="Arial" w:eastAsia="Arial" w:hAnsi="Arial"/>
                <w:sz w:val="18"/>
                <w:szCs w:val="18"/>
                <w:color w:val="auto"/>
              </w:rPr>
              <w:t>Kris Sennesael</w:t>
            </w:r>
          </w:p>
        </w:tc>
      </w:tr>
      <w:tr>
        <w:trPr>
          <w:trHeight w:val="284"/>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568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bl>
    <w:p>
      <w:pPr>
        <w:spacing w:after="0" w:line="17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2019-12-29T10:25:09Z</dcterms:created>
  <dcterms:modified xsi:type="dcterms:W3CDTF">2019-12-29T10:25:09Z</dcterms:modified>
</cp:coreProperties>
</file>