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760"/>
        <w:spacing w:after="0"/>
        <w:rPr>
          <w:sz w:val="20"/>
          <w:szCs w:val="20"/>
          <w:color w:val="auto"/>
        </w:rPr>
      </w:pPr>
      <w:r>
        <w:rPr>
          <w:rFonts w:ascii="Arial" w:cs="Arial" w:eastAsia="Arial" w:hAnsi="Arial"/>
          <w:sz w:val="18"/>
          <w:szCs w:val="18"/>
          <w:color w:val="auto"/>
        </w:rPr>
        <w:t>____________________________________________</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____________________________________________</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 w:lineRule="exact"/>
        <w:rPr>
          <w:sz w:val="24"/>
          <w:szCs w:val="24"/>
          <w:color w:val="auto"/>
        </w:rPr>
      </w:pPr>
    </w:p>
    <w:tbl>
      <w:tblPr>
        <w:tblLayout w:type="fixed"/>
        <w:tblInd w:w="1560" w:type="dxa"/>
        <w:tblCellMar>
          <w:top w:w="0" w:type="dxa"/>
          <w:left w:w="0" w:type="dxa"/>
          <w:bottom w:w="0" w:type="dxa"/>
          <w:right w:w="0" w:type="dxa"/>
        </w:tblCellMar>
      </w:tblPr>
      <w:tr>
        <w:trPr>
          <w:trHeight w:val="207"/>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91"/>
              </w:rPr>
              <w:t>Commission File Number: 001-35480</w:t>
            </w:r>
          </w:p>
        </w:tc>
        <w:tc>
          <w:tcPr>
            <w:tcW w:w="1300" w:type="dxa"/>
            <w:vAlign w:val="bottom"/>
          </w:tcPr>
          <w:p>
            <w:pPr>
              <w:spacing w:after="0"/>
              <w:rPr>
                <w:sz w:val="17"/>
                <w:szCs w:val="17"/>
                <w:color w:val="auto"/>
              </w:rPr>
            </w:pPr>
          </w:p>
        </w:tc>
      </w:tr>
      <w:tr>
        <w:trPr>
          <w:trHeight w:val="187"/>
        </w:trPr>
        <w:tc>
          <w:tcPr>
            <w:tcW w:w="6320" w:type="dxa"/>
            <w:vAlign w:val="bottom"/>
          </w:tcPr>
          <w:p>
            <w:pPr>
              <w:jc w:val="center"/>
              <w:ind w:left="1946"/>
              <w:spacing w:after="0" w:line="187" w:lineRule="exact"/>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16"/>
                <w:szCs w:val="16"/>
                <w:color w:val="auto"/>
              </w:rPr>
            </w:pPr>
          </w:p>
        </w:tc>
      </w:tr>
      <w:tr>
        <w:trPr>
          <w:trHeight w:val="565"/>
        </w:trPr>
        <w:tc>
          <w:tcPr>
            <w:tcW w:w="6320" w:type="dxa"/>
            <w:vAlign w:val="bottom"/>
          </w:tcPr>
          <w:p>
            <w:pPr>
              <w:jc w:val="center"/>
              <w:ind w:left="1926"/>
              <w:spacing w:after="0"/>
              <w:rPr>
                <w:sz w:val="20"/>
                <w:szCs w:val="20"/>
                <w:color w:val="auto"/>
              </w:rPr>
            </w:pPr>
            <w:r>
              <w:rPr>
                <w:rFonts w:ascii="Arial" w:cs="Arial" w:eastAsia="Arial" w:hAnsi="Arial"/>
                <w:sz w:val="43"/>
                <w:szCs w:val="43"/>
                <w:b w:val="1"/>
                <w:bCs w:val="1"/>
                <w:color w:val="auto"/>
                <w:w w:val="90"/>
              </w:rPr>
              <w:t>Enphase Energy, Inc.</w:t>
            </w:r>
          </w:p>
        </w:tc>
        <w:tc>
          <w:tcPr>
            <w:tcW w:w="1300" w:type="dxa"/>
            <w:vAlign w:val="bottom"/>
          </w:tcPr>
          <w:p>
            <w:pPr>
              <w:spacing w:after="0"/>
              <w:rPr>
                <w:sz w:val="24"/>
                <w:szCs w:val="24"/>
                <w:color w:val="auto"/>
              </w:rPr>
            </w:pPr>
          </w:p>
        </w:tc>
      </w:tr>
      <w:tr>
        <w:trPr>
          <w:trHeight w:val="274"/>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23"/>
                <w:szCs w:val="2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r>
        <w:trPr>
          <w:trHeight w:val="32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right"/>
              <w:ind w:right="41"/>
              <w:spacing w:after="0"/>
              <w:rPr>
                <w:sz w:val="20"/>
                <w:szCs w:val="20"/>
                <w:color w:val="auto"/>
              </w:rPr>
            </w:pPr>
            <w:r>
              <w:rPr>
                <w:rFonts w:ascii="Arial" w:cs="Arial" w:eastAsia="Arial" w:hAnsi="Arial"/>
                <w:sz w:val="18"/>
                <w:szCs w:val="18"/>
                <w:b w:val="1"/>
                <w:bCs w:val="1"/>
                <w:color w:val="auto"/>
              </w:rPr>
              <w:t>20-4645388</w:t>
            </w:r>
          </w:p>
        </w:tc>
      </w:tr>
      <w:tr>
        <w:trPr>
          <w:trHeight w:val="149"/>
        </w:trPr>
        <w:tc>
          <w:tcPr>
            <w:tcW w:w="6320" w:type="dxa"/>
            <w:vAlign w:val="bottom"/>
          </w:tcPr>
          <w:p>
            <w:pPr>
              <w:jc w:val="center"/>
              <w:ind w:right="3846"/>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2"/>
              </w:rPr>
              <w:t>1420 N. McDowell Blvd.</w:t>
            </w:r>
          </w:p>
        </w:tc>
        <w:tc>
          <w:tcPr>
            <w:tcW w:w="1300" w:type="dxa"/>
            <w:vAlign w:val="bottom"/>
          </w:tcPr>
          <w:p>
            <w:pPr>
              <w:spacing w:after="0"/>
              <w:rPr>
                <w:sz w:val="24"/>
                <w:szCs w:val="24"/>
                <w:color w:val="auto"/>
              </w:rPr>
            </w:pPr>
          </w:p>
        </w:tc>
      </w:tr>
      <w:tr>
        <w:trPr>
          <w:trHeight w:val="234"/>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Petaluma, California</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94954</w:t>
            </w:r>
          </w:p>
        </w:tc>
      </w:tr>
      <w:tr>
        <w:trPr>
          <w:trHeight w:val="218"/>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435"/>
        </w:trPr>
        <w:tc>
          <w:tcPr>
            <w:tcW w:w="6320" w:type="dxa"/>
            <w:vAlign w:val="bottom"/>
          </w:tcPr>
          <w:p>
            <w:pPr>
              <w:jc w:val="center"/>
              <w:ind w:left="1906"/>
              <w:spacing w:after="0"/>
              <w:rPr>
                <w:sz w:val="20"/>
                <w:szCs w:val="20"/>
                <w:color w:val="auto"/>
              </w:rPr>
            </w:pPr>
            <w:r>
              <w:rPr>
                <w:rFonts w:ascii="Arial" w:cs="Arial" w:eastAsia="Arial" w:hAnsi="Arial"/>
                <w:sz w:val="18"/>
                <w:szCs w:val="18"/>
                <w:b w:val="1"/>
                <w:bCs w:val="1"/>
                <w:color w:val="auto"/>
                <w:w w:val="90"/>
              </w:rPr>
              <w:t>(707) 774-7000</w:t>
            </w:r>
          </w:p>
        </w:tc>
        <w:tc>
          <w:tcPr>
            <w:tcW w:w="1300" w:type="dxa"/>
            <w:vAlign w:val="bottom"/>
          </w:tcPr>
          <w:p>
            <w:pPr>
              <w:spacing w:after="0"/>
              <w:rPr>
                <w:sz w:val="24"/>
                <w:szCs w:val="24"/>
                <w:color w:val="auto"/>
              </w:rPr>
            </w:pPr>
          </w:p>
        </w:tc>
      </w:tr>
      <w:tr>
        <w:trPr>
          <w:trHeight w:val="157"/>
        </w:trPr>
        <w:tc>
          <w:tcPr>
            <w:tcW w:w="6320" w:type="dxa"/>
            <w:vAlign w:val="bottom"/>
          </w:tcPr>
          <w:p>
            <w:pPr>
              <w:jc w:val="center"/>
              <w:ind w:left="1886"/>
              <w:spacing w:after="0" w:line="157"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1300" w:type="dxa"/>
            <w:vAlign w:val="bottom"/>
          </w:tcPr>
          <w:p>
            <w:pPr>
              <w:spacing w:after="0"/>
              <w:rPr>
                <w:sz w:val="13"/>
                <w:szCs w:val="1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bl>
    <w:p>
      <w:pPr>
        <w:spacing w:after="0" w:line="18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2180" w:space="720"/>
            <w:col w:w="4300" w:space="720"/>
            <w:col w:w="2460" w:space="720"/>
            <w:col w:w="320"/>
          </w:cols>
          <w:pgMar w:left="240" w:top="233"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4">
            <w:col w:w="2180" w:space="720"/>
            <w:col w:w="4300" w:space="720"/>
            <w:col w:w="2460" w:space="720"/>
            <w:col w:w="320"/>
          </w:cols>
          <w:pgMar w:left="240" w:top="23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4">
            <w:col w:w="8180" w:space="180"/>
            <w:col w:w="260" w:space="100"/>
            <w:col w:w="160" w:space="180"/>
            <w:col w:w="236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April 30, 2013, there were 41,619,628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MARCH 31, 2013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Borders>
              <w:bottom w:val="single" w:sz="8" w:color="0000FF"/>
            </w:tcBorders>
            <w:gridSpan w:val="9"/>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680" w:type="dxa"/>
            <w:vAlign w:val="bottom"/>
            <w:gridSpan w:val="2"/>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00" w:type="dxa"/>
            <w:vAlign w:val="bottom"/>
            <w:gridSpan w:val="1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250"/>
        </w:trPr>
        <w:tc>
          <w:tcPr>
            <w:tcW w:w="1480" w:type="dxa"/>
            <w:vAlign w:val="bottom"/>
          </w:tcPr>
          <w:p>
            <w:pPr>
              <w:spacing w:after="0"/>
              <w:rPr>
                <w:sz w:val="21"/>
                <w:szCs w:val="21"/>
                <w:color w:val="auto"/>
              </w:rPr>
            </w:pPr>
          </w:p>
        </w:tc>
        <w:tc>
          <w:tcPr>
            <w:tcW w:w="294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w:t>
              </w:r>
            </w:hyperlink>
          </w:p>
        </w:tc>
        <w:tc>
          <w:tcPr>
            <w:tcW w:w="5480" w:type="dxa"/>
            <w:vAlign w:val="bottom"/>
            <w:gridSpan w:val="9"/>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366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4760" w:type="dxa"/>
            <w:vAlign w:val="bottom"/>
            <w:gridSpan w:val="8"/>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842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50"/>
        </w:trPr>
        <w:tc>
          <w:tcPr>
            <w:tcW w:w="1480" w:type="dxa"/>
            <w:vAlign w:val="bottom"/>
          </w:tcPr>
          <w:p>
            <w:pPr>
              <w:spacing w:after="0"/>
              <w:rPr>
                <w:sz w:val="21"/>
                <w:szCs w:val="21"/>
                <w:color w:val="auto"/>
              </w:rPr>
            </w:pPr>
          </w:p>
        </w:tc>
        <w:tc>
          <w:tcPr>
            <w:tcW w:w="37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w:t>
              </w:r>
            </w:hyperlink>
          </w:p>
        </w:tc>
        <w:tc>
          <w:tcPr>
            <w:tcW w:w="660" w:type="dxa"/>
            <w:vAlign w:val="bottom"/>
            <w:tcBorders>
              <w:top w:val="single" w:sz="8" w:color="0000FF"/>
            </w:tcBorders>
            <w:gridSpan w:val="3"/>
          </w:tcPr>
          <w:p>
            <w:pPr>
              <w:spacing w:after="0"/>
              <w:rPr>
                <w:sz w:val="21"/>
                <w:szCs w:val="21"/>
                <w:color w:val="auto"/>
              </w:rPr>
            </w:pPr>
          </w:p>
        </w:tc>
        <w:tc>
          <w:tcPr>
            <w:tcW w:w="4040" w:type="dxa"/>
            <w:vAlign w:val="bottom"/>
            <w:gridSpan w:val="4"/>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40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442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8"/>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12">
              <w:r>
                <w:rPr>
                  <w:rFonts w:ascii="Arial" w:cs="Arial" w:eastAsia="Arial" w:hAnsi="Arial"/>
                  <w:sz w:val="18"/>
                  <w:szCs w:val="18"/>
                  <w:color w:val="0000FF"/>
                </w:rPr>
                <w:t>12</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4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18">
              <w:r>
                <w:rPr>
                  <w:rFonts w:ascii="Arial" w:cs="Arial" w:eastAsia="Arial" w:hAnsi="Arial"/>
                  <w:sz w:val="18"/>
                  <w:szCs w:val="18"/>
                  <w:color w:val="0000FF"/>
                  <w:w w:val="91"/>
                </w:rPr>
                <w:t>Quantitative and Qualitative Disclosures About Market Risk</w:t>
              </w:r>
            </w:hyperlink>
          </w:p>
        </w:tc>
        <w:tc>
          <w:tcPr>
            <w:tcW w:w="2120" w:type="dxa"/>
            <w:vAlign w:val="bottom"/>
            <w:gridSpan w:val="4"/>
          </w:tcPr>
          <w:p>
            <w:pPr>
              <w:spacing w:after="0"/>
              <w:rPr>
                <w:sz w:val="21"/>
                <w:szCs w:val="21"/>
                <w:color w:val="auto"/>
              </w:rPr>
            </w:pPr>
          </w:p>
        </w:tc>
        <w:tc>
          <w:tcPr>
            <w:tcW w:w="19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40" w:type="dxa"/>
            <w:vAlign w:val="bottom"/>
            <w:tcBorders>
              <w:left w:val="single" w:sz="8" w:color="0000FF"/>
            </w:tcBorders>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Controls and Procedures</w:t>
              </w:r>
            </w:hyperlink>
          </w:p>
        </w:tc>
        <w:tc>
          <w:tcPr>
            <w:tcW w:w="40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372"/>
        </w:trPr>
        <w:tc>
          <w:tcPr>
            <w:tcW w:w="14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11"/>
          </w:tcPr>
          <w:p>
            <w:pPr>
              <w:jc w:val="center"/>
              <w:ind w:right="2680"/>
              <w:spacing w:after="0"/>
              <w:rPr>
                <w:rFonts w:ascii="Arial" w:cs="Arial" w:eastAsia="Arial" w:hAnsi="Arial"/>
                <w:sz w:val="18"/>
                <w:szCs w:val="18"/>
                <w:b w:val="1"/>
                <w:bCs w:val="1"/>
                <w:color w:val="0000FF"/>
              </w:rPr>
            </w:pPr>
            <w:hyperlink w:anchor="page19">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20">
              <w:r>
                <w:rPr>
                  <w:rFonts w:ascii="Arial" w:cs="Arial" w:eastAsia="Arial" w:hAnsi="Arial"/>
                  <w:sz w:val="18"/>
                  <w:szCs w:val="18"/>
                  <w:color w:val="0000FF"/>
                  <w:w w:val="85"/>
                </w:rPr>
                <w:t>Legal Proceedings</w:t>
              </w:r>
            </w:hyperlink>
          </w:p>
        </w:tc>
        <w:tc>
          <w:tcPr>
            <w:tcW w:w="1500" w:type="dxa"/>
            <w:vAlign w:val="bottom"/>
            <w:gridSpan w:val="5"/>
          </w:tcPr>
          <w:p>
            <w:pPr>
              <w:spacing w:after="0"/>
              <w:rPr>
                <w:sz w:val="24"/>
                <w:szCs w:val="24"/>
                <w:color w:val="auto"/>
              </w:rPr>
            </w:pPr>
          </w:p>
        </w:tc>
        <w:tc>
          <w:tcPr>
            <w:tcW w:w="2760" w:type="dxa"/>
            <w:vAlign w:val="bottom"/>
            <w:tcBorders>
              <w:top w:val="single" w:sz="8" w:color="0000FF"/>
            </w:tcBorders>
            <w:gridSpan w:val="7"/>
          </w:tcPr>
          <w:p>
            <w:pPr>
              <w:spacing w:after="0"/>
              <w:rPr>
                <w:sz w:val="24"/>
                <w:szCs w:val="24"/>
                <w:color w:val="auto"/>
              </w:rPr>
            </w:pPr>
          </w:p>
        </w:tc>
        <w:tc>
          <w:tcPr>
            <w:tcW w:w="284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Risk Factors</w:t>
              </w:r>
            </w:hyperlink>
          </w:p>
        </w:tc>
        <w:tc>
          <w:tcPr>
            <w:tcW w:w="71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2.</w:t>
            </w:r>
          </w:p>
        </w:tc>
        <w:tc>
          <w:tcPr>
            <w:tcW w:w="842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Defaults Upon Senior Securities</w:t>
              </w:r>
            </w:hyperlink>
          </w:p>
        </w:tc>
        <w:tc>
          <w:tcPr>
            <w:tcW w:w="40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10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Mine Safety Disclosures</w:t>
              </w:r>
            </w:hyperlink>
          </w:p>
        </w:tc>
        <w:tc>
          <w:tcPr>
            <w:tcW w:w="540" w:type="dxa"/>
            <w:vAlign w:val="bottom"/>
          </w:tcPr>
          <w:p>
            <w:pPr>
              <w:spacing w:after="0"/>
              <w:rPr>
                <w:sz w:val="21"/>
                <w:szCs w:val="21"/>
                <w:color w:val="auto"/>
              </w:rPr>
            </w:pPr>
          </w:p>
        </w:tc>
        <w:tc>
          <w:tcPr>
            <w:tcW w:w="610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64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Other Information</w:t>
              </w:r>
            </w:hyperlink>
          </w:p>
        </w:tc>
        <w:tc>
          <w:tcPr>
            <w:tcW w:w="460" w:type="dxa"/>
            <w:vAlign w:val="bottom"/>
          </w:tcPr>
          <w:p>
            <w:pPr>
              <w:spacing w:after="0"/>
              <w:rPr>
                <w:sz w:val="21"/>
                <w:szCs w:val="21"/>
                <w:color w:val="auto"/>
              </w:rPr>
            </w:pPr>
          </w:p>
        </w:tc>
        <w:tc>
          <w:tcPr>
            <w:tcW w:w="6640" w:type="dxa"/>
            <w:vAlign w:val="bottom"/>
            <w:gridSpan w:val="1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71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2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1"/>
                <w:szCs w:val="21"/>
                <w:color w:val="auto"/>
              </w:rPr>
            </w:pPr>
          </w:p>
        </w:tc>
        <w:tc>
          <w:tcPr>
            <w:tcW w:w="700" w:type="dxa"/>
            <w:vAlign w:val="bottom"/>
            <w:gridSpan w:val="2"/>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Signature</w:t>
              </w:r>
            </w:hyperlink>
          </w:p>
        </w:tc>
        <w:tc>
          <w:tcPr>
            <w:tcW w:w="7720" w:type="dxa"/>
            <w:vAlign w:val="bottom"/>
            <w:gridSpan w:val="17"/>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 (Unaudited)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640" w:type="dxa"/>
            <w:vAlign w:val="bottom"/>
          </w:tcPr>
          <w:p>
            <w:pPr>
              <w:spacing w:after="0"/>
              <w:rPr>
                <w:sz w:val="24"/>
                <w:szCs w:val="24"/>
                <w:color w:val="auto"/>
              </w:rPr>
            </w:pPr>
          </w:p>
        </w:tc>
        <w:tc>
          <w:tcPr>
            <w:tcW w:w="7700" w:type="dxa"/>
            <w:vAlign w:val="bottom"/>
          </w:tcPr>
          <w:p>
            <w:pPr>
              <w:jc w:val="center"/>
              <w:ind w:left="2370"/>
              <w:spacing w:after="0"/>
              <w:rPr>
                <w:sz w:val="20"/>
                <w:szCs w:val="20"/>
                <w:color w:val="auto"/>
              </w:rPr>
            </w:pPr>
            <w:r>
              <w:rPr>
                <w:rFonts w:ascii="Arial" w:cs="Arial" w:eastAsia="Arial" w:hAnsi="Arial"/>
                <w:sz w:val="18"/>
                <w:szCs w:val="18"/>
                <w:b w:val="1"/>
                <w:bCs w:val="1"/>
                <w:color w:val="auto"/>
                <w:w w:val="99"/>
              </w:rPr>
              <w:t>ENPHASE ENERGY, INC.</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0"/>
        </w:trPr>
        <w:tc>
          <w:tcPr>
            <w:tcW w:w="640" w:type="dxa"/>
            <w:vAlign w:val="bottom"/>
          </w:tcPr>
          <w:p>
            <w:pPr>
              <w:spacing w:after="0"/>
              <w:rPr>
                <w:sz w:val="24"/>
                <w:szCs w:val="24"/>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(In thousands, except par value)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8"/>
        </w:trPr>
        <w:tc>
          <w:tcPr>
            <w:tcW w:w="6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640" w:type="dxa"/>
            <w:vAlign w:val="bottom"/>
            <w:tcBorders>
              <w:bottom w:val="single" w:sz="8" w:color="CCEEFF"/>
            </w:tcBorders>
          </w:tcPr>
          <w:p>
            <w:pPr>
              <w:spacing w:after="0"/>
              <w:rPr>
                <w:sz w:val="16"/>
                <w:szCs w:val="16"/>
                <w:color w:val="auto"/>
              </w:rPr>
            </w:pPr>
          </w:p>
        </w:tc>
        <w:tc>
          <w:tcPr>
            <w:tcW w:w="7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45,294</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allowances of $1,024 and $1,177, respectively</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27,743</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19,843</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2,118</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94,998</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25,541</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113,065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122,291</w:t>
            </w:r>
          </w:p>
        </w:tc>
      </w:tr>
      <w:tr>
        <w:trPr>
          <w:trHeight w:val="67"/>
        </w:trPr>
        <w:tc>
          <w:tcPr>
            <w:tcW w:w="640" w:type="dxa"/>
            <w:vAlign w:val="bottom"/>
            <w:tcBorders>
              <w:bottom w:val="single" w:sz="8" w:color="CCEEFF"/>
            </w:tcBorders>
          </w:tcPr>
          <w:p>
            <w:pPr>
              <w:spacing w:after="0"/>
              <w:rPr>
                <w:sz w:val="5"/>
                <w:szCs w:val="5"/>
                <w:color w:val="auto"/>
              </w:rPr>
            </w:pPr>
          </w:p>
        </w:tc>
        <w:tc>
          <w:tcPr>
            <w:tcW w:w="7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64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5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11,272</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19,266</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term loans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2,384</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33,855</w:t>
            </w: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7,537</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Warranty obligations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17,094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15,260</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8,677</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65,636</w:t>
            </w: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Common stock, $0.00001 par value, 100,000 shares authorized; 41,393 and 40,856 shares issued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outstanding as of March 31, 2013 and December 31, 2012,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185,667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183,629</w:t>
            </w: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(127,026)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56,655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113,065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122,291</w:t>
            </w:r>
          </w:p>
        </w:tc>
      </w:tr>
      <w:tr>
        <w:trPr>
          <w:trHeight w:val="27"/>
        </w:trPr>
        <w:tc>
          <w:tcPr>
            <w:tcW w:w="6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33,293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9,307</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loss per share attributable to common stockholders, basic and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 attributable to common stockholders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(10,156)</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loss to net cash used in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interest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 in fair value of convertible preferred stock warrants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accrued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Deferred revenues</w:t>
      </w:r>
    </w:p>
    <w:p>
      <w:pPr>
        <w:spacing w:after="0" w:line="8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Net cash used in investing activities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352" w:lineRule="exact"/>
        <w:rPr>
          <w:sz w:val="20"/>
          <w:szCs w:val="20"/>
          <w:color w:val="auto"/>
        </w:rPr>
      </w:pPr>
    </w:p>
    <w:p>
      <w:pPr>
        <w:spacing w:after="0"/>
        <w:tabs>
          <w:tab w:leader="none" w:pos="620" w:val="left"/>
          <w:tab w:leader="none" w:pos="1360" w:val="left"/>
          <w:tab w:leader="none" w:pos="1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(10,406)</w:t>
        <w:tab/>
        <w:t>$</w:t>
      </w:r>
      <w:r>
        <w:rPr>
          <w:sz w:val="20"/>
          <w:szCs w:val="20"/>
          <w:color w:val="auto"/>
        </w:rPr>
        <w:tab/>
      </w:r>
      <w:r>
        <w:rPr>
          <w:rFonts w:ascii="Arial" w:cs="Arial" w:eastAsia="Arial" w:hAnsi="Arial"/>
          <w:sz w:val="14"/>
          <w:szCs w:val="14"/>
          <w:color w:val="auto"/>
        </w:rPr>
        <w:t>(10,184)</w:t>
      </w:r>
    </w:p>
    <w:p>
      <w:pPr>
        <w:spacing w:after="0" w:line="356" w:lineRule="exact"/>
        <w:rPr>
          <w:sz w:val="20"/>
          <w:szCs w:val="20"/>
          <w:color w:val="auto"/>
        </w:rPr>
      </w:pPr>
    </w:p>
    <w:p>
      <w:pPr>
        <w:ind w:left="780"/>
        <w:spacing w:after="0"/>
        <w:tabs>
          <w:tab w:leader="none" w:pos="2100" w:val="left"/>
        </w:tabs>
        <w:rPr>
          <w:sz w:val="20"/>
          <w:szCs w:val="20"/>
          <w:color w:val="auto"/>
        </w:rPr>
      </w:pPr>
      <w:r>
        <w:rPr>
          <w:rFonts w:ascii="Arial" w:cs="Arial" w:eastAsia="Arial" w:hAnsi="Arial"/>
          <w:sz w:val="16"/>
          <w:szCs w:val="16"/>
          <w:color w:val="auto"/>
        </w:rPr>
        <w:t>1,660</w:t>
      </w:r>
      <w:r>
        <w:rPr>
          <w:sz w:val="20"/>
          <w:szCs w:val="20"/>
          <w:color w:val="auto"/>
        </w:rPr>
        <w:tab/>
      </w:r>
      <w:r>
        <w:rPr>
          <w:rFonts w:ascii="Arial" w:cs="Arial" w:eastAsia="Arial" w:hAnsi="Arial"/>
          <w:sz w:val="16"/>
          <w:szCs w:val="16"/>
          <w:color w:val="auto"/>
        </w:rPr>
        <w:t>1,085</w:t>
      </w:r>
    </w:p>
    <w:p>
      <w:pPr>
        <w:spacing w:after="0" w:line="86" w:lineRule="exact"/>
        <w:rPr>
          <w:sz w:val="20"/>
          <w:szCs w:val="20"/>
          <w:color w:val="auto"/>
        </w:rPr>
      </w:pPr>
    </w:p>
    <w:p>
      <w:pPr>
        <w:ind w:left="900"/>
        <w:spacing w:after="0"/>
        <w:tabs>
          <w:tab w:leader="none" w:pos="222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937</w:t>
      </w:r>
    </w:p>
    <w:p>
      <w:pPr>
        <w:spacing w:after="0" w:line="86" w:lineRule="exact"/>
        <w:rPr>
          <w:sz w:val="20"/>
          <w:szCs w:val="20"/>
          <w:color w:val="auto"/>
        </w:rPr>
      </w:pPr>
    </w:p>
    <w:p>
      <w:pPr>
        <w:ind w:left="780"/>
        <w:spacing w:after="0"/>
        <w:tabs>
          <w:tab w:leader="none" w:pos="2220" w:val="left"/>
        </w:tabs>
        <w:rPr>
          <w:sz w:val="20"/>
          <w:szCs w:val="20"/>
          <w:color w:val="auto"/>
        </w:rPr>
      </w:pPr>
      <w:r>
        <w:rPr>
          <w:rFonts w:ascii="Arial" w:cs="Arial" w:eastAsia="Arial" w:hAnsi="Arial"/>
          <w:sz w:val="16"/>
          <w:szCs w:val="16"/>
          <w:color w:val="auto"/>
        </w:rPr>
        <w:t>1,435</w:t>
      </w:r>
      <w:r>
        <w:rPr>
          <w:sz w:val="20"/>
          <w:szCs w:val="20"/>
          <w:color w:val="auto"/>
        </w:rPr>
        <w:tab/>
      </w:r>
      <w:r>
        <w:rPr>
          <w:rFonts w:ascii="Arial" w:cs="Arial" w:eastAsia="Arial" w:hAnsi="Arial"/>
          <w:sz w:val="16"/>
          <w:szCs w:val="16"/>
          <w:color w:val="auto"/>
        </w:rPr>
        <w:t>706</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(623)</w:t>
      </w:r>
    </w:p>
    <w:p>
      <w:pPr>
        <w:spacing w:after="0" w:line="356" w:lineRule="exact"/>
        <w:rPr>
          <w:sz w:val="20"/>
          <w:szCs w:val="20"/>
          <w:color w:val="auto"/>
        </w:rPr>
      </w:pPr>
    </w:p>
    <w:p>
      <w:pPr>
        <w:ind w:left="780"/>
        <w:spacing w:after="0"/>
        <w:tabs>
          <w:tab w:leader="none" w:pos="2100" w:val="left"/>
        </w:tabs>
        <w:rPr>
          <w:sz w:val="20"/>
          <w:szCs w:val="20"/>
          <w:color w:val="auto"/>
        </w:rPr>
      </w:pPr>
      <w:r>
        <w:rPr>
          <w:rFonts w:ascii="Arial" w:cs="Arial" w:eastAsia="Arial" w:hAnsi="Arial"/>
          <w:sz w:val="16"/>
          <w:szCs w:val="16"/>
          <w:color w:val="auto"/>
        </w:rPr>
        <w:t>2,835</w:t>
      </w:r>
      <w:r>
        <w:rPr>
          <w:sz w:val="20"/>
          <w:szCs w:val="20"/>
          <w:color w:val="auto"/>
        </w:rPr>
        <w:tab/>
      </w:r>
      <w:r>
        <w:rPr>
          <w:rFonts w:ascii="Arial" w:cs="Arial" w:eastAsia="Arial" w:hAnsi="Arial"/>
          <w:sz w:val="16"/>
          <w:szCs w:val="16"/>
          <w:color w:val="auto"/>
        </w:rPr>
        <w:t>4,324</w:t>
      </w:r>
    </w:p>
    <w:p>
      <w:pPr>
        <w:spacing w:after="0" w:line="86" w:lineRule="exact"/>
        <w:rPr>
          <w:sz w:val="20"/>
          <w:szCs w:val="20"/>
          <w:color w:val="auto"/>
        </w:rPr>
      </w:pPr>
    </w:p>
    <w:p>
      <w:pPr>
        <w:jc w:val="both"/>
        <w:ind w:left="720"/>
        <w:spacing w:after="0"/>
        <w:tabs>
          <w:tab w:leader="none" w:pos="1980" w:val="left"/>
        </w:tabs>
        <w:rPr>
          <w:sz w:val="20"/>
          <w:szCs w:val="20"/>
          <w:color w:val="auto"/>
        </w:rPr>
      </w:pPr>
      <w:r>
        <w:rPr>
          <w:rFonts w:ascii="Arial" w:cs="Arial" w:eastAsia="Arial" w:hAnsi="Arial"/>
          <w:sz w:val="16"/>
          <w:szCs w:val="16"/>
          <w:color w:val="auto"/>
        </w:rPr>
        <w:t>(2,466)</w:t>
      </w:r>
      <w:r>
        <w:rPr>
          <w:sz w:val="20"/>
          <w:szCs w:val="20"/>
          <w:color w:val="auto"/>
        </w:rPr>
        <w:tab/>
      </w:r>
      <w:r>
        <w:rPr>
          <w:rFonts w:ascii="Arial" w:cs="Arial" w:eastAsia="Arial" w:hAnsi="Arial"/>
          <w:sz w:val="16"/>
          <w:szCs w:val="16"/>
          <w:color w:val="auto"/>
        </w:rPr>
        <w:t>(14,433)</w:t>
      </w:r>
    </w:p>
    <w:p>
      <w:pPr>
        <w:spacing w:after="0" w:line="86" w:lineRule="exact"/>
        <w:rPr>
          <w:sz w:val="20"/>
          <w:szCs w:val="20"/>
          <w:color w:val="auto"/>
        </w:rPr>
      </w:pPr>
    </w:p>
    <w:p>
      <w:pPr>
        <w:ind w:left="2200" w:hanging="1356"/>
        <w:spacing w:after="0"/>
        <w:tabs>
          <w:tab w:leader="none" w:pos="2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(913)</w:t>
      </w:r>
    </w:p>
    <w:p>
      <w:pPr>
        <w:spacing w:after="0" w:line="109" w:lineRule="exact"/>
        <w:rPr>
          <w:sz w:val="20"/>
          <w:szCs w:val="20"/>
          <w:color w:val="auto"/>
        </w:rPr>
      </w:pPr>
    </w:p>
    <w:p>
      <w:pPr>
        <w:ind w:left="2060" w:hanging="1216"/>
        <w:spacing w:after="0"/>
        <w:tabs>
          <w:tab w:leader="none" w:pos="2060" w:val="left"/>
        </w:tabs>
        <w:numPr>
          <w:ilvl w:val="0"/>
          <w:numId w:val="5"/>
        </w:numPr>
        <w:rPr>
          <w:rFonts w:ascii="Arial" w:cs="Arial" w:eastAsia="Arial" w:hAnsi="Arial"/>
          <w:sz w:val="15"/>
          <w:szCs w:val="15"/>
          <w:color w:val="auto"/>
        </w:rPr>
      </w:pPr>
      <w:r>
        <w:rPr>
          <w:rFonts w:ascii="Arial" w:cs="Arial" w:eastAsia="Arial" w:hAnsi="Arial"/>
          <w:sz w:val="15"/>
          <w:szCs w:val="15"/>
          <w:color w:val="auto"/>
        </w:rPr>
        <w:t>11,222</w:t>
      </w:r>
    </w:p>
    <w:p>
      <w:pPr>
        <w:spacing w:after="0" w:line="97"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6"/>
          <w:szCs w:val="16"/>
          <w:color w:val="auto"/>
        </w:rPr>
        <w:t>976</w:t>
      </w:r>
      <w:r>
        <w:rPr>
          <w:rFonts w:ascii="Arial" w:cs="Arial" w:eastAsia="Arial" w:hAnsi="Arial"/>
          <w:sz w:val="14"/>
          <w:szCs w:val="14"/>
          <w:color w:val="auto"/>
        </w:rPr>
        <w:t>(6,192)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34925</wp:posOffset>
            </wp:positionV>
            <wp:extent cx="1663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6" w:lineRule="exact"/>
        <w:rPr>
          <w:sz w:val="20"/>
          <w:szCs w:val="20"/>
          <w:color w:val="auto"/>
        </w:rPr>
      </w:pPr>
    </w:p>
    <w:p>
      <w:pPr>
        <w:jc w:val="both"/>
        <w:ind w:left="720"/>
        <w:spacing w:after="0"/>
        <w:tabs>
          <w:tab w:leader="none" w:pos="1980" w:val="left"/>
        </w:tabs>
        <w:rPr>
          <w:sz w:val="20"/>
          <w:szCs w:val="20"/>
          <w:color w:val="auto"/>
        </w:rPr>
      </w:pPr>
      <w:r>
        <w:rPr>
          <w:rFonts w:ascii="Arial" w:cs="Arial" w:eastAsia="Arial" w:hAnsi="Arial"/>
          <w:sz w:val="16"/>
          <w:szCs w:val="16"/>
          <w:color w:val="auto"/>
        </w:rPr>
        <w:t>(6,972)</w:t>
      </w:r>
      <w:r>
        <w:rPr>
          <w:sz w:val="20"/>
          <w:szCs w:val="20"/>
          <w:color w:val="auto"/>
        </w:rPr>
        <w:tab/>
      </w:r>
      <w:r>
        <w:rPr>
          <w:rFonts w:ascii="Arial" w:cs="Arial" w:eastAsia="Arial" w:hAnsi="Arial"/>
          <w:sz w:val="16"/>
          <w:szCs w:val="16"/>
          <w:color w:val="auto"/>
        </w:rPr>
        <w:t>(14,071)</w:t>
      </w:r>
    </w:p>
    <w:p>
      <w:pPr>
        <w:spacing w:after="0" w:line="370" w:lineRule="exact"/>
        <w:rPr>
          <w:sz w:val="20"/>
          <w:szCs w:val="20"/>
          <w:color w:val="auto"/>
        </w:rPr>
      </w:pPr>
    </w:p>
    <w:p>
      <w:pPr>
        <w:jc w:val="both"/>
        <w:ind w:left="720"/>
        <w:spacing w:after="0"/>
        <w:tabs>
          <w:tab w:leader="none" w:pos="2060" w:val="left"/>
        </w:tabs>
        <w:rPr>
          <w:sz w:val="20"/>
          <w:szCs w:val="20"/>
          <w:color w:val="auto"/>
        </w:rPr>
      </w:pPr>
      <w:r>
        <w:rPr>
          <w:rFonts w:ascii="Arial" w:cs="Arial" w:eastAsia="Arial" w:hAnsi="Arial"/>
          <w:sz w:val="16"/>
          <w:szCs w:val="16"/>
          <w:color w:val="auto"/>
        </w:rPr>
        <w:t>(1,682)</w:t>
      </w:r>
      <w:r>
        <w:rPr>
          <w:sz w:val="20"/>
          <w:szCs w:val="20"/>
          <w:color w:val="auto"/>
        </w:rPr>
        <w:tab/>
      </w:r>
      <w:r>
        <w:rPr>
          <w:rFonts w:ascii="Arial" w:cs="Arial" w:eastAsia="Arial" w:hAnsi="Arial"/>
          <w:sz w:val="16"/>
          <w:szCs w:val="16"/>
          <w:color w:val="auto"/>
        </w:rPr>
        <w:t>(4,605)</w:t>
      </w:r>
    </w:p>
    <w:p>
      <w:pPr>
        <w:spacing w:after="0" w:line="86" w:lineRule="exact"/>
        <w:rPr>
          <w:sz w:val="20"/>
          <w:szCs w:val="20"/>
          <w:color w:val="auto"/>
        </w:rPr>
      </w:pPr>
    </w:p>
    <w:p>
      <w:pPr>
        <w:jc w:val="both"/>
        <w:ind w:left="720"/>
        <w:spacing w:after="0"/>
        <w:tabs>
          <w:tab w:leader="none" w:pos="2060" w:val="left"/>
        </w:tabs>
        <w:rPr>
          <w:sz w:val="20"/>
          <w:szCs w:val="20"/>
          <w:color w:val="auto"/>
        </w:rPr>
      </w:pPr>
      <w:r>
        <w:rPr>
          <w:rFonts w:ascii="Arial" w:cs="Arial" w:eastAsia="Arial" w:hAnsi="Arial"/>
          <w:sz w:val="16"/>
          <w:szCs w:val="16"/>
          <w:color w:val="auto"/>
        </w:rPr>
        <w:t>(1,682)</w:t>
      </w:r>
      <w:r>
        <w:rPr>
          <w:sz w:val="20"/>
          <w:szCs w:val="20"/>
          <w:color w:val="auto"/>
        </w:rPr>
        <w:tab/>
      </w:r>
      <w:r>
        <w:rPr>
          <w:rFonts w:ascii="Arial" w:cs="Arial" w:eastAsia="Arial" w:hAnsi="Arial"/>
          <w:sz w:val="16"/>
          <w:szCs w:val="16"/>
          <w:color w:val="auto"/>
        </w:rPr>
        <w:t>(4,605)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34925</wp:posOffset>
            </wp:positionV>
            <wp:extent cx="1663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38" w:lineRule="exact"/>
        <w:rPr>
          <w:sz w:val="20"/>
          <w:szCs w:val="20"/>
          <w:color w:val="auto"/>
        </w:rPr>
      </w:pPr>
    </w:p>
    <w:p>
      <w:pPr>
        <w:sectPr>
          <w:pgSz w:w="11900" w:h="16838" w:orient="portrait"/>
          <w:cols w:equalWidth="0" w:num="2">
            <w:col w:w="8100" w:space="720"/>
            <w:col w:w="26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term loans and debt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2,600</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Repayments of term loans</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(3,287)</w:t>
            </w:r>
          </w:p>
        </w:tc>
      </w:tr>
      <w:tr>
        <w:trPr>
          <w:trHeight w:val="33"/>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under capital leases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Proceeds from the exercise of stock options</w:t>
            </w:r>
          </w:p>
        </w:tc>
        <w:tc>
          <w:tcPr>
            <w:tcW w:w="42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offering costs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17"/>
        </w:trPr>
        <w:tc>
          <w:tcPr>
            <w:tcW w:w="8800" w:type="dxa"/>
            <w:vAlign w:val="bottom"/>
          </w:tcPr>
          <w:p>
            <w:pPr>
              <w:ind w:left="146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(973)</w:t>
            </w:r>
          </w:p>
        </w:tc>
      </w:tr>
      <w:tr>
        <w:trPr>
          <w:trHeight w:val="33"/>
        </w:trPr>
        <w:tc>
          <w:tcPr>
            <w:tcW w:w="8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(8,860)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(19,621)</w:t>
            </w:r>
          </w:p>
        </w:tc>
      </w:tr>
      <w:tr>
        <w:trPr>
          <w:trHeight w:val="33"/>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45,294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51,524</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equivalents—End of period</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36,434</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31,903</w:t>
            </w:r>
          </w:p>
        </w:tc>
      </w:tr>
      <w:tr>
        <w:trPr>
          <w:trHeight w:val="73"/>
        </w:trPr>
        <w:tc>
          <w:tcPr>
            <w:tcW w:w="88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177"/>
        </w:trPr>
        <w:tc>
          <w:tcPr>
            <w:tcW w:w="88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Supplemental disclosures of cash flow information:</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74"/>
        </w:trPr>
        <w:tc>
          <w:tcPr>
            <w:tcW w:w="88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514</w:t>
            </w:r>
          </w:p>
        </w:tc>
      </w:tr>
      <w:tr>
        <w:trPr>
          <w:trHeight w:val="73"/>
        </w:trPr>
        <w:tc>
          <w:tcPr>
            <w:tcW w:w="88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177"/>
        </w:trPr>
        <w:tc>
          <w:tcPr>
            <w:tcW w:w="88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Noncash financing and investing activities:</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74"/>
        </w:trPr>
        <w:tc>
          <w:tcPr>
            <w:tcW w:w="88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Purchases of property and equipment included in accounts payable</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8"/>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1,708</w:t>
            </w:r>
          </w:p>
        </w:tc>
      </w:tr>
      <w:tr>
        <w:trPr>
          <w:trHeight w:val="73"/>
        </w:trPr>
        <w:tc>
          <w:tcPr>
            <w:tcW w:w="88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31"/>
        </w:trPr>
        <w:tc>
          <w:tcPr>
            <w:tcW w:w="880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Offering costs not yet paid</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1,753</w:t>
            </w:r>
          </w:p>
        </w:tc>
      </w:tr>
      <w:tr>
        <w:trPr>
          <w:trHeight w:val="20"/>
        </w:trPr>
        <w:tc>
          <w:tcPr>
            <w:tcW w:w="8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Overview and Summary of Significant Accounting Policies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Enphase Energy, Inc. ("Enphase" or the “Company”) designs, develops, and sells microinverter systems for the solar photovoltaic industry. The Company’s microinverter system consists of (i) an Enphase microinverter and related accessories that convert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w:t>
      </w:r>
    </w:p>
    <w:p>
      <w:pPr>
        <w:spacing w:after="0" w:line="111"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On April 4, 2012, the Company completed its initial public offering ("IPO"), issuing 10,315,151 shares of common stock at an offering price of $6.00 per share. The net proceeds from the sale of the shares were $53.8 million, after deducting the underwriters’ discounts and commissions of $3.3 million and other offering costs of $4.8 million. Upon consummation of the IPO, the Company’s 22,220,856 outstanding shares of convertible preferred stock were automatically converted into 25,171,017 shares of common stock, and the $21.2 million outstanding balance of principal and accrued paid-in-kind interest in convertible notes were automatically converted into 3,533,988 shares of common stock at a conversion price equal to the IPO price of $6.00 per share</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 Consolidation and Related Party Transactions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accompanying condensed consolidated financial statements are presented in accordance with United States generally accepted accounting principles (“U.S. GAAP”). The condensed consolidated financial statements include the accounts of the Company and its wholly-owned subsidiaries. All intercompany balances and transactions have been eliminated in the consolidation. The Company recognized revenues of $2.6 million for the three months ended March 31, 2012 from sales of microinverters to entities that are majority-owned by KPCB Holdings, Inc., as nominee ("KPCB"), a related party which has a significant ownership interest in the Company.</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interim financial statements reflect all adjustments, consisting of normal recurring items, considered necessary to present fairly the Company's financial condition, results of operations, comprehensive loss and cash flows for the periods indicated. The results of operations for the three months ended March 31, 2013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2012.</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600" w:firstLine="432"/>
        <w:spacing w:after="0" w:line="342" w:lineRule="auto"/>
        <w:rPr>
          <w:sz w:val="20"/>
          <w:szCs w:val="20"/>
          <w:color w:val="auto"/>
        </w:rPr>
      </w:pPr>
      <w:r>
        <w:rPr>
          <w:rFonts w:ascii="Arial" w:cs="Arial" w:eastAsia="Arial" w:hAnsi="Arial"/>
          <w:sz w:val="16"/>
          <w:szCs w:val="16"/>
          <w:color w:val="auto"/>
        </w:rPr>
        <w:t>There have been no material changes in the Company's significant accounting policies as of and for the three months ended March 31, 2013, as compared to the significant accounting policies described in the Company's Annual Report on Form 10-K for the year ended December 31, 2012.</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about future events, and apply judgments that affect the reported amounts of assets, liabilities, revenue, expenses and the related disclosures. Significant estimates and assumptions reflected in the financial statements include revenue recognition, inventory valuation and accrued warranty obligations.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as of March 31, 2013 and December 31, 2012 consists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20,345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17,620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22,309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19,843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WARRANTY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Company’s warranty obligations during the three months ended March 31, 2013 and 2012 were as follows (in thousands):</w:t>
      </w:r>
    </w:p>
    <w:p>
      <w:pPr>
        <w:spacing w:after="0" w:line="24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21,338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2,109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23,895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10,564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included in accrued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(6,801)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portion</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17,094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7,877</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right="260" w:firstLine="446"/>
        <w:spacing w:after="0" w:line="302" w:lineRule="auto"/>
        <w:rPr>
          <w:sz w:val="20"/>
          <w:szCs w:val="20"/>
          <w:color w:val="auto"/>
        </w:rPr>
      </w:pPr>
      <w:r>
        <w:rPr>
          <w:rFonts w:ascii="Arial" w:cs="Arial" w:eastAsia="Arial" w:hAnsi="Arial"/>
          <w:sz w:val="16"/>
          <w:szCs w:val="16"/>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00"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6" w:lineRule="exact"/>
        <w:rPr>
          <w:sz w:val="20"/>
          <w:szCs w:val="20"/>
          <w:color w:val="auto"/>
        </w:rPr>
      </w:pPr>
    </w:p>
    <w:p>
      <w:pPr>
        <w:ind w:left="980" w:right="300" w:hanging="486"/>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46"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00" w:lineRule="exact"/>
        <w:rPr>
          <w:sz w:val="20"/>
          <w:szCs w:val="20"/>
          <w:color w:val="auto"/>
        </w:rPr>
      </w:pPr>
    </w:p>
    <w:p>
      <w:pPr>
        <w:ind w:right="60" w:firstLine="446"/>
        <w:spacing w:after="0" w:line="261" w:lineRule="auto"/>
        <w:rPr>
          <w:sz w:val="20"/>
          <w:szCs w:val="20"/>
          <w:color w:val="auto"/>
        </w:rPr>
      </w:pPr>
      <w:r>
        <w:rPr>
          <w:rFonts w:ascii="Arial" w:cs="Arial" w:eastAsia="Arial" w:hAnsi="Arial"/>
          <w:sz w:val="18"/>
          <w:szCs w:val="18"/>
          <w:b w:val="1"/>
          <w:bCs w:val="1"/>
          <w:color w:val="auto"/>
        </w:rPr>
        <w:t>Derivative Instruments—</w:t>
      </w:r>
      <w:r>
        <w:rPr>
          <w:rFonts w:ascii="Arial" w:cs="Arial" w:eastAsia="Arial" w:hAnsi="Arial"/>
          <w:sz w:val="18"/>
          <w:szCs w:val="18"/>
          <w:color w:val="auto"/>
        </w:rPr>
        <w:t>The Company utilizes foreign currency forward contracts to reduce the impact of foreign currency fluctuations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anticipated cash receipts from expected future revenues denominated in Euros and intercompany transaction gains or losses. As of March 31, 2013 and December 31, 2012, the aggregate gross notional amounts of outstanding foreign currency forward contracts denominated in Euros, all with maturities of less than six months, were $7.5 million and $6.1 million, respectively.</w:t>
      </w:r>
    </w:p>
    <w:p>
      <w:pPr>
        <w:spacing w:after="0" w:line="184"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The following table presents the Company’s financial instruments that were measured at fair value on a recurring basis by level within the fair value hierarchy at March 31, 2013 and December 31, 2012 (in thousands):</w:t>
      </w:r>
    </w:p>
    <w:p>
      <w:pPr>
        <w:spacing w:after="0" w:line="365"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4"/>
                <w:szCs w:val="14"/>
                <w:b w:val="1"/>
                <w:bCs w:val="1"/>
                <w:color w:val="auto"/>
              </w:rPr>
              <w:t>Liability Derivatives</w:t>
            </w:r>
          </w:p>
        </w:tc>
      </w:tr>
      <w:tr>
        <w:trPr>
          <w:trHeight w:val="152"/>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3"/>
                <w:szCs w:val="13"/>
                <w:color w:val="auto"/>
              </w:rPr>
            </w:pPr>
          </w:p>
        </w:tc>
        <w:tc>
          <w:tcPr>
            <w:tcW w:w="1440" w:type="dxa"/>
            <w:vAlign w:val="bottom"/>
            <w:gridSpan w:val="3"/>
          </w:tcPr>
          <w:p>
            <w:pPr>
              <w:jc w:val="center"/>
              <w:ind w:right="5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1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3"/>
                <w:szCs w:val="13"/>
                <w:color w:val="auto"/>
              </w:rPr>
            </w:pPr>
          </w:p>
        </w:tc>
        <w:tc>
          <w:tcPr>
            <w:tcW w:w="112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0"/>
              </w:rPr>
              <w:t>December 31,</w:t>
            </w: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2012</w:t>
            </w: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 (Level 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268</w:t>
            </w:r>
          </w:p>
        </w:tc>
      </w:tr>
      <w:tr>
        <w:trPr>
          <w:trHeight w:val="459"/>
        </w:trPr>
        <w:tc>
          <w:tcPr>
            <w:tcW w:w="52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months ended March 31, 2013, the Company recognized a net gain of $86,000 related to foreign currency forward contracts.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long-term debt at March 31, 2013 and December 31, 2012 consists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Equipment financing facility, net of unamortized discount of $78 and $94, respectively</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3,661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8,677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As of March 31, 2013, the Company was a party to three debt agreements: (i) the $50.0 million revolving credit facility ("the Revolver") with Wells Fargo Bank, N.A., (ii) the facility with Hercules Technology Growth Capital, Inc. (“Hercules Facility”) consisting of a $7.4 million initial term loan and lending commitments of up to $15.6 million in additional term loans, and (iii) the $5.0 million equipment financing facility, also with Hercules. As of March 31, 2013, the Company has not drawn upon the Revolver or additional term loans available under the Hercules Facility. Each of these debt agreements is described in greater detail in the consolidated financial statements and related notes included in the Company's Annual Report on Form 10-K for the year ended December 31, 2012.</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90" w:lineRule="exact"/>
        <w:rPr>
          <w:sz w:val="20"/>
          <w:szCs w:val="20"/>
          <w:color w:val="auto"/>
        </w:rPr>
      </w:pPr>
    </w:p>
    <w:p>
      <w:pPr>
        <w:ind w:right="200" w:firstLine="446"/>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be involved in litigation relating to claims arising out of its operations. The Company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involved in any material legal proceedings. The Company may, however, be involved in material legal proceedings in the future. Such matters are subject to uncertainty and there can be no assurance that such legal proceedings will not have a material adverse effect on its business, results of operations, financial position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7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three months ended March 31, 2013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outstanding—December 31, 2012</w:t>
            </w:r>
          </w:p>
        </w:tc>
        <w:tc>
          <w:tcPr>
            <w:tcW w:w="54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8,169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Granted</w:t>
            </w:r>
          </w:p>
        </w:tc>
        <w:tc>
          <w:tcPr>
            <w:tcW w:w="5460" w:type="dxa"/>
            <w:vAlign w:val="bottom"/>
            <w:gridSpan w:val="2"/>
          </w:tcPr>
          <w:p>
            <w:pPr>
              <w:jc w:val="right"/>
              <w:ind w:right="48"/>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Canceled</w:t>
            </w:r>
          </w:p>
        </w:tc>
        <w:tc>
          <w:tcPr>
            <w:tcW w:w="54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outstanding—March 31, 2013</w:t>
            </w:r>
          </w:p>
        </w:tc>
        <w:tc>
          <w:tcPr>
            <w:tcW w:w="5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7,683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9</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3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restricted stock unit activity for the three months ended March 31, 2013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Restricted Stock 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2013</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for the periods presented (in thousands):</w:t>
      </w:r>
    </w:p>
    <w:p>
      <w:pPr>
        <w:spacing w:after="0" w:line="10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218</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stock-based compensation associated with each type of award for the periods presented (in thousands):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1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fair value of options granted to employees for purposes of calculating stock-based compensation expense is estimated on the grant date using the Black-Scholes option-pricing model. This valuation model requires the Company to make assumptions and judgments about the inputs used in the calculation, including the expected term (weighted-average period of time that the options granted are expected to be outstanding), the volatility of the Company’s common stock, a risk-free interest rate, and expected dividend yield. The expected term for an option grant is calculated based on the simplified method. The expected volatility is based on an average of the historical volatilities of the common stock of several entities with characteristics similar to those of the Company. The risk-free rate is based on the U.S. Treasury yield curve in effect at the time of grant for periods corresponding with the expected life of the option. The Company’s expected dividend yield input was zero as it has not historically paid, nor does it expect in the future to pay, cash dividends on its common stock.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fair value of each option granted during the periods presented was estimated on the date of grant using the Black-Scholes option-pricing model with the following weighted-average assumptions:</w:t>
      </w:r>
    </w:p>
    <w:p>
      <w:pPr>
        <w:spacing w:after="0" w:line="108"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13335</wp:posOffset>
            </wp:positionV>
            <wp:extent cx="2040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73.0%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risk-free rate of return</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000" w:type="dxa"/>
            <w:vAlign w:val="bottom"/>
          </w:tcPr>
          <w:p>
            <w:pPr>
              <w:spacing w:after="0"/>
              <w:rPr>
                <w:sz w:val="21"/>
                <w:szCs w:val="21"/>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6.80</w:t>
            </w:r>
          </w:p>
        </w:tc>
      </w:tr>
      <w:tr>
        <w:trPr>
          <w:trHeight w:val="27"/>
        </w:trPr>
        <w:tc>
          <w:tcPr>
            <w:tcW w:w="8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31, 2013, there was approximately $12.0 million of total unrecognized compensation cost related to unvested equity awards expected to be recognized over a weighted-average period of 2.6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No provision for U.S. federal or state income taxes has been made due to cumulative losses since the commencement of operations. A provision for income taxes of $182,000 and $65,000 has been recognized for the three months ended March 31, 2013 and 2012, respectively, related to the Company’s subsidiaries located outside of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ATTRIBUTABLE TO COMMON STOCKHOLDERS</w:t>
      </w:r>
    </w:p>
    <w:p>
      <w:pPr>
        <w:spacing w:after="0" w:line="17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April 2012, all of the Company’s then outstanding convertible preferred stock automatically converted into common stock in connection with its initial public offering. For periods that ended prior to the conversion, basic and diluted net income per common share were presented in conformity with the two-class method required for participating securities.</w:t>
      </w:r>
    </w:p>
    <w:p>
      <w:pPr>
        <w:spacing w:after="0" w:line="4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Under the two-class method, net loss is allocated between common shares and other participating securities to the extent that the securities are required to share in the losses. The Company’s convertible preferred stock did not meet the definition of a participating security in periods of net losses as the convertible preferred stockholders did not have a contractual obligation to share in the Company’s losses. Accordingly, net losses were attributable to common stockholders. Subsequent to the IPO and the automatic conversion of the outstanding convertible preferred stock, the Company had no other participating securities and the two-class method is no longer applicable.</w:t>
      </w:r>
    </w:p>
    <w:p>
      <w:pPr>
        <w:spacing w:after="0" w:line="53"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Basic net loss per share attributable to common stockholders is calculated by dividing net loss attributable to common stockholders by the weighted average number of shares outstanding for the period. The disproportional change in loss per share for the three months ended March 31, 2013, as compared to the same period in the prior year, is attributed to the effect of the IPO of 10.3 million shares of its common stock. In addition, the IPO also effected the automatic conversion of the Company's convertible preferred stock and convertible notes into 28.7 million shares of its common stock.</w:t>
      </w:r>
    </w:p>
    <w:p>
      <w:pPr>
        <w:spacing w:after="0" w:line="1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Diluted net loss per share attributable to common stockholders is calculated by dividing net loss attributable to common stockholders by the weighted average number of common shares and potential dilutive common share equivalents outstanding during the period if the effect is dilutive. The Company’s potentially dilutive common shares include convertible notes and convertible preferred stock prior to their conversion, outstanding stock options and warrants, shares issuable pursuant to the ESPP and non-vested restricted stock units.</w:t>
      </w:r>
    </w:p>
    <w:p>
      <w:pPr>
        <w:spacing w:after="0" w:line="5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following table presents the potential common shares outstanding that were excluded from the computation of diluted net loss per share attributable to common stockholders for the three months ended March 31, 2013 and 2012, respectively, because including them would have been anti-dilutive (in thousands):</w:t>
      </w:r>
    </w:p>
    <w:p>
      <w:pPr>
        <w:spacing w:after="0" w:line="1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gridSpan w:val="2"/>
          </w:tcPr>
          <w:p>
            <w:pPr>
              <w:ind w:left="8940"/>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to purchase common stock</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43"/>
        </w:trPr>
        <w:tc>
          <w:tcPr>
            <w:tcW w:w="928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9280" w:type="dxa"/>
            <w:vAlign w:val="bottom"/>
            <w:gridSpan w:val="2"/>
          </w:tcPr>
          <w:p>
            <w:pPr>
              <w:ind w:left="40"/>
              <w:spacing w:after="0"/>
              <w:rPr>
                <w:sz w:val="20"/>
                <w:szCs w:val="20"/>
                <w:color w:val="auto"/>
              </w:rPr>
            </w:pPr>
            <w:r>
              <w:rPr>
                <w:rFonts w:ascii="Arial" w:cs="Arial" w:eastAsia="Arial" w:hAnsi="Arial"/>
                <w:sz w:val="18"/>
                <w:szCs w:val="18"/>
                <w:color w:val="auto"/>
              </w:rPr>
              <w:t>Warrants to purchase convertible preferred stock</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25,171</w:t>
            </w:r>
          </w:p>
        </w:tc>
        <w:tc>
          <w:tcPr>
            <w:tcW w:w="0" w:type="dxa"/>
            <w:vAlign w:val="bottom"/>
          </w:tcPr>
          <w:p>
            <w:pPr>
              <w:spacing w:after="0"/>
              <w:rPr>
                <w:sz w:val="1"/>
                <w:szCs w:val="1"/>
                <w:color w:val="auto"/>
              </w:rPr>
            </w:pPr>
          </w:p>
        </w:tc>
      </w:tr>
      <w:tr>
        <w:trPr>
          <w:trHeight w:val="243"/>
        </w:trPr>
        <w:tc>
          <w:tcPr>
            <w:tcW w:w="928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8,486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35,522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11</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condensed consolidated financial statements and the other financial information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our Annual Report on Form 10-K for the year ended December 31, 2012.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3,300,000 microinverters as of March 31, 2013. Our products are certified for installation in the United States, Canada, France, the United Kingdom, Italy, the Benelux region, Switzerland, Greece and Australia.</w:t>
      </w:r>
    </w:p>
    <w:p>
      <w:pPr>
        <w:spacing w:after="0" w:line="53"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90"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We generate revenues from sales of our microinverter systems, which include microinverter units and related accessories, an Envoy communications gateway device, and our Enlighten web-based monitoring service.</w:t>
      </w:r>
    </w:p>
    <w:p>
      <w:pPr>
        <w:spacing w:after="0" w:line="62"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driven by supply and demand, sales incentives, and competitive product offerings. Our revenue growth is dependent on our ability to market our products in a manner that increases awareness for microinverter technology, the continual development and introduction of new products to meet the changing technology and performance requirements of our customers, and the expansion of our customer base.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90" w:lineRule="exact"/>
        <w:rPr>
          <w:sz w:val="20"/>
          <w:szCs w:val="20"/>
          <w:color w:val="auto"/>
        </w:rPr>
      </w:pPr>
    </w:p>
    <w:p>
      <w:pPr>
        <w:ind w:right="40" w:firstLine="446"/>
        <w:spacing w:after="0" w:line="302" w:lineRule="auto"/>
        <w:rPr>
          <w:sz w:val="20"/>
          <w:szCs w:val="20"/>
          <w:color w:val="auto"/>
        </w:rPr>
      </w:pPr>
      <w:r>
        <w:rPr>
          <w:rFonts w:ascii="Arial" w:cs="Arial" w:eastAsia="Arial" w:hAnsi="Arial"/>
          <w:sz w:val="16"/>
          <w:szCs w:val="16"/>
          <w:color w:val="auto"/>
        </w:rPr>
        <w:t>Cost of revenues is comprised primarily of product costs, warranty, purchasing and production planning personnel and related expenses, logistics costs, depreciation on manufacturing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on manufacturing test equipment, are not directly affected by sales volume.</w:t>
      </w:r>
    </w:p>
    <w:p>
      <w:pPr>
        <w:spacing w:after="0" w:line="46" w:lineRule="exact"/>
        <w:rPr>
          <w:sz w:val="20"/>
          <w:szCs w:val="20"/>
          <w:color w:val="auto"/>
        </w:rPr>
      </w:pPr>
    </w:p>
    <w:p>
      <w:pPr>
        <w:ind w:right="100" w:firstLine="446"/>
        <w:spacing w:after="0" w:line="279" w:lineRule="auto"/>
        <w:rPr>
          <w:sz w:val="20"/>
          <w:szCs w:val="20"/>
          <w:color w:val="auto"/>
        </w:rPr>
      </w:pPr>
      <w:r>
        <w:rPr>
          <w:rFonts w:ascii="Arial" w:cs="Arial" w:eastAsia="Arial" w:hAnsi="Arial"/>
          <w:sz w:val="17"/>
          <w:szCs w:val="17"/>
          <w:color w:val="auto"/>
        </w:rPr>
        <w:t>We outsource our manufacturing to third-party contract manufacturers and generally negotiate product pricing with them on a quarterly basis. In addition, a contract manufacturer also serves as our logistics provider by warehousing and delivering our products in North America and Europe.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63"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Personnel-related costs are the most significant component of each of these expense categories and include salaries, benefits,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payroll taxes, recruiting costs, sales commissions and stock-based compensation. We believe the investments we have made in our corporate infrastructure will enable us to deliver higher levels of net revenues without proportionate increases in research and development, sales and marketing, and general and administrative expenses.</w:t>
      </w:r>
    </w:p>
    <w:p>
      <w:pPr>
        <w:spacing w:after="0" w:line="73"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Research and development expense includes personnel-related expenses such as salaries,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on research and development related equipment and other indirect costs.</w:t>
      </w:r>
    </w:p>
    <w:p>
      <w:pPr>
        <w:spacing w:after="0" w:line="79"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Sales and marketing expense consists primarily of personnel-related expenses such as salaries, commissions, stock-based compensation, employee benefits and travel. It also includes trade shows, marketing, customer support and other indirect costs.</w:t>
      </w:r>
    </w:p>
    <w:p>
      <w:pPr>
        <w:spacing w:after="0" w:line="76" w:lineRule="exact"/>
        <w:rPr>
          <w:sz w:val="20"/>
          <w:szCs w:val="20"/>
          <w:color w:val="auto"/>
        </w:rPr>
      </w:pPr>
    </w:p>
    <w:p>
      <w:pPr>
        <w:ind w:right="280" w:firstLine="446"/>
        <w:spacing w:after="0" w:line="312" w:lineRule="auto"/>
        <w:rPr>
          <w:sz w:val="20"/>
          <w:szCs w:val="20"/>
          <w:color w:val="auto"/>
        </w:rPr>
      </w:pPr>
      <w:r>
        <w:rPr>
          <w:rFonts w:ascii="Arial" w:cs="Arial" w:eastAsia="Arial" w:hAnsi="Arial"/>
          <w:sz w:val="16"/>
          <w:szCs w:val="16"/>
          <w:color w:val="auto"/>
        </w:rPr>
        <w:t>General and administrative expense consists primarily of salaries,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Other income (expense), net includes interest income on invested cash balances and interest expense on amounts outstanding under our credit and convertible note facilities and non-cash interest expense related to the amortization of debt discounts and deferred financing costs. Other income (expense), net also includes mark-to-market adjustments to record our preferred stock warrants at fair value prior to our initial public offering of our common stock, or IPO, which were issued in conjunction with credit facilities, as well as losses or gains on conversion of non-U.S. dollar transactions into U.S. dollars and from foreign currency forward contracts.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We have not recorded any U.S. federal or state income tax provision for any of the periods presented because we have experienced operating losses since inception. The provision for income taxes related to our foreign operations was not material for all periods presented. Due to the history of losses we have generated since inception, we have recorded a full valuation allowance on our net deferred tax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2013 and 2012</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20" w:type="dxa"/>
            <w:vAlign w:val="bottom"/>
            <w:gridSpan w:val="3"/>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2020" w:type="dxa"/>
            <w:vAlign w:val="bottom"/>
            <w:gridSpan w:val="3"/>
          </w:tcPr>
          <w:p>
            <w:pPr>
              <w:ind w:left="66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Pr>
          <w:p>
            <w:pPr>
              <w:spacing w:after="0"/>
              <w:rPr>
                <w:sz w:val="22"/>
                <w:szCs w:val="22"/>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2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w w:val="92"/>
              </w:rPr>
              <w:t>(In thousands, except percentages)</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  45,577</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  42,600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2,977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2013 and 2012</w:t>
      </w:r>
    </w:p>
    <w:p>
      <w:pPr>
        <w:spacing w:after="0" w:line="90"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Net revenues increased by 7% for the three months ended March 31, 2013, compared to the same period in the prior year. The number of microinverter units sold increased by 8% from approximately 292,000 units in the three months ended March 31, 2012, to approximately 315,000 units in the three months ended March 31, 2013. The increase in net revenues was primarily the result of increased acceptance and market penetration of our microinverter systems.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4"/>
        </w:trPr>
        <w:tc>
          <w:tcPr>
            <w:tcW w:w="6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0" w:type="dxa"/>
            <w:vAlign w:val="bottom"/>
            <w:gridSpan w:val="5"/>
          </w:tcPr>
          <w:p>
            <w:pPr>
              <w:jc w:val="right"/>
              <w:ind w:right="479"/>
              <w:spacing w:after="0"/>
              <w:rPr>
                <w:sz w:val="20"/>
                <w:szCs w:val="20"/>
                <w:color w:val="auto"/>
              </w:rPr>
            </w:pPr>
            <w:r>
              <w:rPr>
                <w:rFonts w:ascii="Arial" w:cs="Arial" w:eastAsia="Arial" w:hAnsi="Arial"/>
                <w:sz w:val="14"/>
                <w:szCs w:val="14"/>
                <w:b w:val="1"/>
                <w:bCs w:val="1"/>
                <w:color w:val="auto"/>
                <w:w w:val="94"/>
              </w:rPr>
              <w:t>(In thousands, except percentages)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7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9"/>
              <w:spacing w:after="0"/>
              <w:rPr>
                <w:sz w:val="20"/>
                <w:szCs w:val="20"/>
                <w:color w:val="auto"/>
              </w:rPr>
            </w:pPr>
            <w:r>
              <w:rPr>
                <w:rFonts w:ascii="Arial" w:cs="Arial" w:eastAsia="Arial" w:hAnsi="Arial"/>
                <w:sz w:val="18"/>
                <w:szCs w:val="18"/>
                <w:color w:val="auto"/>
              </w:rPr>
              <w:t>33,376</w:t>
            </w:r>
          </w:p>
        </w:tc>
        <w:tc>
          <w:tcPr>
            <w:tcW w:w="42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w w:val="98"/>
              </w:rPr>
              <w:t>33,293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19"/>
              <w:spacing w:after="0"/>
              <w:rPr>
                <w:sz w:val="20"/>
                <w:szCs w:val="20"/>
                <w:color w:val="auto"/>
              </w:rPr>
            </w:pPr>
            <w:r>
              <w:rPr>
                <w:rFonts w:ascii="Arial" w:cs="Arial" w:eastAsia="Arial" w:hAnsi="Arial"/>
                <w:sz w:val="18"/>
                <w:szCs w:val="18"/>
                <w:color w:val="auto"/>
              </w:rPr>
              <w:t>83</w:t>
            </w:r>
          </w:p>
        </w:tc>
        <w:tc>
          <w:tcPr>
            <w:tcW w:w="70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12,201</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rPr>
              <w:t>2,894</w:t>
            </w:r>
          </w:p>
        </w:tc>
        <w:tc>
          <w:tcPr>
            <w:tcW w:w="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2013 and 2012</w:t>
      </w:r>
    </w:p>
    <w:p>
      <w:pPr>
        <w:spacing w:after="0" w:line="9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Cost of revenues for the three months ended March 31, 2013 remained relatively flat, as compared to the same period in the prior year, despite a $3.0 million increase in net revenues. Gross margin increased by 5 percentage points to 26.8% for the three months ended March 31, 2013, as compared to 21.8% for the same period in the prior year. The increase was primarily attributable to a 4 percentage point increase from lower inventory write-downs and a 4 percentage point increase from a larger mix of our higher-margin third generation microinverter, which has a lower per unit manufacturing cost than our second generation microinverter. These increases were partially offset by a 3 percentage point reduction to gross margin due to a net increase in warranty expense, primarily attributable to changes in estimates to warranty obligations associated with our previous generation products.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0" w:type="dxa"/>
            <w:vAlign w:val="bottom"/>
            <w:gridSpan w:val="5"/>
          </w:tcPr>
          <w:p>
            <w:pPr>
              <w:jc w:val="right"/>
              <w:ind w:right="482"/>
              <w:spacing w:after="0"/>
              <w:rPr>
                <w:sz w:val="20"/>
                <w:szCs w:val="20"/>
                <w:color w:val="auto"/>
              </w:rPr>
            </w:pPr>
            <w:r>
              <w:rPr>
                <w:rFonts w:ascii="Arial" w:cs="Arial" w:eastAsia="Arial" w:hAnsi="Arial"/>
                <w:sz w:val="14"/>
                <w:szCs w:val="14"/>
                <w:b w:val="1"/>
                <w:bCs w:val="1"/>
                <w:color w:val="auto"/>
                <w:w w:val="94"/>
              </w:rPr>
              <w:t>(In thousands, except percentages)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9,026</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7,842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rPr>
              <w:t>1,184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2013 and 2012</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increase in research and development expenses in the three months ended March 31, 2013, as compared to the same period in the prior year, was primarily attributable to a $0.8 million increase in personnel-related costs, as we increased our headcount throughout 2012 to support continued investment in our future product offerings. The remaining increase was due to depreciation on additional capital expenditures for research and development related equipment.</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0" w:type="dxa"/>
            <w:vAlign w:val="bottom"/>
            <w:gridSpan w:val="5"/>
          </w:tcPr>
          <w:p>
            <w:pPr>
              <w:jc w:val="right"/>
              <w:ind w:right="482"/>
              <w:spacing w:after="0"/>
              <w:rPr>
                <w:sz w:val="20"/>
                <w:szCs w:val="20"/>
                <w:color w:val="auto"/>
              </w:rPr>
            </w:pPr>
            <w:r>
              <w:rPr>
                <w:rFonts w:ascii="Arial" w:cs="Arial" w:eastAsia="Arial" w:hAnsi="Arial"/>
                <w:sz w:val="14"/>
                <w:szCs w:val="14"/>
                <w:b w:val="1"/>
                <w:bCs w:val="1"/>
                <w:color w:val="auto"/>
                <w:w w:val="94"/>
              </w:rPr>
              <w:t>(In thousands, except percentages)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6,850</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5,049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rPr>
              <w:t>1,801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2013 and 2012</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increase in sales and marketing expenses in the three months ended March 31, 2013, as compared to the same period in the prior year, was primarily attributable to increased staffing levels to support higher sales volumes and international expansion. Personnel-related costs increased by $1.5 million as a result of increases in sales and marketing headcount throughout 2012. The remaining increase was primarily due to expenses related to industry trade shows and increased promotional activities.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80" w:type="dxa"/>
            <w:vAlign w:val="bottom"/>
            <w:gridSpan w:val="5"/>
          </w:tcPr>
          <w:p>
            <w:pPr>
              <w:jc w:val="right"/>
              <w:ind w:right="462"/>
              <w:spacing w:after="0"/>
              <w:rPr>
                <w:sz w:val="20"/>
                <w:szCs w:val="20"/>
                <w:color w:val="auto"/>
              </w:rPr>
            </w:pPr>
            <w:r>
              <w:rPr>
                <w:rFonts w:ascii="Arial" w:cs="Arial" w:eastAsia="Arial" w:hAnsi="Arial"/>
                <w:sz w:val="14"/>
                <w:szCs w:val="14"/>
                <w:b w:val="1"/>
                <w:bCs w:val="1"/>
                <w:color w:val="auto"/>
                <w:w w:val="94"/>
              </w:rPr>
              <w:t>(In thousands, except percentages)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6,036</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5,696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rPr>
              <w:t>340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8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2013 and 2012</w:t>
      </w:r>
    </w:p>
    <w:p>
      <w:pPr>
        <w:spacing w:after="0" w:line="14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increase in general and administrative expenses in the three months ended March 31, 2013, as compared to the same period in the prior year, was primarily attributable to a $0.4 million increase in facility-related costs resulting from higher rent and leasehold improvement amortization expense for our new headquarters. Also contributing to this increase were $0.3 million in personnel-related costs and $0.3 million in miscellaneous taxes, insurance and other fees. This increase was offset by a $0.7 million reduction in professional services expenses related to our non-recurring infrastructure build-out in the first quarter of 2012 in anticipation of operating as a public company.</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Pr>
          <w:p>
            <w:pPr>
              <w:spacing w:after="0"/>
              <w:rPr>
                <w:sz w:val="14"/>
                <w:szCs w:val="14"/>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(513)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326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2013 and 2012</w:t>
      </w:r>
    </w:p>
    <w:p>
      <w:pPr>
        <w:spacing w:after="0" w:line="9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decrease in other expense, net in the three months ended March 31, 2013, as compared to the same period in the prior year, was primarily attributable to a $1.0 million decrease in interest expense as a result of lower average debt outstanding and amortization of deferred financing costs and debt discount. This decrease was partially offset by a $0.6 million gain recorded in the three months ended March 31, 2012 to adjust the fair value of our preferred stock warrant liability, which was reclassified to stockholders' equity at its then fair value upon our IPO in April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Prior to our IPO, we funded our operations primarily through private placements of convertible preferred stock and convertible notes, and proceeds from term loans. In April 2012, we completed our IPO, in which we issued and sold 10,315,151 shares and received net proceeds of approximately $53.8 million.</w:t>
      </w:r>
    </w:p>
    <w:p>
      <w:pPr>
        <w:spacing w:after="0" w:line="10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Our primary uses of cash are operating costs, working capital needs, capital expenditures and debt service requirements. Our future capital requirements are affected by many factors, including our rate of revenue growth; the expansion of our sales and marketing activities; the timing and extent of spending to support product development efforts; and the timing of introductions of new products and enhancements to existing products.</w:t>
      </w:r>
    </w:p>
    <w:p>
      <w:pPr>
        <w:spacing w:after="0" w:line="3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As of March 31, 2013, we had $36.4 million in cash and cash equivalents, which are held primarily in bank deposits and money market accounts, and $55.1 million in working capital. We believe our current cash and cash equivalents, together with borrowings available under our Revolver and the Hercules Facility (as described below) will be adequate to fund our debt obligations as well as our planned capital expenditures and operations over the next 12 months. If additional sources of liquidity are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(6,972)</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(1,682)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7"/>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Historically, we have experienced negative operating cash flows as we have invested significant resources to develop new product offerings and focused on critical research and development activities required to reduce product costs, increase performance and foster innovation. In addition, uses of cash included expansion of our operations into new product markets and geographies and build our operational infrastructure to support the growth of our business.</w:t>
      </w:r>
    </w:p>
    <w:p>
      <w:pPr>
        <w:spacing w:after="0" w:line="52" w:lineRule="exact"/>
        <w:rPr>
          <w:sz w:val="20"/>
          <w:szCs w:val="20"/>
          <w:color w:val="auto"/>
        </w:rPr>
      </w:pPr>
    </w:p>
    <w:p>
      <w:pPr>
        <w:ind w:right="600" w:firstLine="432"/>
        <w:spacing w:after="0" w:line="334" w:lineRule="auto"/>
        <w:rPr>
          <w:sz w:val="20"/>
          <w:szCs w:val="20"/>
          <w:color w:val="auto"/>
        </w:rPr>
      </w:pPr>
      <w:r>
        <w:rPr>
          <w:rFonts w:ascii="Arial" w:cs="Arial" w:eastAsia="Arial" w:hAnsi="Arial"/>
          <w:sz w:val="16"/>
          <w:szCs w:val="16"/>
          <w:color w:val="auto"/>
        </w:rPr>
        <w:t>For the three months ended March 31, 2013, net cash used in operating activities of $7.0 million was primarily attributable to a net loss of $10.4 million, which was offset by non-cash charges of $1.7 million in depreciation and amortization, and $1.4 million in stock-based compensation.</w:t>
      </w:r>
    </w:p>
    <w:p>
      <w:pPr>
        <w:spacing w:after="0" w:line="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impact on operating cash flow from net changes in operating assets and liabilities was not material. Sources of cash totaled $3.8 million resulting from a $2.8 million decrease in accounts receivable and a $1.0 million increase in deferred revenues. The decrease in accounts receivable was primarily due to a lower sales volume in the seasonally soft first quarter of 2013 as compared to the fourth quarter of 2012. The increase in deferred revenues relates to sales of our Enlighten web-based monitoring service. Uses of cash included a $2.5 million increase in inventory purchases and a $0.4 million increase in prepaid expenses and other assets. In addition, a decrease in accounts payable, accrued and other liabilities due to timing of vendor payments used cash of $0.8 million.</w:t>
      </w:r>
    </w:p>
    <w:p>
      <w:pPr>
        <w:spacing w:after="0" w:line="5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For the three months ended March 31, 2012, net cash used in operating activities was $14.1 million primarily resulting from a net loss of $10.2 million, which was partially offset by non-cash charges of $1.1 million related to depreciation and amortization, non-cash interest expense of $0.9 million related to the amortization of debt issuance costs and discounts and stock-based compensation expense of $0.7 million. The net change in working capital items was primarily a result of a $14.4 million increase in inventory, $0.9 million increase in prepaid expenses and other assets and a $6.2 million decrease in deferred revenues. The net decrease in working capital items was offset by a $11.2 million increase in accounts payable, accrued and other liabilities, and a $4.3 million decrease in accounts receivable.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 expenditures have generally been comprised of purchases of test equipment, leasehold improvements and furniture and fixtures.</w:t>
      </w:r>
    </w:p>
    <w:p>
      <w:pPr>
        <w:spacing w:after="0" w:line="90"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For the three months ended March 31, 2013, net cash used in investing activities was $1.7 million, primarily as a result of purchases of test and assembly equipment .</w:t>
      </w:r>
    </w:p>
    <w:p>
      <w:pPr>
        <w:spacing w:after="0" w:line="3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For the three months ended March 31, 2012, net cash used in investing activities was $4.6 million, primarily as a result of purchases of test equipment and expenditures on leasehold improvements and furniture and fixtures for our new headquarters.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90" w:lineRule="exact"/>
        <w:rPr>
          <w:sz w:val="20"/>
          <w:szCs w:val="20"/>
          <w:color w:val="auto"/>
        </w:rPr>
      </w:pPr>
    </w:p>
    <w:p>
      <w:pPr>
        <w:ind w:right="400" w:firstLine="432"/>
        <w:spacing w:after="0" w:line="334" w:lineRule="auto"/>
        <w:rPr>
          <w:sz w:val="20"/>
          <w:szCs w:val="20"/>
          <w:color w:val="auto"/>
        </w:rPr>
      </w:pPr>
      <w:r>
        <w:rPr>
          <w:rFonts w:ascii="Arial" w:cs="Arial" w:eastAsia="Arial" w:hAnsi="Arial"/>
          <w:sz w:val="16"/>
          <w:szCs w:val="16"/>
          <w:color w:val="auto"/>
        </w:rPr>
        <w:t>For the three months ended March 31, 2013, net cash used in financing activities was approximately zero and consisted of $0.6 million in principal repayments of term loans, offset by proceeds of $0.6 million received from common stock issuances pursuant to our equity incentive plans.</w:t>
      </w:r>
    </w:p>
    <w:p>
      <w:pPr>
        <w:spacing w:after="0" w:line="1"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For the three months ended March 31, 2012, net cash used in financing activities primarily consisted of $3.3 million in principal repayments of term loans offset by $2.6 million in borrowings from term loans and $0.3 million in payments for direct costs incurred in connection with our IPO.</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Agreements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of March 31, 2013, we were a party to three debt agreements: (i) the $50.0 million revolving credit facility ("the Revolver") with Wells Fargo Bank, N.A., (ii) the facility with Hercules Technology Growth Capital, Inc. (“Hercules Facility”) consisting of a $7.4 million initial term loan and lending commitments of up to $15.6 million in additional term loans, and (iii) the $5.0 million equipment financing facility, also with Hercules. As of March 31, 2013, we have not drawn upon the Revolver or additional term loans available under the Hercules Facility. Each of these debt agreements is described in greater detail in our consolidated financial statements and related notes included in our Annual Report on Form 10-K for the year ended December 31, 2012. At March 31, 2013, we were in compliance with all debt covenants.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contractual obligations as of March 31, 2013 have not materially changed from the amounts set forth in our Annual Report on Form 10-K for the year ended December 31,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25" w:right="31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9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12" w:lineRule="exact"/>
        <w:rPr>
          <w:sz w:val="20"/>
          <w:szCs w:val="20"/>
          <w:color w:val="auto"/>
        </w:rPr>
      </w:pPr>
    </w:p>
    <w:p>
      <w:pPr>
        <w:jc w:val="both"/>
        <w:ind w:right="720" w:firstLine="432"/>
        <w:spacing w:after="0" w:line="342" w:lineRule="auto"/>
        <w:rPr>
          <w:sz w:val="20"/>
          <w:szCs w:val="20"/>
          <w:color w:val="auto"/>
        </w:rPr>
      </w:pPr>
      <w:r>
        <w:rPr>
          <w:rFonts w:ascii="Arial" w:cs="Arial" w:eastAsia="Arial" w:hAnsi="Arial"/>
          <w:sz w:val="16"/>
          <w:szCs w:val="16"/>
          <w:color w:val="auto"/>
        </w:rPr>
        <w:t>We consider an accounting policy to be critical if it is important to our financial condition and results of operations, and if it entails significant judgment, subjectivity and complexity on the part of management in its application. We consider the following to be our critical accounting policies:</w:t>
      </w:r>
    </w:p>
    <w:p>
      <w:pPr>
        <w:spacing w:after="0" w:line="16"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valuation;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Warranty obligations.</w:t>
      </w:r>
    </w:p>
    <w:p>
      <w:pPr>
        <w:spacing w:after="0" w:line="171"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For a complete description of our critical accounting policies that involve our more significant judgments and estimates used in the preparation of our condensed consolidated financial statements, please refer to our Annual Report on Form 10-K for the year ended December 31, 2012 under “Management’s Discussion and Analysis of Financial Condition and Results of Operations—Critical Accounting Policies and Significant Management Estimates.”</w:t>
      </w: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relating to transactions that are denominated in Euros, British Pound Sterling and New Zealand Dollar. These payables and receivables primarily arise from sales to customers and intercompany transactions. We also face currency exposure that arises from translating the results of our European and New Zealand operations, including sales and marketing and research and development expenses, to the U.S. dollar at exchange rates that have fluctuated from the beginning of a reporting period.</w:t>
      </w:r>
    </w:p>
    <w:p>
      <w:pPr>
        <w:spacing w:after="0" w:line="4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utilize foreign currency forward contracts to reduce the impact of foreign currency fluctuations related to anticipated cash receipts from expected future revenues denominated in Euros and intercompany transaction gains or losses.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condensed consolidated balance sheets, and gains and losses resulting from changes in the fair value are reported in other income (expense), net, in the accompanying condensed consolidated statements of operations.</w:t>
      </w:r>
    </w:p>
    <w:p>
      <w:pPr>
        <w:spacing w:after="0" w:line="58"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As of March 31, 2013 and December 31, 2012, the aggregate gross notional amounts of outstanding foreign currency forward contracts denominated in Euros, all with maturities of less than six months, were $7.5 million and $6.1 million, respectively.</w:t>
      </w:r>
    </w:p>
    <w:p>
      <w:pPr>
        <w:spacing w:after="0" w:line="3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foreign currency exchange rate risk associated with our forward contracts is limited as the exposure is substantially offset by exchange rate changes of the underlying hedged amounts. The potential losses from an immediate hypothetical 10% adverse movement in the exchange rate between the U.S. Dollar and the Euro on the fair values of our outstanding foreign currency forward contracts at March 31, 2013 would not have a material effect on our financial position, results of operations or cash flows.</w:t>
      </w:r>
    </w:p>
    <w:p>
      <w:pPr>
        <w:spacing w:after="0" w:line="2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March 31, 2013. The term “disclosure controls and procedures,” as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March 31, 2013, our chief executive officer and chief financial officer concluded that, as of such date, our disclosure controls and procedures were effective at the reasonable assurance level.</w:t>
      </w:r>
    </w:p>
    <w:p>
      <w:pPr>
        <w:spacing w:after="0" w:line="23"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360"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right="100" w:firstLine="446"/>
        <w:spacing w:after="0" w:line="312"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38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In assessing these risks, you should also refer to the other information contained in this Quarterly Report on Form 10-Q, including our condensed consolidated financial statements and related notes.</w:t>
      </w:r>
    </w:p>
    <w:p>
      <w:pPr>
        <w:spacing w:after="0" w:line="10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Form 10-K for the year ended December 31,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have incurred net losses in each quarter since inception, and we may continue to incur additional net losses in the future. We incurred net losses of $10.4 million for the three months ended March 31, 2013. As of March 31, 2013, we had an accumulated deficit of $137.4 million.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have been in existence since 2006 and did not begin shipping our products in commercial quantities until mid-2008. Much of our growth has occurred in recent periods. Our limited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17"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1"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Further, our efforts to achieve broader market acceptance for our microinverter systems and to expand beyond our existing markets may never succeed, which would adversely impact our ability to generate additional revenue or become profitable.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71"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7"/>
          <w:szCs w:val="17"/>
          <w:i w:val="1"/>
          <w:iCs w:val="1"/>
          <w:color w:val="auto"/>
        </w:rPr>
        <w:t>,</w:t>
      </w:r>
      <w:r>
        <w:rPr>
          <w:rFonts w:ascii="Arial" w:cs="Arial" w:eastAsia="Arial" w:hAnsi="Arial"/>
          <w:sz w:val="17"/>
          <w:szCs w:val="17"/>
          <w:color w:val="auto"/>
        </w:rPr>
        <w:t xml:space="preserve"> and we cannot be certain that consumers and businesses will adopt solar PV systems as an alternative energy source at levels sufficient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03"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101" w:lineRule="exact"/>
        <w:rPr>
          <w:rFonts w:ascii="Arial" w:cs="Arial" w:eastAsia="Arial" w:hAnsi="Arial"/>
          <w:sz w:val="17"/>
          <w:szCs w:val="17"/>
          <w:color w:val="auto"/>
        </w:rPr>
      </w:pPr>
    </w:p>
    <w:p>
      <w:pPr>
        <w:ind w:left="980" w:right="44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prices of traditional carbon-based energy sources;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1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3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Short-term demand and supply imbalances, especially for solar module technology, recently have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35"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3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amended by governments due to changing market circumstances or changes to national, state or local energy policy.</w:t>
      </w:r>
    </w:p>
    <w:p>
      <w:pPr>
        <w:spacing w:after="0" w:line="5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To date, we have generated substantially all of our revenues from North America and expect to generate a substantial amount of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 Creation Act of 2008 provides a 30% federal tax credit for residential and commercial solar installations, which expire on December 31, 2016.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We believe the Tax and Grant Program have had a positive effect on our sales since inception. However, unless the Tax Credit program is further extended, the eventual phase-out of this program could adversely affect sales of our products in the future.</w:t>
      </w:r>
    </w:p>
    <w:p>
      <w:pPr>
        <w:spacing w:after="0" w:line="47"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California is the largest single solar market in the United States, based on analysis from SEIA data and GTM Research, and a significant portion of our revenues are generated in California.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rebates and performance-based incentives which decrease in intervals as installation thresholds are met. The “Go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Solar California” program is scheduled to expire on December 31, 2016, but the pace of installations has been high and the program is likely to conclude sooner.</w:t>
      </w:r>
    </w:p>
    <w:p>
      <w:pPr>
        <w:spacing w:after="0" w:line="4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also sell our products in Ontario, Canada. The Ontario Power Authority Green Energy and Green Economy Act of 2009 created two separate FiT programs for projects greater than 10kW and for projects less than 10kW. These FiT programs provide participants with a fixed price for electricity produced over a 20-year contract term. Both programs were recently suspended while they underwent a review. The program for projects less than 10kW was re-opened to new applications in July 2012 with a procurement target of 50 MW. The program for projects between 10kW and 500kW was re-opened for new applications between December 14, 2012 and January 18, 2013 with a procurement target of 200 MW. Any further procurement will occur at the direction of the Government of Ontario. Furthermore,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43"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In the fourth quarter of 2011, we began selling our products in France, Italy and the Benelux region. During the second quarter of 2012, we opened a sales office in the United Kingdom and began selling our products there at the beginning of the third quarter. A number of European countries, including Germany, Italy, Belgium and the United Kingdom, have adopted reductions to their FiTs, and Spain announced a suspension of its FiT for new renewable energy projects in January 2012. Certain countries, notably Greece and Spain, have proposed or enacted taxes levied on renewable energy. These and related developments have significantly impacted the solar industry in Europe and may adversely affect the future demand for the solar energy solutions in Europe. The reductions in European tariffs and subsidies and other requirements or incentives, including local content requirements or incentives may negatively affect our business, financial condition and results of operations as we seek to do increased business in Europe.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2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could result in decreased demand for and lower revenue from solar PV systems, which would adversely affect sales of our products. In addition, our ability to successfully penetrate new geographic markets may depend on new countries adopting and maintaining incentives to promote solar electricity, to the extent such incentives are not currently in place.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threat of continuing global economic, capital markets and credit disruptions, including sovereign debt issues, pose risks for our business.</w:t>
      </w:r>
    </w:p>
    <w:p>
      <w:pPr>
        <w:spacing w:after="0" w:line="19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may adversely impact our business, financial condition and results of operations as we seek to do increased business in Europe.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broader market acceptance, which would prevent us from increasing our revenue and market share.</w:t>
      </w:r>
    </w:p>
    <w:p>
      <w:pPr>
        <w:spacing w:after="0" w:line="194"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If we fail to achieve broad market acceptance of our products, there would be an adverse impact on our ability to increase our revenue, gain market share and achieve and sustain profitability. Our ability to achieve broad market acceptance for our products will be impacted by a number of factors, including:</w:t>
      </w:r>
    </w:p>
    <w:p>
      <w:pPr>
        <w:spacing w:after="0" w:line="46"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90" w:lineRule="exact"/>
        <w:rPr>
          <w:rFonts w:ascii="Arial" w:cs="Arial" w:eastAsia="Arial" w:hAnsi="Arial"/>
          <w:sz w:val="18"/>
          <w:szCs w:val="18"/>
          <w:color w:val="auto"/>
        </w:rPr>
      </w:pPr>
    </w:p>
    <w:p>
      <w:pPr>
        <w:ind w:left="980" w:right="42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35" w:lineRule="exact"/>
        <w:rPr>
          <w:rFonts w:ascii="Arial" w:cs="Arial" w:eastAsia="Arial" w:hAnsi="Arial"/>
          <w:sz w:val="18"/>
          <w:szCs w:val="18"/>
          <w:color w:val="auto"/>
        </w:rPr>
      </w:pPr>
    </w:p>
    <w:p>
      <w:pPr>
        <w:ind w:left="980" w:right="38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be willing to purchase microinverter systems from us given our limited operating history;</w:t>
      </w:r>
    </w:p>
    <w:p>
      <w:pPr>
        <w:spacing w:after="0" w:line="35" w:lineRule="exact"/>
        <w:rPr>
          <w:rFonts w:ascii="Arial" w:cs="Arial" w:eastAsia="Arial" w:hAnsi="Arial"/>
          <w:sz w:val="18"/>
          <w:szCs w:val="18"/>
          <w:color w:val="auto"/>
        </w:rPr>
      </w:pPr>
    </w:p>
    <w:p>
      <w:pPr>
        <w:ind w:left="980" w:right="28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980" w:right="680" w:hanging="48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produce microinverter systems that compete favorably against other solutions on the basis of price, quality, reliability and performance;</w:t>
      </w:r>
    </w:p>
    <w:p>
      <w:pPr>
        <w:spacing w:after="0" w:line="35"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0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inverters. These installers often have made substantial investments in design, installation resources and training in traditional central inverter systems, which may create challenges for us to achieve their adoption of our microinverter systems.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35"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discounts and rebates; ability to reduce and control product costs;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warranty costs and reserves;</w:t>
      </w:r>
    </w:p>
    <w:p>
      <w:pPr>
        <w:spacing w:after="0" w:line="9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reductions on older generation products to sell remaining inventory;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older products over time;</w:t>
      </w:r>
    </w:p>
    <w:p>
      <w:pPr>
        <w:spacing w:after="0" w:line="101" w:lineRule="exact"/>
        <w:rPr>
          <w:rFonts w:ascii="Arial" w:cs="Arial" w:eastAsia="Arial" w:hAnsi="Arial"/>
          <w:sz w:val="17"/>
          <w:szCs w:val="17"/>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To date, we have competed primarily against central inverter manufacturers and until recently have faced little direct competition in selling our microinverter systems. Marketing and selling our microinverter systems against traditional inverter solutions is highly competitive and we expect competition to intensify as new and existing competitors enter the microinverter market. We believe that a number of companies have developed or are developing microinverters and other products that will compete directly with our microinverter systems. SMA Solar Technology AG, Power-One Inc. and SunPower Corp., leading inverter vendors serving the residential and commercial inverter markets, have recently introduced or announced plans to introduce microinverter products in 2013. In addition, several new entrants to the microinverter market have recently announced plans to ship or have already shipped products, including some of our OEM customers and partners.</w:t>
      </w:r>
    </w:p>
    <w:p>
      <w:pPr>
        <w:spacing w:after="0" w:line="1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Currently, competitors in the inverter market range from large companies such as SMA Solar Technology AG, Fronius International GmbH and Power-One Inc. to emerging companies offering alternative microinverter or other solar electronics products. Some of our competitors have announced plans to introduce microinverter products that could compete with our microinverter systems. Several of our existing and potential competitors are significantly larger, have greater financial, marketing, distribution, customer support and other resources, are more established than we are, and have significantly better brand recognition.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2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also may face competition from some of our customers who evaluate our capabilities against the merits of manufacturing products internally. For instance, solar module manufacturers could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may purchase fewer of our microinverter systems or sell products that compete with our microinverters systems, which would negatively impact our revenue and gross profit.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90" w:lineRule="exact"/>
        <w:rPr>
          <w:sz w:val="20"/>
          <w:szCs w:val="20"/>
          <w:color w:val="auto"/>
        </w:rPr>
      </w:pPr>
    </w:p>
    <w:p>
      <w:pPr>
        <w:jc w:val="both"/>
        <w:ind w:right="180" w:firstLine="432"/>
        <w:spacing w:after="0" w:line="334"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1"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171"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currently offer microinverter systems targeting the residential and commercial markets in the U.S., Canada, France, Italy, the United Kingdom, the Benelux region, certain other select European markets and Australia.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52"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20" w:firstLine="432"/>
        <w:spacing w:after="0" w:line="334"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 w:lineRule="exact"/>
        <w:rPr>
          <w:sz w:val="20"/>
          <w:szCs w:val="20"/>
          <w:color w:val="auto"/>
        </w:rPr>
      </w:pPr>
    </w:p>
    <w:p>
      <w:pPr>
        <w:ind w:left="980" w:right="80" w:hanging="486"/>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and consumer protection regulations, tariffs, export quotas, customs duties or other trade restrictions;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0"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90"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3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may harm our business, financial condition and results of operations.</w:t>
      </w:r>
    </w:p>
    <w:p>
      <w:pPr>
        <w:spacing w:after="0" w:line="35" w:lineRule="exact"/>
        <w:rPr>
          <w:sz w:val="20"/>
          <w:szCs w:val="20"/>
          <w:color w:val="auto"/>
        </w:rPr>
      </w:pPr>
    </w:p>
    <w:p>
      <w:pPr>
        <w:ind w:right="140" w:firstLine="432"/>
        <w:spacing w:after="0" w:line="287" w:lineRule="auto"/>
        <w:rPr>
          <w:sz w:val="20"/>
          <w:szCs w:val="20"/>
          <w:color w:val="auto"/>
        </w:rPr>
      </w:pPr>
      <w:r>
        <w:rPr>
          <w:rFonts w:ascii="Arial" w:cs="Arial" w:eastAsia="Arial" w:hAnsi="Arial"/>
          <w:sz w:val="16"/>
          <w:szCs w:val="16"/>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could allow these competitors or their partners to offer electricity at costs lower than those that can be achieved from solar PV installations based on our product platform, which could result in reduced demand for our products. If the cost of electricity generated by solar PV installations incorporating our microinverter systems is high relative to the cost of electricity from other sources, our business, financial condition and results of operations may be harmed.</w:t>
      </w:r>
    </w:p>
    <w:p>
      <w:pPr>
        <w:spacing w:after="0" w:line="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our third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5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Because of the limited operating history of our products, we have been required to make assumptions and apply judgments, based on our accelerated life cycle testing, regarding a number of factors, including the durability and reliability of our products and our anticipated rate of warranty claims. Our assumptions could prove to be materially different from the actual performance of our products, causing us to incur substantial expense to repair or replace defective products in the future. An increase in our estimates of future warranty obligations due to product failure rates, field service obligations and rework costs incurred in correcting product failures have caused and could in the future cause us to increase the amount of warranty obligations and have had and may have in the future a corresponding negative impact on our results of operations.</w:t>
      </w:r>
    </w:p>
    <w:p>
      <w:pPr>
        <w:spacing w:after="0" w:line="43"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1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2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8" w:lineRule="exact"/>
        <w:rPr>
          <w:sz w:val="20"/>
          <w:szCs w:val="20"/>
          <w:color w:val="auto"/>
        </w:rPr>
      </w:pPr>
    </w:p>
    <w:p>
      <w:pPr>
        <w:jc w:val="both"/>
        <w:ind w:right="460" w:firstLine="432"/>
        <w:spacing w:after="0" w:line="286"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1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3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16"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3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1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are currently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could result in lost revenue or higher expenses and would harm our business.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16"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3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1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installations on favorable terms, or increases in interest rates or changes in tax incentives, could lower an investor's return on investment in a solar PV installation,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3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primarily on distributors to assist in selling our products, and the failure of these distributors to perform as expected could reduce our future revenue.</w:t>
      </w:r>
    </w:p>
    <w:p>
      <w:pPr>
        <w:spacing w:after="0" w:line="11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sell our microinverter systems primarily through distributors, as well as through direct sales to solar equipment installers and sales to developers of third party solar finance offerings. For the three months ended March 31, 2013, sales to two distributors, each accounting for more than 10% of our total net revenues, collectively accounted for 25% of our total net revenues. In 2012, sales to two distributors, each accounting for more than 10% of our net revenues, collectively accounted for 27% of our total net revenues. We do not have exclusive arrangements with these third parties and, as a result, many of our distributors also market and sell products from our competitors, which may reduce our sales. Our distributors may terminate their relationships with us at any time, or with short notice. Our distributors may fail to devote resources necessary to sell our products at the prices, in the volumes and within the time frames that we expect, or may focus their marketing and sales efforts on products of our competitors. Our future performance depends on our ability to effectively manage our relationships with our existing distributors, as well as to attract additional distributors that will be able to market and support our products effectively, especially in markets in which we have not previously distributed our products. Termination of agreements with current distributors, failure by these distributors to perform as expected, or failure by us to cultivate new distributor relationships, could hinder our ability to expand our operations and harm our revenue and operating results.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are currently working on a variant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1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13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1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32" w:lineRule="exact"/>
        <w:rPr>
          <w:sz w:val="20"/>
          <w:szCs w:val="20"/>
          <w:color w:val="auto"/>
        </w:rPr>
      </w:pPr>
    </w:p>
    <w:p>
      <w:pPr>
        <w:ind w:left="980" w:right="6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90"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customers pursuant to indemnification obligations under some of our customer contracts; or expend significant resources to redesign the products that use the infringing technology and to develop or acquire non-infringing technology.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7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7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7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84"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31"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We have been and could continue to be subject to industry-specific seasonal fluctuations in the future, particularly in climates that experience colder weather during the winter months, such as northern Europe, Canada, and the United States. In general, we expect our product revenue in the third and fourth quarters to be positively affected by seasonal customer demand trends, including solar economic incentives, weather patterns and construction cycles.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3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Covenants in our credit facilities may limit our flexibility in responding to business opportunities and competitive developments and increase our vulnerability to adverse economic or industry conditions.</w:t>
      </w:r>
    </w:p>
    <w:p>
      <w:pPr>
        <w:spacing w:after="0" w:line="7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have lending arrangements with several financial institutions, including loan and security agreements with Wells Fargo Bank, National Association (“Wells Fargo”) and with Hercules Technology Growth Capital, Inc. (“Hercules”). The loan and security agreements with Wells Fargo and with Hercules restrict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while our agreement with Hercules includes a condition precedent to borrowing that is subject to us achieving certain financial objectives. These restrictions may limit our flexibility in responding to business opportunities, competitive developments and adverse economic or industry conditions. In addition, our obligations under our loan and security agreements with Wells Fargo and Hercules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62"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8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beginning with our Annual Report on Form 10-K for the year ending December 31, 2013. In addition, our independent registered public accounting firm is required to evaluate and report on our internal control over financial reporting beginning with our first Annual Report on 10-K for the year in which we cease to be an “emerging growth company,” as defined in the Jumpstart Our Business Startups Act enacted in April 2012, or the JOBS Act. The process of implementing our internal controls and complying with Section 404 will be expensive and time 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 discover a material weakness, the disclosure of that fact, even if quickly remedied, could reduce the market's confidence in our financial statements and harm our stock price. In addition, a delay in compliance with Section 404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1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Sections 382 and 383 of the Internal Revenue Code of 1986, as amended, contain rules that limit the ability of a company that undergoes an ownership change, which is generally any cumulative change in ownership of more than 50% of its stock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As a result, we may be unable to offset our taxable income with net operating losses, or our tax liability with credits, before these losses and credits expire.</w:t>
      </w:r>
    </w:p>
    <w:p>
      <w:pPr>
        <w:spacing w:after="0" w:line="8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may strain our resources and divert management's attention from other aspects of our business.</w:t>
      </w:r>
    </w:p>
    <w:p>
      <w:pPr>
        <w:spacing w:after="0" w:line="14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subject to a wide variety of rules and regulations as a public reporting company. The Dodd-Frank Wall Street Reform and Consumer Protection Act, or the Dodd-Frank Act, the Sarbanes-Oxley Act and the rules implemented by the SEC and the NASDAQ Global Market impose significant regulatory requirements on public companies, including specific corporate governance practices. For example, the listing requirements of the NASDAQ Global Market require that we satisfy certain corporate governance requirements relating to independent directors, audit and compensation committees, distribution of annual and interim reports, stockholder meetings, stockholder approvals, solicitation of proxies, conflicts of interest, stockholder voting rights and codes of conduct. Our management and other personnel are required to devote a substantial amount of time to these compliance initiatives. Moreover, these rules and regulations increase our legal and financial compliance costs and make some activities more time-consuming and costly. As a public company, being subject to these rules and regulations makes it more difficult and more expensive for us to obtain director and officer liability insurance, and in the future, we may be required to accept reduced policy limits and coverage or incur substantial additional costs to maintain the same or similar coverage. These rules and regulations could also make it more difficult for us to attract and retain qualified persons to serve on our board of directors, our board committees or as executive officers.</w:t>
      </w:r>
    </w:p>
    <w:p>
      <w:pPr>
        <w:spacing w:after="0" w:line="7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These rules and regulations also contain requirements that apply to manufacturers of products incorporating specified minerals. The Dodd-Frank Act requires public companies to report on their use of so-called conflict minerals originating from the Democratic Republic of Congo or its nine immediate neighbors. Certain minerals commonly used in semiconductors are on the list of conflict minerals, and additional minerals may be added to the list in the future. Compliance with these rules, which will require us to disclose our use of these minerals and to obtain an annual audit of our sourcing and the chain of custody of these minerals, will be time-consuming and costly.</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1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46"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90"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web-based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adversely affected.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Changes in current or future laws or regulations or the imposition of new laws or regulations, or new interpretations thereof, by federal or state agencies or foreign governments could impair our ability to compete in international markets.</w:t>
      </w:r>
    </w:p>
    <w:p>
      <w:pPr>
        <w:spacing w:after="0" w:line="11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Changes in current laws or regulations applicable to us or the imposition of new laws and regulations in the United States or other jurisdictions in which we do business, such as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1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For example, the Italian energy authority (AEEG) recently enacted a new set of interconnection standards for solar energy installations, which took effect in July 2012. We are currently developing a solution to meet these requirements. However, in the event that we cannot implement our intended solution in the near term the total market available for our microinverter products in Italy, and our business as a result, may be adversely impacted.</w:t>
      </w:r>
    </w:p>
    <w:p>
      <w:pPr>
        <w:spacing w:after="0" w:line="9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While we are not aware of any other current or proposed export or import regulations which would materially restrict our ability to sell our products in countries such as Canada, France, Italy, the United Kingdom, the Benelux region or China,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market price of our common stock has been and could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18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46"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90" w:lineRule="exact"/>
        <w:rPr>
          <w:rFonts w:ascii="Arial" w:cs="Arial" w:eastAsia="Arial" w:hAnsi="Arial"/>
          <w:sz w:val="18"/>
          <w:szCs w:val="18"/>
          <w:color w:val="auto"/>
        </w:rPr>
      </w:pPr>
    </w:p>
    <w:p>
      <w:pPr>
        <w:ind w:left="980" w:right="78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90" w:lineRule="exact"/>
        <w:rPr>
          <w:rFonts w:ascii="Arial" w:cs="Arial" w:eastAsia="Arial" w:hAnsi="Arial"/>
          <w:sz w:val="18"/>
          <w:szCs w:val="18"/>
          <w:color w:val="auto"/>
        </w:rPr>
      </w:pPr>
    </w:p>
    <w:p>
      <w:pPr>
        <w:ind w:left="980" w:right="14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101" w:lineRule="exact"/>
        <w:rPr>
          <w:rFonts w:ascii="Arial" w:cs="Arial" w:eastAsia="Arial" w:hAnsi="Arial"/>
          <w:sz w:val="17"/>
          <w:szCs w:val="17"/>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90"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forecast our customer demand, manufacturing requirements and manage our inventory;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6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principal stockholders, executive officers and directors own a significant percentage of our stock, and they may take actions that our stockholders may not view as beneficial.</w:t>
      </w:r>
    </w:p>
    <w:p>
      <w:pPr>
        <w:spacing w:after="0" w:line="62" w:lineRule="exact"/>
        <w:rPr>
          <w:sz w:val="20"/>
          <w:szCs w:val="20"/>
          <w:color w:val="auto"/>
        </w:rPr>
      </w:pPr>
    </w:p>
    <w:p>
      <w:pPr>
        <w:ind w:right="280" w:firstLine="432"/>
        <w:spacing w:after="0" w:line="271" w:lineRule="auto"/>
        <w:rPr>
          <w:sz w:val="20"/>
          <w:szCs w:val="20"/>
          <w:color w:val="auto"/>
        </w:rPr>
      </w:pPr>
      <w:r>
        <w:rPr>
          <w:rFonts w:ascii="Arial" w:cs="Arial" w:eastAsia="Arial" w:hAnsi="Arial"/>
          <w:sz w:val="17"/>
          <w:szCs w:val="17"/>
          <w:color w:val="auto"/>
        </w:rPr>
        <w:t>As of April 30, 2013, our executive officers, directors, greater than 5% stockholders and entities that are affiliated with them, beneficially owned approximately 47% of our outstanding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94"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As of April 30, 2013, we had approximately 41.6 million shares of common stock outstanding, all of which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0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agreements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1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46" w:lineRule="exact"/>
        <w:rPr>
          <w:sz w:val="20"/>
          <w:szCs w:val="20"/>
          <w:color w:val="auto"/>
        </w:rPr>
      </w:pPr>
    </w:p>
    <w:p>
      <w:pPr>
        <w:ind w:left="980" w:right="60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directory candidates;</w:t>
      </w:r>
    </w:p>
    <w:p>
      <w:pPr>
        <w:spacing w:after="0" w:line="101"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35" w:lineRule="exact"/>
        <w:rPr>
          <w:rFonts w:ascii="Arial" w:cs="Arial" w:eastAsia="Arial" w:hAnsi="Arial"/>
          <w:sz w:val="18"/>
          <w:szCs w:val="18"/>
          <w:color w:val="auto"/>
        </w:rPr>
      </w:pPr>
    </w:p>
    <w:p>
      <w:pPr>
        <w:ind w:left="980" w:right="90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35" w:lineRule="exact"/>
        <w:rPr>
          <w:rFonts w:ascii="Arial" w:cs="Arial" w:eastAsia="Arial" w:hAnsi="Arial"/>
          <w:sz w:val="18"/>
          <w:szCs w:val="18"/>
          <w:color w:val="auto"/>
        </w:rPr>
      </w:pPr>
    </w:p>
    <w:p>
      <w:pPr>
        <w:ind w:left="980" w:hanging="486"/>
        <w:spacing w:after="0" w:line="25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53"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46"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2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90" w:lineRule="exact"/>
        <w:rPr>
          <w:sz w:val="20"/>
          <w:szCs w:val="20"/>
          <w:color w:val="auto"/>
        </w:rPr>
      </w:pPr>
    </w:p>
    <w:p>
      <w:pPr>
        <w:jc w:val="both"/>
        <w:ind w:firstLine="446"/>
        <w:spacing w:after="0" w:line="285" w:lineRule="auto"/>
        <w:rPr>
          <w:sz w:val="20"/>
          <w:szCs w:val="20"/>
          <w:color w:val="auto"/>
        </w:rPr>
      </w:pPr>
      <w:r>
        <w:rPr>
          <w:rFonts w:ascii="Arial" w:cs="Arial" w:eastAsia="Arial" w:hAnsi="Arial"/>
          <w:sz w:val="16"/>
          <w:szCs w:val="16"/>
          <w:color w:val="auto"/>
        </w:rPr>
        <w:t>On March 29, 2012, our registration statements on Form S-1 (Registration Nos. 333-174925 and 333-180467) were declared effective by the SEC for our initial public offering, pursuant to which we registered 10,315,151 shares of common stock to be sold by us. The stock was offered at $6.00 per share. Our common stock commenced trading on March 30, 2012. The offering closed on April 4, 2012 after the sale of all 10,315,151 shares registered, including 1,345,454 shares sold pursuant to the over-allotment option granted by the Company to the underwriters. As a result, we received net proceeds of approximately $53.8 million, after underwriters' discounts of approximately $3.3 million and other direct offering expenses of $4.8 million. Morgan Stanley</w:t>
      </w:r>
    </w:p>
    <w:p>
      <w:pPr>
        <w:spacing w:after="0" w:line="2" w:lineRule="exact"/>
        <w:rPr>
          <w:sz w:val="20"/>
          <w:szCs w:val="20"/>
          <w:color w:val="auto"/>
        </w:rPr>
      </w:pPr>
    </w:p>
    <w:p>
      <w:pPr>
        <w:jc w:val="both"/>
        <w:ind w:firstLine="8"/>
        <w:spacing w:after="0" w:line="302" w:lineRule="auto"/>
        <w:tabs>
          <w:tab w:leader="none" w:pos="197"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 LLC, Merrill Lynch, Pierce, Fenner &amp; Smith Incorporated and Deutsche Bank Securities Inc. acted as joint book-running managers for the offering. Jefferies &amp; Company, Inc. acted as joint lead manager, and Lazard Capital Markets LLC and ThinkEquity LLC acted as co-managers. No offering expenses were paid directly or indirectly to our directors, officers or their associates, or to persons owning 10% or more of any of our equity securities.</w:t>
      </w:r>
    </w:p>
    <w:p>
      <w:pPr>
        <w:spacing w:after="0" w:line="20"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There has been no material change in the use of proceeds from our initial public offering as described in our final prospectus filed with the SEC pursuant to Rule 424(b).</w:t>
      </w:r>
    </w:p>
    <w:p>
      <w:pPr>
        <w:spacing w:after="0" w:line="28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Exhibit Index which follows the signature page of this Quarterly Report on Form 10-Q, which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May 8, 2013</w:t>
      </w:r>
    </w:p>
    <w:p>
      <w:pPr>
        <w:spacing w:after="0" w:line="35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189"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8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40" w:type="dxa"/>
            <w:vAlign w:val="bottom"/>
          </w:tcPr>
          <w:p>
            <w:pPr>
              <w:spacing w:after="0"/>
              <w:rPr>
                <w:sz w:val="24"/>
                <w:szCs w:val="24"/>
                <w:color w:val="auto"/>
              </w:rPr>
            </w:pPr>
          </w:p>
        </w:tc>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740" w:type="dxa"/>
            <w:vAlign w:val="bottom"/>
          </w:tcPr>
          <w:p>
            <w:pPr>
              <w:spacing w:after="0"/>
              <w:rPr>
                <w:sz w:val="13"/>
                <w:szCs w:val="13"/>
                <w:color w:val="auto"/>
              </w:rPr>
            </w:pPr>
          </w:p>
        </w:tc>
        <w:tc>
          <w:tcPr>
            <w:tcW w:w="5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w w:val="91"/>
              </w:rPr>
              <w:t>2010 Amended and Restated Investors’ Rights Agreement by and between Enphase Energy, Inc. and the investors listed on Exhibit A</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thereto, dated March 15, 2010, as amended.</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w w:val="92"/>
              </w:rPr>
              <w:t>Warrant to Purchase Shares of Series Preferred Stock, between the Company and Compass Horizon Funding Company LLC, dated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March 11, 2010.</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w w:val="93"/>
              </w:rPr>
              <w:t>Warrant to Purchase Shares of Series Preferred Stock, between the Company and Horizon Technology Finance Corporation, dated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March 25, 2011.</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w w:val="89"/>
              </w:rPr>
              <w:t>Warrant Agreement to Purchase Shares of Preferred Stock, between the Company and Hercules Technology Growth Capital, Inc., dated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September 13, 2011.</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w w:val="90"/>
              </w:rPr>
              <w:t>Form of September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w w:val="90"/>
              </w:rPr>
              <w:t>Form of November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93"/>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Non-employee Director Compensation Policy.+</w:t>
            </w:r>
          </w:p>
        </w:tc>
        <w:tc>
          <w:tcPr>
            <w:tcW w:w="0" w:type="dxa"/>
            <w:vAlign w:val="bottom"/>
          </w:tcPr>
          <w:p>
            <w:pPr>
              <w:spacing w:after="0"/>
              <w:rPr>
                <w:sz w:val="1"/>
                <w:szCs w:val="1"/>
                <w:color w:val="auto"/>
              </w:rPr>
            </w:pPr>
          </w:p>
        </w:tc>
      </w:tr>
      <w:tr>
        <w:trPr>
          <w:trHeight w:val="490"/>
        </w:trPr>
        <w:tc>
          <w:tcPr>
            <w:tcW w:w="500" w:type="dxa"/>
            <w:vAlign w:val="bottom"/>
          </w:tcPr>
          <w:p>
            <w:pPr>
              <w:spacing w:after="0"/>
              <w:rPr>
                <w:sz w:val="20"/>
                <w:szCs w:val="20"/>
                <w:color w:val="auto"/>
              </w:rPr>
            </w:pPr>
            <w:r>
              <w:rPr>
                <w:rFonts w:ascii="Arial" w:cs="Arial" w:eastAsia="Arial" w:hAnsi="Arial"/>
                <w:sz w:val="18"/>
                <w:szCs w:val="18"/>
                <w:color w:val="auto"/>
              </w:rPr>
              <w:t>10.49</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2013 Performance Bonus Program Summary.</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93"/>
        </w:trPr>
        <w:tc>
          <w:tcPr>
            <w:tcW w:w="500" w:type="dxa"/>
            <w:vAlign w:val="bottom"/>
          </w:tcPr>
          <w:p>
            <w:pPr>
              <w:spacing w:after="0"/>
              <w:rPr>
                <w:sz w:val="20"/>
                <w:szCs w:val="20"/>
                <w:color w:val="auto"/>
              </w:rPr>
            </w:pPr>
            <w:r>
              <w:rPr>
                <w:rFonts w:ascii="Arial" w:cs="Arial" w:eastAsia="Arial" w:hAnsi="Arial"/>
                <w:sz w:val="18"/>
                <w:szCs w:val="18"/>
                <w:color w:val="auto"/>
              </w:rPr>
              <w:t>10.50</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Severance and Change in Control Benefits Plan. +</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Executive Officer pursuant to Rule 13a-14(a)/15d-14(a).</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Financial Officer pursuant to Rule 13a-14(a)/15d-14(a).</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w w:val="97"/>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ind w:left="1300" w:hanging="482"/>
        <w:spacing w:after="0" w:line="258"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1" w:lineRule="exact"/>
        <w:rPr>
          <w:rFonts w:ascii="Arial" w:cs="Arial" w:eastAsia="Arial" w:hAnsi="Arial"/>
          <w:sz w:val="18"/>
          <w:szCs w:val="18"/>
          <w:color w:val="auto"/>
        </w:rPr>
      </w:pPr>
    </w:p>
    <w:p>
      <w:pPr>
        <w:ind w:left="1300" w:hanging="482"/>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ind w:left="1300" w:hanging="482"/>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as the like-numbered exhibit to the Registration Statement on Form S-1/A (File No. 333-174925), and incorporated herein by reference.</w:t>
      </w:r>
    </w:p>
    <w:p>
      <w:pPr>
        <w:ind w:left="1300" w:hanging="48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as Exhibit 10.1 to the Current Report on Form 8-K (File No. 001-35480), filed with the Securities and Exchange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on January 29, 2013, and incorporated by reference herein.</w:t>
      </w:r>
    </w:p>
    <w:p>
      <w:pPr>
        <w:spacing w:after="0" w:line="9" w:lineRule="exact"/>
        <w:rPr>
          <w:sz w:val="20"/>
          <w:szCs w:val="20"/>
          <w:color w:val="auto"/>
        </w:rPr>
      </w:pPr>
    </w:p>
    <w:p>
      <w:pPr>
        <w:ind w:left="1300" w:hanging="48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9" w:lineRule="exact"/>
        <w:rPr>
          <w:sz w:val="20"/>
          <w:szCs w:val="20"/>
          <w:color w:val="auto"/>
        </w:rPr>
      </w:pPr>
    </w:p>
    <w:p>
      <w:pPr>
        <w:jc w:val="both"/>
        <w:ind w:left="1300" w:hanging="482"/>
        <w:spacing w:after="0" w:line="25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left="1300" w:hanging="482"/>
        <w:spacing w:after="0" w:line="270"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applicable securities laws and regulations, Enphase Energy, Inc. is deemed to have complied with the reporting obligation relating to the submission of interactive data files in such exhibits and are not subject to liability under any anti-fraud provisions of the federal securities laws as long as Enphase Energy, Inc. has made a good faith attempt to comply with the submission requirements and promptly amend the interactive data files after becoming aware that the interactive data files fail to comply with the submission requirements. In accordance with Rule 406T of Regulation S-T, the information in these exhibits is furnished and deemed not filed or a part of a registration statement or prospectus for purposes of Sections 11 or 12 of the Securities Act of 1933, as amended, is deemed not filed for purposes of Section 18 of the Exchange Act of 1934, as amended, and otherwise is not subject to liability under these sections and shall not be incorporated by reference into any registration statement or other document filed under the Securities Act of 1933, as amended, except as expressly set forth by specific reference in such filing.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10.28</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Enphase Energy,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March 29, 2012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(including changes approved on March 6, 2013 and May 2, 2013)</w:t>
      </w:r>
    </w:p>
    <w:p>
      <w:pPr>
        <w:spacing w:after="0" w:line="242"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Each member of the Board of Directors (the “Board”) who is not also serving as an employee of Enphase Energy, Inc. (“Enphase”) or any of its subsidiaries (each such member, a “Director”) will receive the following compensation for his or her Board service following the closing of the initial public offering of Enphase’s common stock (the “IPO”):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Compensation</w:t>
      </w:r>
    </w:p>
    <w:p>
      <w:pPr>
        <w:spacing w:after="0" w:line="266" w:lineRule="exact"/>
        <w:rPr>
          <w:sz w:val="20"/>
          <w:szCs w:val="20"/>
          <w:color w:val="auto"/>
        </w:rPr>
      </w:pPr>
    </w:p>
    <w:p>
      <w:pPr>
        <w:ind w:right="100"/>
        <w:spacing w:after="0" w:line="294" w:lineRule="auto"/>
        <w:rPr>
          <w:sz w:val="20"/>
          <w:szCs w:val="20"/>
          <w:color w:val="auto"/>
        </w:rPr>
      </w:pPr>
      <w:r>
        <w:rPr>
          <w:rFonts w:ascii="Arial" w:cs="Arial" w:eastAsia="Arial" w:hAnsi="Arial"/>
          <w:sz w:val="19"/>
          <w:szCs w:val="19"/>
          <w:color w:val="auto"/>
        </w:rPr>
        <w:t>The annual cash compensation amount set forth below is payable in equal quarterly installments, payable in arrears on the last day of each fiscal quarter in which the service occurred. The meeting fees set forth below are payable on the last day of each fiscal quarter in which the service occurred. If a Director joins the Board or a committee at a time other than effective as of the first day of a fiscal quarter, each annual retainer set forth below will be pro-rated based on days served in the applicable fiscal year, with the pro-rated amount paid for the first fiscal quarter in which the Director provides the service, and regular full quarterly payments thereafter. All annual cash fees are vested upon payment; meeting fees are vested upon the date of the meeting.</w:t>
      </w:r>
    </w:p>
    <w:p>
      <w:pPr>
        <w:spacing w:after="0" w:line="190"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Effective as of January 1, 2013, the Compensation Committee of the Board approved the elimination of cash compensation for directors affiliated with venture capital funds who are investors in the Company.</w:t>
      </w:r>
    </w:p>
    <w:p>
      <w:pPr>
        <w:spacing w:after="0" w:line="215" w:lineRule="exact"/>
        <w:rPr>
          <w:sz w:val="20"/>
          <w:szCs w:val="20"/>
          <w:color w:val="auto"/>
        </w:rPr>
      </w:pPr>
    </w:p>
    <w:p>
      <w:pPr>
        <w:ind w:left="660" w:right="8000" w:hanging="652"/>
        <w:spacing w:after="0" w:line="343" w:lineRule="auto"/>
        <w:tabs>
          <w:tab w:leader="none" w:pos="66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Annual Board Service Retainer</w:t>
      </w:r>
      <w:r>
        <w:rPr>
          <w:rFonts w:ascii="Arial" w:cs="Arial" w:eastAsia="Arial" w:hAnsi="Arial"/>
          <w:sz w:val="19"/>
          <w:szCs w:val="19"/>
          <w:color w:val="auto"/>
        </w:rPr>
        <w:t>: a. All Directors: $35,000</w:t>
      </w:r>
    </w:p>
    <w:p>
      <w:pPr>
        <w:spacing w:after="0" w:line="145" w:lineRule="exact"/>
        <w:rPr>
          <w:sz w:val="20"/>
          <w:szCs w:val="20"/>
          <w:color w:val="auto"/>
        </w:rPr>
      </w:pPr>
    </w:p>
    <w:p>
      <w:pPr>
        <w:spacing w:after="0"/>
        <w:tabs>
          <w:tab w:leader="none" w:pos="640" w:val="left"/>
          <w:tab w:leader="none" w:pos="798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u w:val="single" w:color="auto"/>
          <w:color w:val="auto"/>
        </w:rPr>
        <w:t>Annual Committee Chair Retainer (assumes five (5) meetings for each committee</w:t>
      </w:r>
      <w:r>
        <w:rPr>
          <w:sz w:val="20"/>
          <w:szCs w:val="20"/>
          <w:color w:val="auto"/>
        </w:rPr>
        <w:tab/>
      </w:r>
      <w:r>
        <w:rPr>
          <w:rFonts w:ascii="Arial" w:cs="Arial" w:eastAsia="Arial" w:hAnsi="Arial"/>
          <w:sz w:val="19"/>
          <w:szCs w:val="19"/>
          <w:u w:val="single" w:color="auto"/>
          <w:color w:val="auto"/>
        </w:rPr>
        <w:t>each fiscal year)</w:t>
      </w:r>
      <w:r>
        <w:rPr>
          <w:rFonts w:ascii="Arial" w:cs="Arial" w:eastAsia="Arial" w:hAnsi="Arial"/>
          <w:sz w:val="19"/>
          <w:szCs w:val="19"/>
          <w:color w:val="auto"/>
        </w:rPr>
        <w:t>:</w:t>
      </w:r>
    </w:p>
    <w:p>
      <w:pPr>
        <w:spacing w:after="0" w:line="22" w:lineRule="exact"/>
        <w:rPr>
          <w:sz w:val="20"/>
          <w:szCs w:val="20"/>
          <w:color w:val="auto"/>
        </w:rPr>
      </w:pPr>
    </w:p>
    <w:p>
      <w:pPr>
        <w:ind w:left="1020" w:hanging="364"/>
        <w:spacing w:after="0"/>
        <w:tabs>
          <w:tab w:leader="none" w:pos="10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Chairman of the Audit Committee: $18,000</w:t>
      </w:r>
    </w:p>
    <w:p>
      <w:pPr>
        <w:spacing w:after="0" w:line="3" w:lineRule="exact"/>
        <w:rPr>
          <w:rFonts w:ascii="Arial" w:cs="Arial" w:eastAsia="Arial" w:hAnsi="Arial"/>
          <w:sz w:val="22"/>
          <w:szCs w:val="22"/>
          <w:color w:val="auto"/>
        </w:rPr>
      </w:pPr>
    </w:p>
    <w:p>
      <w:pPr>
        <w:ind w:left="1040" w:hanging="384"/>
        <w:spacing w:after="0"/>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Chairman of the Compensation Committee: $12,000</w:t>
      </w:r>
    </w:p>
    <w:p>
      <w:pPr>
        <w:spacing w:after="0" w:line="3" w:lineRule="exact"/>
        <w:rPr>
          <w:rFonts w:ascii="Arial" w:cs="Arial" w:eastAsia="Arial" w:hAnsi="Arial"/>
          <w:sz w:val="22"/>
          <w:szCs w:val="22"/>
          <w:color w:val="auto"/>
        </w:rPr>
      </w:pPr>
    </w:p>
    <w:p>
      <w:pPr>
        <w:ind w:left="1020" w:hanging="364"/>
        <w:spacing w:after="0"/>
        <w:tabs>
          <w:tab w:leader="none" w:pos="10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Chairman of the Nominating &amp; Corporate Governance Committee: $8,000</w:t>
      </w:r>
    </w:p>
    <w:p>
      <w:pPr>
        <w:spacing w:after="0" w:line="242" w:lineRule="exact"/>
        <w:rPr>
          <w:sz w:val="20"/>
          <w:szCs w:val="20"/>
          <w:color w:val="auto"/>
        </w:rPr>
      </w:pPr>
    </w:p>
    <w:p>
      <w:pPr>
        <w:spacing w:after="0"/>
        <w:tabs>
          <w:tab w:leader="none" w:pos="360" w:val="left"/>
          <w:tab w:leader="none" w:pos="80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u w:val="single" w:color="auto"/>
          <w:color w:val="auto"/>
        </w:rPr>
        <w:t>Annual Committee Member (non-Chair) Retainer (assumes five (5) meetings for each</w:t>
      </w:r>
      <w:r>
        <w:rPr>
          <w:sz w:val="20"/>
          <w:szCs w:val="20"/>
          <w:color w:val="auto"/>
        </w:rPr>
        <w:tab/>
      </w:r>
      <w:r>
        <w:rPr>
          <w:rFonts w:ascii="Arial" w:cs="Arial" w:eastAsia="Arial" w:hAnsi="Arial"/>
          <w:sz w:val="19"/>
          <w:szCs w:val="19"/>
          <w:u w:val="single" w:color="auto"/>
          <w:color w:val="auto"/>
        </w:rPr>
        <w:t>committee each fiscal year)</w:t>
      </w:r>
      <w:r>
        <w:rPr>
          <w:rFonts w:ascii="Arial" w:cs="Arial" w:eastAsia="Arial" w:hAnsi="Arial"/>
          <w:sz w:val="19"/>
          <w:szCs w:val="19"/>
          <w:color w:val="auto"/>
        </w:rPr>
        <w:t>:</w:t>
      </w:r>
    </w:p>
    <w:p>
      <w:pPr>
        <w:spacing w:after="0" w:line="22" w:lineRule="exact"/>
        <w:rPr>
          <w:sz w:val="20"/>
          <w:szCs w:val="20"/>
          <w:color w:val="auto"/>
        </w:rPr>
      </w:pPr>
    </w:p>
    <w:p>
      <w:pPr>
        <w:ind w:left="1020" w:hanging="364"/>
        <w:spacing w:after="0"/>
        <w:tabs>
          <w:tab w:leader="none" w:pos="102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Audit Committee: $8,000</w:t>
      </w:r>
    </w:p>
    <w:p>
      <w:pPr>
        <w:spacing w:after="0" w:line="3" w:lineRule="exact"/>
        <w:rPr>
          <w:rFonts w:ascii="Arial" w:cs="Arial" w:eastAsia="Arial" w:hAnsi="Arial"/>
          <w:sz w:val="22"/>
          <w:szCs w:val="22"/>
          <w:color w:val="auto"/>
        </w:rPr>
      </w:pPr>
    </w:p>
    <w:p>
      <w:pPr>
        <w:ind w:left="1040" w:hanging="384"/>
        <w:spacing w:after="0"/>
        <w:tabs>
          <w:tab w:leader="none" w:pos="10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Compensation Committee: $6,000</w:t>
      </w:r>
    </w:p>
    <w:p>
      <w:pPr>
        <w:spacing w:after="0" w:line="3" w:lineRule="exact"/>
        <w:rPr>
          <w:rFonts w:ascii="Arial" w:cs="Arial" w:eastAsia="Arial" w:hAnsi="Arial"/>
          <w:sz w:val="22"/>
          <w:szCs w:val="22"/>
          <w:color w:val="auto"/>
        </w:rPr>
      </w:pPr>
    </w:p>
    <w:p>
      <w:pPr>
        <w:ind w:left="1020" w:hanging="364"/>
        <w:spacing w:after="0"/>
        <w:tabs>
          <w:tab w:leader="none" w:pos="1020" w:val="left"/>
        </w:tabs>
        <w:numPr>
          <w:ilvl w:val="1"/>
          <w:numId w:val="27"/>
        </w:numPr>
        <w:rPr>
          <w:rFonts w:ascii="Arial" w:cs="Arial" w:eastAsia="Arial" w:hAnsi="Arial"/>
          <w:sz w:val="22"/>
          <w:szCs w:val="22"/>
          <w:color w:val="auto"/>
        </w:rPr>
      </w:pPr>
      <w:r>
        <w:rPr>
          <w:rFonts w:ascii="Arial" w:cs="Arial" w:eastAsia="Arial" w:hAnsi="Arial"/>
          <w:sz w:val="22"/>
          <w:szCs w:val="22"/>
          <w:color w:val="auto"/>
        </w:rPr>
        <w:t>Nominating &amp; Corporate Governance Committee: $3,000</w:t>
      </w:r>
    </w:p>
    <w:p>
      <w:pPr>
        <w:spacing w:after="0" w:line="242" w:lineRule="exact"/>
        <w:rPr>
          <w:rFonts w:ascii="Arial" w:cs="Arial" w:eastAsia="Arial" w:hAnsi="Arial"/>
          <w:sz w:val="22"/>
          <w:szCs w:val="22"/>
          <w:color w:val="auto"/>
        </w:rPr>
      </w:pPr>
    </w:p>
    <w:p>
      <w:pPr>
        <w:ind w:left="380" w:hanging="372"/>
        <w:spacing w:after="0"/>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Meeting Fees</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1300" w:hanging="644"/>
        <w:spacing w:after="0"/>
        <w:tabs>
          <w:tab w:leader="none" w:pos="13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Meeting fee for Committee Chair member:</w:t>
      </w:r>
    </w:p>
    <w:p>
      <w:pPr>
        <w:spacing w:after="0" w:line="3" w:lineRule="exact"/>
        <w:rPr>
          <w:rFonts w:ascii="Arial" w:cs="Arial" w:eastAsia="Arial" w:hAnsi="Arial"/>
          <w:sz w:val="22"/>
          <w:szCs w:val="22"/>
          <w:color w:val="auto"/>
        </w:rPr>
      </w:pPr>
    </w:p>
    <w:p>
      <w:pPr>
        <w:ind w:left="1960" w:hanging="331"/>
        <w:spacing w:after="0"/>
        <w:tabs>
          <w:tab w:leader="none" w:pos="1960" w:val="left"/>
        </w:tabs>
        <w:numPr>
          <w:ilvl w:val="2"/>
          <w:numId w:val="28"/>
        </w:numPr>
        <w:rPr>
          <w:rFonts w:ascii="Arial" w:cs="Arial" w:eastAsia="Arial" w:hAnsi="Arial"/>
          <w:sz w:val="22"/>
          <w:szCs w:val="22"/>
          <w:color w:val="auto"/>
        </w:rPr>
      </w:pPr>
      <w:r>
        <w:rPr>
          <w:rFonts w:ascii="Arial" w:cs="Arial" w:eastAsia="Arial" w:hAnsi="Arial"/>
          <w:sz w:val="22"/>
          <w:szCs w:val="22"/>
          <w:color w:val="auto"/>
        </w:rPr>
        <w:t>$1,500 per regular meeting beyond five (5) meetings in a fiscal year</w:t>
      </w:r>
    </w:p>
    <w:p>
      <w:pPr>
        <w:spacing w:after="0" w:line="3" w:lineRule="exact"/>
        <w:rPr>
          <w:rFonts w:ascii="Arial" w:cs="Arial" w:eastAsia="Arial" w:hAnsi="Arial"/>
          <w:sz w:val="22"/>
          <w:szCs w:val="22"/>
          <w:color w:val="auto"/>
        </w:rPr>
      </w:pPr>
    </w:p>
    <w:p>
      <w:pPr>
        <w:ind w:left="4220"/>
        <w:spacing w:after="0"/>
        <w:rPr>
          <w:rFonts w:ascii="Arial" w:cs="Arial" w:eastAsia="Arial" w:hAnsi="Arial"/>
          <w:sz w:val="22"/>
          <w:szCs w:val="22"/>
          <w:color w:val="auto"/>
        </w:rPr>
      </w:pPr>
      <w:r>
        <w:rPr>
          <w:rFonts w:ascii="Arial" w:cs="Arial" w:eastAsia="Arial" w:hAnsi="Arial"/>
          <w:sz w:val="22"/>
          <w:szCs w:val="22"/>
          <w:color w:val="auto"/>
        </w:rPr>
        <w:t>b.  Meeting fee for Committee Member (non-Chair):</w:t>
      </w:r>
    </w:p>
    <w:p>
      <w:pPr>
        <w:spacing w:after="0" w:line="3" w:lineRule="exact"/>
        <w:rPr>
          <w:rFonts w:ascii="Arial" w:cs="Arial" w:eastAsia="Arial" w:hAnsi="Arial"/>
          <w:sz w:val="22"/>
          <w:szCs w:val="22"/>
          <w:color w:val="auto"/>
        </w:rPr>
      </w:pPr>
    </w:p>
    <w:p>
      <w:pPr>
        <w:ind w:left="1960" w:hanging="331"/>
        <w:spacing w:after="0"/>
        <w:tabs>
          <w:tab w:leader="none" w:pos="1960" w:val="left"/>
        </w:tabs>
        <w:numPr>
          <w:ilvl w:val="2"/>
          <w:numId w:val="28"/>
        </w:numPr>
        <w:rPr>
          <w:rFonts w:ascii="Arial" w:cs="Arial" w:eastAsia="Arial" w:hAnsi="Arial"/>
          <w:sz w:val="22"/>
          <w:szCs w:val="22"/>
          <w:b w:val="1"/>
          <w:bCs w:val="1"/>
          <w:color w:val="auto"/>
        </w:rPr>
      </w:pPr>
      <w:r>
        <w:rPr>
          <w:rFonts w:ascii="Arial" w:cs="Arial" w:eastAsia="Arial" w:hAnsi="Arial"/>
          <w:sz w:val="22"/>
          <w:szCs w:val="22"/>
          <w:color w:val="auto"/>
        </w:rPr>
        <w:t>$1,000 per regular meeting beyond five (5) meetings in a fiscal year</w:t>
      </w:r>
    </w:p>
    <w:p>
      <w:pPr>
        <w:spacing w:after="0" w:line="242" w:lineRule="exact"/>
        <w:rPr>
          <w:rFonts w:ascii="Arial" w:cs="Arial" w:eastAsia="Arial" w:hAnsi="Arial"/>
          <w:sz w:val="22"/>
          <w:szCs w:val="22"/>
          <w:b w:val="1"/>
          <w:bCs w:val="1"/>
          <w:color w:val="auto"/>
        </w:rPr>
      </w:pPr>
    </w:p>
    <w:p>
      <w:pPr>
        <w:ind w:left="660" w:hanging="652"/>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Annual Lead Independent Director Retainer</w:t>
      </w:r>
      <w:r>
        <w:rPr>
          <w:rFonts w:ascii="Arial" w:cs="Arial" w:eastAsia="Arial" w:hAnsi="Arial"/>
          <w:sz w:val="22"/>
          <w:szCs w:val="22"/>
          <w:color w:val="auto"/>
        </w:rPr>
        <w:t>: $20,000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w:t>
      </w:r>
    </w:p>
    <w:p>
      <w:pPr>
        <w:spacing w:after="0" w:line="266" w:lineRule="exact"/>
        <w:rPr>
          <w:sz w:val="20"/>
          <w:szCs w:val="20"/>
          <w:color w:val="auto"/>
        </w:rPr>
      </w:pPr>
    </w:p>
    <w:p>
      <w:pPr>
        <w:ind w:right="180"/>
        <w:spacing w:after="0" w:line="302" w:lineRule="auto"/>
        <w:rPr>
          <w:sz w:val="20"/>
          <w:szCs w:val="20"/>
          <w:color w:val="auto"/>
        </w:rPr>
      </w:pPr>
      <w:r>
        <w:rPr>
          <w:rFonts w:ascii="Arial" w:cs="Arial" w:eastAsia="Arial" w:hAnsi="Arial"/>
          <w:sz w:val="19"/>
          <w:szCs w:val="19"/>
          <w:color w:val="auto"/>
        </w:rPr>
        <w:t>The equity compensation set forth below will be granted under the Enphase 2011 Equity Incentive Plan (the “Plan”). All stock options granted under this policy will be non-statutory stock options, with an exercise price per share equal to 100% of the Fair Market Value (as defined in the Plan) of the underlying Enphase common stock on the date of grant, and a term of seven (7) years from the date of grant (subject to earlier termination in connection with a termination of service as provided in the Plan).</w:t>
      </w:r>
    </w:p>
    <w:p>
      <w:pPr>
        <w:spacing w:after="0" w:line="183" w:lineRule="exact"/>
        <w:rPr>
          <w:sz w:val="20"/>
          <w:szCs w:val="20"/>
          <w:color w:val="auto"/>
        </w:rPr>
      </w:pPr>
    </w:p>
    <w:p>
      <w:pPr>
        <w:ind w:right="220" w:firstLine="8"/>
        <w:spacing w:after="0" w:line="260" w:lineRule="auto"/>
        <w:tabs>
          <w:tab w:leader="none" w:pos="378"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Initial Grant</w:t>
      </w:r>
      <w:r>
        <w:rPr>
          <w:rFonts w:ascii="Arial" w:cs="Arial" w:eastAsia="Arial" w:hAnsi="Arial"/>
          <w:sz w:val="21"/>
          <w:szCs w:val="21"/>
          <w:color w:val="auto"/>
        </w:rPr>
        <w:t>: On the date of the Director’s initial election to the Board (or, if such date is not a market trading day, the first market trading day thereafter), the Director will be automatically, and without further action by the Board, granted a stock option for a number of shares with a target fair value of $120,000, rounded down for any partial share. Such option will vest in four (4) equal annual installments from the grant date, such that the option is fully vested on the fourth anniversary of the date of grant, subject to the Director’s Continuous Service (as defined in the Plan). A Director who, in the one year prior to his or her initial election to serve on the Board as a non-employee director, served as an employee of Enphase or one of its subsidiaries will not be eligible for an initial grant.</w:t>
      </w:r>
    </w:p>
    <w:p>
      <w:pPr>
        <w:spacing w:after="0" w:line="221" w:lineRule="exact"/>
        <w:rPr>
          <w:rFonts w:ascii="Arial" w:cs="Arial" w:eastAsia="Arial" w:hAnsi="Arial"/>
          <w:sz w:val="21"/>
          <w:szCs w:val="21"/>
          <w:color w:val="auto"/>
        </w:rPr>
      </w:pPr>
    </w:p>
    <w:p>
      <w:pPr>
        <w:ind w:right="40" w:firstLine="8"/>
        <w:spacing w:after="0" w:line="312" w:lineRule="auto"/>
        <w:tabs>
          <w:tab w:leader="none" w:pos="37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Annual Grant</w:t>
      </w:r>
      <w:r>
        <w:rPr>
          <w:rFonts w:ascii="Arial" w:cs="Arial" w:eastAsia="Arial" w:hAnsi="Arial"/>
          <w:sz w:val="19"/>
          <w:szCs w:val="19"/>
          <w:color w:val="auto"/>
        </w:rPr>
        <w:t>: On the date of each Enphase annual stockholder meeting held after the effective date of the IPO, each Director will be automatically, and without further action by the Board, granted a stock option for a number of shares with a target fair value equal to $75,000, rounded down for any partial share. Such option will vest in twelve (12) equal monthly installments from the</w:t>
      </w:r>
    </w:p>
    <w:p>
      <w:pPr>
        <w:sectPr>
          <w:pgSz w:w="11900" w:h="16838" w:orient="portrait"/>
          <w:cols w:equalWidth="0" w:num="1">
            <w:col w:w="11420"/>
          </w:cols>
          <w:pgMar w:left="240" w:top="297" w:right="239" w:bottom="0" w:gutter="0" w:footer="0" w:header="0"/>
        </w:sectPr>
      </w:pPr>
    </w:p>
    <w:bookmarkStart w:id="41" w:name="page42"/>
    <w:bookmarkEnd w:id="41"/>
    <w:p>
      <w:pPr>
        <w:ind w:right="20"/>
        <w:spacing w:after="0" w:line="263" w:lineRule="auto"/>
        <w:rPr>
          <w:sz w:val="20"/>
          <w:szCs w:val="20"/>
          <w:color w:val="auto"/>
        </w:rPr>
      </w:pPr>
      <w:r>
        <w:rPr>
          <w:rFonts w:ascii="Arial" w:cs="Arial" w:eastAsia="Arial" w:hAnsi="Arial"/>
          <w:sz w:val="22"/>
          <w:szCs w:val="22"/>
          <w:color w:val="auto"/>
        </w:rPr>
        <w:t>grant date, such that the option is fully vested on the one-year anniversary of the date of grant, subject to the Director’s Continuous Service (as defined in the Plan).</w:t>
      </w:r>
    </w:p>
    <w:p>
      <w:pPr>
        <w:spacing w:after="0" w:line="215" w:lineRule="exact"/>
        <w:rPr>
          <w:sz w:val="20"/>
          <w:szCs w:val="20"/>
          <w:color w:val="auto"/>
        </w:rPr>
      </w:pPr>
    </w:p>
    <w:p>
      <w:pPr>
        <w:ind w:firstLine="8"/>
        <w:spacing w:after="0" w:line="297" w:lineRule="auto"/>
        <w:tabs>
          <w:tab w:leader="none" w:pos="378"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Annual Grant to Lead Independent Director</w:t>
      </w:r>
      <w:r>
        <w:rPr>
          <w:rFonts w:ascii="Arial" w:cs="Arial" w:eastAsia="Arial" w:hAnsi="Arial"/>
          <w:sz w:val="19"/>
          <w:szCs w:val="19"/>
          <w:color w:val="auto"/>
        </w:rPr>
        <w:t>: On the date of each Enphase annual stockholder meeting held after the effective date of the IPO, the Lead Independent Director will be automatically, and without further action by the Board, granted a stock option for a number of shares with a target fair value equal to $20,000, rounded down for any partial share. Such option will vest in twelve (12) equal monthly installments from the grant date, such that the option is fully vested on the one-year anniversary of the date of grant, subject to the Director’s Continuous Service (as defined in the Plan).</w:t>
      </w:r>
    </w:p>
    <w:p>
      <w:pPr>
        <w:spacing w:after="0" w:line="200" w:lineRule="exact"/>
        <w:rPr>
          <w:sz w:val="20"/>
          <w:szCs w:val="20"/>
          <w:color w:val="auto"/>
        </w:rPr>
      </w:pPr>
    </w:p>
    <w:p>
      <w:pPr>
        <w:spacing w:after="0" w:line="244"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Target fair value for the above stock option grants will be calculated using a Black Scholes model and based on a 30 calendar day trading average (ending the day before the grant date).</w:t>
      </w:r>
    </w:p>
    <w:p>
      <w:pPr>
        <w:spacing w:after="0" w:line="377" w:lineRule="exact"/>
        <w:rPr>
          <w:sz w:val="20"/>
          <w:szCs w:val="20"/>
          <w:color w:val="auto"/>
        </w:rPr>
      </w:pPr>
    </w:p>
    <w:p>
      <w:pPr>
        <w:ind w:left="780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360"/>
          </w:cols>
          <w:pgMar w:left="240" w:top="132" w:right="2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ENPHASE ENERGY,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AND CHANGE IN CONTROL BENEFIT PLAN</w:t>
      </w:r>
    </w:p>
    <w:p>
      <w:pPr>
        <w:spacing w:after="0" w:line="233" w:lineRule="exact"/>
        <w:rPr>
          <w:sz w:val="20"/>
          <w:szCs w:val="20"/>
          <w:color w:val="auto"/>
        </w:rPr>
      </w:pPr>
    </w:p>
    <w:p>
      <w:pPr>
        <w:jc w:val="both"/>
        <w:spacing w:after="0" w:line="360" w:lineRule="auto"/>
        <w:rPr>
          <w:sz w:val="20"/>
          <w:szCs w:val="20"/>
          <w:color w:val="auto"/>
        </w:rPr>
      </w:pPr>
      <w:r>
        <w:rPr>
          <w:rFonts w:ascii="Arial" w:cs="Arial" w:eastAsia="Arial" w:hAnsi="Arial"/>
          <w:sz w:val="19"/>
          <w:szCs w:val="19"/>
          <w:b w:val="1"/>
          <w:bCs w:val="1"/>
          <w:color w:val="auto"/>
        </w:rPr>
        <w:t xml:space="preserve">1.INTRODUCTION. </w:t>
      </w:r>
      <w:r>
        <w:rPr>
          <w:rFonts w:ascii="Arial" w:cs="Arial" w:eastAsia="Arial" w:hAnsi="Arial"/>
          <w:sz w:val="19"/>
          <w:szCs w:val="19"/>
          <w:color w:val="auto"/>
        </w:rPr>
        <w:t>This Enphase Energy, Inc. Severance and Change in Control Benefit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is established by</w:t>
      </w:r>
      <w:r>
        <w:rPr>
          <w:rFonts w:ascii="Arial" w:cs="Arial" w:eastAsia="Arial" w:hAnsi="Arial"/>
          <w:sz w:val="19"/>
          <w:szCs w:val="19"/>
          <w:b w:val="1"/>
          <w:bCs w:val="1"/>
          <w:color w:val="auto"/>
        </w:rPr>
        <w:t xml:space="preserve"> </w:t>
      </w:r>
      <w:r>
        <w:rPr>
          <w:rFonts w:ascii="Arial" w:cs="Arial" w:eastAsia="Arial" w:hAnsi="Arial"/>
          <w:sz w:val="19"/>
          <w:szCs w:val="19"/>
          <w:color w:val="auto"/>
        </w:rPr>
        <w:t>Enphase Energy,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on March 6, 2013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The Plan provides for severance and change in control benefits to selected employees of the Company. This document constitutes the Summary Plan Description for the Plan.</w:t>
      </w:r>
    </w:p>
    <w:p>
      <w:pPr>
        <w:spacing w:after="0" w:line="124"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the Plan, the following terms are defined as follows:</w:t>
      </w:r>
    </w:p>
    <w:p>
      <w:pPr>
        <w:spacing w:after="0" w:line="279" w:lineRule="exact"/>
        <w:rPr>
          <w:rFonts w:ascii="Arial" w:cs="Arial" w:eastAsia="Arial" w:hAnsi="Arial"/>
          <w:sz w:val="22"/>
          <w:szCs w:val="22"/>
          <w:b w:val="1"/>
          <w:bCs w:val="1"/>
          <w:color w:val="auto"/>
        </w:rPr>
      </w:pPr>
    </w:p>
    <w:p>
      <w:pPr>
        <w:ind w:left="1080" w:hanging="424"/>
        <w:spacing w:after="0"/>
        <w:tabs>
          <w:tab w:leader="none" w:pos="1080" w:val="left"/>
        </w:tabs>
        <w:numPr>
          <w:ilvl w:val="1"/>
          <w:numId w:val="3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b w:val="1"/>
          <w:bCs w:val="1"/>
          <w:color w:val="auto"/>
        </w:rPr>
      </w:pPr>
    </w:p>
    <w:p>
      <w:pPr>
        <w:ind w:left="1200" w:hanging="544"/>
        <w:spacing w:after="0"/>
        <w:tabs>
          <w:tab w:leader="none" w:pos="1200" w:val="left"/>
        </w:tabs>
        <w:numPr>
          <w:ilvl w:val="1"/>
          <w:numId w:val="3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as determined by the Board acting in good faith and based on information then known to it, means the</w:t>
      </w:r>
    </w:p>
    <w:p>
      <w:pPr>
        <w:spacing w:after="0" w:line="92" w:lineRule="exact"/>
        <w:rPr>
          <w:rFonts w:ascii="Arial" w:cs="Arial" w:eastAsia="Arial" w:hAnsi="Arial"/>
          <w:sz w:val="19"/>
          <w:szCs w:val="19"/>
          <w:b w:val="1"/>
          <w:bCs w:val="1"/>
          <w:color w:val="auto"/>
        </w:rPr>
      </w:pPr>
    </w:p>
    <w:p>
      <w:pPr>
        <w:jc w:val="both"/>
        <w:spacing w:after="0" w:line="299" w:lineRule="auto"/>
        <w:rPr>
          <w:rFonts w:ascii="Arial" w:cs="Arial" w:eastAsia="Arial" w:hAnsi="Arial"/>
          <w:sz w:val="19"/>
          <w:szCs w:val="19"/>
          <w:b w:val="1"/>
          <w:bCs w:val="1"/>
          <w:color w:val="auto"/>
        </w:rPr>
      </w:pPr>
      <w:r>
        <w:rPr>
          <w:rFonts w:ascii="Arial" w:cs="Arial" w:eastAsia="Arial" w:hAnsi="Arial"/>
          <w:sz w:val="21"/>
          <w:szCs w:val="21"/>
          <w:color w:val="auto"/>
        </w:rPr>
        <w:t xml:space="preserve">Participant’s: (i) refusal or failure to perform the Participant’s material, lawful and appropriate duties; (ii) material violation of Company policy or any written agreement between the Company and the Participant; (iii) repeated unexplained or unjustified absence from the Company; (iv) intentional or negligent misconduct; (v) conviction of, or the entering of a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with respect to, any felony or a crime involving moral turpitude; (vi) unauthorized use or disclosure of any proprietary information or trade secrets of the Company or any other party to whom the Participant owes an obligation of non-disclosure as a result of the Participant’s relationship with the Company; (vii) commitment of any act of fraud, embezzlement, misappropriation, dishonesty or breach of fiduciary duty against the Company that causes, or is likely to cause, material harm to the Company or its subsidiaries or is intended to result in substantial personal enrichment; or (viii) failure to cooperate with the Company in any investigation or formal proceeding, including any government investigation.</w:t>
      </w:r>
    </w:p>
    <w:p>
      <w:pPr>
        <w:spacing w:after="0" w:line="141" w:lineRule="exact"/>
        <w:rPr>
          <w:rFonts w:ascii="Arial" w:cs="Arial" w:eastAsia="Arial" w:hAnsi="Arial"/>
          <w:sz w:val="19"/>
          <w:szCs w:val="19"/>
          <w:b w:val="1"/>
          <w:bCs w:val="1"/>
          <w:color w:val="auto"/>
        </w:rPr>
      </w:pPr>
    </w:p>
    <w:p>
      <w:pPr>
        <w:ind w:left="1080" w:hanging="424"/>
        <w:spacing w:after="0"/>
        <w:tabs>
          <w:tab w:leader="none" w:pos="1080" w:val="left"/>
        </w:tabs>
        <w:numPr>
          <w:ilvl w:val="1"/>
          <w:numId w:val="3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occurrence of any of the following events:</w:t>
      </w:r>
    </w:p>
    <w:p>
      <w:pPr>
        <w:spacing w:after="0" w:line="233" w:lineRule="exact"/>
        <w:rPr>
          <w:rFonts w:ascii="Arial" w:cs="Arial" w:eastAsia="Arial" w:hAnsi="Arial"/>
          <w:sz w:val="22"/>
          <w:szCs w:val="22"/>
          <w:b w:val="1"/>
          <w:bCs w:val="1"/>
          <w:color w:val="auto"/>
        </w:rPr>
      </w:pPr>
    </w:p>
    <w:p>
      <w:pPr>
        <w:ind w:left="1760" w:hanging="455"/>
        <w:spacing w:after="0"/>
        <w:tabs>
          <w:tab w:leader="none" w:pos="1760" w:val="left"/>
        </w:tabs>
        <w:numPr>
          <w:ilvl w:val="2"/>
          <w:numId w:val="31"/>
        </w:numPr>
        <w:rPr>
          <w:rFonts w:ascii="Arial" w:cs="Arial" w:eastAsia="Arial" w:hAnsi="Arial"/>
          <w:sz w:val="19"/>
          <w:szCs w:val="19"/>
          <w:b w:val="1"/>
          <w:bCs w:val="1"/>
          <w:color w:val="auto"/>
        </w:rPr>
      </w:pPr>
      <w:r>
        <w:rPr>
          <w:rFonts w:ascii="Arial" w:cs="Arial" w:eastAsia="Arial" w:hAnsi="Arial"/>
          <w:sz w:val="19"/>
          <w:szCs w:val="19"/>
          <w:color w:val="auto"/>
        </w:rPr>
        <w:t>any sale or exchange of the capital stock by the shareholders of the Company in one transaction or series of</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related transactions where more than 50% of the outstanding voting power of the Company is acquired by a person or entity or group of related persons or entities; or</w:t>
      </w:r>
    </w:p>
    <w:p>
      <w:pPr>
        <w:spacing w:after="0" w:line="133" w:lineRule="exact"/>
        <w:rPr>
          <w:rFonts w:ascii="Arial" w:cs="Arial" w:eastAsia="Arial" w:hAnsi="Arial"/>
          <w:sz w:val="19"/>
          <w:szCs w:val="19"/>
          <w:b w:val="1"/>
          <w:bCs w:val="1"/>
          <w:color w:val="auto"/>
        </w:rPr>
      </w:pPr>
    </w:p>
    <w:p>
      <w:pPr>
        <w:ind w:left="1840" w:hanging="535"/>
        <w:spacing w:after="0"/>
        <w:tabs>
          <w:tab w:leader="none" w:pos="1840" w:val="left"/>
        </w:tabs>
        <w:numPr>
          <w:ilvl w:val="2"/>
          <w:numId w:val="31"/>
        </w:numPr>
        <w:rPr>
          <w:rFonts w:ascii="Arial" w:cs="Arial" w:eastAsia="Arial" w:hAnsi="Arial"/>
          <w:sz w:val="19"/>
          <w:szCs w:val="19"/>
          <w:b w:val="1"/>
          <w:bCs w:val="1"/>
          <w:color w:val="auto"/>
        </w:rPr>
      </w:pPr>
      <w:r>
        <w:rPr>
          <w:rFonts w:ascii="Arial" w:cs="Arial" w:eastAsia="Arial" w:hAnsi="Arial"/>
          <w:sz w:val="19"/>
          <w:szCs w:val="19"/>
          <w:color w:val="auto"/>
        </w:rPr>
        <w:t>any reorganization, consolidation or merger of the Company where the outstanding voting securities of the</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Company immediately before the transaction represent or are converted into less than fifty percent (50%) of the outstanding voting power of the surviving entity (or its parent corporation) immediately after the transaction; or</w:t>
      </w:r>
    </w:p>
    <w:p>
      <w:pPr>
        <w:sectPr>
          <w:pgSz w:w="11900" w:h="16838" w:orient="portrait"/>
          <w:cols w:equalWidth="0" w:num="1">
            <w:col w:w="11420"/>
          </w:cols>
          <w:pgMar w:left="240" w:top="121" w:right="239" w:bottom="1440" w:gutter="0" w:footer="0" w:header="0"/>
        </w:sectPr>
      </w:pPr>
    </w:p>
    <w:bookmarkStart w:id="43" w:name="page44"/>
    <w:bookmarkEnd w:id="43"/>
    <w:p>
      <w:pPr>
        <w:ind w:firstLine="1305"/>
        <w:spacing w:after="0" w:line="315" w:lineRule="auto"/>
        <w:tabs>
          <w:tab w:leader="none" w:pos="1990"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the consummation of any transaction or series of related transactions that results in the sale of all or substantially all of the assets of the Company; or</w:t>
      </w:r>
    </w:p>
    <w:p>
      <w:pPr>
        <w:spacing w:after="0" w:line="119" w:lineRule="exact"/>
        <w:rPr>
          <w:rFonts w:ascii="Arial" w:cs="Arial" w:eastAsia="Arial" w:hAnsi="Arial"/>
          <w:sz w:val="22"/>
          <w:szCs w:val="22"/>
          <w:b w:val="1"/>
          <w:bCs w:val="1"/>
          <w:color w:val="auto"/>
        </w:rPr>
      </w:pPr>
    </w:p>
    <w:p>
      <w:pPr>
        <w:ind w:left="1900" w:hanging="595"/>
        <w:spacing w:after="0"/>
        <w:tabs>
          <w:tab w:leader="none" w:pos="1900" w:val="left"/>
        </w:tabs>
        <w:numPr>
          <w:ilvl w:val="0"/>
          <w:numId w:val="32"/>
        </w:numPr>
        <w:rPr>
          <w:rFonts w:ascii="Arial" w:cs="Arial" w:eastAsia="Arial" w:hAnsi="Arial"/>
          <w:sz w:val="19"/>
          <w:szCs w:val="19"/>
          <w:b w:val="1"/>
          <w:bCs w:val="1"/>
          <w:color w:val="auto"/>
        </w:rPr>
      </w:pPr>
      <w:r>
        <w:rPr>
          <w:rFonts w:ascii="Arial" w:cs="Arial" w:eastAsia="Arial" w:hAnsi="Arial"/>
          <w:sz w:val="19"/>
          <w:szCs w:val="19"/>
          <w:color w:val="auto"/>
        </w:rPr>
        <w:t>any “person” or “group” (as defined in the Securities Exchange Act of 1934, as amended (the “</w:t>
      </w:r>
      <w:r>
        <w:rPr>
          <w:rFonts w:ascii="Arial" w:cs="Arial" w:eastAsia="Arial" w:hAnsi="Arial"/>
          <w:sz w:val="19"/>
          <w:szCs w:val="19"/>
          <w:b w:val="1"/>
          <w:bCs w:val="1"/>
          <w:i w:val="1"/>
          <w:iCs w:val="1"/>
          <w:color w:val="auto"/>
        </w:rPr>
        <w:t>Exchange</w:t>
      </w:r>
    </w:p>
    <w:p>
      <w:pPr>
        <w:spacing w:after="0" w:line="92" w:lineRule="exact"/>
        <w:rPr>
          <w:rFonts w:ascii="Arial" w:cs="Arial" w:eastAsia="Arial" w:hAnsi="Arial"/>
          <w:sz w:val="19"/>
          <w:szCs w:val="19"/>
          <w:b w:val="1"/>
          <w:bCs w:val="1"/>
          <w:color w:val="auto"/>
        </w:rPr>
      </w:pPr>
    </w:p>
    <w:p>
      <w:pPr>
        <w:ind w:right="20"/>
        <w:spacing w:after="0" w:line="302" w:lineRule="auto"/>
        <w:rPr>
          <w:rFonts w:ascii="Arial" w:cs="Arial" w:eastAsia="Arial" w:hAnsi="Arial"/>
          <w:sz w:val="19"/>
          <w:szCs w:val="19"/>
          <w:b w:val="1"/>
          <w:bCs w:val="1"/>
          <w:color w:val="auto"/>
        </w:rPr>
      </w:pPr>
      <w:r>
        <w:rPr>
          <w:rFonts w:ascii="Arial" w:cs="Arial" w:eastAsia="Arial" w:hAnsi="Arial"/>
          <w:sz w:val="22"/>
          <w:szCs w:val="22"/>
          <w:b w:val="1"/>
          <w:bCs w:val="1"/>
          <w:i w:val="1"/>
          <w:iCs w:val="1"/>
          <w:color w:val="auto"/>
        </w:rPr>
        <w:t>Act</w:t>
      </w:r>
      <w:r>
        <w:rPr>
          <w:rFonts w:ascii="Arial" w:cs="Arial" w:eastAsia="Arial" w:hAnsi="Arial"/>
          <w:sz w:val="22"/>
          <w:szCs w:val="22"/>
          <w:color w:val="auto"/>
        </w:rPr>
        <w:t>”)) becoming the “beneficial owner” (as defined in Rule 13d-3 under the Exchange Act), directly or indirectly, of securities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representing more than fifty percent (50%) of the voting power of the Company then outstanding.</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Notwithstanding the foregoing, the term Change in Control will not include a sale of assets, merger or other transaction effected exclusively for the purpose of changing the domicile of the Company. To the extent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Regulations Section 1.409A-3(i)(5) (without regard to any alternative definition thereunder).</w:t>
      </w:r>
    </w:p>
    <w:p>
      <w:pPr>
        <w:spacing w:after="0" w:line="196" w:lineRule="exact"/>
        <w:rPr>
          <w:sz w:val="20"/>
          <w:szCs w:val="20"/>
          <w:color w:val="auto"/>
        </w:rPr>
      </w:pPr>
    </w:p>
    <w:p>
      <w:pPr>
        <w:ind w:left="1120" w:hanging="464"/>
        <w:spacing w:after="0"/>
        <w:tabs>
          <w:tab w:leader="none" w:pos="1120" w:val="left"/>
        </w:tabs>
        <w:numPr>
          <w:ilvl w:val="1"/>
          <w:numId w:val="3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 Termination</w:t>
      </w:r>
      <w:r>
        <w:rPr>
          <w:rFonts w:ascii="Arial" w:cs="Arial" w:eastAsia="Arial" w:hAnsi="Arial"/>
          <w:sz w:val="19"/>
          <w:szCs w:val="19"/>
          <w:color w:val="auto"/>
        </w:rPr>
        <w:t>” means a Participant’s Involuntary Termination, that occurs (i) in connection with a</w:t>
      </w:r>
    </w:p>
    <w:p>
      <w:pPr>
        <w:spacing w:after="0" w:line="92"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Change in Control, or (ii) within the twelve-month period immediately following, a Change in Control. The Plan Administrator shall irrevocably determine, in its sole discretion, whether a Participant incurs a Change in Control Termination by virtue of clause</w:t>
      </w:r>
    </w:p>
    <w:p>
      <w:pPr>
        <w:ind w:firstLine="8"/>
        <w:spacing w:after="0" w:line="328" w:lineRule="auto"/>
        <w:tabs>
          <w:tab w:leader="none" w:pos="309" w:val="left"/>
        </w:tabs>
        <w:numPr>
          <w:ilvl w:val="0"/>
          <w:numId w:val="34"/>
        </w:numPr>
        <w:rPr>
          <w:rFonts w:ascii="Arial" w:cs="Arial" w:eastAsia="Arial" w:hAnsi="Arial"/>
          <w:sz w:val="21"/>
          <w:szCs w:val="21"/>
          <w:color w:val="auto"/>
        </w:rPr>
      </w:pPr>
      <w:r>
        <w:rPr>
          <w:rFonts w:ascii="Arial" w:cs="Arial" w:eastAsia="Arial" w:hAnsi="Arial"/>
          <w:sz w:val="21"/>
          <w:szCs w:val="21"/>
          <w:color w:val="auto"/>
        </w:rPr>
        <w:t>of the preceding sentence. If such a determination is made, the Plan Administrator shall notify the Participant that the Involuntary Termination shall be deemed a Change in Control Termination on or prior to the date of such termination.</w:t>
      </w:r>
    </w:p>
    <w:p>
      <w:pPr>
        <w:spacing w:after="0" w:line="109" w:lineRule="exact"/>
        <w:rPr>
          <w:rFonts w:ascii="Arial" w:cs="Arial" w:eastAsia="Arial" w:hAnsi="Arial"/>
          <w:sz w:val="21"/>
          <w:szCs w:val="21"/>
          <w:color w:val="auto"/>
        </w:rPr>
      </w:pPr>
    </w:p>
    <w:p>
      <w:pPr>
        <w:ind w:left="1080" w:hanging="424"/>
        <w:spacing w:after="0"/>
        <w:tabs>
          <w:tab w:leader="none" w:pos="1080"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b w:val="1"/>
          <w:bCs w:val="1"/>
          <w:color w:val="auto"/>
        </w:rPr>
      </w:pPr>
    </w:p>
    <w:p>
      <w:pPr>
        <w:ind w:left="1060" w:hanging="404"/>
        <w:spacing w:after="0"/>
        <w:tabs>
          <w:tab w:leader="none" w:pos="1060"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common stock of the Company.</w:t>
      </w:r>
    </w:p>
    <w:p>
      <w:pPr>
        <w:spacing w:after="0" w:line="233" w:lineRule="exact"/>
        <w:rPr>
          <w:rFonts w:ascii="Arial" w:cs="Arial" w:eastAsia="Arial" w:hAnsi="Arial"/>
          <w:sz w:val="22"/>
          <w:szCs w:val="22"/>
          <w:b w:val="1"/>
          <w:bCs w:val="1"/>
          <w:color w:val="auto"/>
        </w:rPr>
      </w:pPr>
    </w:p>
    <w:p>
      <w:pPr>
        <w:ind w:left="1120" w:hanging="464"/>
        <w:spacing w:after="0"/>
        <w:tabs>
          <w:tab w:leader="none" w:pos="1120" w:val="left"/>
        </w:tabs>
        <w:numPr>
          <w:ilvl w:val="1"/>
          <w:numId w:val="3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means the Participant’s inability, due to physical or mental incapacity, to perform the Participant’s duties</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with reasonable accommodation for a period of ninety (90) consecutive days or one hundred and twenty (120) days during any consecutive six-month period.</w:t>
      </w:r>
    </w:p>
    <w:p>
      <w:pPr>
        <w:spacing w:after="0" w:line="133" w:lineRule="exact"/>
        <w:rPr>
          <w:rFonts w:ascii="Arial" w:cs="Arial" w:eastAsia="Arial" w:hAnsi="Arial"/>
          <w:sz w:val="19"/>
          <w:szCs w:val="19"/>
          <w:b w:val="1"/>
          <w:bCs w:val="1"/>
          <w:color w:val="auto"/>
        </w:rPr>
      </w:pPr>
    </w:p>
    <w:p>
      <w:pPr>
        <w:ind w:left="1100" w:hanging="444"/>
        <w:spacing w:after="0"/>
        <w:tabs>
          <w:tab w:leader="none" w:pos="1100"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Employee Retirement Income Security Act of 1974, as amended.</w:t>
      </w:r>
    </w:p>
    <w:p>
      <w:pPr>
        <w:spacing w:after="0" w:line="233" w:lineRule="exact"/>
        <w:rPr>
          <w:rFonts w:ascii="Arial" w:cs="Arial" w:eastAsia="Arial" w:hAnsi="Arial"/>
          <w:sz w:val="22"/>
          <w:szCs w:val="22"/>
          <w:b w:val="1"/>
          <w:bCs w:val="1"/>
          <w:color w:val="auto"/>
        </w:rPr>
      </w:pPr>
    </w:p>
    <w:p>
      <w:pPr>
        <w:ind w:left="1060" w:hanging="404"/>
        <w:spacing w:after="0"/>
        <w:tabs>
          <w:tab w:leader="none" w:pos="1060" w:val="left"/>
        </w:tabs>
        <w:numPr>
          <w:ilvl w:val="1"/>
          <w:numId w:val="3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without the Participant’s written consent: (i) a material reduction or material adverse change in</w:t>
      </w:r>
    </w:p>
    <w:p>
      <w:pPr>
        <w:spacing w:after="0" w:line="92" w:lineRule="exact"/>
        <w:rPr>
          <w:rFonts w:ascii="Arial" w:cs="Arial" w:eastAsia="Arial" w:hAnsi="Arial"/>
          <w:sz w:val="19"/>
          <w:szCs w:val="19"/>
          <w:b w:val="1"/>
          <w:bCs w:val="1"/>
          <w:color w:val="auto"/>
        </w:rPr>
      </w:pPr>
    </w:p>
    <w:p>
      <w:pPr>
        <w:jc w:val="both"/>
        <w:spacing w:after="0" w:line="287" w:lineRule="auto"/>
        <w:rPr>
          <w:rFonts w:ascii="Arial" w:cs="Arial" w:eastAsia="Arial" w:hAnsi="Arial"/>
          <w:sz w:val="19"/>
          <w:szCs w:val="19"/>
          <w:b w:val="1"/>
          <w:bCs w:val="1"/>
          <w:color w:val="auto"/>
        </w:rPr>
      </w:pPr>
      <w:r>
        <w:rPr>
          <w:rFonts w:ascii="Arial" w:cs="Arial" w:eastAsia="Arial" w:hAnsi="Arial"/>
          <w:sz w:val="22"/>
          <w:szCs w:val="22"/>
          <w:color w:val="auto"/>
        </w:rPr>
        <w:t xml:space="preserve">job duties, responsibilities or authority inconsistent with the Participant’s position with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any such reduction or change after a Change in Control (or similar corporate transaction that does not constitute a Change in Control) shall not constitute Good Reason by virtue of the fact that the Participant is performing similar duties and responsibilities in a larger organization; (ii) a material reduction of the Participant’s then current base salary, representing a reduction of more than ten percent (10%) of the Participant’s</w:t>
      </w:r>
    </w:p>
    <w:p>
      <w:pPr>
        <w:sectPr>
          <w:pgSz w:w="11900" w:h="16838" w:orient="portrait"/>
          <w:cols w:equalWidth="0" w:num="1">
            <w:col w:w="11420"/>
          </w:cols>
          <w:pgMar w:left="240" w:top="388" w:right="239" w:bottom="1440" w:gutter="0" w:footer="0" w:header="0"/>
        </w:sectPr>
      </w:pPr>
    </w:p>
    <w:bookmarkStart w:id="44" w:name="page45"/>
    <w:bookmarkEnd w:id="44"/>
    <w:p>
      <w:pPr>
        <w:jc w:val="both"/>
        <w:spacing w:after="0" w:line="326" w:lineRule="auto"/>
        <w:rPr>
          <w:sz w:val="20"/>
          <w:szCs w:val="20"/>
          <w:color w:val="auto"/>
        </w:rPr>
      </w:pPr>
      <w:r>
        <w:rPr>
          <w:rFonts w:ascii="Arial" w:cs="Arial" w:eastAsia="Arial" w:hAnsi="Arial"/>
          <w:sz w:val="19"/>
          <w:szCs w:val="19"/>
          <w:color w:val="auto"/>
        </w:rPr>
        <w:t xml:space="preserve">then current base salary;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across-the-board reduction in the salary level of all executive officers of the Company by the same percentage amount as part of a general salary level reduction shall not constitute such a material salary reduction; (iii) a material reduction of the Participant’s target bonus opportunity; </w:t>
      </w:r>
      <w:r>
        <w:rPr>
          <w:rFonts w:ascii="Arial" w:cs="Arial" w:eastAsia="Arial" w:hAnsi="Arial"/>
          <w:sz w:val="19"/>
          <w:szCs w:val="19"/>
          <w:u w:val="single" w:color="auto"/>
          <w:color w:val="auto"/>
        </w:rPr>
        <w:t>provided</w:t>
      </w:r>
      <w:r>
        <w:rPr>
          <w:rFonts w:ascii="Arial" w:cs="Arial" w:eastAsia="Arial" w:hAnsi="Arial"/>
          <w:sz w:val="19"/>
          <w:szCs w:val="19"/>
          <w:color w:val="auto"/>
        </w:rPr>
        <w:t>, that an across-the-board reduction in the target bonus opportunities of all executive officers of the Company shall not constitute such a material reduction in target bonus opportunity;</w:t>
      </w:r>
    </w:p>
    <w:p>
      <w:pPr>
        <w:spacing w:after="0" w:line="1"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relocation of the principal place for performance of the Participant’s duties to the Company to a location more than fifty</w:t>
      </w:r>
    </w:p>
    <w:p>
      <w:pPr>
        <w:spacing w:after="0" w:line="78" w:lineRule="exact"/>
        <w:rPr>
          <w:rFonts w:ascii="Arial" w:cs="Arial" w:eastAsia="Arial" w:hAnsi="Arial"/>
          <w:sz w:val="19"/>
          <w:szCs w:val="19"/>
          <w:color w:val="auto"/>
        </w:rPr>
      </w:pPr>
    </w:p>
    <w:p>
      <w:pPr>
        <w:jc w:val="both"/>
        <w:spacing w:after="0" w:line="335" w:lineRule="auto"/>
        <w:rPr>
          <w:rFonts w:ascii="Arial" w:cs="Arial" w:eastAsia="Arial" w:hAnsi="Arial"/>
          <w:sz w:val="19"/>
          <w:szCs w:val="19"/>
          <w:color w:val="auto"/>
        </w:rPr>
      </w:pPr>
      <w:r>
        <w:rPr>
          <w:rFonts w:ascii="Arial" w:cs="Arial" w:eastAsia="Arial" w:hAnsi="Arial"/>
          <w:sz w:val="19"/>
          <w:szCs w:val="19"/>
          <w:color w:val="auto"/>
        </w:rPr>
        <w:t xml:space="preserve">(50) miles from the Company’s then current location, which relocation is adverse to the Participant, except for required travel on the Company’s business; (v) any material breach by the Company of the Plan or any other written agreement between the Company and the Participant; or (vi) the failure by any successor to the Company to assume the Plan and any obligations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that the Participant gives written notice to the Company of the event forming the basis of the termination for Good Reason within sixty (60) days after the date on which the Company gives written notice to the Participant of the Company’s affirmative decision to take an action set forth in clause (i), (ii), (iii), (iv) or (v) above, the Company fails to cure such basis for the Good Reason resignation within thirty (30) days after receipt of the Participant’s written notice and the Participant terminates his or her employment within thirty (30) days following the expiration of the cure period.</w:t>
      </w:r>
    </w:p>
    <w:p>
      <w:pPr>
        <w:spacing w:after="0" w:line="112" w:lineRule="exact"/>
        <w:rPr>
          <w:rFonts w:ascii="Arial" w:cs="Arial" w:eastAsia="Arial" w:hAnsi="Arial"/>
          <w:sz w:val="19"/>
          <w:szCs w:val="19"/>
          <w:color w:val="auto"/>
        </w:rPr>
      </w:pPr>
    </w:p>
    <w:p>
      <w:pPr>
        <w:ind w:left="1200" w:hanging="544"/>
        <w:spacing w:after="0"/>
        <w:tabs>
          <w:tab w:leader="none" w:pos="1200"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Involuntary Termination</w:t>
      </w:r>
      <w:r>
        <w:rPr>
          <w:rFonts w:ascii="Arial" w:cs="Arial" w:eastAsia="Arial" w:hAnsi="Arial"/>
          <w:sz w:val="19"/>
          <w:szCs w:val="19"/>
          <w:color w:val="auto"/>
        </w:rPr>
        <w:t>” means a Participant’s (i) termination of employment by the Company, resulting in a</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Separation from Service, for a reason other than due to death, Disability, or for Cause or (ii) termination of employment, resulting in a Separation from Service, for Good Reason.</w:t>
      </w:r>
    </w:p>
    <w:p>
      <w:pPr>
        <w:spacing w:after="0" w:line="133" w:lineRule="exact"/>
        <w:rPr>
          <w:rFonts w:ascii="Arial" w:cs="Arial" w:eastAsia="Arial" w:hAnsi="Arial"/>
          <w:sz w:val="19"/>
          <w:szCs w:val="19"/>
          <w:b w:val="1"/>
          <w:bCs w:val="1"/>
          <w:color w:val="auto"/>
        </w:rPr>
      </w:pPr>
    </w:p>
    <w:p>
      <w:pPr>
        <w:ind w:right="20" w:firstLine="656"/>
        <w:spacing w:after="0" w:line="315" w:lineRule="auto"/>
        <w:tabs>
          <w:tab w:leader="none" w:pos="1146"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each individual who is employed by the Company, has been designated as a Participant by the Plan Administrator, and has received and returned a signed Participation Notice.</w:t>
      </w:r>
    </w:p>
    <w:p>
      <w:pPr>
        <w:spacing w:after="0" w:line="119" w:lineRule="exact"/>
        <w:rPr>
          <w:rFonts w:ascii="Arial" w:cs="Arial" w:eastAsia="Arial" w:hAnsi="Arial"/>
          <w:sz w:val="22"/>
          <w:szCs w:val="22"/>
          <w:b w:val="1"/>
          <w:bCs w:val="1"/>
          <w:color w:val="auto"/>
        </w:rPr>
      </w:pPr>
    </w:p>
    <w:p>
      <w:pPr>
        <w:ind w:left="1060" w:hanging="404"/>
        <w:spacing w:after="0"/>
        <w:tabs>
          <w:tab w:leader="none" w:pos="1060"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Participation Notice</w:t>
      </w:r>
      <w:r>
        <w:rPr>
          <w:rFonts w:ascii="Arial" w:cs="Arial" w:eastAsia="Arial" w:hAnsi="Arial"/>
          <w:sz w:val="19"/>
          <w:szCs w:val="19"/>
          <w:color w:val="auto"/>
        </w:rPr>
        <w:t>” means the latest notice delivered by the Company to a Participant informing the Participant that</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 xml:space="preserve">he or she is eligible to participate in the Plan as a Tier I Participant, Tier II Participant or Tier III Participant, substantially in the form attached hereto as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w:t>
      </w:r>
    </w:p>
    <w:p>
      <w:pPr>
        <w:spacing w:after="0" w:line="133" w:lineRule="exact"/>
        <w:rPr>
          <w:rFonts w:ascii="Arial" w:cs="Arial" w:eastAsia="Arial" w:hAnsi="Arial"/>
          <w:sz w:val="19"/>
          <w:szCs w:val="19"/>
          <w:b w:val="1"/>
          <w:bCs w:val="1"/>
          <w:color w:val="auto"/>
        </w:rPr>
      </w:pPr>
    </w:p>
    <w:p>
      <w:pPr>
        <w:ind w:left="1220" w:hanging="564"/>
        <w:spacing w:after="0"/>
        <w:tabs>
          <w:tab w:leader="none" w:pos="1220"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 Administrator</w:t>
      </w:r>
      <w:r>
        <w:rPr>
          <w:rFonts w:ascii="Arial" w:cs="Arial" w:eastAsia="Arial" w:hAnsi="Arial"/>
          <w:sz w:val="19"/>
          <w:szCs w:val="19"/>
          <w:color w:val="auto"/>
        </w:rPr>
        <w:t>” means the Board or any committee of the Board duly authorized to administer the Plan. The</w:t>
      </w:r>
    </w:p>
    <w:p>
      <w:pPr>
        <w:spacing w:after="0" w:line="92"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Plan Administrator may, but is not required to be, the Compensation Committee of the Board. The Board may at any time administer the Plan, in whole or in part, notwithstanding that the Board has previously appointed a committee to act as the Plan Administrator. Notwithstanding the foregoing, upon and after the consummation of a Change in Control, the Plan Administrator shall mean the Representative.</w:t>
      </w:r>
    </w:p>
    <w:p>
      <w:pPr>
        <w:spacing w:after="0" w:line="149" w:lineRule="exact"/>
        <w:rPr>
          <w:rFonts w:ascii="Arial" w:cs="Arial" w:eastAsia="Arial" w:hAnsi="Arial"/>
          <w:sz w:val="19"/>
          <w:szCs w:val="19"/>
          <w:b w:val="1"/>
          <w:bCs w:val="1"/>
          <w:color w:val="auto"/>
        </w:rPr>
      </w:pPr>
    </w:p>
    <w:p>
      <w:pPr>
        <w:ind w:left="1100" w:hanging="444"/>
        <w:spacing w:after="0"/>
        <w:tabs>
          <w:tab w:leader="none" w:pos="1100"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Qualifying Termination</w:t>
      </w:r>
      <w:r>
        <w:rPr>
          <w:rFonts w:ascii="Arial" w:cs="Arial" w:eastAsia="Arial" w:hAnsi="Arial"/>
          <w:sz w:val="22"/>
          <w:szCs w:val="22"/>
          <w:color w:val="auto"/>
        </w:rPr>
        <w:t>” means an Involuntary Termination or a Change in Control Termination.</w:t>
      </w:r>
    </w:p>
    <w:p>
      <w:pPr>
        <w:sectPr>
          <w:pgSz w:w="11900" w:h="16838" w:orient="portrait"/>
          <w:cols w:equalWidth="0" w:num="1">
            <w:col w:w="11420"/>
          </w:cols>
          <w:pgMar w:left="240" w:top="388" w:right="239" w:bottom="1440" w:gutter="0" w:footer="0" w:header="0"/>
        </w:sectPr>
      </w:pPr>
    </w:p>
    <w:bookmarkStart w:id="45" w:name="page46"/>
    <w:bookmarkEnd w:id="45"/>
    <w:p>
      <w:pPr>
        <w:ind w:firstLine="656"/>
        <w:spacing w:after="0" w:line="315" w:lineRule="auto"/>
        <w:tabs>
          <w:tab w:leader="none" w:pos="1094"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 Effective Date</w:t>
      </w:r>
      <w:r>
        <w:rPr>
          <w:rFonts w:ascii="Arial" w:cs="Arial" w:eastAsia="Arial" w:hAnsi="Arial"/>
          <w:sz w:val="22"/>
          <w:szCs w:val="22"/>
          <w:color w:val="auto"/>
        </w:rPr>
        <w:t>” means the date, which must occur during the Release Period, on which the Release becomes effective and is no longer revocable by the Participant.</w:t>
      </w:r>
    </w:p>
    <w:p>
      <w:pPr>
        <w:spacing w:after="0" w:line="119" w:lineRule="exact"/>
        <w:rPr>
          <w:rFonts w:ascii="Arial" w:cs="Arial" w:eastAsia="Arial" w:hAnsi="Arial"/>
          <w:sz w:val="22"/>
          <w:szCs w:val="22"/>
          <w:b w:val="1"/>
          <w:bCs w:val="1"/>
          <w:color w:val="auto"/>
        </w:rPr>
      </w:pPr>
    </w:p>
    <w:p>
      <w:pPr>
        <w:ind w:left="1100" w:hanging="444"/>
        <w:spacing w:after="0"/>
        <w:tabs>
          <w:tab w:leader="none" w:pos="1100"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has the meaning set forth in Section 5.</w:t>
      </w:r>
    </w:p>
    <w:p>
      <w:pPr>
        <w:spacing w:after="0" w:line="233" w:lineRule="exact"/>
        <w:rPr>
          <w:rFonts w:ascii="Arial" w:cs="Arial" w:eastAsia="Arial" w:hAnsi="Arial"/>
          <w:sz w:val="22"/>
          <w:szCs w:val="22"/>
          <w:b w:val="1"/>
          <w:bCs w:val="1"/>
          <w:color w:val="auto"/>
        </w:rPr>
      </w:pPr>
    </w:p>
    <w:p>
      <w:pPr>
        <w:ind w:right="20" w:firstLine="656"/>
        <w:spacing w:after="0" w:line="315" w:lineRule="auto"/>
        <w:tabs>
          <w:tab w:leader="none" w:pos="1227"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 Period</w:t>
      </w:r>
      <w:r>
        <w:rPr>
          <w:rFonts w:ascii="Arial" w:cs="Arial" w:eastAsia="Arial" w:hAnsi="Arial"/>
          <w:sz w:val="22"/>
          <w:szCs w:val="22"/>
          <w:color w:val="auto"/>
        </w:rPr>
        <w:t>” means the sixty-day period following a Participant’s Qualifying Termination during which the Release must be executed (and not revoked) by the Participant.</w:t>
      </w:r>
    </w:p>
    <w:p>
      <w:pPr>
        <w:spacing w:after="0" w:line="119" w:lineRule="exact"/>
        <w:rPr>
          <w:rFonts w:ascii="Arial" w:cs="Arial" w:eastAsia="Arial" w:hAnsi="Arial"/>
          <w:sz w:val="22"/>
          <w:szCs w:val="22"/>
          <w:b w:val="1"/>
          <w:bCs w:val="1"/>
          <w:color w:val="auto"/>
        </w:rPr>
      </w:pPr>
    </w:p>
    <w:p>
      <w:pPr>
        <w:ind w:firstLine="656"/>
        <w:spacing w:after="0" w:line="315" w:lineRule="auto"/>
        <w:tabs>
          <w:tab w:leader="none" w:pos="1230"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w:t>
      </w:r>
      <w:r>
        <w:rPr>
          <w:rFonts w:ascii="Arial" w:cs="Arial" w:eastAsia="Arial" w:hAnsi="Arial"/>
          <w:sz w:val="22"/>
          <w:szCs w:val="22"/>
          <w:color w:val="auto"/>
        </w:rPr>
        <w:t>” means one or more members of the Board or persons designated by the Board prior to or in connection with a Change in Control to administer the Plan.</w:t>
      </w:r>
    </w:p>
    <w:p>
      <w:pPr>
        <w:spacing w:after="0" w:line="119" w:lineRule="exact"/>
        <w:rPr>
          <w:rFonts w:ascii="Arial" w:cs="Arial" w:eastAsia="Arial" w:hAnsi="Arial"/>
          <w:sz w:val="22"/>
          <w:szCs w:val="22"/>
          <w:b w:val="1"/>
          <w:bCs w:val="1"/>
          <w:color w:val="auto"/>
        </w:rPr>
      </w:pPr>
    </w:p>
    <w:p>
      <w:pPr>
        <w:ind w:firstLine="656"/>
        <w:spacing w:after="0" w:line="315" w:lineRule="auto"/>
        <w:tabs>
          <w:tab w:leader="none" w:pos="1137"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Separation from Service</w:t>
      </w:r>
      <w:r>
        <w:rPr>
          <w:rFonts w:ascii="Arial" w:cs="Arial" w:eastAsia="Arial" w:hAnsi="Arial"/>
          <w:sz w:val="22"/>
          <w:szCs w:val="22"/>
          <w:color w:val="auto"/>
        </w:rPr>
        <w:t>” means a “separation from service” within the meaning of Treasury Regulations Section 1.409A-1(h), without regard to any alternative definition thereunder.</w:t>
      </w:r>
    </w:p>
    <w:p>
      <w:pPr>
        <w:spacing w:after="0" w:line="119" w:lineRule="exact"/>
        <w:rPr>
          <w:rFonts w:ascii="Arial" w:cs="Arial" w:eastAsia="Arial" w:hAnsi="Arial"/>
          <w:sz w:val="22"/>
          <w:szCs w:val="22"/>
          <w:b w:val="1"/>
          <w:bCs w:val="1"/>
          <w:color w:val="auto"/>
        </w:rPr>
      </w:pPr>
    </w:p>
    <w:p>
      <w:pPr>
        <w:ind w:right="20" w:firstLine="656"/>
        <w:spacing w:after="0" w:line="315" w:lineRule="auto"/>
        <w:tabs>
          <w:tab w:leader="none" w:pos="1071"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Tier I Participant</w:t>
      </w:r>
      <w:r>
        <w:rPr>
          <w:rFonts w:ascii="Arial" w:cs="Arial" w:eastAsia="Arial" w:hAnsi="Arial"/>
          <w:sz w:val="22"/>
          <w:szCs w:val="22"/>
          <w:color w:val="auto"/>
        </w:rPr>
        <w:t>” means any Participant designated by the Plan Administrator as a Tier I Participant (as set forth in the Participant’s Participation Notice).</w:t>
      </w:r>
    </w:p>
    <w:p>
      <w:pPr>
        <w:spacing w:after="0" w:line="119" w:lineRule="exact"/>
        <w:rPr>
          <w:rFonts w:ascii="Arial" w:cs="Arial" w:eastAsia="Arial" w:hAnsi="Arial"/>
          <w:sz w:val="22"/>
          <w:szCs w:val="22"/>
          <w:b w:val="1"/>
          <w:bCs w:val="1"/>
          <w:color w:val="auto"/>
        </w:rPr>
      </w:pPr>
    </w:p>
    <w:p>
      <w:pPr>
        <w:ind w:firstLine="656"/>
        <w:spacing w:after="0" w:line="315" w:lineRule="auto"/>
        <w:tabs>
          <w:tab w:leader="none" w:pos="1119"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Tier II Participant</w:t>
      </w:r>
      <w:r>
        <w:rPr>
          <w:rFonts w:ascii="Arial" w:cs="Arial" w:eastAsia="Arial" w:hAnsi="Arial"/>
          <w:sz w:val="22"/>
          <w:szCs w:val="22"/>
          <w:color w:val="auto"/>
        </w:rPr>
        <w:t>” means any Participant designated by the Plan Administrator as a Tier II Participant (as set forth in the Participant’s Participation Notice).</w:t>
      </w:r>
    </w:p>
    <w:p>
      <w:pPr>
        <w:spacing w:after="0" w:line="119" w:lineRule="exact"/>
        <w:rPr>
          <w:rFonts w:ascii="Arial" w:cs="Arial" w:eastAsia="Arial" w:hAnsi="Arial"/>
          <w:sz w:val="22"/>
          <w:szCs w:val="22"/>
          <w:b w:val="1"/>
          <w:bCs w:val="1"/>
          <w:color w:val="auto"/>
        </w:rPr>
      </w:pPr>
    </w:p>
    <w:p>
      <w:pPr>
        <w:ind w:firstLine="656"/>
        <w:spacing w:after="0" w:line="315" w:lineRule="auto"/>
        <w:tabs>
          <w:tab w:leader="none" w:pos="1080" w:val="left"/>
        </w:tabs>
        <w:numPr>
          <w:ilvl w:val="1"/>
          <w:numId w:val="3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Tier III Participant</w:t>
      </w:r>
      <w:r>
        <w:rPr>
          <w:rFonts w:ascii="Arial" w:cs="Arial" w:eastAsia="Arial" w:hAnsi="Arial"/>
          <w:sz w:val="22"/>
          <w:szCs w:val="22"/>
          <w:color w:val="auto"/>
        </w:rPr>
        <w:t>” means any Participant designated by the Plan Administrator as a Tier III Participant (as set forth in the Participant’s Participation Notice).</w:t>
      </w:r>
    </w:p>
    <w:p>
      <w:pPr>
        <w:spacing w:after="0" w:line="113" w:lineRule="exact"/>
        <w:rPr>
          <w:rFonts w:ascii="Arial" w:cs="Arial" w:eastAsia="Arial" w:hAnsi="Arial"/>
          <w:sz w:val="22"/>
          <w:szCs w:val="22"/>
          <w:b w:val="1"/>
          <w:bCs w:val="1"/>
          <w:color w:val="auto"/>
        </w:rPr>
      </w:pPr>
    </w:p>
    <w:p>
      <w:pPr>
        <w:ind w:left="360" w:hanging="352"/>
        <w:spacing w:after="0"/>
        <w:tabs>
          <w:tab w:leader="none" w:pos="3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FOR BENEFITS.</w:t>
      </w:r>
    </w:p>
    <w:p>
      <w:pPr>
        <w:spacing w:after="0" w:line="273" w:lineRule="exact"/>
        <w:rPr>
          <w:rFonts w:ascii="Arial" w:cs="Arial" w:eastAsia="Arial" w:hAnsi="Arial"/>
          <w:sz w:val="22"/>
          <w:szCs w:val="22"/>
          <w:b w:val="1"/>
          <w:bCs w:val="1"/>
          <w:color w:val="auto"/>
        </w:rPr>
      </w:pPr>
    </w:p>
    <w:p>
      <w:pPr>
        <w:ind w:left="1160" w:hanging="504"/>
        <w:spacing w:after="0"/>
        <w:tabs>
          <w:tab w:leader="none" w:pos="1160" w:val="left"/>
        </w:tabs>
        <w:numPr>
          <w:ilvl w:val="1"/>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Eligibility; Exceptions to Benefits. </w:t>
      </w:r>
      <w:r>
        <w:rPr>
          <w:rFonts w:ascii="Arial" w:cs="Arial" w:eastAsia="Arial" w:hAnsi="Arial"/>
          <w:sz w:val="19"/>
          <w:szCs w:val="19"/>
          <w:color w:val="auto"/>
        </w:rPr>
        <w:t>Subject to the terms and conditions of the Plan, the Company will provide the</w:t>
      </w:r>
    </w:p>
    <w:p>
      <w:pPr>
        <w:spacing w:after="0" w:line="98" w:lineRule="exact"/>
        <w:rPr>
          <w:rFonts w:ascii="Arial" w:cs="Arial" w:eastAsia="Arial" w:hAnsi="Arial"/>
          <w:sz w:val="19"/>
          <w:szCs w:val="19"/>
          <w:b w:val="1"/>
          <w:bCs w:val="1"/>
          <w:color w:val="auto"/>
        </w:rPr>
      </w:pPr>
    </w:p>
    <w:p>
      <w:pPr>
        <w:ind w:right="20"/>
        <w:spacing w:after="0" w:line="387" w:lineRule="auto"/>
        <w:rPr>
          <w:rFonts w:ascii="Arial" w:cs="Arial" w:eastAsia="Arial" w:hAnsi="Arial"/>
          <w:sz w:val="19"/>
          <w:szCs w:val="19"/>
          <w:b w:val="1"/>
          <w:bCs w:val="1"/>
          <w:color w:val="auto"/>
        </w:rPr>
      </w:pPr>
      <w:r>
        <w:rPr>
          <w:rFonts w:ascii="Arial" w:cs="Arial" w:eastAsia="Arial" w:hAnsi="Arial"/>
          <w:sz w:val="19"/>
          <w:szCs w:val="19"/>
          <w:color w:val="auto"/>
        </w:rPr>
        <w:t>benefits described in Section 4 to the affected Participant. A Participant will not receive benefits under the Plan (or will receive reduced benefits under the Plan) in the following circumstances, as determined by the Plan Administrator, in its sole discretion:</w:t>
      </w:r>
    </w:p>
    <w:p>
      <w:pPr>
        <w:spacing w:after="0" w:line="65" w:lineRule="exact"/>
        <w:rPr>
          <w:rFonts w:ascii="Arial" w:cs="Arial" w:eastAsia="Arial" w:hAnsi="Arial"/>
          <w:sz w:val="19"/>
          <w:szCs w:val="19"/>
          <w:b w:val="1"/>
          <w:bCs w:val="1"/>
          <w:color w:val="auto"/>
        </w:rPr>
      </w:pPr>
    </w:p>
    <w:p>
      <w:pPr>
        <w:ind w:firstLine="1305"/>
        <w:spacing w:after="0" w:line="315" w:lineRule="auto"/>
        <w:tabs>
          <w:tab w:leader="none" w:pos="1680" w:val="left"/>
        </w:tabs>
        <w:numPr>
          <w:ilvl w:val="2"/>
          <w:numId w:val="37"/>
        </w:numPr>
        <w:rPr>
          <w:rFonts w:ascii="Arial" w:cs="Arial" w:eastAsia="Arial" w:hAnsi="Arial"/>
          <w:sz w:val="22"/>
          <w:szCs w:val="22"/>
          <w:b w:val="1"/>
          <w:bCs w:val="1"/>
          <w:color w:val="auto"/>
        </w:rPr>
      </w:pPr>
      <w:r>
        <w:rPr>
          <w:rFonts w:ascii="Arial" w:cs="Arial" w:eastAsia="Arial" w:hAnsi="Arial"/>
          <w:sz w:val="22"/>
          <w:szCs w:val="22"/>
          <w:color w:val="auto"/>
        </w:rPr>
        <w:t>The Participant’s employment is terminated by either the Company or the Participant for any reason other than a Qualifying Termination.</w:t>
      </w:r>
    </w:p>
    <w:p>
      <w:pPr>
        <w:spacing w:after="0" w:line="119" w:lineRule="exact"/>
        <w:rPr>
          <w:rFonts w:ascii="Arial" w:cs="Arial" w:eastAsia="Arial" w:hAnsi="Arial"/>
          <w:sz w:val="22"/>
          <w:szCs w:val="22"/>
          <w:b w:val="1"/>
          <w:bCs w:val="1"/>
          <w:color w:val="auto"/>
        </w:rPr>
      </w:pPr>
    </w:p>
    <w:p>
      <w:pPr>
        <w:ind w:firstLine="1305"/>
        <w:spacing w:after="0" w:line="315" w:lineRule="auto"/>
        <w:tabs>
          <w:tab w:leader="none" w:pos="1835" w:val="left"/>
        </w:tabs>
        <w:numPr>
          <w:ilvl w:val="2"/>
          <w:numId w:val="37"/>
        </w:numPr>
        <w:rPr>
          <w:rFonts w:ascii="Arial" w:cs="Arial" w:eastAsia="Arial" w:hAnsi="Arial"/>
          <w:sz w:val="22"/>
          <w:szCs w:val="22"/>
          <w:b w:val="1"/>
          <w:bCs w:val="1"/>
          <w:color w:val="auto"/>
        </w:rPr>
      </w:pPr>
      <w:r>
        <w:rPr>
          <w:rFonts w:ascii="Arial" w:cs="Arial" w:eastAsia="Arial" w:hAnsi="Arial"/>
          <w:sz w:val="22"/>
          <w:szCs w:val="22"/>
          <w:color w:val="auto"/>
        </w:rPr>
        <w:t>The Participant has not entered into the Company’s standard form of Employee Invention Assignment and Confidentiality Agreement or any similar or successor document (the “</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w:t>
      </w:r>
    </w:p>
    <w:p>
      <w:pPr>
        <w:spacing w:after="0" w:line="119" w:lineRule="exact"/>
        <w:rPr>
          <w:rFonts w:ascii="Arial" w:cs="Arial" w:eastAsia="Arial" w:hAnsi="Arial"/>
          <w:sz w:val="22"/>
          <w:szCs w:val="22"/>
          <w:b w:val="1"/>
          <w:bCs w:val="1"/>
          <w:color w:val="auto"/>
        </w:rPr>
      </w:pPr>
    </w:p>
    <w:p>
      <w:pPr>
        <w:ind w:firstLine="1305"/>
        <w:spacing w:after="0" w:line="315" w:lineRule="auto"/>
        <w:tabs>
          <w:tab w:leader="none" w:pos="1895" w:val="left"/>
        </w:tabs>
        <w:numPr>
          <w:ilvl w:val="2"/>
          <w:numId w:val="37"/>
        </w:numPr>
        <w:rPr>
          <w:rFonts w:ascii="Arial" w:cs="Arial" w:eastAsia="Arial" w:hAnsi="Arial"/>
          <w:sz w:val="22"/>
          <w:szCs w:val="22"/>
          <w:b w:val="1"/>
          <w:bCs w:val="1"/>
          <w:color w:val="auto"/>
        </w:rPr>
      </w:pPr>
      <w:r>
        <w:rPr>
          <w:rFonts w:ascii="Arial" w:cs="Arial" w:eastAsia="Arial" w:hAnsi="Arial"/>
          <w:sz w:val="22"/>
          <w:szCs w:val="22"/>
          <w:color w:val="auto"/>
        </w:rPr>
        <w:t>The Participant has failed to execute and allow to become effective the Release (as defined and described below) within the Release Period.</w:t>
      </w:r>
    </w:p>
    <w:p>
      <w:pPr>
        <w:spacing w:after="0" w:line="119" w:lineRule="exact"/>
        <w:rPr>
          <w:rFonts w:ascii="Arial" w:cs="Arial" w:eastAsia="Arial" w:hAnsi="Arial"/>
          <w:sz w:val="22"/>
          <w:szCs w:val="22"/>
          <w:b w:val="1"/>
          <w:bCs w:val="1"/>
          <w:color w:val="auto"/>
        </w:rPr>
      </w:pPr>
    </w:p>
    <w:p>
      <w:pPr>
        <w:ind w:left="1860" w:hanging="555"/>
        <w:spacing w:after="0"/>
        <w:tabs>
          <w:tab w:leader="none" w:pos="1860" w:val="left"/>
        </w:tabs>
        <w:numPr>
          <w:ilvl w:val="2"/>
          <w:numId w:val="37"/>
        </w:numPr>
        <w:rPr>
          <w:rFonts w:ascii="Arial" w:cs="Arial" w:eastAsia="Arial" w:hAnsi="Arial"/>
          <w:sz w:val="19"/>
          <w:szCs w:val="19"/>
          <w:b w:val="1"/>
          <w:bCs w:val="1"/>
          <w:color w:val="auto"/>
        </w:rPr>
      </w:pPr>
      <w:r>
        <w:rPr>
          <w:rFonts w:ascii="Arial" w:cs="Arial" w:eastAsia="Arial" w:hAnsi="Arial"/>
          <w:sz w:val="19"/>
          <w:szCs w:val="19"/>
          <w:color w:val="auto"/>
        </w:rPr>
        <w:t>The Participant has failed to return all Company Property. For this purpose, “</w:t>
      </w:r>
      <w:r>
        <w:rPr>
          <w:rFonts w:ascii="Arial" w:cs="Arial" w:eastAsia="Arial" w:hAnsi="Arial"/>
          <w:sz w:val="19"/>
          <w:szCs w:val="19"/>
          <w:b w:val="1"/>
          <w:bCs w:val="1"/>
          <w:i w:val="1"/>
          <w:iCs w:val="1"/>
          <w:color w:val="auto"/>
        </w:rPr>
        <w:t>Company Property</w:t>
      </w:r>
      <w:r>
        <w:rPr>
          <w:rFonts w:ascii="Arial" w:cs="Arial" w:eastAsia="Arial" w:hAnsi="Arial"/>
          <w:sz w:val="19"/>
          <w:szCs w:val="19"/>
          <w:color w:val="auto"/>
        </w:rPr>
        <w:t>” means all</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paper and electronic Company documents (and all copies thereof) created and/or received by the Participant during his or her period of employment with the Company</w:t>
      </w:r>
    </w:p>
    <w:p>
      <w:pPr>
        <w:sectPr>
          <w:pgSz w:w="11900" w:h="16838" w:orient="portrait"/>
          <w:cols w:equalWidth="0" w:num="1">
            <w:col w:w="11420"/>
          </w:cols>
          <w:pgMar w:left="240" w:top="388" w:right="239" w:bottom="1440" w:gutter="0" w:footer="0" w:header="0"/>
        </w:sectPr>
      </w:pPr>
    </w:p>
    <w:bookmarkStart w:id="46" w:name="page47"/>
    <w:bookmarkEnd w:id="46"/>
    <w:p>
      <w:pPr>
        <w:jc w:val="both"/>
        <w:spacing w:after="0" w:line="298" w:lineRule="auto"/>
        <w:rPr>
          <w:sz w:val="20"/>
          <w:szCs w:val="20"/>
          <w:color w:val="auto"/>
        </w:rPr>
      </w:pPr>
      <w:r>
        <w:rPr>
          <w:rFonts w:ascii="Arial" w:cs="Arial" w:eastAsia="Arial" w:hAnsi="Arial"/>
          <w:sz w:val="21"/>
          <w:szCs w:val="21"/>
          <w:color w:val="auto"/>
        </w:rPr>
        <w:t>and other Company materials and property that the Participant has in his or her possession or control, including, without limitation, Company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without limitation, leased vehicles, computers, computer equipment, software programs, facsimile machines, mobile telephones, servers), credit and calling cards, entry cards, identification badges and keys, and any materials of any kind that contain or embody any proprietary or confidential information of the Company (and all reproductions thereof, in whole or in part). As a condition to receiving benefits under the Plan, a Participant must not make or retain copies, reproductions or summaries of any such Company documents, materials or property. However, a Participant is not required to return his or her personal copies of documents evidencing the Participant’s hire, termination, compensation, benefits and stock options and any other documentation received as a stockholder of the Company.</w:t>
      </w:r>
    </w:p>
    <w:p>
      <w:pPr>
        <w:spacing w:after="0" w:line="140" w:lineRule="exact"/>
        <w:rPr>
          <w:sz w:val="20"/>
          <w:szCs w:val="20"/>
          <w:color w:val="auto"/>
        </w:rPr>
      </w:pPr>
    </w:p>
    <w:p>
      <w:pPr>
        <w:ind w:left="1100" w:hanging="444"/>
        <w:spacing w:after="0"/>
        <w:tabs>
          <w:tab w:leader="none" w:pos="1100" w:val="left"/>
        </w:tabs>
        <w:numPr>
          <w:ilvl w:val="1"/>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and/or Recoupment of Benefits.</w:t>
      </w:r>
    </w:p>
    <w:p>
      <w:pPr>
        <w:spacing w:after="0" w:line="239" w:lineRule="exact"/>
        <w:rPr>
          <w:rFonts w:ascii="Arial" w:cs="Arial" w:eastAsia="Arial" w:hAnsi="Arial"/>
          <w:sz w:val="22"/>
          <w:szCs w:val="22"/>
          <w:b w:val="1"/>
          <w:bCs w:val="1"/>
          <w:color w:val="auto"/>
        </w:rPr>
      </w:pPr>
    </w:p>
    <w:p>
      <w:pPr>
        <w:ind w:left="1800" w:hanging="495"/>
        <w:spacing w:after="0"/>
        <w:tabs>
          <w:tab w:leader="none" w:pos="1800" w:val="left"/>
        </w:tabs>
        <w:numPr>
          <w:ilvl w:val="2"/>
          <w:numId w:val="38"/>
        </w:numPr>
        <w:rPr>
          <w:rFonts w:ascii="Arial" w:cs="Arial" w:eastAsia="Arial" w:hAnsi="Arial"/>
          <w:sz w:val="19"/>
          <w:szCs w:val="19"/>
          <w:b w:val="1"/>
          <w:bCs w:val="1"/>
          <w:color w:val="auto"/>
        </w:rPr>
      </w:pPr>
      <w:r>
        <w:rPr>
          <w:rFonts w:ascii="Arial" w:cs="Arial" w:eastAsia="Arial" w:hAnsi="Arial"/>
          <w:sz w:val="19"/>
          <w:szCs w:val="19"/>
          <w:color w:val="auto"/>
        </w:rPr>
        <w:t>A Participant’s right to receive benefits under the Plan will terminate immediately if, at any time prior to or</w:t>
      </w:r>
    </w:p>
    <w:p>
      <w:pPr>
        <w:spacing w:after="0" w:line="92"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during the period for which the Participant is receiving benefits under the Plan, the Participant, without the prior written approval of the Plan Administrator, engages in a Prohibited Action (as defined below). In addition, if benefits under the Plan have already been paid to a Participant and a Participant subsequently engages in a Prohibited Action during the Prohibited Period (or it is determined that a Participant engaged in a Prohibited Action prior to receipt of such benefits), any benefits previously paid to the Participant shall be subject to recoupment by the Company on such terms and conditions as shall be determined by the Plan Administrator, in its sole discretion. The “</w:t>
      </w:r>
      <w:r>
        <w:rPr>
          <w:rFonts w:ascii="Arial" w:cs="Arial" w:eastAsia="Arial" w:hAnsi="Arial"/>
          <w:sz w:val="19"/>
          <w:szCs w:val="19"/>
          <w:b w:val="1"/>
          <w:bCs w:val="1"/>
          <w:i w:val="1"/>
          <w:iCs w:val="1"/>
          <w:color w:val="auto"/>
        </w:rPr>
        <w:t>Prohibited Period</w:t>
      </w:r>
      <w:r>
        <w:rPr>
          <w:rFonts w:ascii="Arial" w:cs="Arial" w:eastAsia="Arial" w:hAnsi="Arial"/>
          <w:sz w:val="19"/>
          <w:szCs w:val="19"/>
          <w:color w:val="auto"/>
        </w:rPr>
        <w:t>” shall commence on the date of the Participant’s Qualifying Termination and continue for the number of months corresponding to the applicable Severance Multiplier set forth in Section 4(b)</w:t>
      </w:r>
    </w:p>
    <w:p>
      <w:pPr>
        <w:spacing w:after="0" w:line="2" w:lineRule="exact"/>
        <w:rPr>
          <w:rFonts w:ascii="Arial" w:cs="Arial" w:eastAsia="Arial" w:hAnsi="Arial"/>
          <w:sz w:val="19"/>
          <w:szCs w:val="19"/>
          <w:b w:val="1"/>
          <w:bCs w:val="1"/>
          <w:color w:val="auto"/>
        </w:rPr>
      </w:pPr>
    </w:p>
    <w:p>
      <w:pPr>
        <w:ind w:left="380" w:hanging="372"/>
        <w:spacing w:after="0"/>
        <w:tabs>
          <w:tab w:leader="none" w:pos="3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below.</w:t>
      </w:r>
    </w:p>
    <w:p>
      <w:pPr>
        <w:spacing w:after="0" w:line="219" w:lineRule="exact"/>
        <w:rPr>
          <w:rFonts w:ascii="Arial" w:cs="Arial" w:eastAsia="Arial" w:hAnsi="Arial"/>
          <w:sz w:val="22"/>
          <w:szCs w:val="22"/>
          <w:color w:val="auto"/>
        </w:rPr>
      </w:pPr>
    </w:p>
    <w:p>
      <w:pPr>
        <w:ind w:left="1800" w:hanging="495"/>
        <w:spacing w:after="0"/>
        <w:tabs>
          <w:tab w:leader="none" w:pos="1800" w:val="left"/>
        </w:tabs>
        <w:numPr>
          <w:ilvl w:val="2"/>
          <w:numId w:val="39"/>
        </w:numPr>
        <w:rPr>
          <w:rFonts w:ascii="Arial" w:cs="Arial" w:eastAsia="Arial" w:hAnsi="Arial"/>
          <w:sz w:val="22"/>
          <w:szCs w:val="22"/>
          <w:b w:val="1"/>
          <w:bCs w:val="1"/>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Prohibited Action</w:t>
      </w:r>
      <w:r>
        <w:rPr>
          <w:rFonts w:ascii="Arial" w:cs="Arial" w:eastAsia="Arial" w:hAnsi="Arial"/>
          <w:sz w:val="22"/>
          <w:szCs w:val="22"/>
          <w:color w:val="auto"/>
        </w:rPr>
        <w:t>” shall occur if the Participant:</w:t>
      </w:r>
    </w:p>
    <w:p>
      <w:pPr>
        <w:spacing w:after="0" w:line="233" w:lineRule="exact"/>
        <w:rPr>
          <w:rFonts w:ascii="Arial" w:cs="Arial" w:eastAsia="Arial" w:hAnsi="Arial"/>
          <w:sz w:val="22"/>
          <w:szCs w:val="22"/>
          <w:b w:val="1"/>
          <w:bCs w:val="1"/>
          <w:color w:val="auto"/>
        </w:rPr>
      </w:pPr>
    </w:p>
    <w:p>
      <w:pPr>
        <w:ind w:left="2740" w:hanging="787"/>
        <w:spacing w:after="0"/>
        <w:tabs>
          <w:tab w:leader="none" w:pos="2740" w:val="left"/>
        </w:tabs>
        <w:numPr>
          <w:ilvl w:val="3"/>
          <w:numId w:val="39"/>
        </w:numPr>
        <w:rPr>
          <w:rFonts w:ascii="Arial" w:cs="Arial" w:eastAsia="Arial" w:hAnsi="Arial"/>
          <w:sz w:val="19"/>
          <w:szCs w:val="19"/>
          <w:b w:val="1"/>
          <w:bCs w:val="1"/>
          <w:color w:val="auto"/>
        </w:rPr>
      </w:pPr>
      <w:r>
        <w:rPr>
          <w:rFonts w:ascii="Arial" w:cs="Arial" w:eastAsia="Arial" w:hAnsi="Arial"/>
          <w:sz w:val="19"/>
          <w:szCs w:val="19"/>
          <w:color w:val="auto"/>
        </w:rPr>
        <w:t>breaches  a  material  provision  of  the  Confidentiality  Agreement  and/or  any  obligations  of</w:t>
      </w:r>
    </w:p>
    <w:p>
      <w:pPr>
        <w:spacing w:after="0" w:line="92" w:lineRule="exact"/>
        <w:rPr>
          <w:rFonts w:ascii="Arial" w:cs="Arial" w:eastAsia="Arial" w:hAnsi="Arial"/>
          <w:sz w:val="19"/>
          <w:szCs w:val="19"/>
          <w:b w:val="1"/>
          <w:bCs w:val="1"/>
          <w:color w:val="auto"/>
        </w:rPr>
      </w:pPr>
    </w:p>
    <w:p>
      <w:pPr>
        <w:spacing w:after="0" w:line="387" w:lineRule="auto"/>
        <w:rPr>
          <w:rFonts w:ascii="Arial" w:cs="Arial" w:eastAsia="Arial" w:hAnsi="Arial"/>
          <w:sz w:val="19"/>
          <w:szCs w:val="19"/>
          <w:b w:val="1"/>
          <w:bCs w:val="1"/>
          <w:color w:val="auto"/>
        </w:rPr>
      </w:pPr>
      <w:r>
        <w:rPr>
          <w:rFonts w:ascii="Arial" w:cs="Arial" w:eastAsia="Arial" w:hAnsi="Arial"/>
          <w:sz w:val="19"/>
          <w:szCs w:val="19"/>
          <w:color w:val="auto"/>
        </w:rPr>
        <w:t>confidentiality, non-solicitation, non-disparagement, no conflicts or non-competition set forth in the Participant’s employment agreement, offer letter, any other written agreement between the Participant and the Company, or under applicable law;</w:t>
      </w:r>
    </w:p>
    <w:p>
      <w:pPr>
        <w:spacing w:after="0" w:line="65" w:lineRule="exact"/>
        <w:rPr>
          <w:rFonts w:ascii="Arial" w:cs="Arial" w:eastAsia="Arial" w:hAnsi="Arial"/>
          <w:sz w:val="19"/>
          <w:szCs w:val="19"/>
          <w:b w:val="1"/>
          <w:bCs w:val="1"/>
          <w:color w:val="auto"/>
        </w:rPr>
      </w:pPr>
    </w:p>
    <w:p>
      <w:pPr>
        <w:ind w:left="2380" w:hanging="427"/>
        <w:spacing w:after="0"/>
        <w:tabs>
          <w:tab w:leader="none" w:pos="2380" w:val="left"/>
        </w:tabs>
        <w:numPr>
          <w:ilvl w:val="3"/>
          <w:numId w:val="39"/>
        </w:numPr>
        <w:rPr>
          <w:rFonts w:ascii="Arial" w:cs="Arial" w:eastAsia="Arial" w:hAnsi="Arial"/>
          <w:sz w:val="19"/>
          <w:szCs w:val="19"/>
          <w:b w:val="1"/>
          <w:bCs w:val="1"/>
          <w:color w:val="auto"/>
        </w:rPr>
      </w:pPr>
      <w:r>
        <w:rPr>
          <w:rFonts w:ascii="Arial" w:cs="Arial" w:eastAsia="Arial" w:hAnsi="Arial"/>
          <w:sz w:val="19"/>
          <w:szCs w:val="19"/>
          <w:color w:val="auto"/>
        </w:rPr>
        <w:t>encourages or solicits any of the Company’s then current employees to leave the Company’s employ for</w:t>
      </w:r>
    </w:p>
    <w:p>
      <w:pPr>
        <w:spacing w:after="0" w:line="92" w:lineRule="exact"/>
        <w:rPr>
          <w:rFonts w:ascii="Arial" w:cs="Arial" w:eastAsia="Arial" w:hAnsi="Arial"/>
          <w:sz w:val="19"/>
          <w:szCs w:val="19"/>
          <w:b w:val="1"/>
          <w:bCs w:val="1"/>
          <w:color w:val="auto"/>
        </w:rPr>
      </w:pPr>
    </w:p>
    <w:p>
      <w:pPr>
        <w:ind w:right="20"/>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any reason or interferes in any other manner with employment relationships at the time existing between the Company and its then current employees; or</w:t>
      </w:r>
    </w:p>
    <w:p>
      <w:pPr>
        <w:sectPr>
          <w:pgSz w:w="11900" w:h="16838" w:orient="portrait"/>
          <w:cols w:equalWidth="0" w:num="1">
            <w:col w:w="11420"/>
          </w:cols>
          <w:pgMar w:left="240" w:top="388" w:right="239" w:bottom="1440" w:gutter="0" w:footer="0" w:header="0"/>
        </w:sectPr>
      </w:pPr>
    </w:p>
    <w:bookmarkStart w:id="47" w:name="page48"/>
    <w:bookmarkEnd w:id="47"/>
    <w:p>
      <w:pPr>
        <w:ind w:left="2380" w:hanging="427"/>
        <w:spacing w:after="0"/>
        <w:tabs>
          <w:tab w:leader="none" w:pos="2380" w:val="left"/>
        </w:tabs>
        <w:numPr>
          <w:ilvl w:val="3"/>
          <w:numId w:val="40"/>
        </w:numPr>
        <w:rPr>
          <w:rFonts w:ascii="Arial" w:cs="Arial" w:eastAsia="Arial" w:hAnsi="Arial"/>
          <w:sz w:val="19"/>
          <w:szCs w:val="19"/>
          <w:b w:val="1"/>
          <w:bCs w:val="1"/>
          <w:color w:val="auto"/>
        </w:rPr>
      </w:pPr>
      <w:r>
        <w:rPr>
          <w:rFonts w:ascii="Arial" w:cs="Arial" w:eastAsia="Arial" w:hAnsi="Arial"/>
          <w:sz w:val="19"/>
          <w:szCs w:val="19"/>
          <w:color w:val="auto"/>
        </w:rPr>
        <w:t>induces any of the Company’s then current clients, customers, suppliers, vendors, distributors, licensors,</w:t>
      </w:r>
    </w:p>
    <w:p>
      <w:pPr>
        <w:spacing w:after="0" w:line="92"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licensees, or other third parties to terminate their existing business relationship with the Company or interferes in any other manner with any existing business relationship between the Company and any then current client, customer, supplier, vendor, distributor, licensor, licensee, or other third parties.</w:t>
      </w:r>
    </w:p>
    <w:p>
      <w:pPr>
        <w:spacing w:after="0" w:line="137" w:lineRule="exact"/>
        <w:rPr>
          <w:rFonts w:ascii="Arial" w:cs="Arial" w:eastAsia="Arial" w:hAnsi="Arial"/>
          <w:sz w:val="19"/>
          <w:szCs w:val="19"/>
          <w:b w:val="1"/>
          <w:bCs w:val="1"/>
          <w:color w:val="auto"/>
        </w:rPr>
      </w:pPr>
    </w:p>
    <w:p>
      <w:pPr>
        <w:ind w:left="500" w:hanging="492"/>
        <w:spacing w:after="0"/>
        <w:tabs>
          <w:tab w:leader="none" w:pos="50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PAYMENTS &amp; BENEFITS UPON A QUALIFYING TERMINATION. </w:t>
      </w:r>
      <w:r>
        <w:rPr>
          <w:rFonts w:ascii="Arial" w:cs="Arial" w:eastAsia="Arial" w:hAnsi="Arial"/>
          <w:sz w:val="22"/>
          <w:szCs w:val="22"/>
          <w:color w:val="auto"/>
        </w:rPr>
        <w:t>Except as may otherwise be provided in the</w:t>
      </w:r>
    </w:p>
    <w:p>
      <w:pPr>
        <w:spacing w:after="0" w:line="63" w:lineRule="exact"/>
        <w:rPr>
          <w:rFonts w:ascii="Arial" w:cs="Arial" w:eastAsia="Arial" w:hAnsi="Arial"/>
          <w:sz w:val="22"/>
          <w:szCs w:val="22"/>
          <w:b w:val="1"/>
          <w:bCs w:val="1"/>
          <w:color w:val="auto"/>
        </w:rPr>
      </w:pPr>
    </w:p>
    <w:p>
      <w:pPr>
        <w:jc w:val="both"/>
        <w:spacing w:after="0" w:line="292" w:lineRule="auto"/>
        <w:rPr>
          <w:rFonts w:ascii="Arial" w:cs="Arial" w:eastAsia="Arial" w:hAnsi="Arial"/>
          <w:sz w:val="22"/>
          <w:szCs w:val="22"/>
          <w:b w:val="1"/>
          <w:bCs w:val="1"/>
          <w:color w:val="auto"/>
        </w:rPr>
      </w:pPr>
      <w:r>
        <w:rPr>
          <w:rFonts w:ascii="Arial" w:cs="Arial" w:eastAsia="Arial" w:hAnsi="Arial"/>
          <w:sz w:val="22"/>
          <w:szCs w:val="22"/>
          <w:color w:val="auto"/>
        </w:rPr>
        <w:t>Participant’s Participation Notice, in the event of a Qualifying Termination, the Company will provide the payments and benefits described in this Section 4, subject to the terms and conditions of the Plan. For the avoidance of doubt, the Plan does not provide for duplication (in whole or in part) of benefits with any other agreement or plan.</w:t>
      </w:r>
    </w:p>
    <w:p>
      <w:pPr>
        <w:spacing w:after="0" w:line="178" w:lineRule="exact"/>
        <w:rPr>
          <w:rFonts w:ascii="Arial" w:cs="Arial" w:eastAsia="Arial" w:hAnsi="Arial"/>
          <w:sz w:val="22"/>
          <w:szCs w:val="22"/>
          <w:b w:val="1"/>
          <w:bCs w:val="1"/>
          <w:color w:val="auto"/>
        </w:rPr>
      </w:pPr>
    </w:p>
    <w:p>
      <w:pPr>
        <w:ind w:left="1220" w:hanging="564"/>
        <w:spacing w:after="0"/>
        <w:tabs>
          <w:tab w:leader="none" w:pos="1220" w:val="left"/>
        </w:tabs>
        <w:numPr>
          <w:ilvl w:val="1"/>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Payment of Accrued Obligations. </w:t>
      </w:r>
      <w:r>
        <w:rPr>
          <w:rFonts w:ascii="Arial" w:cs="Arial" w:eastAsia="Arial" w:hAnsi="Arial"/>
          <w:sz w:val="19"/>
          <w:szCs w:val="19"/>
          <w:color w:val="auto"/>
        </w:rPr>
        <w:t>The Company shall pay to each eligible Participant who incurs a Qualifying</w:t>
      </w:r>
    </w:p>
    <w:p>
      <w:pPr>
        <w:spacing w:after="0" w:line="98" w:lineRule="exact"/>
        <w:rPr>
          <w:rFonts w:ascii="Arial" w:cs="Arial" w:eastAsia="Arial" w:hAnsi="Arial"/>
          <w:sz w:val="19"/>
          <w:szCs w:val="19"/>
          <w:b w:val="1"/>
          <w:bCs w:val="1"/>
          <w:color w:val="auto"/>
        </w:rPr>
      </w:pPr>
    </w:p>
    <w:p>
      <w:pPr>
        <w:jc w:val="both"/>
        <w:spacing w:after="0" w:line="311" w:lineRule="auto"/>
        <w:rPr>
          <w:rFonts w:ascii="Arial" w:cs="Arial" w:eastAsia="Arial" w:hAnsi="Arial"/>
          <w:sz w:val="19"/>
          <w:szCs w:val="19"/>
          <w:b w:val="1"/>
          <w:bCs w:val="1"/>
          <w:color w:val="auto"/>
        </w:rPr>
      </w:pPr>
      <w:r>
        <w:rPr>
          <w:rFonts w:ascii="Arial" w:cs="Arial" w:eastAsia="Arial" w:hAnsi="Arial"/>
          <w:sz w:val="21"/>
          <w:szCs w:val="21"/>
          <w:color w:val="auto"/>
        </w:rPr>
        <w:t>Termination a lump sum payment in cash, paid in accordance with applicable law, equal to the sum of (i) the Participant’s accrued but unpaid base salary and any accrued but unpaid vacation pay through the date of the Qualifying Termination, and (ii) any earned but unpaid annual bonus for any fiscal year preceding the fiscal year in which the termination occurs.</w:t>
      </w:r>
    </w:p>
    <w:p>
      <w:pPr>
        <w:spacing w:after="0" w:line="122" w:lineRule="exact"/>
        <w:rPr>
          <w:rFonts w:ascii="Arial" w:cs="Arial" w:eastAsia="Arial" w:hAnsi="Arial"/>
          <w:sz w:val="19"/>
          <w:szCs w:val="19"/>
          <w:b w:val="1"/>
          <w:bCs w:val="1"/>
          <w:color w:val="auto"/>
        </w:rPr>
      </w:pPr>
    </w:p>
    <w:p>
      <w:pPr>
        <w:ind w:left="1280" w:hanging="624"/>
        <w:spacing w:after="0"/>
        <w:tabs>
          <w:tab w:leader="none" w:pos="1280" w:val="left"/>
        </w:tabs>
        <w:numPr>
          <w:ilvl w:val="1"/>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Cash Severance</w:t>
      </w:r>
      <w:r>
        <w:rPr>
          <w:rFonts w:ascii="Arial" w:cs="Arial" w:eastAsia="Arial" w:hAnsi="Arial"/>
          <w:sz w:val="19"/>
          <w:szCs w:val="19"/>
          <w:color w:val="auto"/>
        </w:rPr>
        <w:t>. Subject to the execution (and non-revocation) of the Release, the Participant will receive as</w:t>
      </w:r>
    </w:p>
    <w:p>
      <w:pPr>
        <w:spacing w:after="0" w:line="98" w:lineRule="exact"/>
        <w:rPr>
          <w:rFonts w:ascii="Arial" w:cs="Arial" w:eastAsia="Arial" w:hAnsi="Arial"/>
          <w:sz w:val="19"/>
          <w:szCs w:val="19"/>
          <w:b w:val="1"/>
          <w:bCs w:val="1"/>
          <w:color w:val="auto"/>
        </w:rPr>
      </w:pPr>
    </w:p>
    <w:p>
      <w:pPr>
        <w:spacing w:after="0" w:line="387" w:lineRule="auto"/>
        <w:rPr>
          <w:rFonts w:ascii="Arial" w:cs="Arial" w:eastAsia="Arial" w:hAnsi="Arial"/>
          <w:sz w:val="19"/>
          <w:szCs w:val="19"/>
          <w:b w:val="1"/>
          <w:bCs w:val="1"/>
          <w:color w:val="auto"/>
        </w:rPr>
      </w:pPr>
      <w:r>
        <w:rPr>
          <w:rFonts w:ascii="Arial" w:cs="Arial" w:eastAsia="Arial" w:hAnsi="Arial"/>
          <w:sz w:val="19"/>
          <w:szCs w:val="19"/>
          <w:color w:val="auto"/>
        </w:rPr>
        <w:t>severance an amount equal to (i) the applicable Severance Multiplier (as defined below) multiplied by the Participant’s Base Salary (the “</w:t>
      </w:r>
      <w:r>
        <w:rPr>
          <w:rFonts w:ascii="Arial" w:cs="Arial" w:eastAsia="Arial" w:hAnsi="Arial"/>
          <w:sz w:val="19"/>
          <w:szCs w:val="19"/>
          <w:b w:val="1"/>
          <w:bCs w:val="1"/>
          <w:i w:val="1"/>
          <w:iCs w:val="1"/>
          <w:color w:val="auto"/>
        </w:rPr>
        <w:t>Severance Payment</w:t>
      </w:r>
      <w:r>
        <w:rPr>
          <w:rFonts w:ascii="Arial" w:cs="Arial" w:eastAsia="Arial" w:hAnsi="Arial"/>
          <w:sz w:val="19"/>
          <w:szCs w:val="19"/>
          <w:color w:val="auto"/>
        </w:rPr>
        <w:t>”) and (ii) the Pro-Rata Bonus. Such amounts will be payable in accordance with Section 4(b)(iii) below.</w:t>
      </w:r>
    </w:p>
    <w:p>
      <w:pPr>
        <w:spacing w:after="0" w:line="40" w:lineRule="exact"/>
        <w:rPr>
          <w:rFonts w:ascii="Arial" w:cs="Arial" w:eastAsia="Arial" w:hAnsi="Arial"/>
          <w:sz w:val="19"/>
          <w:szCs w:val="19"/>
          <w:b w:val="1"/>
          <w:bCs w:val="1"/>
          <w:color w:val="auto"/>
        </w:rPr>
      </w:pPr>
    </w:p>
    <w:p>
      <w:pPr>
        <w:jc w:val="both"/>
        <w:ind w:right="20" w:firstLine="1305"/>
        <w:spacing w:after="0" w:line="326" w:lineRule="auto"/>
        <w:tabs>
          <w:tab w:leader="none" w:pos="1748" w:val="left"/>
        </w:tabs>
        <w:numPr>
          <w:ilvl w:val="2"/>
          <w:numId w:val="41"/>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Base Salary</w:t>
      </w:r>
      <w:r>
        <w:rPr>
          <w:rFonts w:ascii="Arial" w:cs="Arial" w:eastAsia="Arial" w:hAnsi="Arial"/>
          <w:sz w:val="19"/>
          <w:szCs w:val="19"/>
          <w:color w:val="auto"/>
        </w:rPr>
        <w:t>. For this purpose, “</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means 1/12</w:t>
      </w:r>
      <w:r>
        <w:rPr>
          <w:rFonts w:ascii="Arial" w:cs="Arial" w:eastAsia="Arial" w:hAnsi="Arial"/>
          <w:sz w:val="25"/>
          <w:szCs w:val="25"/>
          <w:color w:val="auto"/>
          <w:vertAlign w:val="superscript"/>
        </w:rPr>
        <w:t>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Participant’s annual base salary (excluding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incentive pay, premium pay, commissions overtime, bonuses and other forms of variable compensation) as in effect on (A) the date of the Involuntary Termination or (B) in the case of a Change in Control Termination, the date of the Change in Control.</w:t>
      </w:r>
    </w:p>
    <w:p>
      <w:pPr>
        <w:spacing w:after="0" w:line="120" w:lineRule="exact"/>
        <w:rPr>
          <w:rFonts w:ascii="Arial" w:cs="Arial" w:eastAsia="Arial" w:hAnsi="Arial"/>
          <w:sz w:val="19"/>
          <w:szCs w:val="19"/>
          <w:b w:val="1"/>
          <w:bCs w:val="1"/>
          <w:color w:val="auto"/>
        </w:rPr>
      </w:pPr>
    </w:p>
    <w:p>
      <w:pPr>
        <w:ind w:left="1820" w:hanging="515"/>
        <w:spacing w:after="0"/>
        <w:tabs>
          <w:tab w:leader="none" w:pos="1820" w:val="left"/>
        </w:tabs>
        <w:numPr>
          <w:ilvl w:val="2"/>
          <w:numId w:val="41"/>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Pro-Rata Bonus</w:t>
      </w:r>
      <w:r>
        <w:rPr>
          <w:rFonts w:ascii="Arial" w:cs="Arial" w:eastAsia="Arial" w:hAnsi="Arial"/>
          <w:sz w:val="19"/>
          <w:szCs w:val="19"/>
          <w:color w:val="auto"/>
        </w:rPr>
        <w:t>. For this purpose, the “</w:t>
      </w:r>
      <w:r>
        <w:rPr>
          <w:rFonts w:ascii="Arial" w:cs="Arial" w:eastAsia="Arial" w:hAnsi="Arial"/>
          <w:sz w:val="19"/>
          <w:szCs w:val="19"/>
          <w:b w:val="1"/>
          <w:bCs w:val="1"/>
          <w:i w:val="1"/>
          <w:iCs w:val="1"/>
          <w:color w:val="auto"/>
        </w:rPr>
        <w:t>Pro-Rata Bonus</w:t>
      </w:r>
      <w:r>
        <w:rPr>
          <w:rFonts w:ascii="Arial" w:cs="Arial" w:eastAsia="Arial" w:hAnsi="Arial"/>
          <w:sz w:val="19"/>
          <w:szCs w:val="19"/>
          <w:color w:val="auto"/>
        </w:rPr>
        <w:t>” means an amount equal to the product of (A) the</w:t>
      </w:r>
    </w:p>
    <w:p>
      <w:pPr>
        <w:spacing w:after="0" w:line="92"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Participant’s target annual bonus (under the Company’s annual bonus plan or program) calculated at 100% of target levels as specified in such Company bonus plan or program as in effect immediately prior to the date of the Qualifying Termination and</w:t>
      </w: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(B) a fraction, the numerator of which is the number of days in such fiscal year in which the Participant was employed by the Company preceding and including the date of the Qualifying Termination and the denominator of which is the number of calendar days in such fiscal year.</w:t>
      </w:r>
    </w:p>
    <w:p>
      <w:pPr>
        <w:spacing w:after="0" w:line="143" w:lineRule="exact"/>
        <w:rPr>
          <w:rFonts w:ascii="Arial" w:cs="Arial" w:eastAsia="Arial" w:hAnsi="Arial"/>
          <w:sz w:val="19"/>
          <w:szCs w:val="19"/>
          <w:b w:val="1"/>
          <w:bCs w:val="1"/>
          <w:color w:val="auto"/>
        </w:rPr>
      </w:pPr>
    </w:p>
    <w:p>
      <w:pPr>
        <w:ind w:left="1800" w:hanging="495"/>
        <w:spacing w:after="0"/>
        <w:tabs>
          <w:tab w:leader="none" w:pos="1800" w:val="left"/>
        </w:tabs>
        <w:numPr>
          <w:ilvl w:val="2"/>
          <w:numId w:val="41"/>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Payment Schedule</w:t>
      </w:r>
      <w:r>
        <w:rPr>
          <w:rFonts w:ascii="Arial" w:cs="Arial" w:eastAsia="Arial" w:hAnsi="Arial"/>
          <w:sz w:val="19"/>
          <w:szCs w:val="19"/>
          <w:color w:val="auto"/>
        </w:rPr>
        <w:t>. The Severance Payment and the Pro-Rata Bonus will be made on the first payroll date that</w:t>
      </w:r>
    </w:p>
    <w:p>
      <w:pPr>
        <w:spacing w:after="0" w:line="92" w:lineRule="exact"/>
        <w:rPr>
          <w:rFonts w:ascii="Arial" w:cs="Arial" w:eastAsia="Arial" w:hAnsi="Arial"/>
          <w:sz w:val="19"/>
          <w:szCs w:val="19"/>
          <w:b w:val="1"/>
          <w:bCs w:val="1"/>
          <w:color w:val="auto"/>
        </w:rPr>
      </w:pPr>
    </w:p>
    <w:p>
      <w:pPr>
        <w:jc w:val="both"/>
        <w:spacing w:after="0" w:line="311" w:lineRule="auto"/>
        <w:rPr>
          <w:rFonts w:ascii="Arial" w:cs="Arial" w:eastAsia="Arial" w:hAnsi="Arial"/>
          <w:sz w:val="19"/>
          <w:szCs w:val="19"/>
          <w:b w:val="1"/>
          <w:bCs w:val="1"/>
          <w:color w:val="auto"/>
        </w:rPr>
      </w:pPr>
      <w:r>
        <w:rPr>
          <w:rFonts w:ascii="Arial" w:cs="Arial" w:eastAsia="Arial" w:hAnsi="Arial"/>
          <w:sz w:val="21"/>
          <w:szCs w:val="21"/>
          <w:color w:val="auto"/>
        </w:rPr>
        <w:t>occurs more than five (5) days after the date on which the Release becomes effective (the “</w:t>
      </w:r>
      <w:r>
        <w:rPr>
          <w:rFonts w:ascii="Arial" w:cs="Arial" w:eastAsia="Arial" w:hAnsi="Arial"/>
          <w:sz w:val="21"/>
          <w:szCs w:val="21"/>
          <w:b w:val="1"/>
          <w:bCs w:val="1"/>
          <w:i w:val="1"/>
          <w:iCs w:val="1"/>
          <w:color w:val="auto"/>
        </w:rPr>
        <w:t>Release Effective Date</w:t>
      </w:r>
      <w:r>
        <w:rPr>
          <w:rFonts w:ascii="Arial" w:cs="Arial" w:eastAsia="Arial" w:hAnsi="Arial"/>
          <w:sz w:val="21"/>
          <w:szCs w:val="21"/>
          <w:color w:val="auto"/>
        </w:rPr>
        <w:t>”). Notwithstanding the foregoing, to the extent required to comply with Section 409A (as defined below), in the event that the Release Period spans two calendar years such that the Release Effective Date could occur in either of such calendar</w:t>
      </w:r>
    </w:p>
    <w:p>
      <w:pPr>
        <w:sectPr>
          <w:pgSz w:w="11900" w:h="16838" w:orient="portrait"/>
          <w:cols w:equalWidth="0" w:num="1">
            <w:col w:w="11420"/>
          </w:cols>
          <w:pgMar w:left="240" w:top="388"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years, the Severance Payment to be made to the Participant will be made in the second calendar year.</w:t>
      </w:r>
    </w:p>
    <w:p>
      <w:pPr>
        <w:spacing w:after="0" w:line="220" w:lineRule="exact"/>
        <w:rPr>
          <w:sz w:val="20"/>
          <w:szCs w:val="20"/>
          <w:color w:val="auto"/>
        </w:rPr>
      </w:pPr>
    </w:p>
    <w:p>
      <w:pPr>
        <w:ind w:left="1880" w:hanging="575"/>
        <w:spacing w:after="0"/>
        <w:tabs>
          <w:tab w:leader="none" w:pos="1880" w:val="left"/>
        </w:tabs>
        <w:numPr>
          <w:ilvl w:val="1"/>
          <w:numId w:val="42"/>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Severance Multiplier</w:t>
      </w:r>
      <w:r>
        <w:rPr>
          <w:rFonts w:ascii="Arial" w:cs="Arial" w:eastAsia="Arial" w:hAnsi="Arial"/>
          <w:sz w:val="19"/>
          <w:szCs w:val="19"/>
          <w:color w:val="auto"/>
        </w:rPr>
        <w:t>. The “</w:t>
      </w:r>
      <w:r>
        <w:rPr>
          <w:rFonts w:ascii="Arial" w:cs="Arial" w:eastAsia="Arial" w:hAnsi="Arial"/>
          <w:sz w:val="19"/>
          <w:szCs w:val="19"/>
          <w:b w:val="1"/>
          <w:bCs w:val="1"/>
          <w:i w:val="1"/>
          <w:iCs w:val="1"/>
          <w:color w:val="auto"/>
        </w:rPr>
        <w:t>Severance Multiplier</w:t>
      </w:r>
      <w:r>
        <w:rPr>
          <w:rFonts w:ascii="Arial" w:cs="Arial" w:eastAsia="Arial" w:hAnsi="Arial"/>
          <w:sz w:val="19"/>
          <w:szCs w:val="19"/>
          <w:color w:val="auto"/>
        </w:rPr>
        <w:t>” is determined as follows: (1) for Tier I Participants, the</w:t>
      </w:r>
    </w:p>
    <w:p>
      <w:pPr>
        <w:spacing w:after="0" w:line="92" w:lineRule="exact"/>
        <w:rPr>
          <w:rFonts w:ascii="Arial" w:cs="Arial" w:eastAsia="Arial" w:hAnsi="Arial"/>
          <w:sz w:val="19"/>
          <w:szCs w:val="19"/>
          <w:b w:val="1"/>
          <w:bCs w:val="1"/>
          <w:color w:val="auto"/>
        </w:rPr>
      </w:pPr>
    </w:p>
    <w:p>
      <w:pPr>
        <w:jc w:val="both"/>
        <w:spacing w:after="0" w:line="357" w:lineRule="auto"/>
        <w:rPr>
          <w:rFonts w:ascii="Arial" w:cs="Arial" w:eastAsia="Arial" w:hAnsi="Arial"/>
          <w:sz w:val="19"/>
          <w:szCs w:val="19"/>
          <w:b w:val="1"/>
          <w:bCs w:val="1"/>
          <w:color w:val="auto"/>
        </w:rPr>
      </w:pPr>
      <w:r>
        <w:rPr>
          <w:rFonts w:ascii="Arial" w:cs="Arial" w:eastAsia="Arial" w:hAnsi="Arial"/>
          <w:sz w:val="19"/>
          <w:szCs w:val="19"/>
          <w:color w:val="auto"/>
        </w:rPr>
        <w:t>Severance Multiplier is equal to twelve (12); (2) for Tier II Participants, the Severance Multiplier is equal to (A) six (6) for an Involuntary Termination and (B) nine (9) for a Change in Control Termination; and (3) for Tier III Participants, the Severance Multiplier is equal to (A) six (6) for an Involuntary Termination and (B) nine (9) for a Change in Control Termination.</w:t>
      </w:r>
    </w:p>
    <w:p>
      <w:pPr>
        <w:spacing w:after="0" w:line="85" w:lineRule="exact"/>
        <w:rPr>
          <w:rFonts w:ascii="Arial" w:cs="Arial" w:eastAsia="Arial" w:hAnsi="Arial"/>
          <w:sz w:val="19"/>
          <w:szCs w:val="19"/>
          <w:b w:val="1"/>
          <w:bCs w:val="1"/>
          <w:color w:val="auto"/>
        </w:rPr>
      </w:pPr>
    </w:p>
    <w:p>
      <w:pPr>
        <w:ind w:left="1080" w:hanging="424"/>
        <w:spacing w:after="0"/>
        <w:tabs>
          <w:tab w:leader="none" w:pos="108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COBRA Payments; Special Severance Payments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680" w:hanging="375"/>
        <w:spacing w:after="0"/>
        <w:tabs>
          <w:tab w:leader="none" w:pos="1680" w:val="left"/>
        </w:tabs>
        <w:numPr>
          <w:ilvl w:val="1"/>
          <w:numId w:val="43"/>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COBRA Payment Period</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If the Participant is eligible for and has made the necessary elections for continuation</w:t>
      </w:r>
    </w:p>
    <w:p>
      <w:pPr>
        <w:spacing w:after="0" w:line="92" w:lineRule="exact"/>
        <w:rPr>
          <w:rFonts w:ascii="Arial" w:cs="Arial" w:eastAsia="Arial" w:hAnsi="Arial"/>
          <w:sz w:val="19"/>
          <w:szCs w:val="19"/>
          <w:b w:val="1"/>
          <w:bCs w:val="1"/>
          <w:color w:val="auto"/>
        </w:rPr>
      </w:pPr>
    </w:p>
    <w:p>
      <w:pPr>
        <w:jc w:val="both"/>
        <w:spacing w:after="0" w:line="299" w:lineRule="auto"/>
        <w:rPr>
          <w:rFonts w:ascii="Arial" w:cs="Arial" w:eastAsia="Arial" w:hAnsi="Arial"/>
          <w:sz w:val="19"/>
          <w:szCs w:val="19"/>
          <w:b w:val="1"/>
          <w:bCs w:val="1"/>
          <w:color w:val="auto"/>
        </w:rPr>
      </w:pPr>
      <w:r>
        <w:rPr>
          <w:rFonts w:ascii="Arial" w:cs="Arial" w:eastAsia="Arial" w:hAnsi="Arial"/>
          <w:sz w:val="21"/>
          <w:szCs w:val="21"/>
          <w:color w:val="auto"/>
        </w:rPr>
        <w:t>coverage pursuant to COBRA under a group health, dental or vision plan sponsored by the Company, the Company will pay, as and when due directly to the COBRA carrier, the COBRA premiums necessary to continue the Participant’s COBRA coverage for the Participant and the Participant’s eligible dependents from the date of the Qualifying Termination until the earliest to occur of (i) the number of months equal to the Participant’s applicable Severance Multiplier, (ii) the expiration of the Participant’s eligibility for the continuation coverage under COBRA, and (iii) the date on which the Participant becomes eligible for health insurance coverage in connection with new employment or self-employment (such period, the “</w:t>
      </w:r>
      <w:r>
        <w:rPr>
          <w:rFonts w:ascii="Arial" w:cs="Arial" w:eastAsia="Arial" w:hAnsi="Arial"/>
          <w:sz w:val="21"/>
          <w:szCs w:val="21"/>
          <w:b w:val="1"/>
          <w:bCs w:val="1"/>
          <w:i w:val="1"/>
          <w:iCs w:val="1"/>
          <w:color w:val="auto"/>
        </w:rPr>
        <w:t>COBRA Payment Period</w:t>
      </w:r>
      <w:r>
        <w:rPr>
          <w:rFonts w:ascii="Arial" w:cs="Arial" w:eastAsia="Arial" w:hAnsi="Arial"/>
          <w:sz w:val="21"/>
          <w:szCs w:val="21"/>
          <w:color w:val="auto"/>
        </w:rPr>
        <w:t>”). The Participant agrees to promptly notify the Company as soon as the Participant becomes eligible for health insurance coverage in connection with new employment or self-employment.</w:t>
      </w:r>
    </w:p>
    <w:p>
      <w:pPr>
        <w:spacing w:after="0" w:line="145" w:lineRule="exact"/>
        <w:rPr>
          <w:rFonts w:ascii="Arial" w:cs="Arial" w:eastAsia="Arial" w:hAnsi="Arial"/>
          <w:sz w:val="19"/>
          <w:szCs w:val="19"/>
          <w:b w:val="1"/>
          <w:bCs w:val="1"/>
          <w:color w:val="auto"/>
        </w:rPr>
      </w:pPr>
    </w:p>
    <w:p>
      <w:pPr>
        <w:ind w:left="1740" w:hanging="435"/>
        <w:spacing w:after="0"/>
        <w:tabs>
          <w:tab w:leader="none" w:pos="1740" w:val="left"/>
        </w:tabs>
        <w:numPr>
          <w:ilvl w:val="1"/>
          <w:numId w:val="43"/>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Special Severance Payment</w:t>
      </w:r>
      <w:r>
        <w:rPr>
          <w:rFonts w:ascii="Arial" w:cs="Arial" w:eastAsia="Arial" w:hAnsi="Arial"/>
          <w:sz w:val="19"/>
          <w:szCs w:val="19"/>
          <w:color w:val="auto"/>
        </w:rPr>
        <w:t>. Notwithstanding Section 4(c)(i) above, if at any time the Company determines, in</w:t>
      </w:r>
    </w:p>
    <w:p>
      <w:pPr>
        <w:spacing w:after="0" w:line="92" w:lineRule="exact"/>
        <w:rPr>
          <w:rFonts w:ascii="Arial" w:cs="Arial" w:eastAsia="Arial" w:hAnsi="Arial"/>
          <w:sz w:val="19"/>
          <w:szCs w:val="19"/>
          <w:b w:val="1"/>
          <w:bCs w:val="1"/>
          <w:color w:val="auto"/>
        </w:rPr>
      </w:pPr>
    </w:p>
    <w:p>
      <w:pPr>
        <w:jc w:val="both"/>
        <w:spacing w:after="0" w:line="338" w:lineRule="auto"/>
        <w:rPr>
          <w:rFonts w:ascii="Arial" w:cs="Arial" w:eastAsia="Arial" w:hAnsi="Arial"/>
          <w:sz w:val="19"/>
          <w:szCs w:val="19"/>
          <w:b w:val="1"/>
          <w:bCs w:val="1"/>
          <w:color w:val="auto"/>
        </w:rPr>
      </w:pPr>
      <w:r>
        <w:rPr>
          <w:rFonts w:ascii="Arial" w:cs="Arial" w:eastAsia="Arial" w:hAnsi="Arial"/>
          <w:sz w:val="19"/>
          <w:szCs w:val="19"/>
          <w:color w:val="auto"/>
        </w:rPr>
        <w:t>its sole discretion, that the payment of the COBRA premiums would result in a violation of the nondiscrimination rules of Section 105(h)(2) of the Code or any statute or regulation of similar effect (including, without limitation, the 2010 Patient Protection and Affordable Care Act, as amended by the 2010 Health Care and Education Reconciliation Act and any other subsequent amendments), then in lieu of providing the benefit set forth in Section 4(c)(i) above, the Company will instead pay the Participant, on the first day of each month of the remainder of the COBRA Payment Period, a fully taxable cash payment equal to the COBRA premiums for that month, subject to applicable tax withholdings and deductions (such amount, the “</w:t>
      </w:r>
      <w:r>
        <w:rPr>
          <w:rFonts w:ascii="Arial" w:cs="Arial" w:eastAsia="Arial" w:hAnsi="Arial"/>
          <w:sz w:val="19"/>
          <w:szCs w:val="19"/>
          <w:b w:val="1"/>
          <w:bCs w:val="1"/>
          <w:i w:val="1"/>
          <w:iCs w:val="1"/>
          <w:color w:val="auto"/>
        </w:rPr>
        <w:t>Special Severance Payment</w:t>
      </w:r>
      <w:r>
        <w:rPr>
          <w:rFonts w:ascii="Arial" w:cs="Arial" w:eastAsia="Arial" w:hAnsi="Arial"/>
          <w:sz w:val="19"/>
          <w:szCs w:val="19"/>
          <w:color w:val="auto"/>
        </w:rPr>
        <w:t>”).</w:t>
      </w:r>
    </w:p>
    <w:p>
      <w:pPr>
        <w:spacing w:after="0" w:line="106" w:lineRule="exact"/>
        <w:rPr>
          <w:rFonts w:ascii="Arial" w:cs="Arial" w:eastAsia="Arial" w:hAnsi="Arial"/>
          <w:sz w:val="19"/>
          <w:szCs w:val="19"/>
          <w:b w:val="1"/>
          <w:bCs w:val="1"/>
          <w:color w:val="auto"/>
        </w:rPr>
      </w:pPr>
    </w:p>
    <w:p>
      <w:pPr>
        <w:ind w:left="1840" w:hanging="535"/>
        <w:spacing w:after="0"/>
        <w:tabs>
          <w:tab w:leader="none" w:pos="1840" w:val="left"/>
        </w:tabs>
        <w:numPr>
          <w:ilvl w:val="1"/>
          <w:numId w:val="43"/>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Payment Schedule</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Company will make the first payment under this Section 4(c) (and, in the case of the</w:t>
      </w:r>
    </w:p>
    <w:p>
      <w:pPr>
        <w:spacing w:after="0" w:line="98"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Special Severance Payment, such payment will be made to the Participant, in a lump sum) within five (5) business days after the Release Effective Date. Notwithstanding the foregoing, to the extent required to comply with Section 409A (as defined below), in the event that the Release Period spans two calendar years such that the Release Effective Date could occur in either of such calendar years, the first payment to be made under this Section</w:t>
      </w:r>
    </w:p>
    <w:p>
      <w:pPr>
        <w:sectPr>
          <w:pgSz w:w="11900" w:h="16838" w:orient="portrait"/>
          <w:cols w:equalWidth="0" w:num="1">
            <w:col w:w="11420"/>
          </w:cols>
          <w:pgMar w:left="240" w:top="388" w:right="239" w:bottom="1440" w:gutter="0" w:footer="0" w:header="0"/>
        </w:sectPr>
      </w:pPr>
    </w:p>
    <w:bookmarkStart w:id="49" w:name="page50"/>
    <w:bookmarkEnd w:id="49"/>
    <w:p>
      <w:pPr>
        <w:spacing w:after="0" w:line="387" w:lineRule="auto"/>
        <w:rPr>
          <w:sz w:val="20"/>
          <w:szCs w:val="20"/>
          <w:color w:val="auto"/>
        </w:rPr>
      </w:pPr>
      <w:r>
        <w:rPr>
          <w:rFonts w:ascii="Arial" w:cs="Arial" w:eastAsia="Arial" w:hAnsi="Arial"/>
          <w:sz w:val="19"/>
          <w:szCs w:val="19"/>
          <w:color w:val="auto"/>
        </w:rPr>
        <w:t>4(c) will be made in the second calendar year (and, if applicable, will include any amounts that the Company otherwise would have paid through such date), with the balance of the payments (if applicable) paid thereafter on the original schedule.</w:t>
      </w:r>
    </w:p>
    <w:p>
      <w:pPr>
        <w:spacing w:after="0" w:line="59" w:lineRule="exact"/>
        <w:rPr>
          <w:sz w:val="20"/>
          <w:szCs w:val="20"/>
          <w:color w:val="auto"/>
        </w:rPr>
      </w:pPr>
    </w:p>
    <w:p>
      <w:pPr>
        <w:ind w:left="1100" w:hanging="444"/>
        <w:spacing w:after="0"/>
        <w:tabs>
          <w:tab w:leader="none" w:pos="110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Accelerated Vesting.</w:t>
      </w:r>
    </w:p>
    <w:p>
      <w:pPr>
        <w:spacing w:after="0" w:line="239" w:lineRule="exact"/>
        <w:rPr>
          <w:rFonts w:ascii="Arial" w:cs="Arial" w:eastAsia="Arial" w:hAnsi="Arial"/>
          <w:sz w:val="22"/>
          <w:szCs w:val="22"/>
          <w:b w:val="1"/>
          <w:bCs w:val="1"/>
          <w:color w:val="auto"/>
        </w:rPr>
      </w:pPr>
    </w:p>
    <w:p>
      <w:pPr>
        <w:ind w:firstLine="1305"/>
        <w:spacing w:after="0" w:line="315" w:lineRule="auto"/>
        <w:tabs>
          <w:tab w:leader="none" w:pos="1734" w:val="left"/>
        </w:tabs>
        <w:numPr>
          <w:ilvl w:val="1"/>
          <w:numId w:val="44"/>
        </w:numPr>
        <w:rPr>
          <w:rFonts w:ascii="Arial" w:cs="Arial" w:eastAsia="Arial" w:hAnsi="Arial"/>
          <w:sz w:val="22"/>
          <w:szCs w:val="22"/>
          <w:b w:val="1"/>
          <w:bCs w:val="1"/>
          <w:color w:val="auto"/>
        </w:rPr>
      </w:pPr>
      <w:r>
        <w:rPr>
          <w:rFonts w:ascii="Arial" w:cs="Arial" w:eastAsia="Arial" w:hAnsi="Arial"/>
          <w:sz w:val="22"/>
          <w:szCs w:val="22"/>
          <w:b w:val="1"/>
          <w:bCs w:val="1"/>
          <w:i w:val="1"/>
          <w:iCs w:val="1"/>
          <w:u w:val="single" w:color="auto"/>
          <w:color w:val="auto"/>
        </w:rPr>
        <w:t>Involuntary Termination</w:t>
      </w:r>
      <w:r>
        <w:rPr>
          <w:rFonts w:ascii="Arial" w:cs="Arial" w:eastAsia="Arial" w:hAnsi="Arial"/>
          <w:sz w:val="22"/>
          <w:szCs w:val="22"/>
          <w:color w:val="auto"/>
        </w:rPr>
        <w:t>. Subject to the Participant’s execution (and non-revocation) of the Release, upon 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Involuntary Termination, Tier I and Tier II Participants shall be entitled to the following benefits.</w:t>
      </w:r>
    </w:p>
    <w:p>
      <w:pPr>
        <w:spacing w:after="0" w:line="113" w:lineRule="exact"/>
        <w:rPr>
          <w:rFonts w:ascii="Arial" w:cs="Arial" w:eastAsia="Arial" w:hAnsi="Arial"/>
          <w:sz w:val="22"/>
          <w:szCs w:val="22"/>
          <w:b w:val="1"/>
          <w:bCs w:val="1"/>
          <w:color w:val="auto"/>
        </w:rPr>
      </w:pPr>
    </w:p>
    <w:p>
      <w:pPr>
        <w:ind w:left="2420" w:hanging="467"/>
        <w:spacing w:after="0"/>
        <w:tabs>
          <w:tab w:leader="none" w:pos="2420" w:val="left"/>
        </w:tabs>
        <w:numPr>
          <w:ilvl w:val="2"/>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Tier I Participants</w:t>
      </w:r>
      <w:r>
        <w:rPr>
          <w:rFonts w:ascii="Arial" w:cs="Arial" w:eastAsia="Arial" w:hAnsi="Arial"/>
          <w:sz w:val="19"/>
          <w:szCs w:val="19"/>
          <w:color w:val="auto"/>
        </w:rPr>
        <w:t>. Upon an Involuntary Termination, the vesting and exercisability (if applicable) of</w:t>
      </w:r>
    </w:p>
    <w:p>
      <w:pPr>
        <w:spacing w:after="0" w:line="98" w:lineRule="exact"/>
        <w:rPr>
          <w:rFonts w:ascii="Arial" w:cs="Arial" w:eastAsia="Arial" w:hAnsi="Arial"/>
          <w:sz w:val="19"/>
          <w:szCs w:val="19"/>
          <w:b w:val="1"/>
          <w:bCs w:val="1"/>
          <w:color w:val="auto"/>
        </w:rPr>
      </w:pPr>
    </w:p>
    <w:p>
      <w:pPr>
        <w:jc w:val="both"/>
        <w:spacing w:after="0" w:line="303" w:lineRule="auto"/>
        <w:rPr>
          <w:rFonts w:ascii="Arial" w:cs="Arial" w:eastAsia="Arial" w:hAnsi="Arial"/>
          <w:sz w:val="19"/>
          <w:szCs w:val="19"/>
          <w:b w:val="1"/>
          <w:bCs w:val="1"/>
          <w:color w:val="auto"/>
        </w:rPr>
      </w:pPr>
      <w:r>
        <w:rPr>
          <w:rFonts w:ascii="Arial" w:cs="Arial" w:eastAsia="Arial" w:hAnsi="Arial"/>
          <w:sz w:val="21"/>
          <w:szCs w:val="21"/>
          <w:color w:val="auto"/>
        </w:rPr>
        <w:t>all outstanding unvested equity awards under the Company’s equity incentive plans that are held by Tier I Participants on the date of such Involuntary Termination will be accelerated by twenty-five percent (25%). Such vesting acceleration of the Participant’s outstanding unvested equity awards shall be accelerated on a category-by-category basis, as applicable (</w:t>
      </w:r>
      <w:r>
        <w:rPr>
          <w:rFonts w:ascii="Arial" w:cs="Arial" w:eastAsia="Arial" w:hAnsi="Arial"/>
          <w:sz w:val="21"/>
          <w:szCs w:val="21"/>
          <w:i w:val="1"/>
          <w:iCs w:val="1"/>
          <w:color w:val="auto"/>
        </w:rPr>
        <w:t>e.g.</w:t>
      </w:r>
      <w:r>
        <w:rPr>
          <w:rFonts w:ascii="Arial" w:cs="Arial" w:eastAsia="Arial" w:hAnsi="Arial"/>
          <w:sz w:val="21"/>
          <w:szCs w:val="21"/>
          <w:color w:val="auto"/>
        </w:rPr>
        <w:t>, twenty-five percent (25%) of outstanding and unvested stock options shall vest and become exercisable, the restrictions with respect to twenty-five percent (25%) of outstanding and unvested restricted shares will lapse, etc.).</w:t>
      </w:r>
    </w:p>
    <w:p>
      <w:pPr>
        <w:spacing w:after="0" w:line="130" w:lineRule="exact"/>
        <w:rPr>
          <w:rFonts w:ascii="Arial" w:cs="Arial" w:eastAsia="Arial" w:hAnsi="Arial"/>
          <w:sz w:val="19"/>
          <w:szCs w:val="19"/>
          <w:b w:val="1"/>
          <w:bCs w:val="1"/>
          <w:color w:val="auto"/>
        </w:rPr>
      </w:pPr>
    </w:p>
    <w:p>
      <w:pPr>
        <w:ind w:left="2400" w:hanging="447"/>
        <w:spacing w:after="0"/>
        <w:tabs>
          <w:tab w:leader="none" w:pos="2400" w:val="left"/>
        </w:tabs>
        <w:numPr>
          <w:ilvl w:val="2"/>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Tier II Participants</w:t>
      </w:r>
      <w:r>
        <w:rPr>
          <w:rFonts w:ascii="Arial" w:cs="Arial" w:eastAsia="Arial" w:hAnsi="Arial"/>
          <w:sz w:val="19"/>
          <w:szCs w:val="19"/>
          <w:color w:val="auto"/>
        </w:rPr>
        <w:t>. Upon an Involuntary Termination, the vesting and exercisability (if applicable) of</w:t>
      </w:r>
    </w:p>
    <w:p>
      <w:pPr>
        <w:spacing w:after="0" w:line="98" w:lineRule="exact"/>
        <w:rPr>
          <w:rFonts w:ascii="Arial" w:cs="Arial" w:eastAsia="Arial" w:hAnsi="Arial"/>
          <w:sz w:val="19"/>
          <w:szCs w:val="19"/>
          <w:b w:val="1"/>
          <w:bCs w:val="1"/>
          <w:color w:val="auto"/>
        </w:rPr>
      </w:pPr>
    </w:p>
    <w:p>
      <w:pPr>
        <w:jc w:val="both"/>
        <w:spacing w:after="0" w:line="306" w:lineRule="auto"/>
        <w:rPr>
          <w:rFonts w:ascii="Arial" w:cs="Arial" w:eastAsia="Arial" w:hAnsi="Arial"/>
          <w:sz w:val="19"/>
          <w:szCs w:val="19"/>
          <w:b w:val="1"/>
          <w:bCs w:val="1"/>
          <w:color w:val="auto"/>
        </w:rPr>
      </w:pPr>
      <w:r>
        <w:rPr>
          <w:rFonts w:ascii="Arial" w:cs="Arial" w:eastAsia="Arial" w:hAnsi="Arial"/>
          <w:sz w:val="21"/>
          <w:szCs w:val="21"/>
          <w:color w:val="auto"/>
        </w:rPr>
        <w:t>all outstanding unvested equity awards granted to Tier II Participants under the Company’s equity incentive plans prior to April 1, 2012 (the “</w:t>
      </w:r>
      <w:r>
        <w:rPr>
          <w:rFonts w:ascii="Arial" w:cs="Arial" w:eastAsia="Arial" w:hAnsi="Arial"/>
          <w:sz w:val="21"/>
          <w:szCs w:val="21"/>
          <w:b w:val="1"/>
          <w:bCs w:val="1"/>
          <w:i w:val="1"/>
          <w:iCs w:val="1"/>
          <w:color w:val="auto"/>
        </w:rPr>
        <w:t>Tier II Eligible Equity Awards</w:t>
      </w:r>
      <w:r>
        <w:rPr>
          <w:rFonts w:ascii="Arial" w:cs="Arial" w:eastAsia="Arial" w:hAnsi="Arial"/>
          <w:sz w:val="21"/>
          <w:szCs w:val="21"/>
          <w:color w:val="auto"/>
        </w:rPr>
        <w:t>”) that are held by a Tier II Participant on the date of such Participant’s Involuntary Termination will accelerate and vest in full. For the avoidance of doubt, there will be no vesting acceleration of any outstanding equity awards for Tier II Participants that are not Tier II Eligible Equity Awards.</w:t>
      </w:r>
    </w:p>
    <w:p>
      <w:pPr>
        <w:spacing w:after="0" w:line="132" w:lineRule="exact"/>
        <w:rPr>
          <w:rFonts w:ascii="Arial" w:cs="Arial" w:eastAsia="Arial" w:hAnsi="Arial"/>
          <w:sz w:val="19"/>
          <w:szCs w:val="19"/>
          <w:b w:val="1"/>
          <w:bCs w:val="1"/>
          <w:color w:val="auto"/>
        </w:rPr>
      </w:pPr>
    </w:p>
    <w:p>
      <w:pPr>
        <w:ind w:left="1820" w:hanging="515"/>
        <w:spacing w:after="0"/>
        <w:tabs>
          <w:tab w:leader="none" w:pos="1820" w:val="left"/>
        </w:tabs>
        <w:numPr>
          <w:ilvl w:val="1"/>
          <w:numId w:val="44"/>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Change in Control Termination</w:t>
      </w:r>
      <w:r>
        <w:rPr>
          <w:rFonts w:ascii="Arial" w:cs="Arial" w:eastAsia="Arial" w:hAnsi="Arial"/>
          <w:sz w:val="19"/>
          <w:szCs w:val="19"/>
          <w:color w:val="auto"/>
        </w:rPr>
        <w:t>. Subject to the Participant’s execution (and non-revocation) of the Release,</w:t>
      </w:r>
    </w:p>
    <w:p>
      <w:pPr>
        <w:spacing w:after="0" w:line="92" w:lineRule="exact"/>
        <w:rPr>
          <w:rFonts w:ascii="Arial" w:cs="Arial" w:eastAsia="Arial" w:hAnsi="Arial"/>
          <w:sz w:val="19"/>
          <w:szCs w:val="19"/>
          <w:b w:val="1"/>
          <w:bCs w:val="1"/>
          <w:color w:val="auto"/>
        </w:rPr>
      </w:pPr>
    </w:p>
    <w:p>
      <w:pPr>
        <w:jc w:val="both"/>
        <w:spacing w:after="0" w:line="357" w:lineRule="auto"/>
        <w:rPr>
          <w:rFonts w:ascii="Arial" w:cs="Arial" w:eastAsia="Arial" w:hAnsi="Arial"/>
          <w:sz w:val="19"/>
          <w:szCs w:val="19"/>
          <w:b w:val="1"/>
          <w:bCs w:val="1"/>
          <w:color w:val="auto"/>
        </w:rPr>
      </w:pPr>
      <w:r>
        <w:rPr>
          <w:rFonts w:ascii="Arial" w:cs="Arial" w:eastAsia="Arial" w:hAnsi="Arial"/>
          <w:sz w:val="19"/>
          <w:szCs w:val="19"/>
          <w:color w:val="auto"/>
        </w:rPr>
        <w:t>upon a Change in Control Termination, the vesting and exercisability (if applicable) of all outstanding unvested equity awards granted under the Company’s equity incentive plans that are held by a Participant on the date of the Change in Control Termination will be accelerated in full. Such vesting acceleration shall apply to Tier I Participants, Tier II Participants and Tier III Participants.</w:t>
      </w:r>
    </w:p>
    <w:p>
      <w:pPr>
        <w:spacing w:after="0" w:line="85" w:lineRule="exact"/>
        <w:rPr>
          <w:rFonts w:ascii="Arial" w:cs="Arial" w:eastAsia="Arial" w:hAnsi="Arial"/>
          <w:sz w:val="19"/>
          <w:szCs w:val="19"/>
          <w:b w:val="1"/>
          <w:bCs w:val="1"/>
          <w:color w:val="auto"/>
        </w:rPr>
      </w:pPr>
    </w:p>
    <w:p>
      <w:pPr>
        <w:ind w:left="1080" w:hanging="424"/>
        <w:spacing w:after="0"/>
        <w:tabs>
          <w:tab w:leader="none" w:pos="108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Extension of Post-Termination Exercise Period</w:t>
      </w:r>
      <w:r>
        <w:rPr>
          <w:rFonts w:ascii="Arial" w:cs="Arial" w:eastAsia="Arial" w:hAnsi="Arial"/>
          <w:sz w:val="19"/>
          <w:szCs w:val="19"/>
          <w:color w:val="auto"/>
        </w:rPr>
        <w:t>. All outstanding stock options and other equity awards which carry a</w:t>
      </w:r>
    </w:p>
    <w:p>
      <w:pPr>
        <w:spacing w:after="0" w:line="98"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right to exercise that are held by a Participant under the Company’s equity incentive plans as of the date of the Qualifying Termination will expire on the earlier of (A) the original term of such outstanding equity awards as set forth in the applicable award agreement or the equity incentive plan, subject to earlier termination in the event of a Change in Control as set forth in the terms of the applicable equity incentive plan and definitive agreement</w:t>
      </w:r>
    </w:p>
    <w:p>
      <w:pPr>
        <w:sectPr>
          <w:pgSz w:w="11900" w:h="16838" w:orient="portrait"/>
          <w:cols w:equalWidth="0" w:num="1">
            <w:col w:w="11420"/>
          </w:cols>
          <w:pgMar w:left="240" w:top="388" w:right="239" w:bottom="1440" w:gutter="0" w:footer="0" w:header="0"/>
        </w:sectPr>
      </w:pPr>
    </w:p>
    <w:bookmarkStart w:id="50" w:name="page51"/>
    <w:bookmarkEnd w:id="50"/>
    <w:p>
      <w:pPr>
        <w:spacing w:after="0" w:line="302" w:lineRule="auto"/>
        <w:rPr>
          <w:sz w:val="20"/>
          <w:szCs w:val="20"/>
          <w:color w:val="auto"/>
        </w:rPr>
      </w:pPr>
      <w:r>
        <w:rPr>
          <w:rFonts w:ascii="Arial" w:cs="Arial" w:eastAsia="Arial" w:hAnsi="Arial"/>
          <w:sz w:val="22"/>
          <w:szCs w:val="22"/>
          <w:color w:val="auto"/>
        </w:rPr>
        <w:t>for such Change in Control transaction, and (B) the date which occurs on the first anniversary of the Participant’s Qualifying Termination.</w:t>
      </w:r>
    </w:p>
    <w:p>
      <w:pPr>
        <w:spacing w:after="0" w:line="127"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AND LIMITATIONS ON BENEFITS.</w:t>
      </w:r>
    </w:p>
    <w:p>
      <w:pPr>
        <w:spacing w:after="0" w:line="273" w:lineRule="exact"/>
        <w:rPr>
          <w:rFonts w:ascii="Arial" w:cs="Arial" w:eastAsia="Arial" w:hAnsi="Arial"/>
          <w:sz w:val="22"/>
          <w:szCs w:val="22"/>
          <w:b w:val="1"/>
          <w:bCs w:val="1"/>
          <w:color w:val="auto"/>
        </w:rPr>
      </w:pPr>
    </w:p>
    <w:p>
      <w:pPr>
        <w:jc w:val="both"/>
        <w:ind w:firstLine="656"/>
        <w:spacing w:after="0" w:line="347" w:lineRule="auto"/>
        <w:tabs>
          <w:tab w:leader="none" w:pos="1107" w:val="left"/>
        </w:tabs>
        <w:numPr>
          <w:ilvl w:val="1"/>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Release. </w:t>
      </w:r>
      <w:r>
        <w:rPr>
          <w:rFonts w:ascii="Arial" w:cs="Arial" w:eastAsia="Arial" w:hAnsi="Arial"/>
          <w:sz w:val="19"/>
          <w:szCs w:val="19"/>
          <w:color w:val="auto"/>
        </w:rPr>
        <w:t>To be eligible to receive any benefits under the Plan, a Participant must sign a general waiver and release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substantially the form attached hereto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as appropriate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and such release must be executed (and not revoked) by the Participant in accordance with its terms, in each case within the Release Period. The Plan Administrator, in its sole discretion, may modify the form of the required Release to comply with applicable law, and any such Release may be incorporated into a termination agreement or other agreement with the Participant.</w:t>
      </w:r>
    </w:p>
    <w:p>
      <w:pPr>
        <w:spacing w:after="0" w:line="95" w:lineRule="exact"/>
        <w:rPr>
          <w:rFonts w:ascii="Arial" w:cs="Arial" w:eastAsia="Arial" w:hAnsi="Arial"/>
          <w:sz w:val="19"/>
          <w:szCs w:val="19"/>
          <w:b w:val="1"/>
          <w:bCs w:val="1"/>
          <w:color w:val="auto"/>
        </w:rPr>
      </w:pPr>
    </w:p>
    <w:p>
      <w:pPr>
        <w:ind w:left="1160" w:hanging="504"/>
        <w:spacing w:after="0"/>
        <w:tabs>
          <w:tab w:leader="none" w:pos="1160" w:val="left"/>
        </w:tabs>
        <w:numPr>
          <w:ilvl w:val="1"/>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Prior Agreements; Certain Reductions. </w:t>
      </w:r>
      <w:r>
        <w:rPr>
          <w:rFonts w:ascii="Arial" w:cs="Arial" w:eastAsia="Arial" w:hAnsi="Arial"/>
          <w:sz w:val="19"/>
          <w:szCs w:val="19"/>
          <w:color w:val="auto"/>
        </w:rPr>
        <w:t>The Plan Administrator will reduce a Participant’s benefits under the Plan</w:t>
      </w:r>
    </w:p>
    <w:p>
      <w:pPr>
        <w:spacing w:after="0" w:line="98" w:lineRule="exact"/>
        <w:rPr>
          <w:rFonts w:ascii="Arial" w:cs="Arial" w:eastAsia="Arial" w:hAnsi="Arial"/>
          <w:sz w:val="19"/>
          <w:szCs w:val="19"/>
          <w:b w:val="1"/>
          <w:bCs w:val="1"/>
          <w:color w:val="auto"/>
        </w:rPr>
      </w:pPr>
    </w:p>
    <w:p>
      <w:pPr>
        <w:jc w:val="both"/>
        <w:spacing w:after="0" w:line="330" w:lineRule="auto"/>
        <w:rPr>
          <w:rFonts w:ascii="Arial" w:cs="Arial" w:eastAsia="Arial" w:hAnsi="Arial"/>
          <w:sz w:val="19"/>
          <w:szCs w:val="19"/>
          <w:b w:val="1"/>
          <w:bCs w:val="1"/>
          <w:color w:val="auto"/>
        </w:rPr>
      </w:pPr>
      <w:r>
        <w:rPr>
          <w:rFonts w:ascii="Arial" w:cs="Arial" w:eastAsia="Arial" w:hAnsi="Arial"/>
          <w:sz w:val="19"/>
          <w:szCs w:val="19"/>
          <w:color w:val="auto"/>
        </w:rPr>
        <w:t>by any other statutory severance obligations or contractual severance benefits, obligations for pay in lieu of notice, and any other similar benefits payable to the Participant by the Company (or any successor thereto) that are due in connection with the Participant’s Qualifying Termination and that are in the same form as the benefits provided under the Plan (</w:t>
      </w:r>
      <w:r>
        <w:rPr>
          <w:rFonts w:ascii="Arial" w:cs="Arial" w:eastAsia="Arial" w:hAnsi="Arial"/>
          <w:sz w:val="19"/>
          <w:szCs w:val="19"/>
          <w:u w:val="single" w:color="auto"/>
          <w:color w:val="auto"/>
        </w:rPr>
        <w:t>e.g</w:t>
      </w:r>
      <w:r>
        <w:rPr>
          <w:rFonts w:ascii="Arial" w:cs="Arial" w:eastAsia="Arial" w:hAnsi="Arial"/>
          <w:sz w:val="19"/>
          <w:szCs w:val="19"/>
          <w:color w:val="auto"/>
        </w:rPr>
        <w:t>., equity award vesting credit). Without limitation, this reduction includes a reduction for any benefits required pursuant to (i) any applicable legal requirement, including, without limitation, the Worker Adjustment and Retraining Notification Act of 1988 and any similar state or local laws (collectively, the “</w:t>
      </w:r>
      <w:r>
        <w:rPr>
          <w:rFonts w:ascii="Arial" w:cs="Arial" w:eastAsia="Arial" w:hAnsi="Arial"/>
          <w:sz w:val="19"/>
          <w:szCs w:val="19"/>
          <w:b w:val="1"/>
          <w:bCs w:val="1"/>
          <w:i w:val="1"/>
          <w:iCs w:val="1"/>
          <w:color w:val="auto"/>
        </w:rPr>
        <w:t>WARN Act</w:t>
      </w:r>
      <w:r>
        <w:rPr>
          <w:rFonts w:ascii="Arial" w:cs="Arial" w:eastAsia="Arial" w:hAnsi="Arial"/>
          <w:sz w:val="19"/>
          <w:szCs w:val="19"/>
          <w:color w:val="auto"/>
        </w:rPr>
        <w:t>”), (ii) a written employment, severance or equity award agreement with the Company, (iii) any Company policy or practice providing for the Participant to remain on the payroll for a limited period of time after being given notice of the termination of the Participant’s employment, and (iv) any required salary continuation, notice pay, statutory severance payment, or other payments either required by local law, or owed pursuant to a collective labor agreement, as a result of the termination of the Participant’s employment. The benefits provided under the Plan are intended to satisfy, to the greatest extent possible, and not to provide benefits duplicative of, any and all statutory, contractual and collective agreement obligations of the Company in respect of the form of benefits provided under the Plan that may arise out of a Qualifying Termination, and the Plan Administrator will so construe and implement the terms of the Plan. Reductions may be applied on a retroactive basis, with benefits previously provided being recharacterized as benefits pursuant to the Company’s statutory or other contractual obligations. The payments pursuant to the Plan are in addition to, and not in lieu of, any unpaid salary, bonuses or employee welfare benefits to which a Participant may be entitled for the period ending with the Participant’s Qualifying Termination.</w:t>
      </w:r>
    </w:p>
    <w:p>
      <w:pPr>
        <w:spacing w:after="0" w:line="116" w:lineRule="exact"/>
        <w:rPr>
          <w:rFonts w:ascii="Arial" w:cs="Arial" w:eastAsia="Arial" w:hAnsi="Arial"/>
          <w:sz w:val="19"/>
          <w:szCs w:val="19"/>
          <w:b w:val="1"/>
          <w:bCs w:val="1"/>
          <w:color w:val="auto"/>
        </w:rPr>
      </w:pPr>
    </w:p>
    <w:p>
      <w:pPr>
        <w:ind w:left="1220" w:hanging="564"/>
        <w:spacing w:after="0"/>
        <w:tabs>
          <w:tab w:leader="none" w:pos="1220" w:val="left"/>
        </w:tabs>
        <w:numPr>
          <w:ilvl w:val="1"/>
          <w:numId w:val="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Mitigation. </w:t>
      </w:r>
      <w:r>
        <w:rPr>
          <w:rFonts w:ascii="Arial" w:cs="Arial" w:eastAsia="Arial" w:hAnsi="Arial"/>
          <w:sz w:val="21"/>
          <w:szCs w:val="21"/>
          <w:color w:val="auto"/>
        </w:rPr>
        <w:t>Except as otherwise specifically provided in the Plan, a Participant will not be required to mitigate</w:t>
      </w:r>
    </w:p>
    <w:p>
      <w:pPr>
        <w:spacing w:after="0" w:line="75" w:lineRule="exact"/>
        <w:rPr>
          <w:rFonts w:ascii="Arial" w:cs="Arial" w:eastAsia="Arial" w:hAnsi="Arial"/>
          <w:sz w:val="21"/>
          <w:szCs w:val="21"/>
          <w:b w:val="1"/>
          <w:bCs w:val="1"/>
          <w:color w:val="auto"/>
        </w:rPr>
      </w:pPr>
    </w:p>
    <w:p>
      <w:pPr>
        <w:ind w:right="20"/>
        <w:spacing w:after="0" w:line="302" w:lineRule="auto"/>
        <w:rPr>
          <w:rFonts w:ascii="Arial" w:cs="Arial" w:eastAsia="Arial" w:hAnsi="Arial"/>
          <w:sz w:val="21"/>
          <w:szCs w:val="21"/>
          <w:b w:val="1"/>
          <w:bCs w:val="1"/>
          <w:color w:val="auto"/>
        </w:rPr>
      </w:pPr>
      <w:r>
        <w:rPr>
          <w:rFonts w:ascii="Arial" w:cs="Arial" w:eastAsia="Arial" w:hAnsi="Arial"/>
          <w:sz w:val="22"/>
          <w:szCs w:val="22"/>
          <w:color w:val="auto"/>
        </w:rPr>
        <w:t>damages or the amount of any payment provided under the Plan by seeking other employment or otherwise, nor will the amount of any payment provided for under</w:t>
      </w:r>
    </w:p>
    <w:p>
      <w:pPr>
        <w:sectPr>
          <w:pgSz w:w="11900" w:h="16838" w:orient="portrait"/>
          <w:cols w:equalWidth="0" w:num="1">
            <w:col w:w="11420"/>
          </w:cols>
          <w:pgMar w:left="240" w:top="388" w:right="239" w:bottom="1440" w:gutter="0" w:footer="0" w:header="0"/>
        </w:sectPr>
      </w:pPr>
    </w:p>
    <w:bookmarkStart w:id="51" w:name="page52"/>
    <w:bookmarkEnd w:id="51"/>
    <w:p>
      <w:pPr>
        <w:spacing w:after="0" w:line="387" w:lineRule="auto"/>
        <w:rPr>
          <w:sz w:val="20"/>
          <w:szCs w:val="20"/>
          <w:color w:val="auto"/>
        </w:rPr>
      </w:pPr>
      <w:r>
        <w:rPr>
          <w:rFonts w:ascii="Arial" w:cs="Arial" w:eastAsia="Arial" w:hAnsi="Arial"/>
          <w:sz w:val="19"/>
          <w:szCs w:val="19"/>
          <w:color w:val="auto"/>
        </w:rPr>
        <w:t>the Plan be reduced by any compensation earned by a Participant as a result of employment by another employer or any retirement benefits received by such Participant after the date of the Participant’s termination of employment with the Company.</w:t>
      </w:r>
    </w:p>
    <w:p>
      <w:pPr>
        <w:spacing w:after="0" w:line="59" w:lineRule="exact"/>
        <w:rPr>
          <w:sz w:val="20"/>
          <w:szCs w:val="20"/>
          <w:color w:val="auto"/>
        </w:rPr>
      </w:pPr>
    </w:p>
    <w:p>
      <w:pPr>
        <w:ind w:left="1260" w:hanging="604"/>
        <w:spacing w:after="0"/>
        <w:tabs>
          <w:tab w:leader="none" w:pos="1260" w:val="left"/>
        </w:tabs>
        <w:numPr>
          <w:ilvl w:val="1"/>
          <w:numId w:val="4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Indebtedness of Participants. </w:t>
      </w:r>
      <w:r>
        <w:rPr>
          <w:rFonts w:ascii="Arial" w:cs="Arial" w:eastAsia="Arial" w:hAnsi="Arial"/>
          <w:sz w:val="21"/>
          <w:szCs w:val="21"/>
          <w:color w:val="auto"/>
        </w:rPr>
        <w:t>If a Participant is indebted to the Company on the effective date of his or her</w:t>
      </w:r>
    </w:p>
    <w:p>
      <w:pPr>
        <w:spacing w:after="0" w:line="75" w:lineRule="exact"/>
        <w:rPr>
          <w:rFonts w:ascii="Arial" w:cs="Arial" w:eastAsia="Arial" w:hAnsi="Arial"/>
          <w:sz w:val="21"/>
          <w:szCs w:val="21"/>
          <w:b w:val="1"/>
          <w:bCs w:val="1"/>
          <w:color w:val="auto"/>
        </w:rPr>
      </w:pPr>
    </w:p>
    <w:p>
      <w:pPr>
        <w:jc w:val="both"/>
        <w:spacing w:after="0" w:line="292" w:lineRule="auto"/>
        <w:rPr>
          <w:rFonts w:ascii="Arial" w:cs="Arial" w:eastAsia="Arial" w:hAnsi="Arial"/>
          <w:sz w:val="21"/>
          <w:szCs w:val="21"/>
          <w:b w:val="1"/>
          <w:bCs w:val="1"/>
          <w:color w:val="auto"/>
        </w:rPr>
      </w:pPr>
      <w:r>
        <w:rPr>
          <w:rFonts w:ascii="Arial" w:cs="Arial" w:eastAsia="Arial" w:hAnsi="Arial"/>
          <w:sz w:val="22"/>
          <w:szCs w:val="22"/>
          <w:color w:val="auto"/>
        </w:rPr>
        <w:t>Qualifying Termination, the Company reserves the right to offset the payment of any benefits under the Plan by the amount of such indebtedness. Such offset will be made in accordance with all applicable laws. The Participant’s execution of the Participation Notice constitutes knowing written consent to the foregoing.</w:t>
      </w:r>
    </w:p>
    <w:p>
      <w:pPr>
        <w:spacing w:after="0" w:line="137" w:lineRule="exact"/>
        <w:rPr>
          <w:rFonts w:ascii="Arial" w:cs="Arial" w:eastAsia="Arial" w:hAnsi="Arial"/>
          <w:sz w:val="21"/>
          <w:szCs w:val="21"/>
          <w:b w:val="1"/>
          <w:bCs w:val="1"/>
          <w:color w:val="auto"/>
        </w:rPr>
      </w:pPr>
    </w:p>
    <w:p>
      <w:pPr>
        <w:ind w:left="1080" w:hanging="424"/>
        <w:spacing w:after="0"/>
        <w:tabs>
          <w:tab w:leader="none" w:pos="1080" w:val="left"/>
        </w:tabs>
        <w:numPr>
          <w:ilvl w:val="1"/>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p>
    <w:p>
      <w:pPr>
        <w:spacing w:after="0" w:line="239" w:lineRule="exact"/>
        <w:rPr>
          <w:rFonts w:ascii="Arial" w:cs="Arial" w:eastAsia="Arial" w:hAnsi="Arial"/>
          <w:sz w:val="22"/>
          <w:szCs w:val="22"/>
          <w:b w:val="1"/>
          <w:bCs w:val="1"/>
          <w:color w:val="auto"/>
        </w:rPr>
      </w:pPr>
    </w:p>
    <w:p>
      <w:pPr>
        <w:ind w:left="1860" w:hanging="555"/>
        <w:spacing w:after="0"/>
        <w:tabs>
          <w:tab w:leader="none" w:pos="1860" w:val="left"/>
        </w:tabs>
        <w:numPr>
          <w:ilvl w:val="2"/>
          <w:numId w:val="46"/>
        </w:numPr>
        <w:rPr>
          <w:rFonts w:ascii="Arial" w:cs="Arial" w:eastAsia="Arial" w:hAnsi="Arial"/>
          <w:sz w:val="19"/>
          <w:szCs w:val="19"/>
          <w:b w:val="1"/>
          <w:bCs w:val="1"/>
          <w:color w:val="auto"/>
        </w:rPr>
      </w:pPr>
      <w:r>
        <w:rPr>
          <w:rFonts w:ascii="Arial" w:cs="Arial" w:eastAsia="Arial" w:hAnsi="Arial"/>
          <w:sz w:val="19"/>
          <w:szCs w:val="19"/>
          <w:color w:val="auto"/>
        </w:rPr>
        <w:t>Except as otherwise expressly provided in an agreement between a Participant and the Company, if any</w:t>
      </w:r>
    </w:p>
    <w:p>
      <w:pPr>
        <w:spacing w:after="0" w:line="92" w:lineRule="exact"/>
        <w:rPr>
          <w:rFonts w:ascii="Arial" w:cs="Arial" w:eastAsia="Arial" w:hAnsi="Arial"/>
          <w:sz w:val="19"/>
          <w:szCs w:val="19"/>
          <w:b w:val="1"/>
          <w:bCs w:val="1"/>
          <w:color w:val="auto"/>
        </w:rPr>
      </w:pPr>
    </w:p>
    <w:p>
      <w:pPr>
        <w:jc w:val="both"/>
        <w:spacing w:after="0" w:line="331" w:lineRule="auto"/>
        <w:rPr>
          <w:rFonts w:ascii="Arial" w:cs="Arial" w:eastAsia="Arial" w:hAnsi="Arial"/>
          <w:sz w:val="19"/>
          <w:szCs w:val="19"/>
          <w:b w:val="1"/>
          <w:bCs w:val="1"/>
          <w:color w:val="auto"/>
        </w:rPr>
      </w:pPr>
      <w:r>
        <w:rPr>
          <w:rFonts w:ascii="Arial" w:cs="Arial" w:eastAsia="Arial" w:hAnsi="Arial"/>
          <w:sz w:val="19"/>
          <w:szCs w:val="19"/>
          <w:color w:val="auto"/>
        </w:rPr>
        <w:t>payment or benefit the Participant would receive in connection with a Change in Control from the Company or otherwise (a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will be equal to the Reduced Amount.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xml:space="preserve">” will be either (A) the largest portion of the Payment that would result in no portion of the Payment being subject to the Excise Tax, or (B) the largest portion, up to and including the total, of the Payment, whichever amount ((A) or (B)), after taking into account all applicable federal, state, provincial, foreign, and local employment taxes, income taxes, and the Excise Tax (all computed at the highest applicable marginal rate), results in the Participant’s receipt, on an after-tax basis, of the greatest economic benefit notwithstanding that all or some portion of the Payment may be subject to the Excise Tax. If a reduction in payments or benefits constituting “parachute payments” is necessary so that the Payment equals the Reduced Amount, reduction in the payments and/or benefits will occur in the manner that results in the greatest economic benefit to the Participant, as determined in this paragraph; </w:t>
      </w:r>
      <w:r>
        <w:rPr>
          <w:rFonts w:ascii="Arial" w:cs="Arial" w:eastAsia="Arial" w:hAnsi="Arial"/>
          <w:sz w:val="19"/>
          <w:szCs w:val="19"/>
          <w:i w:val="1"/>
          <w:iCs w:val="1"/>
          <w:color w:val="auto"/>
        </w:rPr>
        <w:t>provided</w:t>
      </w:r>
      <w:r>
        <w:rPr>
          <w:rFonts w:ascii="Arial" w:cs="Arial" w:eastAsia="Arial" w:hAnsi="Arial"/>
          <w:sz w:val="19"/>
          <w:szCs w:val="19"/>
          <w:color w:val="auto"/>
        </w:rPr>
        <w:t>, that if more than one method of reduction will result in the same economic benefit, the portions of the Payment shall be reduced pro rata.</w:t>
      </w:r>
    </w:p>
    <w:p>
      <w:pPr>
        <w:spacing w:after="0" w:line="124" w:lineRule="exact"/>
        <w:rPr>
          <w:rFonts w:ascii="Arial" w:cs="Arial" w:eastAsia="Arial" w:hAnsi="Arial"/>
          <w:sz w:val="19"/>
          <w:szCs w:val="19"/>
          <w:b w:val="1"/>
          <w:bCs w:val="1"/>
          <w:color w:val="auto"/>
        </w:rPr>
      </w:pPr>
    </w:p>
    <w:p>
      <w:pPr>
        <w:ind w:left="1740" w:hanging="435"/>
        <w:spacing w:after="0"/>
        <w:tabs>
          <w:tab w:leader="none" w:pos="1740" w:val="left"/>
        </w:tabs>
        <w:numPr>
          <w:ilvl w:val="2"/>
          <w:numId w:val="46"/>
        </w:numPr>
        <w:rPr>
          <w:rFonts w:ascii="Arial" w:cs="Arial" w:eastAsia="Arial" w:hAnsi="Arial"/>
          <w:sz w:val="19"/>
          <w:szCs w:val="19"/>
          <w:b w:val="1"/>
          <w:bCs w:val="1"/>
          <w:color w:val="auto"/>
        </w:rPr>
      </w:pPr>
      <w:r>
        <w:rPr>
          <w:rFonts w:ascii="Arial" w:cs="Arial" w:eastAsia="Arial" w:hAnsi="Arial"/>
          <w:sz w:val="19"/>
          <w:szCs w:val="19"/>
          <w:color w:val="auto"/>
        </w:rPr>
        <w:t>The professional firm engaged by the Company for general tax purposes as of the day prior to the effective date</w:t>
      </w:r>
    </w:p>
    <w:p>
      <w:pPr>
        <w:spacing w:after="0" w:line="92" w:lineRule="exact"/>
        <w:rPr>
          <w:rFonts w:ascii="Arial" w:cs="Arial" w:eastAsia="Arial" w:hAnsi="Arial"/>
          <w:sz w:val="19"/>
          <w:szCs w:val="19"/>
          <w:b w:val="1"/>
          <w:bCs w:val="1"/>
          <w:color w:val="auto"/>
        </w:rPr>
      </w:pPr>
    </w:p>
    <w:p>
      <w:pPr>
        <w:jc w:val="both"/>
        <w:spacing w:after="0" w:line="285" w:lineRule="auto"/>
        <w:rPr>
          <w:rFonts w:ascii="Arial" w:cs="Arial" w:eastAsia="Arial" w:hAnsi="Arial"/>
          <w:sz w:val="19"/>
          <w:szCs w:val="19"/>
          <w:b w:val="1"/>
          <w:bCs w:val="1"/>
          <w:color w:val="auto"/>
        </w:rPr>
      </w:pPr>
      <w:r>
        <w:rPr>
          <w:rFonts w:ascii="Arial" w:cs="Arial" w:eastAsia="Arial" w:hAnsi="Arial"/>
          <w:sz w:val="22"/>
          <w:szCs w:val="22"/>
          <w:color w:val="auto"/>
        </w:rPr>
        <w:t>of the Change in Control shall make all determinations required to be made under this Section 5(e). If the professional firm so engaged by the Company is serving as an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 Any good faith determinations of the professional firm made hereunder shall be final, binding and conclusive upon the Company and the Participant.</w:t>
      </w:r>
    </w:p>
    <w:p>
      <w:pPr>
        <w:spacing w:after="0" w:line="149" w:lineRule="exact"/>
        <w:rPr>
          <w:rFonts w:ascii="Arial" w:cs="Arial" w:eastAsia="Arial" w:hAnsi="Arial"/>
          <w:sz w:val="19"/>
          <w:szCs w:val="19"/>
          <w:b w:val="1"/>
          <w:bCs w:val="1"/>
          <w:color w:val="auto"/>
        </w:rPr>
      </w:pPr>
    </w:p>
    <w:p>
      <w:pPr>
        <w:ind w:left="360" w:hanging="352"/>
        <w:spacing w:after="0"/>
        <w:tabs>
          <w:tab w:leader="none" w:pos="3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TAX MATTERS.</w:t>
      </w:r>
    </w:p>
    <w:p>
      <w:pPr>
        <w:sectPr>
          <w:pgSz w:w="11900" w:h="16838" w:orient="portrait"/>
          <w:cols w:equalWidth="0" w:num="1">
            <w:col w:w="11420"/>
          </w:cols>
          <w:pgMar w:left="240" w:top="388" w:right="239" w:bottom="1440" w:gutter="0" w:footer="0" w:header="0"/>
        </w:sectPr>
      </w:pPr>
    </w:p>
    <w:bookmarkStart w:id="52" w:name="page53"/>
    <w:bookmarkEnd w:id="52"/>
    <w:p>
      <w:pPr>
        <w:ind w:left="1100" w:hanging="444"/>
        <w:spacing w:after="0"/>
        <w:tabs>
          <w:tab w:leader="none" w:pos="1100"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Application of Section 409A of the Code. </w:t>
      </w:r>
      <w:r>
        <w:rPr>
          <w:rFonts w:ascii="Arial" w:cs="Arial" w:eastAsia="Arial" w:hAnsi="Arial"/>
          <w:sz w:val="19"/>
          <w:szCs w:val="19"/>
          <w:color w:val="auto"/>
        </w:rPr>
        <w:t>It is intended that all of the payments and benefits provided under the Plan</w:t>
      </w:r>
    </w:p>
    <w:p>
      <w:pPr>
        <w:spacing w:after="0" w:line="98" w:lineRule="exact"/>
        <w:rPr>
          <w:rFonts w:ascii="Arial" w:cs="Arial" w:eastAsia="Arial" w:hAnsi="Arial"/>
          <w:sz w:val="19"/>
          <w:szCs w:val="19"/>
          <w:b w:val="1"/>
          <w:bCs w:val="1"/>
          <w:color w:val="auto"/>
        </w:rPr>
      </w:pPr>
    </w:p>
    <w:p>
      <w:pPr>
        <w:jc w:val="both"/>
        <w:spacing w:after="0" w:line="329" w:lineRule="auto"/>
        <w:rPr>
          <w:rFonts w:ascii="Arial" w:cs="Arial" w:eastAsia="Arial" w:hAnsi="Arial"/>
          <w:sz w:val="19"/>
          <w:szCs w:val="19"/>
          <w:b w:val="1"/>
          <w:bCs w:val="1"/>
          <w:color w:val="auto"/>
        </w:rPr>
      </w:pPr>
      <w:r>
        <w:rPr>
          <w:rFonts w:ascii="Arial" w:cs="Arial" w:eastAsia="Arial" w:hAnsi="Arial"/>
          <w:sz w:val="19"/>
          <w:szCs w:val="19"/>
          <w:color w:val="auto"/>
        </w:rPr>
        <w:t>satisfy, to the greatest extent possible, the exemptions from the application of Section 409A of the Code and the regulations and other guidance thereunder and any state law of similar effect (collectively,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provided under Treasury Regulations Sections 1.409A-1(b)(4), 1.409A-1(b)(5), and 1.409A-1(b)(9), and the Plan will be construed to the greatest extent possible as consistent with those provisions. To the extent not so exempt, the Plan (and any definitions in the Plan) will be construed in a manner that complies with Section 409A, and will incorporate by reference all required definitions and payment terms. Notwithstanding anything to the contrary herein, to the extent required to comply with Section 409A, a termination of employment shall not be deemed to have occurred for purposes of any provision of the Plan providing for the payments of amounts or benefits upon or following a termination of employment unless such termination is also a “separation from service” within the meaning of Section 409A and, for purposes of any such provision of the Plan, references to a “resignation,” “termination, “termination of employment” or like terms shall mean separation from service. For purposes of Section 409A (including, without limitation, for purposes of Treasury Regulations Section 1.409A-2(b)(2)(iii)), a Participant’s right to receive any installment payments under the Plan will be treated as a right to receive a series of separate payments and, accordingly, each installment payment under the Plan will at all times be considered a separate and distinct payment. If the Plan Administrator determines that any of the payments upon a Separation from Service provided under the Plan (or under any other arrangement with the Participant) constitute “deferred compensation” under Section 409A and if the Participant is a “specified employee” of the Company, as such term is defined in Section 409A(a)(2)(B)(i), at the time of his or her Separation from Service, then, solely to the extent necessary to avoid the incurrence of the adverse personal tax consequences under Section 409A, the timing of the payments upon a Separation from Service will be delayed as follows: on the earlier to occur of (i) the date that is six (6) months and one (1) day after the effective date of the Participant’s Separation from Service, and (ii) the date of the Participant’s death (such earlier date, the “</w:t>
      </w:r>
      <w:r>
        <w:rPr>
          <w:rFonts w:ascii="Arial" w:cs="Arial" w:eastAsia="Arial" w:hAnsi="Arial"/>
          <w:sz w:val="19"/>
          <w:szCs w:val="19"/>
          <w:b w:val="1"/>
          <w:bCs w:val="1"/>
          <w:i w:val="1"/>
          <w:iCs w:val="1"/>
          <w:color w:val="auto"/>
        </w:rPr>
        <w:t>Delayed Initial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 Date</w:t>
      </w:r>
      <w:r>
        <w:rPr>
          <w:rFonts w:ascii="Arial" w:cs="Arial" w:eastAsia="Arial" w:hAnsi="Arial"/>
          <w:sz w:val="19"/>
          <w:szCs w:val="19"/>
          <w:color w:val="auto"/>
        </w:rPr>
        <w:t>”), the Company will (A) pay to the Participant a lump sum amount equal to the sum of the payments upon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Separation from Service that the Participant would otherwise have received through the Delayed Initial Payment Date if the commencement of the payments had not been delayed pursuant to this Section 6(a), and (B) commence paying the balance of the payments in accordance with the applicable payment schedules set forth above. No interest will be due on any amounts so deferred.</w:t>
      </w:r>
    </w:p>
    <w:p>
      <w:pPr>
        <w:spacing w:after="0" w:line="114" w:lineRule="exact"/>
        <w:rPr>
          <w:rFonts w:ascii="Arial" w:cs="Arial" w:eastAsia="Arial" w:hAnsi="Arial"/>
          <w:sz w:val="19"/>
          <w:szCs w:val="19"/>
          <w:b w:val="1"/>
          <w:bCs w:val="1"/>
          <w:color w:val="auto"/>
        </w:rPr>
      </w:pPr>
    </w:p>
    <w:p>
      <w:pPr>
        <w:jc w:val="both"/>
        <w:ind w:firstLine="656"/>
        <w:spacing w:after="0" w:line="409" w:lineRule="auto"/>
        <w:tabs>
          <w:tab w:leader="none" w:pos="1119"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w:t>
      </w:r>
      <w:r>
        <w:rPr>
          <w:rFonts w:ascii="Arial" w:cs="Arial" w:eastAsia="Arial" w:hAnsi="Arial"/>
          <w:sz w:val="19"/>
          <w:szCs w:val="19"/>
          <w:color w:val="auto"/>
        </w:rPr>
        <w:t>All payments and benefits under the Plan will be subject to all applicable deductions and withholdings,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without limitation, obligations to withhold for federal, state, provincial, foreign and local income and employment taxes.</w:t>
      </w:r>
    </w:p>
    <w:p>
      <w:pPr>
        <w:spacing w:after="0" w:line="38" w:lineRule="exact"/>
        <w:rPr>
          <w:rFonts w:ascii="Arial" w:cs="Arial" w:eastAsia="Arial" w:hAnsi="Arial"/>
          <w:sz w:val="19"/>
          <w:szCs w:val="19"/>
          <w:b w:val="1"/>
          <w:bCs w:val="1"/>
          <w:color w:val="auto"/>
        </w:rPr>
      </w:pPr>
    </w:p>
    <w:p>
      <w:pPr>
        <w:ind w:left="1080" w:hanging="424"/>
        <w:spacing w:after="0"/>
        <w:tabs>
          <w:tab w:leader="none" w:pos="1080"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 Advice. </w:t>
      </w:r>
      <w:r>
        <w:rPr>
          <w:rFonts w:ascii="Arial" w:cs="Arial" w:eastAsia="Arial" w:hAnsi="Arial"/>
          <w:sz w:val="19"/>
          <w:szCs w:val="19"/>
          <w:color w:val="auto"/>
        </w:rPr>
        <w:t>By becoming a Participant in the Plan, the Participant agrees to review with Participant’s own tax advisors</w:t>
      </w:r>
    </w:p>
    <w:p>
      <w:pPr>
        <w:spacing w:after="0" w:line="98"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the federal, state, provincial, local, and foreign tax consequences of participation in the Plan. The Participant will rely solely on such advisors and not on any</w:t>
      </w:r>
    </w:p>
    <w:p>
      <w:pPr>
        <w:sectPr>
          <w:pgSz w:w="11900" w:h="16838" w:orient="portrait"/>
          <w:cols w:equalWidth="0" w:num="1">
            <w:col w:w="11420"/>
          </w:cols>
          <w:pgMar w:left="240" w:top="382" w:right="239" w:bottom="1440" w:gutter="0" w:footer="0" w:header="0"/>
        </w:sectPr>
      </w:pPr>
    </w:p>
    <w:bookmarkStart w:id="53" w:name="page54"/>
    <w:bookmarkEnd w:id="53"/>
    <w:p>
      <w:pPr>
        <w:spacing w:after="0" w:line="387" w:lineRule="auto"/>
        <w:rPr>
          <w:sz w:val="20"/>
          <w:szCs w:val="20"/>
          <w:color w:val="auto"/>
        </w:rPr>
      </w:pPr>
      <w:r>
        <w:rPr>
          <w:rFonts w:ascii="Arial" w:cs="Arial" w:eastAsia="Arial" w:hAnsi="Arial"/>
          <w:sz w:val="19"/>
          <w:szCs w:val="19"/>
          <w:color w:val="auto"/>
        </w:rPr>
        <w:t>statements or representations of the Company or any of its agents. The Participant understands that the Participant (and not the Company) will be responsible for the Participant’s own tax liability that may arise as a result of becoming a Participant in the Plan.</w:t>
      </w:r>
    </w:p>
    <w:p>
      <w:pPr>
        <w:spacing w:after="0" w:line="59"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REEMPLOYMENT. </w:t>
      </w:r>
      <w:r>
        <w:rPr>
          <w:rFonts w:ascii="Arial" w:cs="Arial" w:eastAsia="Arial" w:hAnsi="Arial"/>
          <w:sz w:val="19"/>
          <w:szCs w:val="19"/>
          <w:color w:val="auto"/>
        </w:rPr>
        <w:t>In the event of a Participant’s reemployment by the Company during the period of time in respect of</w:t>
      </w:r>
    </w:p>
    <w:p>
      <w:pPr>
        <w:spacing w:after="0" w:line="98"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which severance benefits have been provided (that is, benefits as a result of a Qualifying Termination), the Company, in its sole and absolute discretion, may require such Participant to repay to the Company all or a portion of such severance benefits as a condition of reemployment.</w:t>
      </w:r>
    </w:p>
    <w:p>
      <w:pPr>
        <w:spacing w:after="0" w:line="178" w:lineRule="exact"/>
        <w:rPr>
          <w:rFonts w:ascii="Arial" w:cs="Arial" w:eastAsia="Arial" w:hAnsi="Arial"/>
          <w:sz w:val="19"/>
          <w:szCs w:val="19"/>
          <w:b w:val="1"/>
          <w:bCs w:val="1"/>
          <w:color w:val="auto"/>
        </w:rPr>
      </w:pPr>
    </w:p>
    <w:p>
      <w:pPr>
        <w:ind w:left="400" w:hanging="392"/>
        <w:spacing w:after="0"/>
        <w:tabs>
          <w:tab w:leader="none" w:pos="40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CLAWBACK; RECOVERY. </w:t>
      </w:r>
      <w:r>
        <w:rPr>
          <w:rFonts w:ascii="Arial" w:cs="Arial" w:eastAsia="Arial" w:hAnsi="Arial"/>
          <w:sz w:val="19"/>
          <w:szCs w:val="19"/>
          <w:color w:val="auto"/>
        </w:rPr>
        <w:t>All payments and severance benefits provided under the Plan will be subject to recoupment in</w:t>
      </w:r>
    </w:p>
    <w:p>
      <w:pPr>
        <w:spacing w:after="0" w:line="98" w:lineRule="exact"/>
        <w:rPr>
          <w:rFonts w:ascii="Arial" w:cs="Arial" w:eastAsia="Arial" w:hAnsi="Arial"/>
          <w:sz w:val="19"/>
          <w:szCs w:val="19"/>
          <w:b w:val="1"/>
          <w:bCs w:val="1"/>
          <w:color w:val="auto"/>
        </w:rPr>
      </w:pPr>
    </w:p>
    <w:p>
      <w:pPr>
        <w:jc w:val="both"/>
        <w:spacing w:after="0" w:line="336" w:lineRule="auto"/>
        <w:rPr>
          <w:rFonts w:ascii="Arial" w:cs="Arial" w:eastAsia="Arial" w:hAnsi="Arial"/>
          <w:sz w:val="19"/>
          <w:szCs w:val="19"/>
          <w:b w:val="1"/>
          <w:bCs w:val="1"/>
          <w:color w:val="auto"/>
        </w:rPr>
      </w:pPr>
      <w:r>
        <w:rPr>
          <w:rFonts w:ascii="Arial" w:cs="Arial" w:eastAsia="Arial" w:hAnsi="Arial"/>
          <w:sz w:val="19"/>
          <w:szCs w:val="19"/>
          <w:color w:val="auto"/>
        </w:rPr>
        <w:t>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as the Board determines necessary or appropriate, including but not limited to a reacquisition right in respect of previously acquired shares of common stock of the Company or other cash or property upon the occurrence of a termination of employment for Cause. No recovery of compensation under such a clawback policy will be an event giving rise to a right to resign for Good Reason, constructive termination, or any similar term under any plan of or agreement with the Company.</w:t>
      </w:r>
    </w:p>
    <w:p>
      <w:pPr>
        <w:spacing w:after="0" w:line="148" w:lineRule="exact"/>
        <w:rPr>
          <w:rFonts w:ascii="Arial" w:cs="Arial" w:eastAsia="Arial" w:hAnsi="Arial"/>
          <w:sz w:val="19"/>
          <w:szCs w:val="19"/>
          <w:b w:val="1"/>
          <w:bCs w:val="1"/>
          <w:color w:val="auto"/>
        </w:rPr>
      </w:pPr>
    </w:p>
    <w:p>
      <w:pPr>
        <w:ind w:left="360" w:hanging="352"/>
        <w:spacing w:after="0"/>
        <w:tabs>
          <w:tab w:leader="none" w:pos="3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RIGHT TO INTERPRET PLAN; AMENDMENT AND TERMINATION.</w:t>
      </w:r>
    </w:p>
    <w:p>
      <w:pPr>
        <w:spacing w:after="0" w:line="273" w:lineRule="exact"/>
        <w:rPr>
          <w:rFonts w:ascii="Arial" w:cs="Arial" w:eastAsia="Arial" w:hAnsi="Arial"/>
          <w:sz w:val="22"/>
          <w:szCs w:val="22"/>
          <w:b w:val="1"/>
          <w:bCs w:val="1"/>
          <w:color w:val="auto"/>
        </w:rPr>
      </w:pPr>
    </w:p>
    <w:p>
      <w:pPr>
        <w:ind w:left="1100" w:hanging="444"/>
        <w:spacing w:after="0"/>
        <w:tabs>
          <w:tab w:leader="none" w:pos="1100" w:val="left"/>
        </w:tabs>
        <w:numPr>
          <w:ilvl w:val="1"/>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Exclusive Discretion. </w:t>
      </w:r>
      <w:r>
        <w:rPr>
          <w:rFonts w:ascii="Arial" w:cs="Arial" w:eastAsia="Arial" w:hAnsi="Arial"/>
          <w:sz w:val="19"/>
          <w:szCs w:val="19"/>
          <w:color w:val="auto"/>
        </w:rPr>
        <w:t>The Plan Administrator (or the Representative, as applicable) will have the exclusive discretion</w:t>
      </w:r>
    </w:p>
    <w:p>
      <w:pPr>
        <w:spacing w:after="0" w:line="98" w:lineRule="exact"/>
        <w:rPr>
          <w:rFonts w:ascii="Arial" w:cs="Arial" w:eastAsia="Arial" w:hAnsi="Arial"/>
          <w:sz w:val="19"/>
          <w:szCs w:val="19"/>
          <w:b w:val="1"/>
          <w:bCs w:val="1"/>
          <w:color w:val="auto"/>
        </w:rPr>
      </w:pPr>
    </w:p>
    <w:p>
      <w:pPr>
        <w:jc w:val="both"/>
        <w:spacing w:after="0" w:line="285" w:lineRule="auto"/>
        <w:rPr>
          <w:rFonts w:ascii="Arial" w:cs="Arial" w:eastAsia="Arial" w:hAnsi="Arial"/>
          <w:sz w:val="19"/>
          <w:szCs w:val="19"/>
          <w:b w:val="1"/>
          <w:bCs w:val="1"/>
          <w:color w:val="auto"/>
        </w:rPr>
      </w:pPr>
      <w:r>
        <w:rPr>
          <w:rFonts w:ascii="Arial" w:cs="Arial" w:eastAsia="Arial" w:hAnsi="Arial"/>
          <w:sz w:val="22"/>
          <w:szCs w:val="22"/>
          <w:color w:val="auto"/>
        </w:rPr>
        <w:t>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without limitation, the eligibility to participate in the Plan, the amount of benefits paid under the Plan and any adjustments that need to be made in accordance with the laws applicable to a Participant. The rules, interpretations, computations and other actions of the Plan Administrator (or the Representative, as applicable) will be binding and conclusive on all persons.</w:t>
      </w:r>
    </w:p>
    <w:p>
      <w:pPr>
        <w:spacing w:after="0" w:line="149" w:lineRule="exact"/>
        <w:rPr>
          <w:rFonts w:ascii="Arial" w:cs="Arial" w:eastAsia="Arial" w:hAnsi="Arial"/>
          <w:sz w:val="19"/>
          <w:szCs w:val="19"/>
          <w:b w:val="1"/>
          <w:bCs w:val="1"/>
          <w:color w:val="auto"/>
        </w:rPr>
      </w:pPr>
    </w:p>
    <w:p>
      <w:pPr>
        <w:ind w:left="1200" w:hanging="544"/>
        <w:spacing w:after="0"/>
        <w:tabs>
          <w:tab w:leader="none" w:pos="1200" w:val="left"/>
        </w:tabs>
        <w:numPr>
          <w:ilvl w:val="1"/>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or Termination. </w:t>
      </w:r>
      <w:r>
        <w:rPr>
          <w:rFonts w:ascii="Arial" w:cs="Arial" w:eastAsia="Arial" w:hAnsi="Arial"/>
          <w:sz w:val="19"/>
          <w:szCs w:val="19"/>
          <w:color w:val="auto"/>
        </w:rPr>
        <w:t>The Company reserves the right to amend or terminate the Plan, any Participation</w:t>
      </w:r>
    </w:p>
    <w:p>
      <w:pPr>
        <w:spacing w:after="0" w:line="98" w:lineRule="exact"/>
        <w:rPr>
          <w:rFonts w:ascii="Arial" w:cs="Arial" w:eastAsia="Arial" w:hAnsi="Arial"/>
          <w:sz w:val="19"/>
          <w:szCs w:val="19"/>
          <w:b w:val="1"/>
          <w:bCs w:val="1"/>
          <w:color w:val="auto"/>
        </w:rPr>
      </w:pPr>
    </w:p>
    <w:p>
      <w:pPr>
        <w:jc w:val="both"/>
        <w:spacing w:after="0" w:line="306" w:lineRule="auto"/>
        <w:rPr>
          <w:rFonts w:ascii="Arial" w:cs="Arial" w:eastAsia="Arial" w:hAnsi="Arial"/>
          <w:sz w:val="19"/>
          <w:szCs w:val="19"/>
          <w:b w:val="1"/>
          <w:bCs w:val="1"/>
          <w:color w:val="auto"/>
        </w:rPr>
      </w:pPr>
      <w:r>
        <w:rPr>
          <w:rFonts w:ascii="Arial" w:cs="Arial" w:eastAsia="Arial" w:hAnsi="Arial"/>
          <w:sz w:val="21"/>
          <w:szCs w:val="21"/>
          <w:color w:val="auto"/>
        </w:rPr>
        <w:t xml:space="preserve">Notice issued pursuant to the Plan or the benefits provided hereunder at any time; </w:t>
      </w:r>
      <w:r>
        <w:rPr>
          <w:rFonts w:ascii="Arial" w:cs="Arial" w:eastAsia="Arial" w:hAnsi="Arial"/>
          <w:sz w:val="21"/>
          <w:szCs w:val="21"/>
          <w:i w:val="1"/>
          <w:iCs w:val="1"/>
          <w:color w:val="auto"/>
        </w:rPr>
        <w:t>provided, however</w:t>
      </w:r>
      <w:r>
        <w:rPr>
          <w:rFonts w:ascii="Arial" w:cs="Arial" w:eastAsia="Arial" w:hAnsi="Arial"/>
          <w:sz w:val="21"/>
          <w:szCs w:val="21"/>
          <w:color w:val="auto"/>
        </w:rPr>
        <w:t>, that no such amendment or termination will apply to any Participant who would be adversely affected by such amendment or termination unless such Participant consents in writing to such amendment or termination. Any action amending or terminating the Plan or any Participation Notice will be in writing and executed by a duly authorized officer of the Company.</w:t>
      </w:r>
    </w:p>
    <w:p>
      <w:pPr>
        <w:sectPr>
          <w:pgSz w:w="11900" w:h="16838" w:orient="portrait"/>
          <w:cols w:equalWidth="0" w:num="1">
            <w:col w:w="11420"/>
          </w:cols>
          <w:pgMar w:left="240" w:top="388" w:right="239" w:bottom="1440" w:gutter="0" w:footer="0" w:header="0"/>
        </w:sectPr>
      </w:pPr>
    </w:p>
    <w:bookmarkStart w:id="54" w:name="page55"/>
    <w:bookmarkEnd w:id="54"/>
    <w:p>
      <w:pPr>
        <w:ind w:left="560" w:hanging="552"/>
        <w:spacing w:after="0"/>
        <w:tabs>
          <w:tab w:leader="none" w:pos="560"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IMPLIED EMPLOYMENT CONTRACT. </w:t>
      </w:r>
      <w:r>
        <w:rPr>
          <w:rFonts w:ascii="Arial" w:cs="Arial" w:eastAsia="Arial" w:hAnsi="Arial"/>
          <w:sz w:val="21"/>
          <w:szCs w:val="21"/>
          <w:color w:val="auto"/>
        </w:rPr>
        <w:t>The Plan will not be deemed (i) to give any employee or other service</w:t>
      </w:r>
    </w:p>
    <w:p>
      <w:pPr>
        <w:spacing w:after="0" w:line="75" w:lineRule="exact"/>
        <w:rPr>
          <w:rFonts w:ascii="Arial" w:cs="Arial" w:eastAsia="Arial" w:hAnsi="Arial"/>
          <w:sz w:val="21"/>
          <w:szCs w:val="21"/>
          <w:b w:val="1"/>
          <w:bCs w:val="1"/>
          <w:color w:val="auto"/>
        </w:rPr>
      </w:pPr>
    </w:p>
    <w:p>
      <w:pPr>
        <w:spacing w:after="0" w:line="328" w:lineRule="auto"/>
        <w:rPr>
          <w:rFonts w:ascii="Arial" w:cs="Arial" w:eastAsia="Arial" w:hAnsi="Arial"/>
          <w:sz w:val="21"/>
          <w:szCs w:val="21"/>
          <w:b w:val="1"/>
          <w:bCs w:val="1"/>
          <w:color w:val="auto"/>
        </w:rPr>
      </w:pPr>
      <w:r>
        <w:rPr>
          <w:rFonts w:ascii="Arial" w:cs="Arial" w:eastAsia="Arial" w:hAnsi="Arial"/>
          <w:sz w:val="21"/>
          <w:szCs w:val="21"/>
          <w:color w:val="auto"/>
        </w:rPr>
        <w:t>provider any right to be retained in the employ or services of the Company, or (ii) to interfere with the right of the Company to discharge any employee or other service provider at any time, with or without Cause, which right is hereby reserved.</w:t>
      </w:r>
    </w:p>
    <w:p>
      <w:pPr>
        <w:spacing w:after="0" w:line="144" w:lineRule="exact"/>
        <w:rPr>
          <w:rFonts w:ascii="Arial" w:cs="Arial" w:eastAsia="Arial" w:hAnsi="Arial"/>
          <w:sz w:val="21"/>
          <w:szCs w:val="21"/>
          <w:b w:val="1"/>
          <w:bCs w:val="1"/>
          <w:color w:val="auto"/>
        </w:rPr>
      </w:pPr>
    </w:p>
    <w:p>
      <w:pPr>
        <w:ind w:firstLine="8"/>
        <w:spacing w:after="0" w:line="320" w:lineRule="auto"/>
        <w:tabs>
          <w:tab w:leader="none" w:pos="465"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LEGAL CONSTRUCTION. </w:t>
      </w:r>
      <w:r>
        <w:rPr>
          <w:rFonts w:ascii="Arial" w:cs="Arial" w:eastAsia="Arial" w:hAnsi="Arial"/>
          <w:sz w:val="22"/>
          <w:szCs w:val="22"/>
          <w:color w:val="auto"/>
        </w:rPr>
        <w:t>The Plan will be governed by and construed under the laws of the State of California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regard to principles of conflict of laws), except to the extent preempted by ERISA.</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CLAIMS, INQUIRIES AND APPEALS.</w:t>
      </w:r>
    </w:p>
    <w:p>
      <w:pPr>
        <w:spacing w:after="0" w:line="273" w:lineRule="exact"/>
        <w:rPr>
          <w:rFonts w:ascii="Arial" w:cs="Arial" w:eastAsia="Arial" w:hAnsi="Arial"/>
          <w:sz w:val="22"/>
          <w:szCs w:val="22"/>
          <w:b w:val="1"/>
          <w:bCs w:val="1"/>
          <w:color w:val="auto"/>
        </w:rPr>
      </w:pPr>
    </w:p>
    <w:p>
      <w:pPr>
        <w:ind w:left="1180" w:hanging="524"/>
        <w:spacing w:after="0"/>
        <w:tabs>
          <w:tab w:leader="none" w:pos="1180" w:val="left"/>
        </w:tabs>
        <w:numPr>
          <w:ilvl w:val="1"/>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Applications for Benefits and Inquiries. </w:t>
      </w:r>
      <w:r>
        <w:rPr>
          <w:rFonts w:ascii="Arial" w:cs="Arial" w:eastAsia="Arial" w:hAnsi="Arial"/>
          <w:sz w:val="19"/>
          <w:szCs w:val="19"/>
          <w:color w:val="auto"/>
        </w:rPr>
        <w:t>Any application for benefits, inquiries about the Plan or inquiries about</w:t>
      </w:r>
    </w:p>
    <w:p>
      <w:pPr>
        <w:spacing w:after="0" w:line="98"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present or future rights under the Plan must be submitted to the Plan Administrator in writing by an applicant (or his or her authorized representative). The Plan Administrator is set forth in Section 14(d).</w:t>
      </w:r>
    </w:p>
    <w:p>
      <w:pPr>
        <w:spacing w:after="0" w:line="127" w:lineRule="exact"/>
        <w:rPr>
          <w:rFonts w:ascii="Arial" w:cs="Arial" w:eastAsia="Arial" w:hAnsi="Arial"/>
          <w:sz w:val="19"/>
          <w:szCs w:val="19"/>
          <w:b w:val="1"/>
          <w:bCs w:val="1"/>
          <w:color w:val="auto"/>
        </w:rPr>
      </w:pPr>
    </w:p>
    <w:p>
      <w:pPr>
        <w:ind w:left="1140" w:hanging="484"/>
        <w:spacing w:after="0"/>
        <w:tabs>
          <w:tab w:leader="none" w:pos="1140" w:val="left"/>
        </w:tabs>
        <w:numPr>
          <w:ilvl w:val="1"/>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Denial of Claims. </w:t>
      </w:r>
      <w:r>
        <w:rPr>
          <w:rFonts w:ascii="Arial" w:cs="Arial" w:eastAsia="Arial" w:hAnsi="Arial"/>
          <w:sz w:val="19"/>
          <w:szCs w:val="19"/>
          <w:color w:val="auto"/>
        </w:rPr>
        <w:t>In the event that any application for benefits is denied in whole or in part, the Plan Administrator</w:t>
      </w:r>
    </w:p>
    <w:p>
      <w:pPr>
        <w:spacing w:after="0" w:line="98"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must provide the 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143" w:lineRule="exact"/>
        <w:rPr>
          <w:rFonts w:ascii="Arial" w:cs="Arial" w:eastAsia="Arial" w:hAnsi="Arial"/>
          <w:sz w:val="19"/>
          <w:szCs w:val="19"/>
          <w:b w:val="1"/>
          <w:bCs w:val="1"/>
          <w:color w:val="auto"/>
        </w:rPr>
      </w:pPr>
    </w:p>
    <w:p>
      <w:pPr>
        <w:ind w:left="2380" w:hanging="427"/>
        <w:spacing w:after="0"/>
        <w:tabs>
          <w:tab w:leader="none" w:pos="2380" w:val="left"/>
        </w:tabs>
        <w:numPr>
          <w:ilvl w:val="2"/>
          <w:numId w:val="50"/>
        </w:numPr>
        <w:rPr>
          <w:rFonts w:ascii="Arial" w:cs="Arial" w:eastAsia="Arial" w:hAnsi="Arial"/>
          <w:sz w:val="22"/>
          <w:szCs w:val="22"/>
          <w:b w:val="1"/>
          <w:bCs w:val="1"/>
          <w:color w:val="auto"/>
        </w:rPr>
      </w:pPr>
      <w:r>
        <w:rPr>
          <w:rFonts w:ascii="Arial" w:cs="Arial" w:eastAsia="Arial" w:hAnsi="Arial"/>
          <w:sz w:val="22"/>
          <w:szCs w:val="22"/>
          <w:color w:val="auto"/>
        </w:rPr>
        <w:t>the specific reason or reasons for the denial;</w:t>
      </w:r>
    </w:p>
    <w:p>
      <w:pPr>
        <w:spacing w:after="0" w:line="233" w:lineRule="exact"/>
        <w:rPr>
          <w:rFonts w:ascii="Arial" w:cs="Arial" w:eastAsia="Arial" w:hAnsi="Arial"/>
          <w:sz w:val="22"/>
          <w:szCs w:val="22"/>
          <w:b w:val="1"/>
          <w:bCs w:val="1"/>
          <w:color w:val="auto"/>
        </w:rPr>
      </w:pPr>
    </w:p>
    <w:p>
      <w:pPr>
        <w:ind w:left="2380" w:hanging="427"/>
        <w:spacing w:after="0"/>
        <w:tabs>
          <w:tab w:leader="none" w:pos="2380" w:val="left"/>
        </w:tabs>
        <w:numPr>
          <w:ilvl w:val="2"/>
          <w:numId w:val="50"/>
        </w:numPr>
        <w:rPr>
          <w:rFonts w:ascii="Arial" w:cs="Arial" w:eastAsia="Arial" w:hAnsi="Arial"/>
          <w:sz w:val="22"/>
          <w:szCs w:val="22"/>
          <w:b w:val="1"/>
          <w:bCs w:val="1"/>
          <w:color w:val="auto"/>
        </w:rPr>
      </w:pPr>
      <w:r>
        <w:rPr>
          <w:rFonts w:ascii="Arial" w:cs="Arial" w:eastAsia="Arial" w:hAnsi="Arial"/>
          <w:sz w:val="22"/>
          <w:szCs w:val="22"/>
          <w:color w:val="auto"/>
        </w:rPr>
        <w:t>references to the specific Plan provisions upon which the denial is based;</w:t>
      </w:r>
    </w:p>
    <w:p>
      <w:pPr>
        <w:spacing w:after="0" w:line="233" w:lineRule="exact"/>
        <w:rPr>
          <w:rFonts w:ascii="Arial" w:cs="Arial" w:eastAsia="Arial" w:hAnsi="Arial"/>
          <w:sz w:val="22"/>
          <w:szCs w:val="22"/>
          <w:b w:val="1"/>
          <w:bCs w:val="1"/>
          <w:color w:val="auto"/>
        </w:rPr>
      </w:pPr>
    </w:p>
    <w:p>
      <w:pPr>
        <w:ind w:firstLine="1953"/>
        <w:spacing w:after="0" w:line="315" w:lineRule="auto"/>
        <w:tabs>
          <w:tab w:leader="none" w:pos="2377" w:val="left"/>
        </w:tabs>
        <w:numPr>
          <w:ilvl w:val="2"/>
          <w:numId w:val="50"/>
        </w:numPr>
        <w:rPr>
          <w:rFonts w:ascii="Arial" w:cs="Arial" w:eastAsia="Arial" w:hAnsi="Arial"/>
          <w:sz w:val="22"/>
          <w:szCs w:val="22"/>
          <w:b w:val="1"/>
          <w:bCs w:val="1"/>
          <w:color w:val="auto"/>
        </w:rPr>
      </w:pPr>
      <w:r>
        <w:rPr>
          <w:rFonts w:ascii="Arial" w:cs="Arial" w:eastAsia="Arial" w:hAnsi="Arial"/>
          <w:sz w:val="22"/>
          <w:szCs w:val="22"/>
          <w:color w:val="auto"/>
        </w:rPr>
        <w:t>a description of any additional information or material that the Plan Administrator needs to complete the review and an explanation of why such information or material is necessary; and</w:t>
      </w:r>
    </w:p>
    <w:p>
      <w:pPr>
        <w:spacing w:after="0" w:line="119" w:lineRule="exact"/>
        <w:rPr>
          <w:rFonts w:ascii="Arial" w:cs="Arial" w:eastAsia="Arial" w:hAnsi="Arial"/>
          <w:sz w:val="22"/>
          <w:szCs w:val="22"/>
          <w:b w:val="1"/>
          <w:bCs w:val="1"/>
          <w:color w:val="auto"/>
        </w:rPr>
      </w:pPr>
    </w:p>
    <w:p>
      <w:pPr>
        <w:ind w:left="2520" w:hanging="567"/>
        <w:spacing w:after="0"/>
        <w:tabs>
          <w:tab w:leader="none" w:pos="2520" w:val="left"/>
        </w:tabs>
        <w:numPr>
          <w:ilvl w:val="2"/>
          <w:numId w:val="50"/>
        </w:numPr>
        <w:rPr>
          <w:rFonts w:ascii="Arial" w:cs="Arial" w:eastAsia="Arial" w:hAnsi="Arial"/>
          <w:sz w:val="19"/>
          <w:szCs w:val="19"/>
          <w:b w:val="1"/>
          <w:bCs w:val="1"/>
          <w:color w:val="auto"/>
        </w:rPr>
      </w:pPr>
      <w:r>
        <w:rPr>
          <w:rFonts w:ascii="Arial" w:cs="Arial" w:eastAsia="Arial" w:hAnsi="Arial"/>
          <w:sz w:val="19"/>
          <w:szCs w:val="19"/>
          <w:color w:val="auto"/>
        </w:rPr>
        <w:t>an explanation of the Plan’s review procedures and the time limits applicable to such procedures,</w:t>
      </w:r>
    </w:p>
    <w:p>
      <w:pPr>
        <w:spacing w:after="0" w:line="92" w:lineRule="exact"/>
        <w:rPr>
          <w:rFonts w:ascii="Arial" w:cs="Arial" w:eastAsia="Arial" w:hAnsi="Arial"/>
          <w:sz w:val="19"/>
          <w:szCs w:val="19"/>
          <w:b w:val="1"/>
          <w:bCs w:val="1"/>
          <w:color w:val="auto"/>
        </w:rPr>
      </w:pPr>
    </w:p>
    <w:p>
      <w:pPr>
        <w:ind w:right="20"/>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including a statement of the applicant’s right to bring a civil action under Section 502(a) of ERISA following a denial on review of the claim, as described in Section 12(d).</w:t>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notice of denial will be given to the applicant within ninety (90) days after the Plan Administrator receives the application, unless special circumstances require an extension of time, in which case, the Plan Administrator has up to an additional ninety (90) days for processing the application. If an extension of time for processing is required, written notice of the extension will be furnished to the applicant before the end of the initial ninety (90) day period.</w:t>
      </w:r>
    </w:p>
    <w:p>
      <w:pPr>
        <w:sectPr>
          <w:pgSz w:w="11900" w:h="16838" w:orient="portrait"/>
          <w:cols w:equalWidth="0" w:num="1">
            <w:col w:w="11420"/>
          </w:cols>
          <w:pgMar w:left="240" w:top="382" w:right="239" w:bottom="1440" w:gutter="0" w:footer="0" w:header="0"/>
        </w:sectPr>
      </w:pPr>
    </w:p>
    <w:bookmarkStart w:id="55" w:name="page56"/>
    <w:bookmarkEnd w:id="55"/>
    <w:p>
      <w:pPr>
        <w:spacing w:after="0" w:line="263" w:lineRule="auto"/>
        <w:rPr>
          <w:sz w:val="20"/>
          <w:szCs w:val="20"/>
          <w:color w:val="auto"/>
        </w:rPr>
      </w:pPr>
      <w:r>
        <w:rPr>
          <w:rFonts w:ascii="Arial" w:cs="Arial" w:eastAsia="Arial" w:hAnsi="Arial"/>
          <w:sz w:val="22"/>
          <w:szCs w:val="22"/>
          <w:color w:val="auto"/>
        </w:rPr>
        <w:t>The notice of extension will describe the special circumstances necessitating the additional time and the date by which the Plan Administrator is to render its decision on the application.</w:t>
      </w:r>
    </w:p>
    <w:p>
      <w:pPr>
        <w:spacing w:after="0" w:line="182"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Request for a Review. </w:t>
      </w:r>
      <w:r>
        <w:rPr>
          <w:rFonts w:ascii="Arial" w:cs="Arial" w:eastAsia="Arial" w:hAnsi="Arial"/>
          <w:sz w:val="19"/>
          <w:szCs w:val="19"/>
          <w:color w:val="auto"/>
        </w:rPr>
        <w:t>Any person (or that person’s authorized representative) for whom an application for benefits is</w:t>
      </w:r>
    </w:p>
    <w:p>
      <w:pPr>
        <w:spacing w:after="0" w:line="98"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denied, in whole or in part, may appeal the denial by submitting a request for a review to the Plan Administrator within sixty (60) days after the application is denied. A request for a review will be in writing and will be addressed to:</w:t>
      </w:r>
    </w:p>
    <w:p>
      <w:pPr>
        <w:spacing w:after="0" w:line="133"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Enphase Energy, Inc.</w:t>
      </w:r>
    </w:p>
    <w:p>
      <w:pPr>
        <w:spacing w:after="0" w:line="4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Attn: Vice President, Human Resources</w:t>
      </w:r>
    </w:p>
    <w:p>
      <w:pPr>
        <w:spacing w:after="0" w:line="44"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1420 N. McDowell Blvd.</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Petaluma, CA 94954</w:t>
      </w:r>
    </w:p>
    <w:p>
      <w:pPr>
        <w:spacing w:after="0" w:line="247"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 request for review must set forth all of the grounds on which it is based, all facts in support of the request and any other matters that the applicant feels are pertinent. The applicant (or the applicant’s representative) will have the opportunity to submit (or the Plan Administrator may require the applicant to submit) written comments, documents, records, and other information relating to his or her claim. The applicant (or his or her representative) will be provided, upon request and free of charge, reasonable access to, and copies of, all documents, records and other information relevant to his or her claim. The review will take into account all comments, documents, records and other information submitted by the applicant (or his or her representative) relating to the claim, without regard to whether such information was submitted or considered in the initial benefit determination.</w:t>
      </w:r>
    </w:p>
    <w:p>
      <w:pPr>
        <w:spacing w:after="0" w:line="159" w:lineRule="exact"/>
        <w:rPr>
          <w:sz w:val="20"/>
          <w:szCs w:val="20"/>
          <w:color w:val="auto"/>
        </w:rPr>
      </w:pPr>
    </w:p>
    <w:p>
      <w:pPr>
        <w:ind w:left="1120" w:hanging="464"/>
        <w:spacing w:after="0"/>
        <w:tabs>
          <w:tab w:leader="none" w:pos="1120"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Decision on Review. </w:t>
      </w:r>
      <w:r>
        <w:rPr>
          <w:rFonts w:ascii="Arial" w:cs="Arial" w:eastAsia="Arial" w:hAnsi="Arial"/>
          <w:sz w:val="19"/>
          <w:szCs w:val="19"/>
          <w:color w:val="auto"/>
        </w:rPr>
        <w:t>The Plan Administrator will act on each request for review within sixty (60) days after receipt of</w:t>
      </w:r>
    </w:p>
    <w:p>
      <w:pPr>
        <w:spacing w:after="0" w:line="98" w:lineRule="exact"/>
        <w:rPr>
          <w:rFonts w:ascii="Arial" w:cs="Arial" w:eastAsia="Arial" w:hAnsi="Arial"/>
          <w:sz w:val="19"/>
          <w:szCs w:val="19"/>
          <w:b w:val="1"/>
          <w:bCs w:val="1"/>
          <w:color w:val="auto"/>
        </w:rPr>
      </w:pPr>
    </w:p>
    <w:p>
      <w:pPr>
        <w:jc w:val="both"/>
        <w:spacing w:after="0" w:line="336" w:lineRule="auto"/>
        <w:rPr>
          <w:rFonts w:ascii="Arial" w:cs="Arial" w:eastAsia="Arial" w:hAnsi="Arial"/>
          <w:sz w:val="19"/>
          <w:szCs w:val="19"/>
          <w:b w:val="1"/>
          <w:bCs w:val="1"/>
          <w:color w:val="auto"/>
        </w:rPr>
      </w:pPr>
      <w:r>
        <w:rPr>
          <w:rFonts w:ascii="Arial" w:cs="Arial" w:eastAsia="Arial" w:hAnsi="Arial"/>
          <w:sz w:val="19"/>
          <w:szCs w:val="19"/>
          <w:color w:val="auto"/>
        </w:rPr>
        <w:t>the request, unless special circumstances require an extension of time (not to exceed an additional sixty (60) days), for processing the request for a review. If an extension for review is required, written notice of the extension will be furnished to the applicant within the initial sixty (60) 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designed to be understood by the applicant, the following:</w:t>
      </w:r>
    </w:p>
    <w:p>
      <w:pPr>
        <w:spacing w:after="0" w:line="114" w:lineRule="exact"/>
        <w:rPr>
          <w:rFonts w:ascii="Arial" w:cs="Arial" w:eastAsia="Arial" w:hAnsi="Arial"/>
          <w:sz w:val="19"/>
          <w:szCs w:val="19"/>
          <w:b w:val="1"/>
          <w:bCs w:val="1"/>
          <w:color w:val="auto"/>
        </w:rPr>
      </w:pPr>
    </w:p>
    <w:p>
      <w:pPr>
        <w:ind w:left="2380" w:hanging="427"/>
        <w:spacing w:after="0"/>
        <w:tabs>
          <w:tab w:leader="none" w:pos="2380"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the specific reason or reasons for the denial;</w:t>
      </w:r>
    </w:p>
    <w:p>
      <w:pPr>
        <w:spacing w:after="0" w:line="233" w:lineRule="exact"/>
        <w:rPr>
          <w:rFonts w:ascii="Arial" w:cs="Arial" w:eastAsia="Arial" w:hAnsi="Arial"/>
          <w:sz w:val="22"/>
          <w:szCs w:val="22"/>
          <w:b w:val="1"/>
          <w:bCs w:val="1"/>
          <w:color w:val="auto"/>
        </w:rPr>
      </w:pPr>
    </w:p>
    <w:p>
      <w:pPr>
        <w:ind w:left="2380" w:hanging="427"/>
        <w:spacing w:after="0"/>
        <w:tabs>
          <w:tab w:leader="none" w:pos="2380"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references to the specific Plan provisions upon which the denial is based;</w:t>
      </w:r>
    </w:p>
    <w:p>
      <w:pPr>
        <w:sectPr>
          <w:pgSz w:w="11900" w:h="16838" w:orient="portrait"/>
          <w:cols w:equalWidth="0" w:num="1">
            <w:col w:w="11420"/>
          </w:cols>
          <w:pgMar w:left="240" w:top="375" w:right="239" w:bottom="1440" w:gutter="0" w:footer="0" w:header="0"/>
        </w:sectPr>
      </w:pPr>
    </w:p>
    <w:bookmarkStart w:id="56" w:name="page57"/>
    <w:bookmarkEnd w:id="56"/>
    <w:p>
      <w:pPr>
        <w:ind w:firstLine="1953"/>
        <w:spacing w:after="0" w:line="341" w:lineRule="auto"/>
        <w:tabs>
          <w:tab w:leader="none" w:pos="2417" w:val="left"/>
        </w:tabs>
        <w:numPr>
          <w:ilvl w:val="2"/>
          <w:numId w:val="53"/>
        </w:numPr>
        <w:rPr>
          <w:rFonts w:ascii="Arial" w:cs="Arial" w:eastAsia="Arial" w:hAnsi="Arial"/>
          <w:sz w:val="21"/>
          <w:szCs w:val="21"/>
          <w:b w:val="1"/>
          <w:bCs w:val="1"/>
          <w:color w:val="auto"/>
        </w:rPr>
      </w:pPr>
      <w:r>
        <w:rPr>
          <w:rFonts w:ascii="Arial" w:cs="Arial" w:eastAsia="Arial" w:hAnsi="Arial"/>
          <w:sz w:val="21"/>
          <w:szCs w:val="21"/>
          <w:color w:val="auto"/>
        </w:rPr>
        <w:t>a statement that the applicant is entitled to receive, upon request and free of charge, reasonable access to, and copies of, all documents, records and other information relevant to the applicant’s claim; and</w:t>
      </w:r>
    </w:p>
    <w:p>
      <w:pPr>
        <w:spacing w:after="0" w:line="97" w:lineRule="exact"/>
        <w:rPr>
          <w:rFonts w:ascii="Arial" w:cs="Arial" w:eastAsia="Arial" w:hAnsi="Arial"/>
          <w:sz w:val="21"/>
          <w:szCs w:val="21"/>
          <w:b w:val="1"/>
          <w:bCs w:val="1"/>
          <w:color w:val="auto"/>
        </w:rPr>
      </w:pPr>
    </w:p>
    <w:p>
      <w:pPr>
        <w:ind w:left="2380" w:hanging="427"/>
        <w:spacing w:after="0"/>
        <w:tabs>
          <w:tab w:leader="none" w:pos="2380" w:val="left"/>
        </w:tabs>
        <w:numPr>
          <w:ilvl w:val="2"/>
          <w:numId w:val="53"/>
        </w:numPr>
        <w:rPr>
          <w:rFonts w:ascii="Arial" w:cs="Arial" w:eastAsia="Arial" w:hAnsi="Arial"/>
          <w:sz w:val="22"/>
          <w:szCs w:val="22"/>
          <w:b w:val="1"/>
          <w:bCs w:val="1"/>
          <w:color w:val="auto"/>
        </w:rPr>
      </w:pPr>
      <w:r>
        <w:rPr>
          <w:rFonts w:ascii="Arial" w:cs="Arial" w:eastAsia="Arial" w:hAnsi="Arial"/>
          <w:sz w:val="22"/>
          <w:szCs w:val="22"/>
          <w:color w:val="auto"/>
        </w:rPr>
        <w:t>a statement of the applicant’s right to bring a civil action under Section 502(a) of ERISA.</w:t>
      </w:r>
    </w:p>
    <w:p>
      <w:pPr>
        <w:spacing w:after="0" w:line="227" w:lineRule="exact"/>
        <w:rPr>
          <w:rFonts w:ascii="Arial" w:cs="Arial" w:eastAsia="Arial" w:hAnsi="Arial"/>
          <w:sz w:val="22"/>
          <w:szCs w:val="22"/>
          <w:b w:val="1"/>
          <w:bCs w:val="1"/>
          <w:color w:val="auto"/>
        </w:rPr>
      </w:pPr>
    </w:p>
    <w:p>
      <w:pPr>
        <w:ind w:left="1100" w:hanging="444"/>
        <w:spacing w:after="0"/>
        <w:tabs>
          <w:tab w:leader="none" w:pos="1100" w:val="left"/>
        </w:tabs>
        <w:numPr>
          <w:ilvl w:val="1"/>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Rules and Procedures. </w:t>
      </w:r>
      <w:r>
        <w:rPr>
          <w:rFonts w:ascii="Arial" w:cs="Arial" w:eastAsia="Arial" w:hAnsi="Arial"/>
          <w:sz w:val="19"/>
          <w:szCs w:val="19"/>
          <w:color w:val="auto"/>
        </w:rPr>
        <w:t>The Plan Administrator will establish rules and procedures, consistent with the Plan and with</w:t>
      </w:r>
    </w:p>
    <w:p>
      <w:pPr>
        <w:spacing w:after="0" w:line="98" w:lineRule="exact"/>
        <w:rPr>
          <w:rFonts w:ascii="Arial" w:cs="Arial" w:eastAsia="Arial" w:hAnsi="Arial"/>
          <w:sz w:val="19"/>
          <w:szCs w:val="19"/>
          <w:b w:val="1"/>
          <w:bCs w:val="1"/>
          <w:color w:val="auto"/>
        </w:rPr>
      </w:pPr>
    </w:p>
    <w:p>
      <w:pPr>
        <w:jc w:val="both"/>
        <w:ind w:right="20"/>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ERISA, as 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spacing w:after="0" w:line="137" w:lineRule="exact"/>
        <w:rPr>
          <w:rFonts w:ascii="Arial" w:cs="Arial" w:eastAsia="Arial" w:hAnsi="Arial"/>
          <w:sz w:val="19"/>
          <w:szCs w:val="19"/>
          <w:b w:val="1"/>
          <w:bCs w:val="1"/>
          <w:color w:val="auto"/>
        </w:rPr>
      </w:pPr>
    </w:p>
    <w:p>
      <w:pPr>
        <w:ind w:left="1180" w:hanging="524"/>
        <w:spacing w:after="0"/>
        <w:tabs>
          <w:tab w:leader="none" w:pos="1180" w:val="left"/>
        </w:tabs>
        <w:numPr>
          <w:ilvl w:val="1"/>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Exhaustion of Remedies. </w:t>
      </w:r>
      <w:r>
        <w:rPr>
          <w:rFonts w:ascii="Arial" w:cs="Arial" w:eastAsia="Arial" w:hAnsi="Arial"/>
          <w:sz w:val="19"/>
          <w:szCs w:val="19"/>
          <w:color w:val="auto"/>
        </w:rPr>
        <w:t>No legal action for benefits under the Plan may be brought until the applicant (i) has</w:t>
      </w:r>
    </w:p>
    <w:p>
      <w:pPr>
        <w:spacing w:after="0" w:line="98" w:lineRule="exact"/>
        <w:rPr>
          <w:rFonts w:ascii="Arial" w:cs="Arial" w:eastAsia="Arial" w:hAnsi="Arial"/>
          <w:sz w:val="19"/>
          <w:szCs w:val="19"/>
          <w:b w:val="1"/>
          <w:bCs w:val="1"/>
          <w:color w:val="auto"/>
        </w:rPr>
      </w:pPr>
    </w:p>
    <w:p>
      <w:pPr>
        <w:jc w:val="both"/>
        <w:spacing w:after="0" w:line="326" w:lineRule="auto"/>
        <w:rPr>
          <w:rFonts w:ascii="Arial" w:cs="Arial" w:eastAsia="Arial" w:hAnsi="Arial"/>
          <w:sz w:val="19"/>
          <w:szCs w:val="19"/>
          <w:b w:val="1"/>
          <w:bCs w:val="1"/>
          <w:color w:val="auto"/>
        </w:rPr>
      </w:pPr>
      <w:r>
        <w:rPr>
          <w:rFonts w:ascii="Arial" w:cs="Arial" w:eastAsia="Arial" w:hAnsi="Arial"/>
          <w:sz w:val="19"/>
          <w:szCs w:val="19"/>
          <w:color w:val="auto"/>
        </w:rPr>
        <w:t>submitted a written application for benefits in accordance with the procedures described by Section 12(a), (ii) has been notified by the Plan Administrator that the application is denied, (iii) has filed a written request for a review of the application in accordance with the appeal procedure described in Section 12(c), and (iv) has been notified that the Plan Administrator has denied the appeal. Notwithstanding the foregoing, if the Plan Administrator does not respond to an applicant’s claim or appeal within the relevant time limits specified in this Section 12, the applicant may bring legal action for benefits under the Plan pursuant to Section 502(a) of</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ERISA.</w:t>
      </w:r>
    </w:p>
    <w:p>
      <w:pPr>
        <w:spacing w:after="0" w:line="213" w:lineRule="exact"/>
        <w:rPr>
          <w:rFonts w:ascii="Arial" w:cs="Arial" w:eastAsia="Arial" w:hAnsi="Arial"/>
          <w:sz w:val="19"/>
          <w:szCs w:val="19"/>
          <w:b w:val="1"/>
          <w:bCs w:val="1"/>
          <w:color w:val="auto"/>
        </w:rPr>
      </w:pPr>
    </w:p>
    <w:p>
      <w:pPr>
        <w:ind w:firstLine="8"/>
        <w:spacing w:after="0" w:line="320" w:lineRule="auto"/>
        <w:tabs>
          <w:tab w:leader="none" w:pos="45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BASIS OF PAYMENTS TO AND FROM PLAN. </w:t>
      </w:r>
      <w:r>
        <w:rPr>
          <w:rFonts w:ascii="Arial" w:cs="Arial" w:eastAsia="Arial" w:hAnsi="Arial"/>
          <w:sz w:val="22"/>
          <w:szCs w:val="22"/>
          <w:color w:val="auto"/>
        </w:rPr>
        <w:t>All benefits under the Plan will be paid by the Company. The Plan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unfunded, and benefits hereunder will be paid only from the general assets of the Company.</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OTHER PLAN INFORMATION.</w:t>
      </w:r>
    </w:p>
    <w:p>
      <w:pPr>
        <w:spacing w:after="0" w:line="273" w:lineRule="exact"/>
        <w:rPr>
          <w:rFonts w:ascii="Arial" w:cs="Arial" w:eastAsia="Arial" w:hAnsi="Arial"/>
          <w:sz w:val="22"/>
          <w:szCs w:val="22"/>
          <w:b w:val="1"/>
          <w:bCs w:val="1"/>
          <w:color w:val="auto"/>
        </w:rPr>
      </w:pPr>
    </w:p>
    <w:p>
      <w:pPr>
        <w:ind w:left="1120" w:hanging="464"/>
        <w:spacing w:after="0"/>
        <w:tabs>
          <w:tab w:leader="none" w:pos="1120" w:val="left"/>
        </w:tabs>
        <w:numPr>
          <w:ilvl w:val="1"/>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Employer and Plan Identification Numbers. </w:t>
      </w:r>
      <w:r>
        <w:rPr>
          <w:rFonts w:ascii="Arial" w:cs="Arial" w:eastAsia="Arial" w:hAnsi="Arial"/>
          <w:sz w:val="19"/>
          <w:szCs w:val="19"/>
          <w:color w:val="auto"/>
        </w:rPr>
        <w:t>The Employer Identification Number assigned to the Company (which</w:t>
      </w:r>
    </w:p>
    <w:p>
      <w:pPr>
        <w:spacing w:after="0" w:line="98" w:lineRule="exact"/>
        <w:rPr>
          <w:rFonts w:ascii="Arial" w:cs="Arial" w:eastAsia="Arial" w:hAnsi="Arial"/>
          <w:sz w:val="19"/>
          <w:szCs w:val="19"/>
          <w:b w:val="1"/>
          <w:bCs w:val="1"/>
          <w:color w:val="auto"/>
        </w:rPr>
      </w:pPr>
    </w:p>
    <w:p>
      <w:pPr>
        <w:spacing w:after="0" w:line="328" w:lineRule="auto"/>
        <w:rPr>
          <w:rFonts w:ascii="Arial" w:cs="Arial" w:eastAsia="Arial" w:hAnsi="Arial"/>
          <w:sz w:val="19"/>
          <w:szCs w:val="19"/>
          <w:b w:val="1"/>
          <w:bCs w:val="1"/>
          <w:color w:val="auto"/>
        </w:rPr>
      </w:pPr>
      <w:r>
        <w:rPr>
          <w:rFonts w:ascii="Arial" w:cs="Arial" w:eastAsia="Arial" w:hAnsi="Arial"/>
          <w:sz w:val="21"/>
          <w:szCs w:val="21"/>
          <w:color w:val="auto"/>
        </w:rPr>
        <w:t>is the “Plan Sponsor” as that term is used in ERISA) by the Internal Revenue Service is 20-4645388. The Plan Number assigned to the Plan by the Plan Sponsor pursuant to the instructions of the Internal Revenue Service is 510.</w:t>
      </w:r>
    </w:p>
    <w:p>
      <w:pPr>
        <w:spacing w:after="0" w:line="103" w:lineRule="exact"/>
        <w:rPr>
          <w:rFonts w:ascii="Arial" w:cs="Arial" w:eastAsia="Arial" w:hAnsi="Arial"/>
          <w:sz w:val="19"/>
          <w:szCs w:val="19"/>
          <w:b w:val="1"/>
          <w:bCs w:val="1"/>
          <w:color w:val="auto"/>
        </w:rPr>
      </w:pPr>
    </w:p>
    <w:p>
      <w:pPr>
        <w:ind w:firstLine="656"/>
        <w:spacing w:after="0" w:line="320" w:lineRule="auto"/>
        <w:tabs>
          <w:tab w:leader="none" w:pos="1133" w:val="left"/>
        </w:tabs>
        <w:numPr>
          <w:ilvl w:val="1"/>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Ending Date for Plan’s Fiscal Year. </w:t>
      </w:r>
      <w:r>
        <w:rPr>
          <w:rFonts w:ascii="Arial" w:cs="Arial" w:eastAsia="Arial" w:hAnsi="Arial"/>
          <w:sz w:val="22"/>
          <w:szCs w:val="22"/>
          <w:color w:val="auto"/>
        </w:rPr>
        <w:t>The date of the end of the fiscal year for the purpose of maintaining the Plan’s</w:t>
      </w:r>
      <w:r>
        <w:rPr>
          <w:rFonts w:ascii="Arial" w:cs="Arial" w:eastAsia="Arial" w:hAnsi="Arial"/>
          <w:sz w:val="22"/>
          <w:szCs w:val="22"/>
          <w:b w:val="1"/>
          <w:bCs w:val="1"/>
          <w:color w:val="auto"/>
        </w:rPr>
        <w:t xml:space="preserve"> </w:t>
      </w:r>
      <w:r>
        <w:rPr>
          <w:rFonts w:ascii="Arial" w:cs="Arial" w:eastAsia="Arial" w:hAnsi="Arial"/>
          <w:sz w:val="22"/>
          <w:szCs w:val="22"/>
          <w:color w:val="auto"/>
        </w:rPr>
        <w:t>records is December 31.</w:t>
      </w:r>
    </w:p>
    <w:p>
      <w:pPr>
        <w:spacing w:after="0" w:line="108" w:lineRule="exact"/>
        <w:rPr>
          <w:rFonts w:ascii="Arial" w:cs="Arial" w:eastAsia="Arial" w:hAnsi="Arial"/>
          <w:sz w:val="22"/>
          <w:szCs w:val="22"/>
          <w:b w:val="1"/>
          <w:bCs w:val="1"/>
          <w:color w:val="auto"/>
        </w:rPr>
      </w:pPr>
    </w:p>
    <w:p>
      <w:pPr>
        <w:ind w:left="1080" w:hanging="424"/>
        <w:spacing w:after="0"/>
        <w:tabs>
          <w:tab w:leader="none" w:pos="1080" w:val="left"/>
        </w:tabs>
        <w:numPr>
          <w:ilvl w:val="1"/>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Agent for the Service of Legal Process</w:t>
      </w:r>
      <w:r>
        <w:rPr>
          <w:rFonts w:ascii="Arial" w:cs="Arial" w:eastAsia="Arial" w:hAnsi="Arial"/>
          <w:sz w:val="21"/>
          <w:szCs w:val="21"/>
          <w:color w:val="auto"/>
        </w:rPr>
        <w:t>. The agent for the service of legal process with respect to the Plan is:</w:t>
      </w: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Enphase Energy,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Attn: Senior Corporate Counsel</w:t>
      </w:r>
    </w:p>
    <w:p>
      <w:pPr>
        <w:sectPr>
          <w:pgSz w:w="11900" w:h="16838" w:orient="portrait"/>
          <w:cols w:equalWidth="0" w:num="1">
            <w:col w:w="11420"/>
          </w:cols>
          <w:pgMar w:left="240" w:top="388" w:right="239" w:bottom="1440" w:gutter="0" w:footer="0" w:header="0"/>
        </w:sectPr>
      </w:pPr>
    </w:p>
    <w:bookmarkStart w:id="57" w:name="page58"/>
    <w:bookmarkEnd w:id="57"/>
    <w:p>
      <w:pPr>
        <w:ind w:left="4620"/>
        <w:spacing w:after="0"/>
        <w:rPr>
          <w:sz w:val="20"/>
          <w:szCs w:val="20"/>
          <w:color w:val="auto"/>
        </w:rPr>
      </w:pPr>
      <w:r>
        <w:rPr>
          <w:rFonts w:ascii="Arial" w:cs="Arial" w:eastAsia="Arial" w:hAnsi="Arial"/>
          <w:sz w:val="22"/>
          <w:szCs w:val="22"/>
          <w:color w:val="auto"/>
        </w:rPr>
        <w:t>1420 N. McDowell Blvd</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Petaluma, CA 94954</w:t>
      </w:r>
    </w:p>
    <w:p>
      <w:pPr>
        <w:spacing w:after="0" w:line="200" w:lineRule="exact"/>
        <w:rPr>
          <w:sz w:val="20"/>
          <w:szCs w:val="20"/>
          <w:color w:val="auto"/>
        </w:rPr>
      </w:pPr>
    </w:p>
    <w:p>
      <w:pPr>
        <w:spacing w:after="0" w:line="270" w:lineRule="exact"/>
        <w:rPr>
          <w:sz w:val="20"/>
          <w:szCs w:val="20"/>
          <w:color w:val="auto"/>
        </w:rPr>
      </w:pPr>
    </w:p>
    <w:p>
      <w:pPr>
        <w:ind w:left="1100" w:hanging="444"/>
        <w:spacing w:after="0"/>
        <w:tabs>
          <w:tab w:leader="none" w:pos="110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Plan Sponsor and Administrator. </w:t>
      </w:r>
      <w:r>
        <w:rPr>
          <w:rFonts w:ascii="Arial" w:cs="Arial" w:eastAsia="Arial" w:hAnsi="Arial"/>
          <w:sz w:val="22"/>
          <w:szCs w:val="22"/>
          <w:color w:val="auto"/>
        </w:rPr>
        <w:t>The “Plan Sponsor” and the “Plan Administrator” of the Plan is:</w:t>
      </w:r>
    </w:p>
    <w:p>
      <w:pPr>
        <w:spacing w:after="0" w:line="239"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Enphase Energy, Inc.</w:t>
      </w:r>
    </w:p>
    <w:p>
      <w:pPr>
        <w:spacing w:after="0" w:line="44"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Attn: Plan Administrator of the Severance and Change in Control Benefit Plan</w:t>
      </w:r>
    </w:p>
    <w:p>
      <w:pPr>
        <w:spacing w:after="0" w:line="4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1420 N. McDowell Blvd</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Petaluma, CA 94954</w:t>
      </w:r>
    </w:p>
    <w:p>
      <w:pPr>
        <w:spacing w:after="0" w:line="200" w:lineRule="exact"/>
        <w:rPr>
          <w:sz w:val="20"/>
          <w:szCs w:val="20"/>
          <w:color w:val="auto"/>
        </w:rPr>
      </w:pPr>
    </w:p>
    <w:p>
      <w:pPr>
        <w:spacing w:after="0" w:line="276"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color w:val="auto"/>
        </w:rPr>
        <w:t>The Plan Sponsor’s and Plan Administrator’s telephone number is (707) 763-4784. The Plan Administrator is the named fiduciary charged with the responsibility for administering the Plan.</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1"/>
          <w:szCs w:val="21"/>
          <w:b w:val="1"/>
          <w:bCs w:val="1"/>
          <w:color w:val="auto"/>
        </w:rPr>
        <w:t>STATEMENT OF ERISA RIGHTS.</w:t>
      </w:r>
    </w:p>
    <w:p>
      <w:pPr>
        <w:spacing w:after="0" w:line="266"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Participants in the Plan (which is a welfare benefit plan sponsored by Enphase Energy, Inc.) are entitled to certain rights and protections under ERISA. For purposes of this Section 15 and, under ERISA, Participants are entitled to: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Receive Information About the Plan and Benefits</w:t>
      </w:r>
    </w:p>
    <w:p>
      <w:pPr>
        <w:spacing w:after="0" w:line="239" w:lineRule="exact"/>
        <w:rPr>
          <w:sz w:val="20"/>
          <w:szCs w:val="20"/>
          <w:color w:val="auto"/>
        </w:rPr>
      </w:pPr>
    </w:p>
    <w:p>
      <w:pPr>
        <w:ind w:left="1180" w:hanging="524"/>
        <w:spacing w:after="0"/>
        <w:tabs>
          <w:tab w:leader="none" w:pos="1180"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Examine, without charge, at the Plan Administrator’s office and at other specified locations, such as worksites, all</w:t>
      </w:r>
    </w:p>
    <w:p>
      <w:pPr>
        <w:spacing w:after="0" w:line="92" w:lineRule="exact"/>
        <w:rPr>
          <w:rFonts w:ascii="Arial" w:cs="Arial" w:eastAsia="Arial" w:hAnsi="Arial"/>
          <w:sz w:val="19"/>
          <w:szCs w:val="19"/>
          <w:b w:val="1"/>
          <w:bCs w:val="1"/>
          <w:color w:val="auto"/>
        </w:rPr>
      </w:pPr>
    </w:p>
    <w:p>
      <w:pPr>
        <w:ind w:right="20"/>
        <w:spacing w:after="0" w:line="387" w:lineRule="auto"/>
        <w:rPr>
          <w:rFonts w:ascii="Arial" w:cs="Arial" w:eastAsia="Arial" w:hAnsi="Arial"/>
          <w:sz w:val="19"/>
          <w:szCs w:val="19"/>
          <w:b w:val="1"/>
          <w:bCs w:val="1"/>
          <w:color w:val="auto"/>
        </w:rPr>
      </w:pPr>
      <w:r>
        <w:rPr>
          <w:rFonts w:ascii="Arial" w:cs="Arial" w:eastAsia="Arial" w:hAnsi="Arial"/>
          <w:sz w:val="19"/>
          <w:szCs w:val="19"/>
          <w:color w:val="auto"/>
        </w:rPr>
        <w:t>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65" w:lineRule="exact"/>
        <w:rPr>
          <w:rFonts w:ascii="Arial" w:cs="Arial" w:eastAsia="Arial" w:hAnsi="Arial"/>
          <w:sz w:val="19"/>
          <w:szCs w:val="19"/>
          <w:b w:val="1"/>
          <w:bCs w:val="1"/>
          <w:color w:val="auto"/>
        </w:rPr>
      </w:pPr>
    </w:p>
    <w:p>
      <w:pPr>
        <w:ind w:left="1140" w:hanging="484"/>
        <w:spacing w:after="0"/>
        <w:tabs>
          <w:tab w:leader="none" w:pos="1140"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Obtain, upon written request to the Plan Administrator, copies of documents governing the operation of the Plan and</w:t>
      </w:r>
    </w:p>
    <w:p>
      <w:pPr>
        <w:spacing w:after="0" w:line="92"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copies of the latest annual report (Form 5500 Series), if applicable, and an updated (as necessary) Summary Plan Description. The Plan Administrator may make a reasonable charge for the copies; and</w:t>
      </w:r>
    </w:p>
    <w:p>
      <w:pPr>
        <w:spacing w:after="0" w:line="133" w:lineRule="exact"/>
        <w:rPr>
          <w:rFonts w:ascii="Arial" w:cs="Arial" w:eastAsia="Arial" w:hAnsi="Arial"/>
          <w:sz w:val="19"/>
          <w:szCs w:val="19"/>
          <w:b w:val="1"/>
          <w:bCs w:val="1"/>
          <w:color w:val="auto"/>
        </w:rPr>
      </w:pPr>
    </w:p>
    <w:p>
      <w:pPr>
        <w:ind w:right="20" w:firstLine="656"/>
        <w:spacing w:after="0" w:line="315" w:lineRule="auto"/>
        <w:tabs>
          <w:tab w:leader="none" w:pos="1122" w:val="left"/>
        </w:tabs>
        <w:numPr>
          <w:ilvl w:val="0"/>
          <w:numId w:val="57"/>
        </w:numPr>
        <w:rPr>
          <w:rFonts w:ascii="Arial" w:cs="Arial" w:eastAsia="Arial" w:hAnsi="Arial"/>
          <w:sz w:val="22"/>
          <w:szCs w:val="22"/>
          <w:b w:val="1"/>
          <w:bCs w:val="1"/>
          <w:color w:val="auto"/>
        </w:rPr>
      </w:pPr>
      <w:r>
        <w:rPr>
          <w:rFonts w:ascii="Arial" w:cs="Arial" w:eastAsia="Arial" w:hAnsi="Arial"/>
          <w:sz w:val="22"/>
          <w:szCs w:val="22"/>
          <w:color w:val="auto"/>
        </w:rPr>
        <w:t>Receive a summary of the Plan’s annual financial report, if applicable. The Plan Administrator is required by law to furnish each Participant with a copy of this summary annual report.</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Prudent Actions By Plan Fiduciaries</w:t>
      </w:r>
    </w:p>
    <w:p>
      <w:pPr>
        <w:spacing w:after="0" w:line="239"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In addition to creating rights for Participants, ERISA imposes duties upon the people who are responsible for the operation of the employee benefit plan. The people who operate the Plan, called “fiduciaries” of the Plan, have a duty to do so prudently and in the interest of Participants and beneficiaries. No one, including a Participant’s employer, union (if applicable) or any other person,</w:t>
      </w:r>
    </w:p>
    <w:p>
      <w:pPr>
        <w:sectPr>
          <w:pgSz w:w="11900" w:h="16838" w:orient="portrait"/>
          <w:cols w:equalWidth="0" w:num="1">
            <w:col w:w="11420"/>
          </w:cols>
          <w:pgMar w:left="240" w:top="388" w:right="239" w:bottom="1440" w:gutter="0" w:footer="0" w:header="0"/>
        </w:sectPr>
      </w:pPr>
    </w:p>
    <w:bookmarkStart w:id="58" w:name="page59"/>
    <w:bookmarkEnd w:id="58"/>
    <w:p>
      <w:pPr>
        <w:jc w:val="both"/>
        <w:ind w:right="20"/>
        <w:spacing w:after="0" w:line="302" w:lineRule="auto"/>
        <w:rPr>
          <w:sz w:val="20"/>
          <w:szCs w:val="20"/>
          <w:color w:val="auto"/>
        </w:rPr>
      </w:pPr>
      <w:r>
        <w:rPr>
          <w:rFonts w:ascii="Arial" w:cs="Arial" w:eastAsia="Arial" w:hAnsi="Arial"/>
          <w:sz w:val="22"/>
          <w:szCs w:val="22"/>
          <w:color w:val="auto"/>
        </w:rPr>
        <w:t>may fire a Participant or otherwise discriminate against a Participant in any way to prevent the Participant from obtaining a Plan benefit or exercising a Participant’s rights under ERISA.</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Enforcement of Participant Rights</w:t>
      </w:r>
    </w:p>
    <w:p>
      <w:pPr>
        <w:spacing w:after="0" w:line="266"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If a claim for a Plan benefit is denied or ignored, in whole or in part, a Participant has a right to know why this was done, to obtain copies of documents relating to the decision without charge, and to appeal any denial, all within certain time schedules.</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22"/>
          <w:szCs w:val="22"/>
          <w:color w:val="auto"/>
        </w:rPr>
        <w:t>Under ERISA, there are steps a Participant can take to enforce the above rights. For instance, if a Participant requests a copy of Plan documents or the latest annual report from the Plan, if applicable, and does not receive them within thirty (30) days, the Participant may file suit in a federal court. In such a case, the court may require the Plan Administrator to provide the materials and pay the Participant up to $110 a day until the Participant receives the materials, unless the materials were not sent because of reasons beyond the control of the Plan Administrator.</w:t>
      </w:r>
    </w:p>
    <w:p>
      <w:pPr>
        <w:spacing w:after="0" w:line="189"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If a Participant has a claim for benefits that is denied or ignored, in whole or in part, the Participant may file suit in a state or federal court.</w:t>
      </w:r>
    </w:p>
    <w:p>
      <w:pPr>
        <w:spacing w:after="0" w:line="174"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If a Participant is discriminated against for asserting the Participant’s rights, the Participant may seek assistance from the U.S. Department of Labor, or may file suit in a federal court. The court will decide who should pay court costs and legal fees. If a Participant is successful, the court may order the person the Participant has sued to pay these costs and fees. If the Participant loses, the court may order the Participant to pay these costs and fees, for example, if it finds the Participant’s claim is frivolous.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Assistance With Questions</w:t>
      </w:r>
    </w:p>
    <w:p>
      <w:pPr>
        <w:spacing w:after="0" w:line="22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If a Participant has any questions about the Plan, the Participant should contact the Plan Administrator. If a Participant has any questions about this statement or about the Participant’s rights under ERISA, or if the Participant needs assistance in obtaining documents from the Plan Administrator, the Participant should contact the nearest office of the Employee Benefits Security Administration, U.S. Department of Labor, listed in the Participant’s telephone directory or the Division of Technical Assistance and Inquiries, Employee Benefits Security Administration, U.S. Department of Labor, 200 Constitution Avenue N.W., Washington, D.C. 20210. The Participant may also obtain certain publications about the Participant’s rights and responsibilities under ERISA by calling the publications hotline of the Employee Benefits Security Administration.</w:t>
      </w:r>
    </w:p>
    <w:p>
      <w:pPr>
        <w:spacing w:after="0" w:line="15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73" w:lineRule="exact"/>
        <w:rPr>
          <w:rFonts w:ascii="Arial" w:cs="Arial" w:eastAsia="Arial" w:hAnsi="Arial"/>
          <w:sz w:val="22"/>
          <w:szCs w:val="22"/>
          <w:b w:val="1"/>
          <w:bCs w:val="1"/>
          <w:color w:val="auto"/>
        </w:rPr>
      </w:pPr>
    </w:p>
    <w:p>
      <w:pPr>
        <w:ind w:left="1180" w:hanging="524"/>
        <w:spacing w:after="0"/>
        <w:tabs>
          <w:tab w:leader="none" w:pos="1180" w:val="left"/>
        </w:tabs>
        <w:numPr>
          <w:ilvl w:val="1"/>
          <w:numId w:val="5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Any notice, demand or request required or permitted to be given by either the Company or a Participant</w:t>
      </w:r>
    </w:p>
    <w:p>
      <w:pPr>
        <w:spacing w:after="0" w:line="98" w:lineRule="exact"/>
        <w:rPr>
          <w:rFonts w:ascii="Arial" w:cs="Arial" w:eastAsia="Arial" w:hAnsi="Arial"/>
          <w:sz w:val="19"/>
          <w:szCs w:val="19"/>
          <w:b w:val="1"/>
          <w:bCs w:val="1"/>
          <w:color w:val="auto"/>
        </w:rPr>
      </w:pPr>
    </w:p>
    <w:p>
      <w:pPr>
        <w:spacing w:after="0" w:line="302" w:lineRule="auto"/>
        <w:rPr>
          <w:rFonts w:ascii="Arial" w:cs="Arial" w:eastAsia="Arial" w:hAnsi="Arial"/>
          <w:sz w:val="19"/>
          <w:szCs w:val="19"/>
          <w:b w:val="1"/>
          <w:bCs w:val="1"/>
          <w:color w:val="auto"/>
        </w:rPr>
      </w:pPr>
      <w:r>
        <w:rPr>
          <w:rFonts w:ascii="Arial" w:cs="Arial" w:eastAsia="Arial" w:hAnsi="Arial"/>
          <w:sz w:val="22"/>
          <w:szCs w:val="22"/>
          <w:color w:val="auto"/>
        </w:rPr>
        <w:t>pursuant to the terms of the Plan will be in writing and will be deemed given when delivered personally, when received electronically (including email addressed to the</w:t>
      </w:r>
    </w:p>
    <w:p>
      <w:pPr>
        <w:sectPr>
          <w:pgSz w:w="11900" w:h="16838" w:orient="portrait"/>
          <w:cols w:equalWidth="0" w:num="1">
            <w:col w:w="11420"/>
          </w:cols>
          <w:pgMar w:left="240" w:top="388" w:right="239" w:bottom="1440" w:gutter="0" w:footer="0" w:header="0"/>
        </w:sectPr>
      </w:pPr>
    </w:p>
    <w:bookmarkStart w:id="59" w:name="page60"/>
    <w:bookmarkEnd w:id="59"/>
    <w:p>
      <w:pPr>
        <w:jc w:val="both"/>
        <w:spacing w:after="0" w:line="287" w:lineRule="auto"/>
        <w:rPr>
          <w:sz w:val="20"/>
          <w:szCs w:val="20"/>
          <w:color w:val="auto"/>
        </w:rPr>
      </w:pPr>
      <w:r>
        <w:rPr>
          <w:rFonts w:ascii="Arial" w:cs="Arial" w:eastAsia="Arial" w:hAnsi="Arial"/>
          <w:sz w:val="22"/>
          <w:szCs w:val="22"/>
          <w:color w:val="auto"/>
        </w:rPr>
        <w:t>Participant’s Company email account and to the Company email account of the Company’s Senior Corporate Counsel), or deposited in the U.S. Mail, First Class with postage prepaid, and addressed to the parties, in the case of the Company, at the address set forth in Section 14(d), in the case of a Participant, at the address as set forth in the Company’s employment file maintained for the Participant as previously furnished by the Participant or such other address as a party may request by notifying the other in writing.</w:t>
      </w:r>
    </w:p>
    <w:p>
      <w:pPr>
        <w:spacing w:after="0" w:line="143" w:lineRule="exact"/>
        <w:rPr>
          <w:sz w:val="20"/>
          <w:szCs w:val="20"/>
          <w:color w:val="auto"/>
        </w:rPr>
      </w:pPr>
    </w:p>
    <w:p>
      <w:pPr>
        <w:ind w:left="1220" w:hanging="564"/>
        <w:spacing w:after="0"/>
        <w:tabs>
          <w:tab w:leader="none" w:pos="1220" w:val="left"/>
        </w:tabs>
        <w:numPr>
          <w:ilvl w:val="1"/>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and Assignment. </w:t>
      </w:r>
      <w:r>
        <w:rPr>
          <w:rFonts w:ascii="Arial" w:cs="Arial" w:eastAsia="Arial" w:hAnsi="Arial"/>
          <w:sz w:val="19"/>
          <w:szCs w:val="19"/>
          <w:color w:val="auto"/>
        </w:rPr>
        <w:t>The rights and obligations of a Participant under the Plan may not be transferred or</w:t>
      </w:r>
    </w:p>
    <w:p>
      <w:pPr>
        <w:spacing w:after="0" w:line="98" w:lineRule="exact"/>
        <w:rPr>
          <w:rFonts w:ascii="Arial" w:cs="Arial" w:eastAsia="Arial" w:hAnsi="Arial"/>
          <w:sz w:val="19"/>
          <w:szCs w:val="19"/>
          <w:b w:val="1"/>
          <w:bCs w:val="1"/>
          <w:color w:val="auto"/>
        </w:rPr>
      </w:pPr>
    </w:p>
    <w:p>
      <w:pPr>
        <w:jc w:val="both"/>
        <w:spacing w:after="0" w:line="288" w:lineRule="auto"/>
        <w:rPr>
          <w:rFonts w:ascii="Arial" w:cs="Arial" w:eastAsia="Arial" w:hAnsi="Arial"/>
          <w:sz w:val="19"/>
          <w:szCs w:val="19"/>
          <w:b w:val="1"/>
          <w:bCs w:val="1"/>
          <w:color w:val="auto"/>
        </w:rPr>
      </w:pPr>
      <w:r>
        <w:rPr>
          <w:rFonts w:ascii="Arial" w:cs="Arial" w:eastAsia="Arial" w:hAnsi="Arial"/>
          <w:sz w:val="22"/>
          <w:szCs w:val="22"/>
          <w:color w:val="auto"/>
        </w:rPr>
        <w:t>assigned without the prior written consent of the Company. The Plan will be binding upon any surviving entity resulting from a Change in Control and upon any other person who is a successor by merger, acquisition, consolidation or otherwise to the business formerly carried on by the Company without regard to whether or not such person or entity actively assumes the obligations hereunder.</w:t>
      </w:r>
    </w:p>
    <w:p>
      <w:pPr>
        <w:spacing w:after="0" w:line="143" w:lineRule="exact"/>
        <w:rPr>
          <w:rFonts w:ascii="Arial" w:cs="Arial" w:eastAsia="Arial" w:hAnsi="Arial"/>
          <w:sz w:val="19"/>
          <w:szCs w:val="19"/>
          <w:b w:val="1"/>
          <w:bCs w:val="1"/>
          <w:color w:val="auto"/>
        </w:rPr>
      </w:pPr>
    </w:p>
    <w:p>
      <w:pPr>
        <w:ind w:left="1140" w:hanging="484"/>
        <w:spacing w:after="0"/>
        <w:tabs>
          <w:tab w:leader="none" w:pos="1140" w:val="left"/>
        </w:tabs>
        <w:numPr>
          <w:ilvl w:val="1"/>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Waiver. </w:t>
      </w:r>
      <w:r>
        <w:rPr>
          <w:rFonts w:ascii="Arial" w:cs="Arial" w:eastAsia="Arial" w:hAnsi="Arial"/>
          <w:sz w:val="19"/>
          <w:szCs w:val="19"/>
          <w:color w:val="auto"/>
        </w:rPr>
        <w:t>Any party’s failure to enforce any provision or provisions of the Plan will not in any way be construed as a</w:t>
      </w:r>
    </w:p>
    <w:p>
      <w:pPr>
        <w:spacing w:after="0" w:line="98" w:lineRule="exact"/>
        <w:rPr>
          <w:rFonts w:ascii="Arial" w:cs="Arial" w:eastAsia="Arial" w:hAnsi="Arial"/>
          <w:sz w:val="19"/>
          <w:szCs w:val="19"/>
          <w:b w:val="1"/>
          <w:bCs w:val="1"/>
          <w:color w:val="auto"/>
        </w:rPr>
      </w:pPr>
    </w:p>
    <w:p>
      <w:pPr>
        <w:jc w:val="both"/>
        <w:spacing w:after="0" w:line="292" w:lineRule="auto"/>
        <w:rPr>
          <w:rFonts w:ascii="Arial" w:cs="Arial" w:eastAsia="Arial" w:hAnsi="Arial"/>
          <w:sz w:val="19"/>
          <w:szCs w:val="19"/>
          <w:b w:val="1"/>
          <w:bCs w:val="1"/>
          <w:color w:val="auto"/>
        </w:rPr>
      </w:pPr>
      <w:r>
        <w:rPr>
          <w:rFonts w:ascii="Arial" w:cs="Arial" w:eastAsia="Arial" w:hAnsi="Arial"/>
          <w:sz w:val="22"/>
          <w:szCs w:val="22"/>
          <w:color w:val="auto"/>
        </w:rPr>
        <w:t>waiver of any such provision or provisions, nor prevent any party from thereafter enforcing each and every other provision of the Plan. The rights granted to the parties herein are cumulative and will not constitute a waiver of any party’s right to assert all other legal remedies available to it under the circumstances.</w:t>
      </w:r>
    </w:p>
    <w:p>
      <w:pPr>
        <w:spacing w:after="0" w:line="137" w:lineRule="exact"/>
        <w:rPr>
          <w:rFonts w:ascii="Arial" w:cs="Arial" w:eastAsia="Arial" w:hAnsi="Arial"/>
          <w:sz w:val="19"/>
          <w:szCs w:val="19"/>
          <w:b w:val="1"/>
          <w:bCs w:val="1"/>
          <w:color w:val="auto"/>
        </w:rPr>
      </w:pPr>
    </w:p>
    <w:p>
      <w:pPr>
        <w:ind w:firstLine="656"/>
        <w:spacing w:after="0" w:line="409" w:lineRule="auto"/>
        <w:tabs>
          <w:tab w:leader="none" w:pos="1146" w:val="left"/>
        </w:tabs>
        <w:numPr>
          <w:ilvl w:val="1"/>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Should any provision of the Plan be declared or determined to be invalid, illegal or unenforceable, the</w:t>
      </w:r>
      <w:r>
        <w:rPr>
          <w:rFonts w:ascii="Arial" w:cs="Arial" w:eastAsia="Arial" w:hAnsi="Arial"/>
          <w:sz w:val="19"/>
          <w:szCs w:val="19"/>
          <w:b w:val="1"/>
          <w:bCs w:val="1"/>
          <w:color w:val="auto"/>
        </w:rPr>
        <w:t xml:space="preserve"> </w:t>
      </w:r>
      <w:r>
        <w:rPr>
          <w:rFonts w:ascii="Arial" w:cs="Arial" w:eastAsia="Arial" w:hAnsi="Arial"/>
          <w:sz w:val="19"/>
          <w:szCs w:val="19"/>
          <w:color w:val="auto"/>
        </w:rPr>
        <w:t>validity, legality and enforceability of the remaining provisions will not in any way be affected or impaired.</w:t>
      </w:r>
    </w:p>
    <w:p>
      <w:pPr>
        <w:spacing w:after="0" w:line="38" w:lineRule="exact"/>
        <w:rPr>
          <w:rFonts w:ascii="Arial" w:cs="Arial" w:eastAsia="Arial" w:hAnsi="Arial"/>
          <w:sz w:val="19"/>
          <w:szCs w:val="19"/>
          <w:b w:val="1"/>
          <w:bCs w:val="1"/>
          <w:color w:val="auto"/>
        </w:rPr>
      </w:pPr>
    </w:p>
    <w:p>
      <w:pPr>
        <w:ind w:right="20" w:firstLine="656"/>
        <w:spacing w:after="0" w:line="320" w:lineRule="auto"/>
        <w:tabs>
          <w:tab w:leader="none" w:pos="1203"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Section Headings. </w:t>
      </w:r>
      <w:r>
        <w:rPr>
          <w:rFonts w:ascii="Arial" w:cs="Arial" w:eastAsia="Arial" w:hAnsi="Arial"/>
          <w:sz w:val="22"/>
          <w:szCs w:val="22"/>
          <w:color w:val="auto"/>
        </w:rPr>
        <w:t>Section headings in the Plan are included only for convenience of reference and will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considered part of the Plan for any other purpose.</w:t>
      </w:r>
    </w:p>
    <w:p>
      <w:pPr>
        <w:spacing w:after="0" w:line="108" w:lineRule="exact"/>
        <w:rPr>
          <w:rFonts w:ascii="Arial" w:cs="Arial" w:eastAsia="Arial" w:hAnsi="Arial"/>
          <w:sz w:val="22"/>
          <w:szCs w:val="22"/>
          <w:b w:val="1"/>
          <w:bCs w:val="1"/>
          <w:color w:val="auto"/>
        </w:rPr>
      </w:pPr>
    </w:p>
    <w:p>
      <w:pPr>
        <w:ind w:firstLine="8"/>
        <w:spacing w:after="0" w:line="320" w:lineRule="auto"/>
        <w:tabs>
          <w:tab w:leader="none" w:pos="477"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APPROVAL OF THE PLAN. </w:t>
      </w:r>
      <w:r>
        <w:rPr>
          <w:rFonts w:ascii="Arial" w:cs="Arial" w:eastAsia="Arial" w:hAnsi="Arial"/>
          <w:sz w:val="22"/>
          <w:szCs w:val="22"/>
          <w:color w:val="auto"/>
        </w:rPr>
        <w:t>The Plan shall become effective on the date it is adopted and approved by the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of the Board of Directors of the Company.</w:t>
      </w:r>
    </w:p>
    <w:p>
      <w:pPr>
        <w:sectPr>
          <w:pgSz w:w="11900" w:h="16838" w:orient="portrait"/>
          <w:cols w:equalWidth="0" w:num="1">
            <w:col w:w="11420"/>
          </w:cols>
          <w:pgMar w:left="240" w:top="38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ENPHASE ENERGY,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AND CHANGE IN CONTROL BENEFIT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PARTICIPATION NOTICE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-17780</wp:posOffset>
            </wp:positionV>
            <wp:extent cx="137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137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Enphase Energy,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adopted the Enphase Energy, Inc. Severance and Change in Control Benefit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The Company is providing you this Participation Notice to inform you that you have been designated as a [Tier I] [Tier II] [Tier III] Participant in the Plan. A copy of the Plan document is attached to this Participation Notice. The terms and conditions of your participation in the Plan are as set forth in the Plan and this Participation Notice, which together constitute the Summary Plan Description for the Plan.</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 xml:space="preserve">By accepting participation, you represent that you have either consulted your personal tax or financial planning advisor about the tax consequences of your participation in the Plan, or you have knowingly declined to do so. </w:t>
      </w:r>
      <w:r>
        <w:rPr>
          <w:rFonts w:ascii="Arial" w:cs="Arial" w:eastAsia="Arial" w:hAnsi="Arial"/>
          <w:sz w:val="21"/>
          <w:szCs w:val="21"/>
          <w:b w:val="1"/>
          <w:bCs w:val="1"/>
          <w:color w:val="auto"/>
        </w:rPr>
        <w:t>[</w:t>
      </w:r>
      <w:r>
        <w:rPr>
          <w:rFonts w:ascii="Arial" w:cs="Arial" w:eastAsia="Arial" w:hAnsi="Arial"/>
          <w:sz w:val="21"/>
          <w:szCs w:val="21"/>
          <w:color w:val="auto"/>
        </w:rPr>
        <w:t>In addition, you agree that by accepting participation in the Plan as a [Tier I] [Tier II] [Tier III] Participant, the [INSERT NAME OF APPLICABLE AGREEMENT] (the “</w:t>
      </w:r>
      <w:r>
        <w:rPr>
          <w:rFonts w:ascii="Arial" w:cs="Arial" w:eastAsia="Arial" w:hAnsi="Arial"/>
          <w:sz w:val="21"/>
          <w:szCs w:val="21"/>
          <w:b w:val="1"/>
          <w:bCs w:val="1"/>
          <w:i w:val="1"/>
          <w:iCs w:val="1"/>
          <w:color w:val="auto"/>
        </w:rPr>
        <w:t>Prior Agreement</w:t>
      </w:r>
      <w:r>
        <w:rPr>
          <w:rFonts w:ascii="Arial" w:cs="Arial" w:eastAsia="Arial" w:hAnsi="Arial"/>
          <w:sz w:val="21"/>
          <w:szCs w:val="21"/>
          <w:color w:val="auto"/>
        </w:rPr>
        <w:t>”) shall automatically become null and void and of no further force and effect and you shall have no further rights under the Prior Agreement, effective as of the date set forth above.</w:t>
      </w:r>
      <w:r>
        <w:rPr>
          <w:rFonts w:ascii="Arial" w:cs="Arial" w:eastAsia="Arial" w:hAnsi="Arial"/>
          <w:sz w:val="21"/>
          <w:szCs w:val="21"/>
          <w:b w:val="1"/>
          <w:bCs w:val="1"/>
          <w:color w:val="auto"/>
        </w:rPr>
        <w:t>]</w:t>
      </w:r>
    </w:p>
    <w:p>
      <w:pPr>
        <w:spacing w:after="0" w:line="3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Please return to the Company’s Vice President of Human Resources a copy of this Participation Notice signed by you and retain a copy of this Participation Notice, along with the Plan document,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ENPHASE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231775</wp:posOffset>
            </wp:positionV>
            <wp:extent cx="34474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5"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0016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5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0016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377"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231775</wp:posOffset>
            </wp:positionV>
            <wp:extent cx="34474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5"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0016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5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0016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RELEASE AGREEMENT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[EMPLOYEES AGE 40 OR OVER; INDIVIDUAL TERMINATION]</w:t>
      </w:r>
    </w:p>
    <w:p>
      <w:pPr>
        <w:sectPr>
          <w:pgSz w:w="11900" w:h="16838" w:orient="portrait"/>
          <w:cols w:equalWidth="0" w:num="1">
            <w:col w:w="11420"/>
          </w:cols>
          <w:pgMar w:left="240" w:top="1111" w:right="239" w:bottom="0" w:gutter="0" w:footer="0" w:header="0"/>
        </w:sectPr>
      </w:pPr>
    </w:p>
    <w:bookmarkStart w:id="61" w:name="page62"/>
    <w:bookmarkEnd w:id="61"/>
    <w:p>
      <w:pPr>
        <w:jc w:val="both"/>
        <w:ind w:firstLine="648"/>
        <w:spacing w:after="0" w:line="308" w:lineRule="auto"/>
        <w:rPr>
          <w:sz w:val="20"/>
          <w:szCs w:val="20"/>
          <w:color w:val="auto"/>
        </w:rPr>
      </w:pPr>
      <w:r>
        <w:rPr>
          <w:rFonts w:ascii="Arial" w:cs="Arial" w:eastAsia="Arial" w:hAnsi="Arial"/>
          <w:sz w:val="22"/>
          <w:szCs w:val="22"/>
          <w:b w:val="1"/>
          <w:bCs w:val="1"/>
          <w:color w:val="auto"/>
        </w:rPr>
        <w:t>I understand and agree completely to the terms set forth in the Enphase Energy, Inc. Severance and Change in Control Benefit Plan (the “</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p>
    <w:p>
      <w:pPr>
        <w:spacing w:after="0" w:line="3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 understand that this Release, together with the Plan, constitutes the complete, final and exclusive embodiment of the entire agreement between the Company, affiliates of the Company and me with regard to the subject matter hereof. I am not relying on any promise or representation by the Company or an affiliate of the Company that is not expressly stated therein. Certain capitalized terms used in this Release are defined in the Plan.</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hereby confirm my obligations under my Confidentiality Agreement.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Except as otherwise set forth in this Release, I hereby generally and completely release the Company and its affiliates, and their parents, subsidiaries, successors, predecessors and affiliates, and their partners, members, directors, officers, employees, stockholders, shareholders, agents, attorneys, predecessors, insurers, affiliates and assigns, from any and all claims, liabilities and obligations, both known and unknown, that arise out of or are in any way related to events, acts, conduct, or omissions occurring at any time prior to and including the date I sign this Release. This general release includes, but is not limited to: (a) all claims arising out of or in any way related to my employment with the Company and its affiliates, or their affiliates, or the termination of that employment; (b) all claims related to my compensation or benefits, including salary, bonuses, commissions, vacation pay, expense reimbursements, severance pay, fringe benefits, stock, stock options, or any other ownership interests in the Company and its affiliates, or their affiliates; (c) all claims for breach of contract, wrongful termination, and breach of the implied covenant of good faith and fair dealing; (d) all tort claims, including claims for fraud, defamation, emotional distress, and discharge in violation of public policy; and (e) all federal, state, provincial and local statutory claims, including claims for discrimination, harassment, retaliation, attorneys’ fees, or other claims arising under the federal Civil Rights Act of 1964 (as amended), the federal Americans with Disabilities Act of 1990 (as amended), the federal Age Discrimination in Employment Act (as amended)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and the federal Employee Retirement Income Security Act of 1974 (as amended.</w:t>
      </w:r>
    </w:p>
    <w:p>
      <w:pPr>
        <w:spacing w:after="0" w:line="3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Notwithstanding the foregoing, I understand that the following rights or claims are not included in my Release: (a) any rights or claims for indemnification I may have pursuant to any</w:t>
      </w:r>
    </w:p>
    <w:p>
      <w:pPr>
        <w:sectPr>
          <w:pgSz w:w="11900" w:h="16838" w:orient="portrait"/>
          <w:cols w:equalWidth="0" w:num="1">
            <w:col w:w="11420"/>
          </w:cols>
          <w:pgMar w:left="240" w:top="436" w:right="239" w:bottom="1440" w:gutter="0" w:footer="0" w:header="0"/>
        </w:sectPr>
      </w:pPr>
    </w:p>
    <w:bookmarkStart w:id="62" w:name="page63"/>
    <w:bookmarkEnd w:id="62"/>
    <w:p>
      <w:pPr>
        <w:jc w:val="both"/>
        <w:spacing w:after="0" w:line="338" w:lineRule="auto"/>
        <w:rPr>
          <w:sz w:val="20"/>
          <w:szCs w:val="20"/>
          <w:color w:val="auto"/>
        </w:rPr>
      </w:pPr>
      <w:r>
        <w:rPr>
          <w:rFonts w:ascii="Arial" w:cs="Arial" w:eastAsia="Arial" w:hAnsi="Arial"/>
          <w:sz w:val="19"/>
          <w:szCs w:val="19"/>
          <w:color w:val="auto"/>
        </w:rPr>
        <w:t>written indemnification agreement with the Company or its affiliate to which I am a party; the charter, bylaws, or operating agreements of the Company or its affiliate; or under applicable law; or (b) any rights which cannot be waived as a matter of law. In addition, I understand that nothing in this Release prevents me from filing, cooperating with, or participating in any proceeding before the Equal Employment Opportunity Commission or the Department of Labor, except that I hereby waive my right to any monetary benefits in connection with any such claim, charge or proceeding. I hereby represent and warrant that, other than the claims identified in this paragraph, I am not aware of any claims I have or might have that are not included in the Release.</w:t>
      </w:r>
    </w:p>
    <w:p>
      <w:pPr>
        <w:spacing w:after="0" w:line="369"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I acknowledge that I am knowingly and voluntarily waiving and releasing any rights I may have under the ADEA, and that the consideration given under the Plan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after the date I sign this Release; (b) I should consult with an attorney prior to signing this Release (although I may choose voluntarily not do so); (c) I have twenty-one (21) days to consider this Release (although I may choose voluntarily to sign this Release earlier); (d) I have seven (7) days following the date I sign this Release to revoke the Release by providing written notice to an officer of the Company; and (e) this Release will not be effective until the date upon which the revocation period has expired, which will be the eighth day after I sign this Release.</w:t>
      </w:r>
    </w:p>
    <w:p>
      <w:pPr>
        <w:spacing w:after="0" w:line="36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I hereby represent that I have been paid all compensation owed and for all hours worked; I have received all the leave and leave benefits and protections for which I am eligible pursuant to the Family and Medical Leave Act, or otherwise; and I have not suffered any on-the-job injury for which I have not already filed a workers’ compensation claim.</w:t>
      </w:r>
    </w:p>
    <w:p>
      <w:pPr>
        <w:spacing w:after="0" w:line="37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I represent that I am not aware of any claim by me other than the claims that are released by this Release. I acknowledge</w:t>
      </w:r>
      <w:r>
        <w:rPr>
          <w:rFonts w:ascii="Arial" w:cs="Arial" w:eastAsia="Arial" w:hAnsi="Arial"/>
          <w:sz w:val="21"/>
          <w:szCs w:val="21"/>
          <w:b w:val="1"/>
          <w:bCs w:val="1"/>
          <w:color w:val="auto"/>
        </w:rPr>
        <w:t xml:space="preserve"> </w:t>
      </w:r>
      <w:r>
        <w:rPr>
          <w:rFonts w:ascii="Arial" w:cs="Arial" w:eastAsia="Arial" w:hAnsi="Arial"/>
          <w:sz w:val="21"/>
          <w:szCs w:val="21"/>
          <w:color w:val="auto"/>
        </w:rPr>
        <w:t>that I may hereafter discover claims or facts in addition to or different than those which I now know or believe to exist with respect to the subject matter of this Release and which, if known or suspected at the time of entering into this Release, may have materially affected this Release and my decision to enter into it. Nevertheless, I hereby waive any right, claim or cause of action that might arise as a result of such different or additional claims or facts and I hereby expressly waive any and all rights and benefits confirmed upon me by the provisions of California Civil Code Section 1542, which provides as set forth below, as well as under any other statute or common law principles of similar effect:</w:t>
      </w:r>
    </w:p>
    <w:p>
      <w:pPr>
        <w:spacing w:after="0" w:line="39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22"/>
          <w:szCs w:val="22"/>
          <w:b w:val="1"/>
          <w:bCs w:val="1"/>
          <w:color w:val="auto"/>
        </w:rPr>
        <w:t>]</w:t>
      </w:r>
    </w:p>
    <w:p>
      <w:pPr>
        <w:sectPr>
          <w:pgSz w:w="11900" w:h="16838" w:orient="portrait"/>
          <w:cols w:equalWidth="0" w:num="1">
            <w:col w:w="11420"/>
          </w:cols>
          <w:pgMar w:left="240" w:top="604" w:right="239" w:bottom="1440" w:gutter="0" w:footer="0" w:header="0"/>
        </w:sectPr>
      </w:pPr>
    </w:p>
    <w:bookmarkStart w:id="63" w:name="page64"/>
    <w:bookmarkEnd w:id="63"/>
    <w:p>
      <w:pPr>
        <w:ind w:firstLine="648"/>
        <w:spacing w:after="0" w:line="302" w:lineRule="auto"/>
        <w:rPr>
          <w:sz w:val="20"/>
          <w:szCs w:val="20"/>
          <w:color w:val="auto"/>
        </w:rPr>
      </w:pPr>
      <w:r>
        <w:rPr>
          <w:rFonts w:ascii="Arial" w:cs="Arial" w:eastAsia="Arial" w:hAnsi="Arial"/>
          <w:sz w:val="22"/>
          <w:szCs w:val="22"/>
          <w:color w:val="auto"/>
        </w:rPr>
        <w:t>I acknowledge that to become effective, I must sign and return this Release to the Company so that it is received not later than twenty-one (21) days following the date it is provided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231775</wp:posOffset>
            </wp:positionV>
            <wp:extent cx="34474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5"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37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31750</wp:posOffset>
            </wp:positionV>
            <wp:extent cx="3001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7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001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64" w:name="page65"/>
    <w:bookmarkEnd w:id="64"/>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RELEASE AGREEMENT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[EMPLOYEES AGE 40 OR OVER; GROUP TERMINATION]</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I understand and agree completely to the terms set forth in the Enphase Energy, Inc. Severance and Change in Control Benefit Plan (the “</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p>
    <w:p>
      <w:pPr>
        <w:spacing w:after="0" w:line="3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 understand that this Release, together with the Plan, constitutes the complete, final and exclusive embodiment of the entire agreement between the Company, affiliates of the Company and me with regard to the subject matter hereof. I am not relying on any promise or representation by the Company or an affiliate of the Company that is not expressly stated therein. Certain capitalized terms used in this Release are defined in the Plan.</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hereby confirm my obligations under my Confidentiality Agreement.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Except as otherwise set forth in this Release, I hereby generally and completely release the Company and its affiliates, and their parents, subsidiaries, successors, predecessors and affiliates, and its and their partners, members, directors, officers, employees, stockholders, shareholders, agents, attorneys, predecessors, insurers, affiliates and assigns, from any and all claims, liabilities and obligations, both known and unknown, that arise out of or are in any way related to events, acts, conduct, or omissions occurring at any time prior to and including the date I sign this Release. This general release includes, but is not limited to: (a) all claims arising out of or in any way related to my employment with the Company and its affiliates, or their affiliates, or the termination of that employment; (b) all claims related to my compensation or benefits, including salary, bonuses, commissions, vacation pay, expense reimbursements, severance pay, fringe benefits, stock, stock options, or any other ownership interests in the Company and its affiliates, or their affiliates; (c) all claims for breach of contract, wrongful termination, and breach of the implied covenant of good faith and fair dealing; (d) all tort claims, including claims for fraud, defamation, emotional distress, and discharge in violation of public policy; and (e) all federal, state, provincial and local statutory claims, including claims for discrimination, harassment, retaliation, attorneys’ fees, or other claims arising under the federal Civil Rights Act of 1964 (as amended), the federal Americans with Disabilities Act of 1990 (as amended), the federal Age Discrimination in Employment Act (as amended)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or the federal Employee Retirement Income Security Act of 1974 (as amended).</w:t>
      </w:r>
    </w:p>
    <w:p>
      <w:pPr>
        <w:spacing w:after="0" w:line="373"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9"/>
          <w:szCs w:val="19"/>
          <w:color w:val="auto"/>
        </w:rPr>
        <w:t>Notwithstanding the foregoing, I understand that the following rights or claims are not included in my Release: (a) any rights or claims for indemnification I may have pursuant to any written indemnification agreement with the Company or its affiliate to which I am a party; the charter, bylaws, or operating agreements of the Company or its affiliate; or under applicable law; or</w:t>
      </w:r>
    </w:p>
    <w:p>
      <w:pPr>
        <w:spacing w:after="0" w:line="1" w:lineRule="exact"/>
        <w:rPr>
          <w:sz w:val="20"/>
          <w:szCs w:val="20"/>
          <w:color w:val="auto"/>
        </w:rPr>
      </w:pPr>
    </w:p>
    <w:p>
      <w:pPr>
        <w:jc w:val="both"/>
        <w:ind w:firstLine="8"/>
        <w:spacing w:after="0" w:line="287" w:lineRule="auto"/>
        <w:tabs>
          <w:tab w:leader="none" w:pos="318"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rights which cannot be waived as a matter of law. In addition, I understand that nothing in this Release prevents me from filing, cooperating with, or participating in any proceeding before the Equal Employment Opportunity Commission, or the Department of Labor, except that I hereby waive my right to any monetary benefits in connection with any such claim, charge or proceeding. I hereby represent and warrant that, other than the claims identified in this paragraph, I am not aware of any claims I have or might have that are not included in the Release.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I acknowledge that I am knowingly and voluntarily waiving and releasing any rights I may have under the ADEA, and that the consideration given under the Plan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after the date I sign this Release; (b) I should consult with an attorney prior to signing this Release (although I may choose voluntarily not to do so); (c) I have forty-five (45) days to consider this Release (although I may choose voluntarily to sign this Release earlier); (d) I have seven (7) days following the date I sign this Release to revoke the Release by providing written notice to an office of the Company; (e) this Release will not be effective until the date upon which the revocation period has expired, which will be the eighth day after I sign this Release; and</w:t>
      </w:r>
    </w:p>
    <w:p>
      <w:pPr>
        <w:sectPr>
          <w:pgSz w:w="11900" w:h="16838" w:orient="portrait"/>
          <w:cols w:equalWidth="0" w:num="1">
            <w:col w:w="11420"/>
          </w:cols>
          <w:pgMar w:left="240" w:top="1440" w:right="239" w:bottom="0" w:gutter="0" w:footer="0" w:header="0"/>
        </w:sectPr>
      </w:pPr>
    </w:p>
    <w:bookmarkStart w:id="65" w:name="page66"/>
    <w:bookmarkEnd w:id="65"/>
    <w:p>
      <w:pPr>
        <w:jc w:val="both"/>
        <w:ind w:firstLine="8"/>
        <w:spacing w:after="0" w:line="292" w:lineRule="auto"/>
        <w:tabs>
          <w:tab w:leader="none" w:pos="287" w:val="left"/>
        </w:tabs>
        <w:numPr>
          <w:ilvl w:val="0"/>
          <w:numId w:val="62"/>
        </w:numPr>
        <w:rPr>
          <w:rFonts w:ascii="Arial" w:cs="Arial" w:eastAsia="Arial" w:hAnsi="Arial"/>
          <w:sz w:val="22"/>
          <w:szCs w:val="22"/>
          <w:color w:val="auto"/>
        </w:rPr>
      </w:pPr>
      <w:r>
        <w:rPr>
          <w:rFonts w:ascii="Arial" w:cs="Arial" w:eastAsia="Arial" w:hAnsi="Arial"/>
          <w:sz w:val="22"/>
          <w:szCs w:val="22"/>
          <w:color w:val="auto"/>
        </w:rPr>
        <w:t>I have received with this Release a detailed list of the job titles and ages of all employees who were terminated in this group termination and the ages of all employees of the Company in the same job classification or organizational unit who were not terminated.</w:t>
      </w:r>
    </w:p>
    <w:p>
      <w:pPr>
        <w:spacing w:after="0" w:line="40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I hereby represent that I have been paid all compensation owed and for all hours worked; I have received all the leave and leave benefits and protections for which I am eligible pursuant to the Family and Medical Leave Act, or otherwise; and I have not suffered any on-the-job injury for which I have not already filed a workers’ compensation claim.</w:t>
      </w:r>
    </w:p>
    <w:p>
      <w:pPr>
        <w:spacing w:after="0" w:line="37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I represent that I am not aware of any claim by me other than the claims that are released by this Release. I acknowledge</w:t>
      </w:r>
      <w:r>
        <w:rPr>
          <w:rFonts w:ascii="Arial" w:cs="Arial" w:eastAsia="Arial" w:hAnsi="Arial"/>
          <w:sz w:val="21"/>
          <w:szCs w:val="21"/>
          <w:b w:val="1"/>
          <w:bCs w:val="1"/>
          <w:color w:val="auto"/>
        </w:rPr>
        <w:t xml:space="preserve"> </w:t>
      </w:r>
      <w:r>
        <w:rPr>
          <w:rFonts w:ascii="Arial" w:cs="Arial" w:eastAsia="Arial" w:hAnsi="Arial"/>
          <w:sz w:val="21"/>
          <w:szCs w:val="21"/>
          <w:color w:val="auto"/>
        </w:rPr>
        <w:t>that I may hereafter discover claims or facts in addition to or different than those which I now know or believe to exist with respect to the subject matter of this Release and which, if known or suspected at the time of entering into this Release, may have materially affected this Release and my decision to enter into it. Nevertheless, I hereby waive any right, claim or cause of action that might arise as a result of such different or additional claims or facts and I hereby expressly waive any and all rights and benefits confirmed upon me by the provisions of California Civil Code Section 1542, which provides as set forth below, as well as under any other statute or common law principles of similar effect:</w:t>
      </w:r>
    </w:p>
    <w:p>
      <w:pPr>
        <w:spacing w:after="0" w:line="39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22"/>
          <w:szCs w:val="22"/>
          <w:b w:val="1"/>
          <w:bCs w:val="1"/>
          <w:color w:val="auto"/>
        </w:rPr>
        <w:t>]</w:t>
      </w:r>
    </w:p>
    <w:p>
      <w:pPr>
        <w:spacing w:after="0" w:line="4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 acknowledge that to become effective, I must sign and return this Release to the Company so that it is received not later than forty-five (45) days following the date it is provided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231775</wp:posOffset>
            </wp:positionV>
            <wp:extent cx="37306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385" w:lineRule="exact"/>
        <w:rPr>
          <w:sz w:val="20"/>
          <w:szCs w:val="20"/>
          <w:color w:val="auto"/>
        </w:rPr>
      </w:pPr>
    </w:p>
    <w:p>
      <w:pPr>
        <w:ind w:left="8200"/>
        <w:spacing w:after="0"/>
        <w:rPr>
          <w:sz w:val="20"/>
          <w:szCs w:val="20"/>
          <w:color w:val="auto"/>
        </w:rPr>
      </w:pPr>
      <w:r>
        <w:rPr>
          <w:rFonts w:ascii="Arial" w:cs="Arial" w:eastAsia="Arial" w:hAnsi="Arial"/>
          <w:sz w:val="18"/>
          <w:szCs w:val="18"/>
          <w:i w:val="1"/>
          <w:iCs w:val="1"/>
          <w:color w:val="auto"/>
        </w:rPr>
        <w:t>(Signature)</w:t>
      </w:r>
    </w:p>
    <w:p>
      <w:pPr>
        <w:spacing w:after="0" w:line="37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2499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2499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276"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RELEASE AGREEMENT</w:t>
      </w:r>
    </w:p>
    <w:p>
      <w:pPr>
        <w:spacing w:after="0" w:line="4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[EMPLOYEES UNDER AGE 40]</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2"/>
          <w:szCs w:val="22"/>
          <w:b w:val="1"/>
          <w:bCs w:val="1"/>
          <w:color w:val="auto"/>
        </w:rPr>
        <w:t>I understand and agree completely to the terms set forth in the Enphase Energy, Inc. Severance and Change in Control Benefit Plan (the “</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p>
    <w:p>
      <w:pPr>
        <w:spacing w:after="0" w:line="3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 understand that this Release, together with the Plan, constitutes the complete, final and exclusive embodiment of the entire agreement between the Company, affiliates of the Company and me with regard to the subject matter hereof. I am not relying on any promise or representation by the Company or an affiliate of the Company that is not expressly stated therein. Certain capitalized terms used in this Release are defined in the Plan.</w:t>
      </w:r>
    </w:p>
    <w:p>
      <w:pPr>
        <w:sectPr>
          <w:pgSz w:w="11900" w:h="16838" w:orient="portrait"/>
          <w:cols w:equalWidth="0" w:num="1">
            <w:col w:w="11420"/>
          </w:cols>
          <w:pgMar w:left="240" w:top="145" w:right="239" w:bottom="541" w:gutter="0" w:footer="0" w:header="0"/>
        </w:sect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 hereby confirm my obligations under my Confidentiality Agreement.</w:t>
      </w:r>
    </w:p>
    <w:p>
      <w:pPr>
        <w:sectPr>
          <w:pgSz w:w="11900" w:h="16838" w:orient="portrait"/>
          <w:cols w:equalWidth="0" w:num="1">
            <w:col w:w="11420"/>
          </w:cols>
          <w:pgMar w:left="240" w:top="145" w:right="239" w:bottom="541" w:gutter="0" w:footer="0" w:header="0"/>
          <w:type w:val="continuous"/>
        </w:sectPr>
      </w:pPr>
    </w:p>
    <w:bookmarkStart w:id="66" w:name="page67"/>
    <w:bookmarkEnd w:id="66"/>
    <w:p>
      <w:pPr>
        <w:jc w:val="both"/>
        <w:ind w:firstLine="648"/>
        <w:spacing w:after="0" w:line="331" w:lineRule="auto"/>
        <w:rPr>
          <w:sz w:val="20"/>
          <w:szCs w:val="20"/>
          <w:color w:val="auto"/>
        </w:rPr>
      </w:pPr>
      <w:r>
        <w:rPr>
          <w:rFonts w:ascii="Arial" w:cs="Arial" w:eastAsia="Arial" w:hAnsi="Arial"/>
          <w:sz w:val="19"/>
          <w:szCs w:val="19"/>
          <w:color w:val="auto"/>
        </w:rPr>
        <w:t>Except as otherwise set forth in this Release, I hereby generally and completely release the Company and its affiliates, and their parents, subsidiaries, successors, predecessors and affiliates, and its and their partners, members, directors, officers, employees, stockholders, shareholders, agents, attorneys, predecessors, insurers, affiliates and assigns, from any and all claims, liabilities and obligations, both known and unknown, that arise out of or are in any way related to events, acts, conduct, or omissions occurring at any time prior to and including the date I sign this Release. This general release includes, but is not limited to: (a) all claims arising out of or in any way related to my employment with the Company and its affiliates, or their affiliates, or the termination of that employment; (b) all claims related to my compensation or benefits, including salary, bonuses, commissions, vacation pay, expense reimbursements, severance pay, fringe benefits, stock, stock options, or any other ownership interests in the Company and its affiliates, or their affiliates; (c) all claims for breach of contract, wrongful termination, and breach of the implied covenant of good faith and fair dealing; (d) all tort claims, including claims for fraud, defamation, emotional distress, and discharge in violation of public policy; and (e) all federal, state, provincial and local statutory claims, including claims for discrimination, harassment, retaliation, attorneys’ fees, or other claims arising under the federal Civil Rights Act of 1964 (as amended), the federal Americans with Disabilities Act of 1990 (as amended), or the federal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9"/>
          <w:szCs w:val="19"/>
          <w:color w:val="auto"/>
        </w:rPr>
        <w:t>Notwithstanding the foregoing, I understand that the following rights or claims are not included in my Release: (a) any rights or claims for indemnification I may have pursuant to any written indemnification agreement with the Company or its affiliate to which I am a party; the charter, bylaws, or operating agreements of the Company or its affiliate; or under applicable law; or</w:t>
      </w:r>
    </w:p>
    <w:p>
      <w:pPr>
        <w:spacing w:after="0" w:line="1" w:lineRule="exact"/>
        <w:rPr>
          <w:sz w:val="20"/>
          <w:szCs w:val="20"/>
          <w:color w:val="auto"/>
        </w:rPr>
      </w:pPr>
    </w:p>
    <w:p>
      <w:pPr>
        <w:jc w:val="both"/>
        <w:ind w:firstLine="8"/>
        <w:spacing w:after="0" w:line="287" w:lineRule="auto"/>
        <w:tabs>
          <w:tab w:leader="none" w:pos="319"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rights which cannot be waived as a matter of law. In addition, I understand that nothing in this Release prevents me from filing, cooperating with, or participating in any proceeding before the Equal Employment Opportunity Commission, or the Department of Labor, except that I hereby waive my right to any monetary benefits in connection with any such claim, charge or proceeding. I hereby represent and warrant that, other than the claims identified in this paragraph, I am not aware of any claims I have or might have that are not included in the Release.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I hereby represent that I have been paid all compensation owed and for all hours worked; I have received all the leave and leave benefits and protections for which I am eligible pursuant to the Family and Medical Leave Act, or otherwise; and I have not suffered any on-the-job injury for which I have not already filed a workers’ compensation claim.</w:t>
      </w:r>
    </w:p>
    <w:p>
      <w:pPr>
        <w:spacing w:after="0" w:line="37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I represent that I am not aware of any claim by me other than the claims that are released by this Release. I acknowledge</w:t>
      </w:r>
      <w:r>
        <w:rPr>
          <w:rFonts w:ascii="Arial" w:cs="Arial" w:eastAsia="Arial" w:hAnsi="Arial"/>
          <w:sz w:val="21"/>
          <w:szCs w:val="21"/>
          <w:b w:val="1"/>
          <w:bCs w:val="1"/>
          <w:color w:val="auto"/>
        </w:rPr>
        <w:t xml:space="preserve"> </w:t>
      </w:r>
      <w:r>
        <w:rPr>
          <w:rFonts w:ascii="Arial" w:cs="Arial" w:eastAsia="Arial" w:hAnsi="Arial"/>
          <w:sz w:val="21"/>
          <w:szCs w:val="21"/>
          <w:color w:val="auto"/>
        </w:rPr>
        <w:t>that I may hereafter discover claims or facts in addition to or different than those which I now know or believe to exist with respect to the subject matter of this Release and which, if known or suspected at the time of entering into this Release, may have materially affected this Release and my decision to enter into it. Nevertheless, I hereby waive any right, claim or cause of action that might arise as a result of such different or additional claims or facts and I hereby expressly waive any and all rights and benefits confirmed upon me by the provisions of California Civil Code Section 1542, which provides as set forth below, as well as under any other statute or common law principles of similar effect:</w:t>
      </w:r>
    </w:p>
    <w:p>
      <w:pPr>
        <w:spacing w:after="0" w:line="39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22"/>
          <w:szCs w:val="22"/>
          <w:b w:val="1"/>
          <w:bCs w:val="1"/>
          <w:color w:val="auto"/>
        </w:rPr>
        <w:t>]</w:t>
      </w:r>
    </w:p>
    <w:p>
      <w:pPr>
        <w:spacing w:after="0" w:line="4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I acknowledge that to become effective, I must sign and return this Release to the Company so that it is received not later than fourteen (14) days following the date it is provided to me.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231775</wp:posOffset>
            </wp:positionV>
            <wp:extent cx="37306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385" w:lineRule="exact"/>
        <w:rPr>
          <w:sz w:val="20"/>
          <w:szCs w:val="20"/>
          <w:color w:val="auto"/>
        </w:rPr>
      </w:pPr>
    </w:p>
    <w:p>
      <w:pPr>
        <w:ind w:left="8200"/>
        <w:spacing w:after="0"/>
        <w:rPr>
          <w:sz w:val="20"/>
          <w:szCs w:val="20"/>
          <w:color w:val="auto"/>
        </w:rPr>
      </w:pPr>
      <w:r>
        <w:rPr>
          <w:rFonts w:ascii="Arial" w:cs="Arial" w:eastAsia="Arial" w:hAnsi="Arial"/>
          <w:sz w:val="18"/>
          <w:szCs w:val="18"/>
          <w:i w:val="1"/>
          <w:iCs w:val="1"/>
          <w:color w:val="auto"/>
        </w:rPr>
        <w:t>(Signature)</w:t>
      </w:r>
    </w:p>
    <w:p>
      <w:pPr>
        <w:spacing w:after="0" w:line="37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2499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2499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ectPr>
          <w:pgSz w:w="11900" w:h="16838" w:orient="portrait"/>
          <w:cols w:equalWidth="0" w:num="1">
            <w:col w:w="11420"/>
          </w:cols>
          <w:pgMar w:left="240" w:top="361" w:right="239" w:bottom="316"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98"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firstLine="8"/>
        <w:spacing w:after="0" w:line="277"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500" w:right="180" w:hanging="6"/>
        <w:spacing w:after="0" w:line="264" w:lineRule="auto"/>
        <w:tabs>
          <w:tab w:leader="none" w:pos="74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740" w:hanging="246"/>
        <w:spacing w:after="0"/>
        <w:tabs>
          <w:tab w:leader="none" w:pos="7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500" w:right="980" w:hanging="6"/>
        <w:spacing w:after="0" w:line="342" w:lineRule="auto"/>
        <w:tabs>
          <w:tab w:leader="none" w:pos="745"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500" w:right="20" w:hanging="6"/>
        <w:spacing w:after="0" w:line="264" w:lineRule="auto"/>
        <w:tabs>
          <w:tab w:leader="none" w:pos="75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4"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500" w:right="360" w:hanging="6"/>
        <w:spacing w:after="0" w:line="277" w:lineRule="auto"/>
        <w:tabs>
          <w:tab w:leader="none" w:pos="74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320" w:hanging="6"/>
        <w:spacing w:after="0" w:line="277" w:lineRule="auto"/>
        <w:tabs>
          <w:tab w:leader="none" w:pos="75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8, 2013</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75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B. Nahi</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2"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98"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500" w:right="180" w:hanging="6"/>
        <w:spacing w:after="0" w:line="264" w:lineRule="auto"/>
        <w:tabs>
          <w:tab w:leader="none" w:pos="74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740" w:hanging="246"/>
        <w:spacing w:after="0"/>
        <w:tabs>
          <w:tab w:leader="none" w:pos="7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500" w:right="980" w:hanging="6"/>
        <w:spacing w:after="0" w:line="342" w:lineRule="auto"/>
        <w:tabs>
          <w:tab w:leader="none" w:pos="745"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500" w:right="20" w:hanging="6"/>
        <w:spacing w:after="0" w:line="264" w:lineRule="auto"/>
        <w:tabs>
          <w:tab w:leader="none" w:pos="75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4"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500" w:right="360" w:hanging="6"/>
        <w:spacing w:after="0" w:line="277" w:lineRule="auto"/>
        <w:tabs>
          <w:tab w:leader="none" w:pos="74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320" w:hanging="6"/>
        <w:spacing w:after="0" w:line="277" w:lineRule="auto"/>
        <w:tabs>
          <w:tab w:leader="none" w:pos="75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8, 2013</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75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or her knowledge:</w:t>
      </w:r>
    </w:p>
    <w:p>
      <w:pPr>
        <w:spacing w:after="0" w:line="120" w:lineRule="exact"/>
        <w:rPr>
          <w:sz w:val="20"/>
          <w:szCs w:val="20"/>
          <w:color w:val="auto"/>
        </w:rPr>
      </w:pPr>
    </w:p>
    <w:p>
      <w:pPr>
        <w:ind w:right="80" w:firstLine="8"/>
        <w:spacing w:after="0" w:line="277" w:lineRule="auto"/>
        <w:tabs>
          <w:tab w:leader="none" w:pos="18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March 31, 2013, to which this Certification is attached as Exhibit 32.1 (the “Periodic Report”), fully complies with the requirements of Section 13(a) or Section 15(d) of the Exchange Act; and</w:t>
      </w:r>
    </w:p>
    <w:p>
      <w:pPr>
        <w:spacing w:after="0" w:line="143" w:lineRule="exact"/>
        <w:rPr>
          <w:rFonts w:ascii="Arial" w:cs="Arial" w:eastAsia="Arial" w:hAnsi="Arial"/>
          <w:sz w:val="18"/>
          <w:szCs w:val="18"/>
          <w:b w:val="1"/>
          <w:bCs w:val="1"/>
          <w:color w:val="auto"/>
        </w:rPr>
      </w:pPr>
    </w:p>
    <w:p>
      <w:pPr>
        <w:ind w:left="180" w:hanging="172"/>
        <w:spacing w:after="0"/>
        <w:tabs>
          <w:tab w:leader="none" w:pos="18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8 day of May,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Paul B. Nahi</w:t>
            </w:r>
          </w:p>
        </w:tc>
        <w:tc>
          <w:tcPr>
            <w:tcW w:w="100" w:type="dxa"/>
            <w:vAlign w:val="bottom"/>
          </w:tcPr>
          <w:p>
            <w:pPr>
              <w:spacing w:after="0"/>
              <w:rPr>
                <w:sz w:val="20"/>
                <w:szCs w:val="20"/>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Kris Sennesael</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Paul B. Nahi</w:t>
            </w:r>
          </w:p>
        </w:tc>
        <w:tc>
          <w:tcPr>
            <w:tcW w:w="5700" w:type="dxa"/>
            <w:vAlign w:val="bottom"/>
          </w:tcPr>
          <w:p>
            <w:pPr>
              <w:ind w:left="20"/>
              <w:spacing w:after="0"/>
              <w:rPr>
                <w:sz w:val="20"/>
                <w:szCs w:val="20"/>
                <w:color w:val="auto"/>
              </w:rPr>
            </w:pPr>
            <w:r>
              <w:rPr>
                <w:rFonts w:ascii="Arial" w:cs="Arial" w:eastAsia="Arial" w:hAnsi="Arial"/>
                <w:sz w:val="18"/>
                <w:szCs w:val="18"/>
                <w:color w:val="auto"/>
              </w:rPr>
              <w:t>Kris Sennesael</w:t>
            </w:r>
          </w:p>
        </w:tc>
      </w:tr>
      <w:tr>
        <w:trPr>
          <w:trHeight w:val="29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70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x"/>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emdash "/>
      <w:numFmt w:val="bullet"/>
      <w:start w:val="1"/>
    </w:lvl>
  </w:abstractNum>
  <w:abstractNum w:abstractNumId="3">
    <w:nsid w:val="5577F8E1"/>
    <w:multiLevelType w:val="hybridMultilevel"/>
    <w:lvl w:ilvl="0">
      <w:lvlJc w:val="left"/>
      <w:lvlText w:val="(%1)"/>
      <w:numFmt w:val="decimal"/>
      <w:start w:val="355"/>
    </w:lvl>
  </w:abstractNum>
  <w:abstractNum w:abstractNumId="4">
    <w:nsid w:val="440BADFC"/>
    <w:multiLevelType w:val="hybridMultilevel"/>
    <w:lvl w:ilvl="0">
      <w:lvlJc w:val="left"/>
      <w:lvlText w:val="(%1)"/>
      <w:numFmt w:val="decimal"/>
      <w:start w:val="759"/>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amp;"/>
      <w:numFmt w:val="bullet"/>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lowerLetter"/>
      <w:start w:val="1"/>
    </w:lvl>
  </w:abstractNum>
  <w:abstractNum w:abstractNumId="26">
    <w:nsid w:val="542289E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1"/>
    </w:lvl>
  </w:abstractNum>
  <w:abstractNum w:abstractNumId="27">
    <w:nsid w:val="6DE91B18"/>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lvl w:ilvl="3">
      <w:lvlJc w:val="left"/>
      <w:lvlText w:val="%4"/>
      <w:numFmt w:val="lowerLetter"/>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3"/>
    </w:lvl>
  </w:abstractNum>
  <w:abstractNum w:abstractNumId="30">
    <w:nsid w:val="32FFF90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
    <w:nsid w:val="684A481A"/>
    <w:multiLevelType w:val="hybridMultilevel"/>
    <w:lvl w:ilvl="0">
      <w:lvlJc w:val="left"/>
      <w:lvlText w:val="(%1)"/>
      <w:numFmt w:val="lowerRoman"/>
      <w:start w:val="3"/>
    </w:lvl>
  </w:abstractNum>
  <w:abstractNum w:abstractNumId="32">
    <w:nsid w:val="579478FE"/>
    <w:multiLevelType w:val="hybridMultilevel"/>
    <w:lvl w:ilvl="0">
      <w:lvlJc w:val="left"/>
      <w:lvlText w:val="%1"/>
      <w:numFmt w:val="lowerLetter"/>
      <w:start w:val="1"/>
    </w:lvl>
    <w:lvl w:ilvl="1">
      <w:lvlJc w:val="left"/>
      <w:lvlText w:val="(%2)"/>
      <w:numFmt w:val="lowerLetter"/>
      <w:start w:val="4"/>
    </w:lvl>
  </w:abstractNum>
  <w:abstractNum w:abstractNumId="33">
    <w:nsid w:val="749ABB43"/>
    <w:multiLevelType w:val="hybridMultilevel"/>
    <w:lvl w:ilvl="0">
      <w:lvlJc w:val="left"/>
      <w:lvlText w:val="(%1)"/>
      <w:numFmt w:val="lowerLetter"/>
      <w:start w:val="9"/>
    </w:lvl>
    <w:lvl w:ilvl="1">
      <w:lvlJc w:val="left"/>
      <w:lvlText w:val="(%2)"/>
      <w:numFmt w:val="lowerLetter"/>
      <w:start w:val="5"/>
    </w:lvl>
  </w:abstractNum>
  <w:abstractNum w:abstractNumId="34">
    <w:nsid w:val="3DC240FB"/>
    <w:multiLevelType w:val="hybridMultilevel"/>
    <w:lvl w:ilvl="0">
      <w:lvlJc w:val="left"/>
      <w:lvlText w:val="(%1)"/>
      <w:numFmt w:val="lowerRoman"/>
      <w:start w:val="4"/>
    </w:lvl>
    <w:lvl w:ilvl="1">
      <w:lvlJc w:val="left"/>
      <w:lvlText w:val="(%2)"/>
      <w:numFmt w:val="lowerLetter"/>
      <w:start w:val="10"/>
    </w:lvl>
  </w:abstractNum>
  <w:abstractNum w:abstractNumId="35">
    <w:nsid w:val="1BA026FA"/>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36">
    <w:nsid w:val="79A1DEA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7">
    <w:nsid w:val="75C6C33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5"/>
    </w:lvl>
    <w:lvl w:ilvl="3">
      <w:lvlJc w:val="left"/>
      <w:lvlText w:val="%4"/>
      <w:numFmt w:val="decimal"/>
      <w:start w:val="1"/>
    </w:lvl>
  </w:abstractNum>
  <w:abstractNum w:abstractNumId="38">
    <w:nsid w:val="12E685FB"/>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6"/>
    </w:lvl>
    <w:lvl w:ilvl="3">
      <w:lvlJc w:val="left"/>
      <w:lvlText w:val="(%4)"/>
      <w:numFmt w:val="decimal"/>
      <w:start w:val="1"/>
    </w:lvl>
  </w:abstractNum>
  <w:abstractNum w:abstractNumId="39">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3"/>
    </w:lvl>
  </w:abstractNum>
  <w:abstractNum w:abstractNumId="40">
    <w:nsid w:val="520EEDD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1">
    <w:nsid w:val="374A3FE6"/>
    <w:multiLevelType w:val="hybridMultilevel"/>
    <w:lvl w:ilvl="0">
      <w:lvlJc w:val="left"/>
      <w:lvlText w:val="%1"/>
      <w:numFmt w:val="lowerLetter"/>
      <w:start w:val="1"/>
    </w:lvl>
    <w:lvl w:ilvl="1">
      <w:lvlJc w:val="left"/>
      <w:lvlText w:val="(%2)"/>
      <w:numFmt w:val="lowerRoman"/>
      <w:start w:val="4"/>
    </w:lvl>
  </w:abstractNum>
  <w:abstractNum w:abstractNumId="42">
    <w:nsid w:val="4F4EF005"/>
    <w:multiLevelType w:val="hybridMultilevel"/>
    <w:lvl w:ilvl="0">
      <w:lvlJc w:val="left"/>
      <w:lvlText w:val="(%1)"/>
      <w:numFmt w:val="lowerLetter"/>
      <w:start w:val="3"/>
    </w:lvl>
    <w:lvl w:ilvl="1">
      <w:lvlJc w:val="left"/>
      <w:lvlText w:val="(%2)"/>
      <w:numFmt w:val="lowerRoman"/>
      <w:start w:val="1"/>
    </w:lvl>
  </w:abstractNum>
  <w:abstractNum w:abstractNumId="43">
    <w:nsid w:val="23F9C13C"/>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44">
    <w:nsid w:val="649BB77C"/>
    <w:multiLevelType w:val="hybridMultilevel"/>
    <w:lvl w:ilvl="0">
      <w:lvlJc w:val="left"/>
      <w:lvlText w:val="%1."/>
      <w:numFmt w:val="decimal"/>
      <w:start w:val="5"/>
    </w:lvl>
    <w:lvl w:ilvl="1">
      <w:lvlJc w:val="left"/>
      <w:lvlText w:val="(%2)"/>
      <w:numFmt w:val="lowerLetter"/>
      <w:start w:val="1"/>
    </w:lvl>
  </w:abstractNum>
  <w:abstractNum w:abstractNumId="45">
    <w:nsid w:val="275AC79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6">
    <w:nsid w:val="3938657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decimal"/>
      <w:start w:val="7"/>
    </w:lvl>
    <w:lvl w:ilvl="1">
      <w:lvlJc w:val="left"/>
      <w:lvlText w:val="(%2)"/>
      <w:numFmt w:val="lowerLetter"/>
      <w:start w:val="1"/>
    </w:lvl>
  </w:abstractNum>
  <w:abstractNum w:abstractNumId="49">
    <w:nsid w:val="235BA861"/>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50">
    <w:nsid w:val="47398C89"/>
    <w:multiLevelType w:val="hybridMultilevel"/>
    <w:lvl w:ilvl="0">
      <w:lvlJc w:val="left"/>
      <w:lvlText w:val="(%1)"/>
      <w:numFmt w:val="lowerLetter"/>
      <w:start w:val="3"/>
    </w:lvl>
  </w:abstractNum>
  <w:abstractNum w:abstractNumId="51">
    <w:nsid w:val="354FE9F9"/>
    <w:multiLevelType w:val="hybridMultilevel"/>
    <w:lvl w:ilvl="0">
      <w:lvlJc w:val="left"/>
      <w:lvlText w:val="(%1)"/>
      <w:numFmt w:val="lowerLetter"/>
      <w:start w:val="4"/>
    </w:lvl>
    <w:lvl w:ilvl="1">
      <w:lvlJc w:val="left"/>
      <w:lvlText w:val="(%2)"/>
      <w:numFmt w:val="decimal"/>
      <w:start w:val="1"/>
    </w:lvl>
  </w:abstractNum>
  <w:abstractNum w:abstractNumId="52">
    <w:nsid w:val="15B5AF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53">
    <w:nsid w:val="741226BB"/>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54">
    <w:nsid w:val="D34B6A8"/>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55">
    <w:nsid w:val="10233C99"/>
    <w:multiLevelType w:val="hybridMultilevel"/>
    <w:lvl w:ilvl="0">
      <w:lvlJc w:val="left"/>
      <w:lvlText w:val="(%1)"/>
      <w:numFmt w:val="lowerLetter"/>
      <w:start w:val="4"/>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decimal"/>
      <w:start w:val="16"/>
    </w:lvl>
    <w:lvl w:ilvl="1">
      <w:lvlJc w:val="left"/>
      <w:lvlText w:val="(%2)"/>
      <w:numFmt w:val="lowerLetter"/>
      <w:start w:val="1"/>
    </w:lvl>
  </w:abstractNum>
  <w:abstractNum w:abstractNumId="58">
    <w:nsid w:val="7E0C57B1"/>
    <w:multiLevelType w:val="hybridMultilevel"/>
    <w:lvl w:ilvl="0">
      <w:lvlJc w:val="left"/>
      <w:lvlText w:val="%1"/>
      <w:numFmt w:val="decimal"/>
      <w:start w:val="1"/>
    </w:lvl>
    <w:lvl w:ilvl="1">
      <w:lvlJc w:val="left"/>
      <w:lvlText w:val="(%2)"/>
      <w:numFmt w:val="lowerLetter"/>
      <w:start w:val="2"/>
    </w:lvl>
  </w:abstractNum>
  <w:abstractNum w:abstractNumId="59">
    <w:nsid w:val="77AE35EB"/>
    <w:multiLevelType w:val="hybridMultilevel"/>
    <w:lvl w:ilvl="0">
      <w:lvlJc w:val="left"/>
      <w:lvlText w:val="%1."/>
      <w:numFmt w:val="decimal"/>
      <w:start w:val="17"/>
    </w:lvl>
    <w:lvl w:ilvl="1">
      <w:lvlJc w:val="left"/>
      <w:lvlText w:val="%2"/>
      <w:numFmt w:val="lowerLetter"/>
      <w:start w:val="1"/>
    </w:lvl>
  </w:abstractNum>
  <w:abstractNum w:abstractNumId="60">
    <w:nsid w:val="579BE4F1"/>
    <w:multiLevelType w:val="hybridMultilevel"/>
    <w:lvl w:ilvl="0">
      <w:lvlJc w:val="left"/>
      <w:lvlText w:val="(%1)"/>
      <w:numFmt w:val="lowerLetter"/>
      <w:start w:val="2"/>
    </w:lvl>
  </w:abstractNum>
  <w:abstractNum w:abstractNumId="61">
    <w:nsid w:val="310C50B3"/>
    <w:multiLevelType w:val="hybridMultilevel"/>
    <w:lvl w:ilvl="0">
      <w:lvlJc w:val="left"/>
      <w:lvlText w:val="(%1)"/>
      <w:numFmt w:val="lowerLetter"/>
      <w:start w:val="6"/>
    </w:lvl>
  </w:abstractNum>
  <w:abstractNum w:abstractNumId="62">
    <w:nsid w:val="5FF87E05"/>
    <w:multiLevelType w:val="hybridMultilevel"/>
    <w:lvl w:ilvl="0">
      <w:lvlJc w:val="left"/>
      <w:lvlText w:val="(%1)"/>
      <w:numFmt w:val="lowerLetter"/>
      <w:start w:val="2"/>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2019-12-07T19:35:49Z</dcterms:created>
  <dcterms:modified xsi:type="dcterms:W3CDTF">2019-12-07T19:35:49Z</dcterms:modified>
</cp:coreProperties>
</file>