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760"/>
        <w:spacing w:after="0"/>
        <w:rPr>
          <w:sz w:val="20"/>
          <w:szCs w:val="20"/>
          <w:color w:val="auto"/>
        </w:rPr>
      </w:pPr>
      <w:r>
        <w:rPr>
          <w:rFonts w:ascii="Arial" w:cs="Arial" w:eastAsia="Arial" w:hAnsi="Arial"/>
          <w:sz w:val="18"/>
          <w:szCs w:val="18"/>
          <w:color w:val="auto"/>
        </w:rPr>
        <w:t>____________________________________________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9" w:lineRule="exact"/>
        <w:rPr>
          <w:sz w:val="24"/>
          <w:szCs w:val="24"/>
          <w:color w:val="auto"/>
        </w:rPr>
      </w:pPr>
    </w:p>
    <w:p>
      <w:pPr>
        <w:ind w:left="720" w:right="20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Commission File Number: 001-35480</w:t>
            </w:r>
          </w:p>
        </w:tc>
        <w:tc>
          <w:tcPr>
            <w:tcW w:w="1300" w:type="dxa"/>
            <w:vAlign w:val="bottom"/>
          </w:tcPr>
          <w:p>
            <w:pPr>
              <w:spacing w:after="0"/>
              <w:rPr>
                <w:sz w:val="17"/>
                <w:szCs w:val="17"/>
                <w:color w:val="auto"/>
              </w:rPr>
            </w:pPr>
          </w:p>
        </w:tc>
      </w:tr>
      <w:tr>
        <w:trPr>
          <w:trHeight w:val="187"/>
        </w:trPr>
        <w:tc>
          <w:tcPr>
            <w:tcW w:w="6320" w:type="dxa"/>
            <w:vAlign w:val="bottom"/>
          </w:tcPr>
          <w:p>
            <w:pPr>
              <w:jc w:val="center"/>
              <w:ind w:left="1946"/>
              <w:spacing w:after="0" w:line="187" w:lineRule="exact"/>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16"/>
                <w:szCs w:val="16"/>
                <w:color w:val="auto"/>
              </w:rPr>
            </w:pPr>
          </w:p>
        </w:tc>
      </w:tr>
      <w:tr>
        <w:trPr>
          <w:trHeight w:val="565"/>
        </w:trPr>
        <w:tc>
          <w:tcPr>
            <w:tcW w:w="6320" w:type="dxa"/>
            <w:vAlign w:val="bottom"/>
          </w:tcPr>
          <w:p>
            <w:pPr>
              <w:jc w:val="center"/>
              <w:ind w:left="1926"/>
              <w:spacing w:after="0"/>
              <w:rPr>
                <w:sz w:val="20"/>
                <w:szCs w:val="20"/>
                <w:color w:val="auto"/>
              </w:rPr>
            </w:pPr>
            <w:r>
              <w:rPr>
                <w:rFonts w:ascii="Arial" w:cs="Arial" w:eastAsia="Arial" w:hAnsi="Arial"/>
                <w:sz w:val="43"/>
                <w:szCs w:val="43"/>
                <w:b w:val="1"/>
                <w:bCs w:val="1"/>
                <w:color w:val="auto"/>
                <w:w w:val="90"/>
              </w:rPr>
              <w:t>Enphase Energy, Inc.</w:t>
            </w:r>
          </w:p>
        </w:tc>
        <w:tc>
          <w:tcPr>
            <w:tcW w:w="1300" w:type="dxa"/>
            <w:vAlign w:val="bottom"/>
          </w:tcPr>
          <w:p>
            <w:pPr>
              <w:spacing w:after="0"/>
              <w:rPr>
                <w:sz w:val="24"/>
                <w:szCs w:val="24"/>
                <w:color w:val="auto"/>
              </w:rPr>
            </w:pPr>
          </w:p>
        </w:tc>
      </w:tr>
      <w:tr>
        <w:trPr>
          <w:trHeight w:val="274"/>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23"/>
                <w:szCs w:val="2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r>
        <w:trPr>
          <w:trHeight w:val="32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2"/>
              </w:rPr>
              <w:t>1420 N. McDowell Blvd.</w:t>
            </w:r>
          </w:p>
        </w:tc>
        <w:tc>
          <w:tcPr>
            <w:tcW w:w="1300" w:type="dxa"/>
            <w:vAlign w:val="bottom"/>
          </w:tcPr>
          <w:p>
            <w:pPr>
              <w:spacing w:after="0"/>
              <w:rPr>
                <w:sz w:val="24"/>
                <w:szCs w:val="24"/>
                <w:color w:val="auto"/>
              </w:rPr>
            </w:pPr>
          </w:p>
        </w:tc>
      </w:tr>
      <w:tr>
        <w:trPr>
          <w:trHeight w:val="234"/>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Petaluma, California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94954</w:t>
            </w:r>
          </w:p>
        </w:tc>
      </w:tr>
      <w:tr>
        <w:trPr>
          <w:trHeight w:val="218"/>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320" w:type="dxa"/>
            <w:vAlign w:val="bottom"/>
          </w:tcPr>
          <w:p>
            <w:pPr>
              <w:jc w:val="center"/>
              <w:ind w:left="1906"/>
              <w:spacing w:after="0"/>
              <w:rPr>
                <w:sz w:val="20"/>
                <w:szCs w:val="20"/>
                <w:color w:val="auto"/>
              </w:rPr>
            </w:pPr>
            <w:r>
              <w:rPr>
                <w:rFonts w:ascii="Arial" w:cs="Arial" w:eastAsia="Arial" w:hAnsi="Arial"/>
                <w:sz w:val="18"/>
                <w:szCs w:val="18"/>
                <w:b w:val="1"/>
                <w:bCs w:val="1"/>
                <w:color w:val="auto"/>
                <w:w w:val="90"/>
              </w:rPr>
              <w:t>(707) 774-7000</w:t>
            </w:r>
          </w:p>
        </w:tc>
        <w:tc>
          <w:tcPr>
            <w:tcW w:w="1300" w:type="dxa"/>
            <w:vAlign w:val="bottom"/>
          </w:tcPr>
          <w:p>
            <w:pPr>
              <w:spacing w:after="0"/>
              <w:rPr>
                <w:sz w:val="24"/>
                <w:szCs w:val="24"/>
                <w:color w:val="auto"/>
              </w:rPr>
            </w:pPr>
          </w:p>
        </w:tc>
      </w:tr>
      <w:tr>
        <w:trPr>
          <w:trHeight w:val="157"/>
        </w:trPr>
        <w:tc>
          <w:tcPr>
            <w:tcW w:w="6320" w:type="dxa"/>
            <w:vAlign w:val="bottom"/>
          </w:tcPr>
          <w:p>
            <w:pPr>
              <w:jc w:val="center"/>
              <w:ind w:left="1886"/>
              <w:spacing w:after="0" w:line="157"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3"/>
                <w:szCs w:val="1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bl>
    <w:p>
      <w:pPr>
        <w:spacing w:after="0" w:line="18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4"/>
          <w:szCs w:val="24"/>
          <w:color w:val="auto"/>
        </w:rPr>
      </w:pPr>
    </w:p>
    <w:p>
      <w:pPr>
        <w:sectPr>
          <w:pgSz w:w="11900" w:h="16838" w:orient="portrait"/>
          <w:cols w:equalWidth="0" w:num="4">
            <w:col w:w="1960" w:space="720"/>
            <w:col w:w="4520" w:space="720"/>
            <w:col w:w="2460" w:space="720"/>
            <w:col w:w="320"/>
          </w:cols>
          <w:pgMar w:left="240" w:top="23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4">
            <w:col w:w="1960" w:space="720"/>
            <w:col w:w="4520" w:space="720"/>
            <w:col w:w="2460" w:space="720"/>
            <w:col w:w="320"/>
          </w:cols>
          <w:pgMar w:left="240" w:top="23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November 2, 2015, there were 45,333,255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11"/>
          </w:tcPr>
          <w:p>
            <w:pPr>
              <w:jc w:val="center"/>
              <w:ind w:right="244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3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300" w:type="dxa"/>
            <w:vAlign w:val="bottom"/>
          </w:tcPr>
          <w:p>
            <w:pPr>
              <w:spacing w:after="0"/>
              <w:rPr>
                <w:sz w:val="24"/>
                <w:szCs w:val="24"/>
                <w:color w:val="auto"/>
              </w:rPr>
            </w:pPr>
          </w:p>
        </w:tc>
        <w:tc>
          <w:tcPr>
            <w:tcW w:w="3060" w:type="dxa"/>
            <w:vAlign w:val="bottom"/>
            <w:tcBorders>
              <w:top w:val="single" w:sz="8" w:color="0000EE"/>
            </w:tcBorders>
            <w:gridSpan w:val="8"/>
          </w:tcPr>
          <w:p>
            <w:pPr>
              <w:spacing w:after="0"/>
              <w:rPr>
                <w:sz w:val="24"/>
                <w:szCs w:val="24"/>
                <w:color w:val="auto"/>
              </w:rPr>
            </w:pPr>
          </w:p>
        </w:tc>
        <w:tc>
          <w:tcPr>
            <w:tcW w:w="274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48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43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Loss</w:t>
              </w:r>
            </w:hyperlink>
          </w:p>
        </w:tc>
        <w:tc>
          <w:tcPr>
            <w:tcW w:w="41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7"/>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0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300" w:type="dxa"/>
            <w:vAlign w:val="bottom"/>
            <w:tcBorders>
              <w:left w:val="single" w:sz="8" w:color="0000EE"/>
            </w:tcBorders>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41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372"/>
        </w:trPr>
        <w:tc>
          <w:tcPr>
            <w:tcW w:w="1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288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722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2.</w:t>
            </w:r>
          </w:p>
        </w:tc>
        <w:tc>
          <w:tcPr>
            <w:tcW w:w="852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44</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2020" w:type="dxa"/>
            <w:vAlign w:val="bottom"/>
            <w:gridSpan w:val="7"/>
          </w:tcPr>
          <w:p>
            <w:pPr>
              <w:spacing w:after="0"/>
              <w:rPr>
                <w:sz w:val="21"/>
                <w:szCs w:val="21"/>
                <w:color w:val="auto"/>
              </w:rPr>
            </w:pPr>
          </w:p>
        </w:tc>
        <w:tc>
          <w:tcPr>
            <w:tcW w:w="41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620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620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676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2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722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45</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ENPHASE ENERGY, INC.</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(In thousands, except par value)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4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42,032</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3"/>
              </w:rPr>
              <w:t>Accounts receivable, net of allowances of $802 and $569 at September 30, 2015 and December 31, 2014,</w:t>
            </w:r>
          </w:p>
        </w:tc>
        <w:tc>
          <w:tcPr>
            <w:tcW w:w="200" w:type="dxa"/>
            <w:vAlign w:val="bottom"/>
          </w:tcPr>
          <w:p>
            <w:pPr>
              <w:spacing w:after="0"/>
              <w:rPr>
                <w:sz w:val="19"/>
                <w:szCs w:val="19"/>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75,322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45,119</w:t>
            </w:r>
          </w:p>
        </w:tc>
        <w:tc>
          <w:tcPr>
            <w:tcW w:w="0" w:type="dxa"/>
            <w:vAlign w:val="bottom"/>
          </w:tcPr>
          <w:p>
            <w:pPr>
              <w:spacing w:after="0"/>
              <w:rPr>
                <w:sz w:val="1"/>
                <w:szCs w:val="1"/>
                <w:color w:val="auto"/>
              </w:rPr>
            </w:pPr>
          </w:p>
        </w:tc>
      </w:tr>
      <w:tr>
        <w:trPr>
          <w:trHeight w:val="122"/>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114,896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30,824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182,963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152,192</w:t>
            </w:r>
          </w:p>
        </w:tc>
        <w:tc>
          <w:tcPr>
            <w:tcW w:w="0" w:type="dxa"/>
            <w:vAlign w:val="bottom"/>
          </w:tcPr>
          <w:p>
            <w:pPr>
              <w:spacing w:after="0"/>
              <w:rPr>
                <w:sz w:val="1"/>
                <w:szCs w:val="1"/>
                <w:color w:val="auto"/>
              </w:rPr>
            </w:pP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26,036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 current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1"/>
              </w:rPr>
              <w:t>Warranty obligations, current (includes $2,468 and $1,125 measured at fair value at September 30, 2015 and</w:t>
            </w:r>
          </w:p>
        </w:tc>
        <w:tc>
          <w:tcPr>
            <w:tcW w:w="200" w:type="dxa"/>
            <w:vAlign w:val="bottom"/>
          </w:tcPr>
          <w:p>
            <w:pPr>
              <w:spacing w:after="0"/>
              <w:rPr>
                <w:sz w:val="19"/>
                <w:szCs w:val="19"/>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122"/>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December 31, 2014, respectively)</w:t>
            </w:r>
          </w:p>
        </w:tc>
        <w:tc>
          <w:tcPr>
            <w:tcW w:w="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58,706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 noncurrent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Warranty obligations, noncurrent (includes $4,348 and $2,437 measured at fair value at</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26,333</w:t>
            </w:r>
          </w:p>
        </w:tc>
        <w:tc>
          <w:tcPr>
            <w:tcW w:w="0" w:type="dxa"/>
            <w:vAlign w:val="bottom"/>
          </w:tcPr>
          <w:p>
            <w:pPr>
              <w:spacing w:after="0"/>
              <w:rPr>
                <w:sz w:val="1"/>
                <w:szCs w:val="1"/>
                <w:color w:val="auto"/>
              </w:rPr>
            </w:pPr>
          </w:p>
        </w:tc>
      </w:tr>
      <w:tr>
        <w:trPr>
          <w:trHeight w:val="122"/>
        </w:trPr>
        <w:tc>
          <w:tcPr>
            <w:tcW w:w="83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September 30, 2015 and December 31, 2014, respectively)</w:t>
            </w:r>
          </w:p>
        </w:tc>
        <w:tc>
          <w:tcPr>
            <w:tcW w:w="20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105,240</w:t>
            </w:r>
          </w:p>
        </w:tc>
        <w:tc>
          <w:tcPr>
            <w:tcW w:w="0" w:type="dxa"/>
            <w:vAlign w:val="bottom"/>
          </w:tcPr>
          <w:p>
            <w:pPr>
              <w:spacing w:after="0"/>
              <w:rPr>
                <w:sz w:val="1"/>
                <w:szCs w:val="1"/>
                <w:color w:val="auto"/>
              </w:rPr>
            </w:pP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Common stock, $0.00001 par value, 100,000 shares authorized; 45,004 and 43,756 shares issued and</w:t>
            </w:r>
          </w:p>
        </w:tc>
        <w:tc>
          <w:tcPr>
            <w:tcW w:w="20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34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outstanding at September 30, 2015 and December 31, 2014, respectively</w:t>
            </w:r>
          </w:p>
        </w:tc>
        <w:tc>
          <w:tcPr>
            <w:tcW w:w="200" w:type="dxa"/>
            <w:vAlign w:val="bottom"/>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220,467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208,022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(160,991)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182,963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152,192</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291,620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71,408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199,103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160,689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31,466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92,517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78,008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32,346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34,955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29,205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23,425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22,837</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29,687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96,655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84,388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per share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44,734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44,339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42,664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47,996</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44,339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42,664</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(6,299)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(6,431)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(8,739)</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(6,299)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(8,454)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7,704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6,004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Net loss on disposal of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9,579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7,037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Revaluation of contingent consideration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(17,897)</w:t>
            </w:r>
          </w:p>
        </w:tc>
      </w:tr>
      <w:tr>
        <w:trPr>
          <w:trHeight w:val="237"/>
        </w:trPr>
        <w:tc>
          <w:tcPr>
            <w:tcW w:w="8580" w:type="dxa"/>
            <w:vAlign w:val="bottom"/>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w:t>
            </w:r>
          </w:p>
        </w:tc>
      </w:tr>
      <w:tr>
        <w:trPr>
          <w:trHeight w:val="237"/>
        </w:trPr>
        <w:tc>
          <w:tcPr>
            <w:tcW w:w="8580" w:type="dxa"/>
            <w:vAlign w:val="bottom"/>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22,638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w:t>
            </w:r>
          </w:p>
        </w:tc>
      </w:tr>
      <w:tr>
        <w:trPr>
          <w:trHeight w:val="237"/>
        </w:trPr>
        <w:tc>
          <w:tcPr>
            <w:tcW w:w="8580" w:type="dxa"/>
            <w:vAlign w:val="bottom"/>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3,700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15,342</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(9,836)</w:t>
            </w:r>
          </w:p>
        </w:tc>
      </w:tr>
      <w:tr>
        <w:trPr>
          <w:trHeight w:val="217"/>
        </w:trPr>
        <w:tc>
          <w:tcPr>
            <w:tcW w:w="858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(9,836)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Borrowings under revolving credit facility</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toward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Repayments of term loans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3,958</w:t>
            </w:r>
          </w:p>
        </w:tc>
      </w:tr>
      <w:tr>
        <w:trPr>
          <w:trHeight w:val="217"/>
        </w:trPr>
        <w:tc>
          <w:tcPr>
            <w:tcW w:w="8580" w:type="dxa"/>
            <w:vAlign w:val="bottom"/>
          </w:tcPr>
          <w:p>
            <w:pPr>
              <w:ind w:left="146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(19,541)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38,190</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22,491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44,537</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5020"/>
        <w:spacing w:after="0" w:line="409" w:lineRule="auto"/>
        <w:rPr>
          <w:sz w:val="20"/>
          <w:szCs w:val="20"/>
          <w:color w:val="auto"/>
        </w:rPr>
      </w:pPr>
      <w:r>
        <w:rPr>
          <w:rFonts w:ascii="Arial" w:cs="Arial" w:eastAsia="Arial" w:hAnsi="Arial"/>
          <w:sz w:val="18"/>
          <w:szCs w:val="18"/>
          <w:b w:val="1"/>
          <w:bCs w:val="1"/>
          <w:color w:val="auto"/>
        </w:rPr>
        <w:t xml:space="preserve">1. OVERVIEW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Enphase Energy, Inc. and subsidiaries (the “Company”) designs, develops, and sells microinverter systems for the solar photovoltaic industry. The Company was incorporated in 2006 and began selling its products in 2008.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 The Company also offers operations and maintenance services for photovoltaic (“PV”) systems including preventive and corrective maintenance, solar panel cleaning and solar system commissioning.</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the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and nine months ended September 30, 2015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2014.</w:t>
      </w:r>
    </w:p>
    <w:p>
      <w:pPr>
        <w:spacing w:after="0" w:line="12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There have been no material changes in the Company’s significant accounting policies during the nine months ended September 30, 2015, as compared to the significant accounting policies described in the Company’s Annual Report on Form 10-K for the year ended December 31, 2014. Reference is made to the disclosures therein for a summary of all of the Company’s significant accounting policies.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The effective date was recently deferred for one year to the interim and annual periods beginning on or after December 15, 2017.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Early adoption is permitted for interim and annual periods beginning on or after December 15, 2016. The guidance permits the use of either a retrospective or cumulative effect transition method. The Company has not yet selected a transition method and is currently evaluating the effect that the updated standard will have on its consolidated financial statements and related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September 30, 2015 and December 31, 2014 consists of the following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33,835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18,161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21,590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warranty activities during the three and nine months ended September 30, 2015 and 2014 were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32,806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32,806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26,194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24,558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For the three and nine months ended September 30, 2015, incremental charges from changes in estimates resulted from higher projected estimated replacement costs. For the three and nine months ended September 30, 2014, incremental charges from changes in estimates, each related to the Company’s second generation microinverter, consisted of $1.1 million and $4.2 million, respectively, to reflect higher than originally estimated failure rates. The remaining $1.3 million incremental charge for the nine months ended September 30, 2014 was due to higher projected estimated replacement costs.</w:t>
      </w:r>
    </w:p>
    <w:p>
      <w:pPr>
        <w:spacing w:after="0" w:line="10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As of September 30, 2015, the $32.8 million in warranty obligations included $6.8 million measured at fair value (see Note 4—Fair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5"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17"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right="18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following table presents the Company’s assets and liabilities that were measured at fair value on a recurring basis and its categorization within the fair value hierarchy at September 30, 2015 and December 31, 2014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708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3</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3,562</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3</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2,300</w:t>
            </w: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75"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The Company utilizes foreign currency forward contracts from time to time to reduce the impact of foreign currency fluctuations arising from both sales and purchases denominated in Euros and the British Pound Sterling. At September 30, 2015 and December 31, 2014, the notional amounts of the Company’s foreign currency forward contracts outstanding were $7.1 million and $1.5 million, respectively. For the nine months ended September 30, 2015 and 2014, the Company recorded net gains of $0.1 million and $0.1 million, respectively, related to foreign currency forward contracts in other income (expense),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75"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19"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1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3,562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6,816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2,961</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Liability</w:t>
      </w:r>
    </w:p>
    <w:p>
      <w:pPr>
        <w:spacing w:after="0" w:line="175"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In December 2014, the Company acquired substantially all of the assets of Next Phase Solar, Inc. In connection with the acquisition, the Company recorded a contingent consideration liability. The selling party may be entitled to receive two contingent payments, each based on achievement of defined revenue targets for the two annual periods subsequent to the acquisition date. The range of undiscounted amounts the Company could be required to pay for each contingent payment is between zero and $2.8 million. Any amounts due will be payable in early 2016 and 2017 based on achievement of defined 2015 and 2016 revenue targets, respectively.</w:t>
      </w:r>
    </w:p>
    <w:p>
      <w:pPr>
        <w:spacing w:after="0" w:line="134"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During the two-year earnout period, the Company is required to reevaluate the fair value of the contingent consideration liability at each reporting period based on any new developments and record any changes in fair value. The fair value of the contingent consideration liability was estimated by applying the income approach. That measure is based on significant Level 3 inputs not observable in the market. Key assumptions include (i) probability adjusted level of revenues and the resultant payout; and (ii) a risk-adjusted discount rate estimated using a capital asset pricing model, which reflects an expected rate of return required by a market participant holding a financial instrument with risk attributes similar to the Company’s contingent consideration liability.</w:t>
      </w:r>
    </w:p>
    <w:p>
      <w:pPr>
        <w:spacing w:after="0" w:line="8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provides information regarding changes in financial liabilities related to the contingent consideration liability measured at fair value on a recurring basis using significant unobservable inputs (Level 3) for the nine months ended September 30, 2015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2014</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Revaluations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Balance—September 30, 2015</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20" w:firstLine="446"/>
        <w:spacing w:after="0" w:line="264" w:lineRule="auto"/>
        <w:rPr>
          <w:sz w:val="20"/>
          <w:szCs w:val="20"/>
          <w:color w:val="auto"/>
        </w:rPr>
      </w:pPr>
      <w:r>
        <w:rPr>
          <w:rFonts w:ascii="Arial" w:cs="Arial" w:eastAsia="Arial" w:hAnsi="Arial"/>
          <w:sz w:val="18"/>
          <w:szCs w:val="18"/>
          <w:color w:val="auto"/>
        </w:rPr>
        <w:t>The decrease in fair value of the contingent consideration liability for the nine months ended September 30, 2015 was attributable to changes in management estimates related to the probability adjusted level of revenues. The gain was recorded in sales and marketing expenses in the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7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As of September 30, 2015, the significant unobservable inputs used in the fair value measurement of the Company’s liabilities designated as Level 3 are as follows:</w:t>
      </w:r>
    </w:p>
    <w:p>
      <w:pPr>
        <w:sectPr>
          <w:pgSz w:w="11900" w:h="16838" w:orient="portrait"/>
          <w:cols w:equalWidth="0" w:num="1">
            <w:col w:w="11420"/>
          </w:cols>
          <w:pgMar w:left="240" w:top="125"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68" w:lineRule="exact"/>
        <w:rPr>
          <w:sz w:val="20"/>
          <w:szCs w:val="20"/>
          <w:color w:val="auto"/>
        </w:rPr>
      </w:pPr>
    </w:p>
    <w:p>
      <w:pPr>
        <w:ind w:left="200" w:hanging="80"/>
        <w:spacing w:after="0" w:line="278"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Contingent consideration liability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00" w:type="dxa"/>
            <w:vAlign w:val="bottom"/>
          </w:tcPr>
          <w:p>
            <w:pPr>
              <w:spacing w:after="0"/>
              <w:rPr>
                <w:sz w:val="14"/>
                <w:szCs w:val="14"/>
                <w:color w:val="auto"/>
              </w:rPr>
            </w:pPr>
          </w:p>
        </w:tc>
        <w:tc>
          <w:tcPr>
            <w:tcW w:w="4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Description of Significant Unobservable Input</w:t>
            </w:r>
          </w:p>
        </w:tc>
        <w:tc>
          <w:tcPr>
            <w:tcW w:w="120" w:type="dxa"/>
            <w:vAlign w:val="bottom"/>
            <w:vMerge w:val="restart"/>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Percent Used</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250"/>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w w:val="91"/>
              </w:rPr>
              <w:t>Discounted cash flows</w:t>
            </w:r>
          </w:p>
        </w:tc>
        <w:tc>
          <w:tcPr>
            <w:tcW w:w="100" w:type="dxa"/>
            <w:vAlign w:val="bottom"/>
            <w:shd w:val="clear" w:color="auto" w:fill="CCEEFF"/>
          </w:tcPr>
          <w:p>
            <w:pPr>
              <w:spacing w:after="0"/>
              <w:rPr>
                <w:sz w:val="21"/>
                <w:szCs w:val="21"/>
                <w:color w:val="auto"/>
              </w:rPr>
            </w:pPr>
          </w:p>
        </w:tc>
        <w:tc>
          <w:tcPr>
            <w:tcW w:w="4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1"/>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0" w:type="dxa"/>
            <w:vAlign w:val="bottom"/>
          </w:tcPr>
          <w:p>
            <w:pPr>
              <w:spacing w:after="0"/>
              <w:rPr>
                <w:sz w:val="1"/>
                <w:szCs w:val="1"/>
                <w:color w:val="auto"/>
              </w:rPr>
            </w:pPr>
          </w:p>
        </w:tc>
      </w:tr>
      <w:tr>
        <w:trPr>
          <w:trHeight w:val="102"/>
        </w:trPr>
        <w:tc>
          <w:tcPr>
            <w:tcW w:w="2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560" w:type="dxa"/>
            <w:vAlign w:val="bottom"/>
            <w:gridSpan w:val="2"/>
            <w:vMerge w:val="continue"/>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2"/>
            <w:vMerge w:val="continue"/>
            <w:shd w:val="clear" w:color="auto" w:fill="CCEEFF"/>
          </w:tcPr>
          <w:p>
            <w:pPr>
              <w:spacing w:after="0"/>
              <w:rPr>
                <w:sz w:val="14"/>
                <w:szCs w:val="14"/>
                <w:color w:val="auto"/>
              </w:rPr>
            </w:pPr>
          </w:p>
        </w:tc>
        <w:tc>
          <w:tcPr>
            <w:tcW w:w="1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w w:val="93"/>
              </w:rPr>
              <w:t>Probability-weighted discounted</w:t>
            </w:r>
          </w:p>
        </w:tc>
        <w:tc>
          <w:tcPr>
            <w:tcW w:w="100" w:type="dxa"/>
            <w:vAlign w:val="bottom"/>
          </w:tcPr>
          <w:p>
            <w:pPr>
              <w:spacing w:after="0"/>
              <w:rPr>
                <w:sz w:val="6"/>
                <w:szCs w:val="6"/>
                <w:color w:val="auto"/>
              </w:rPr>
            </w:pPr>
          </w:p>
        </w:tc>
        <w:tc>
          <w:tcPr>
            <w:tcW w:w="4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5"/>
        </w:trPr>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1"/>
              </w:rPr>
              <w:t>Risk-adjusted discount rate</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98"/>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w w:val="90"/>
              </w:rPr>
              <w:t>cash flows</w:t>
            </w:r>
          </w:p>
        </w:tc>
        <w:tc>
          <w:tcPr>
            <w:tcW w:w="100" w:type="dxa"/>
            <w:vAlign w:val="bottom"/>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-810260</wp:posOffset>
            </wp:positionV>
            <wp:extent cx="319849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849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60"/>
            <w:col w:w="8880"/>
          </w:cols>
          <w:pgMar w:left="240" w:top="125"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7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Each of the significant unobservable inputs is independent of the other. The profit element and risk premium are estimated based on requirements of a third-party participant willing to assume the Company’s warranty obligations. The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credit-adjusted risk-free rate (“discount rate”) by 100 basis points would result in a $0.2 million reduction of the liability. Decreasing the discount rate by 100 basis points would result in a $0.2 million increase to the liability.</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Contingent Consideration Liability</w:t>
      </w:r>
    </w:p>
    <w:p>
      <w:pPr>
        <w:spacing w:after="0" w:line="17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Changes in assumed probability adjustments with respect to achievement of target metrics can materially impact the fair value measurement of contingent consideration as of the acquisition date and for each subsequent period. Assumptions about the probability and amount of payout require less subjectivity over the course of the earnout period as management refines estimates based on actual events. Due to the short duration of the earnout period of two years, increasing or decreasing the risk-adjusted discount rate by 100 basis points would not have a material impact on the fair value measurement of the contingent consideration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assets with finite lives: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57"/>
        </w:trPr>
        <w:tc>
          <w:tcPr>
            <w:tcW w:w="378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The acquired customer relationships from the Company’s December 2014 NPS acquisition are being amortized on a straight-line basis over its estimated useful life of 5 years.</w:t>
      </w:r>
    </w:p>
    <w:p>
      <w:pPr>
        <w:spacing w:after="0" w:line="73"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For the nine months ended September 30, 2015, amortization expense related to intangible assets was $0.3 million. As of September 30, 2015, estimated future amortization expense related to finite-lived intangible assets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(In thousands)</w:t>
            </w: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(remaining 3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430</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r>
      <w:tr>
        <w:trPr>
          <w:trHeight w:val="257"/>
        </w:trPr>
        <w:tc>
          <w:tcPr>
            <w:tcW w:w="10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1,203</w:t>
            </w:r>
          </w:p>
        </w:tc>
      </w:tr>
      <w:tr>
        <w:trPr>
          <w:trHeight w:val="20"/>
        </w:trPr>
        <w:tc>
          <w:tcPr>
            <w:tcW w:w="10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175"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The Company has a $50.0 million revolving credit facility (the “Revolver”) with Wells Fargo Bank, N.A. (“Wells Fargo”) that was entered into in November 2012 and subsequently amended in February 2014 to extend the maturity date to November 7, 2016. The amount of credit available under the Revolver is subject to a borrowing base calculation that limits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availability to a percentage of eligible domestic accounts receivable plus a percentage of the value of eligible domestic inventory, less certain reserves. Amounts advanced under the Revolver bear interest at an annual rate equal to, at the Company’s option, either LIBOR or a “base rate” that is comprised of, among other things, the prime rate, plus a margin that is between 1.5% and 4.25% depending on the currency borrowed and the specific term of repayment. Advances under the Revolver may be drawn, repaid and redrawn until November 7, 2016, at which time all amounts borrowed must be repaid. The Revolver contains customary affirmative and negative covenants and events of default, and requires the Company to maintain at least $15.0 million in liquidity, consisting of cash, cash equivalents, and availability on the Revolver. Of this $15.0 million liquidity requirement, at least $5.0 million must be undrawn availability. The Company was in compliance with all financial covenants of the Revolver as of September 30, 2015.</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2015, the Company’s net availability under the Revolver, reflecting outstanding borrowings of $17.0 million, was $22.0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71" w:lineRule="exact"/>
        <w:rPr>
          <w:sz w:val="20"/>
          <w:szCs w:val="20"/>
          <w:color w:val="auto"/>
        </w:rPr>
      </w:pPr>
    </w:p>
    <w:p>
      <w:pPr>
        <w:ind w:right="400" w:firstLine="446"/>
        <w:spacing w:after="0" w:line="289"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—The Company is not currently involved in any material legal proceedings. The Company may become involved in various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nine months ended September 30, 2015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8,632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8,676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intrinsic value of options exercised in the nine months ended September 30, 2015 was $4.2 million. As of September 30, 2015, the intrinsic value of options outstanding was $9.9 million based on the closing price of the Company’s stock as of September 30,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restricted stock unit activity for the nine months ended September 30, 2015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4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0"/>
              </w:rPr>
              <w:t>RSUs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92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9280" w:type="dxa"/>
            <w:vAlign w:val="bottom"/>
            <w:gridSpan w:val="2"/>
          </w:tcPr>
          <w:p>
            <w:pPr>
              <w:ind w:left="180"/>
              <w:spacing w:after="0"/>
              <w:rPr>
                <w:sz w:val="20"/>
                <w:szCs w:val="20"/>
                <w:color w:val="auto"/>
              </w:rPr>
            </w:pPr>
            <w:r>
              <w:rPr>
                <w:rFonts w:ascii="Arial" w:cs="Arial" w:eastAsia="Arial" w:hAnsi="Arial"/>
                <w:sz w:val="18"/>
                <w:szCs w:val="18"/>
                <w:color w:val="auto"/>
              </w:rPr>
              <w:t>Canceled</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1,409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The total fair value of restricted stock units that vested in the nine months ended September 30, 2015 was $4.1 million. As of September 30, 2015, the intrinsic value of restricted stock units outstanding was $5.2 million based on the closing price of the Company’s stock as of September 30,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 condensed consolidated statements</w:t>
      </w:r>
      <w:r>
        <w:rPr>
          <w:rFonts w:ascii="Arial" w:cs="Arial" w:eastAsia="Arial" w:hAnsi="Arial"/>
          <w:sz w:val="18"/>
          <w:szCs w:val="18"/>
          <w:color w:val="auto"/>
        </w:rPr>
        <w:t xml:space="preserve"> </w:t>
      </w:r>
      <w:r>
        <w:rPr>
          <w:rFonts w:ascii="Arial" w:cs="Arial" w:eastAsia="Arial" w:hAnsi="Arial"/>
          <w:sz w:val="18"/>
          <w:szCs w:val="18"/>
          <w:color w:val="010202"/>
        </w:rPr>
        <w:t xml:space="preserve">of operations for the periods presented (in </w:t>
      </w:r>
      <w:r>
        <w:rPr>
          <w:rFonts w:ascii="Arial" w:cs="Arial" w:eastAsia="Arial" w:hAnsi="Arial"/>
          <w:sz w:val="18"/>
          <w:szCs w:val="18"/>
          <w:color w:val="000000"/>
        </w:rPr>
        <w:t>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2,215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2,434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3,283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summarizes stock-based compensation associated with stock options, restricted stock units, and employee stock purchase plan shares for the periods presented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8,153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572</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3,283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2"/>
          </w:tcPr>
          <w:p>
            <w:pPr>
              <w:jc w:val="center"/>
              <w:ind w:left="537"/>
              <w:spacing w:after="0"/>
              <w:rPr>
                <w:sz w:val="20"/>
                <w:szCs w:val="20"/>
                <w:color w:val="auto"/>
              </w:rPr>
            </w:pPr>
            <w:r>
              <w:rPr>
                <w:rFonts w:ascii="Arial" w:cs="Arial" w:eastAsia="Arial" w:hAnsi="Arial"/>
                <w:sz w:val="14"/>
                <w:szCs w:val="14"/>
                <w:b w:val="1"/>
                <w:bCs w:val="1"/>
                <w:color w:val="auto"/>
                <w:w w:val="93"/>
              </w:rPr>
              <w:t>Nine Months Ended</w:t>
            </w:r>
          </w:p>
        </w:tc>
        <w:tc>
          <w:tcPr>
            <w:tcW w:w="980" w:type="dxa"/>
            <w:vAlign w:val="bottom"/>
          </w:tcPr>
          <w:p>
            <w:pPr>
              <w:spacing w:after="0"/>
              <w:rPr>
                <w:sz w:val="14"/>
                <w:szCs w:val="14"/>
                <w:color w:val="auto"/>
              </w:rPr>
            </w:pPr>
          </w:p>
        </w:tc>
      </w:tr>
      <w:tr>
        <w:trPr>
          <w:trHeight w:val="192"/>
        </w:trPr>
        <w:tc>
          <w:tcPr>
            <w:tcW w:w="46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left="557"/>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1"/>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5.40</w:t>
            </w:r>
          </w:p>
        </w:tc>
        <w:tc>
          <w:tcPr>
            <w:tcW w:w="7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5.43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940" w:type="dxa"/>
            <w:vAlign w:val="bottom"/>
          </w:tcPr>
          <w:p>
            <w:pPr>
              <w:spacing w:after="0"/>
              <w:rPr>
                <w:sz w:val="21"/>
                <w:szCs w:val="21"/>
                <w:color w:val="auto"/>
              </w:rPr>
            </w:pPr>
          </w:p>
        </w:tc>
        <w:tc>
          <w:tcPr>
            <w:tcW w:w="660" w:type="dxa"/>
            <w:vAlign w:val="bottom"/>
          </w:tcPr>
          <w:p>
            <w:pPr>
              <w:jc w:val="right"/>
              <w:ind w:right="23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17"/>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1"/>
                <w:szCs w:val="21"/>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color w:val="auto"/>
              </w:rPr>
              <w:t>4.5</w:t>
            </w: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0"/>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72.1%</w:t>
            </w:r>
          </w:p>
        </w:tc>
        <w:tc>
          <w:tcPr>
            <w:tcW w:w="7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9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1.4%</w:t>
            </w: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0.0%</w:t>
            </w:r>
          </w:p>
        </w:tc>
        <w:tc>
          <w:tcPr>
            <w:tcW w:w="7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r>
      <w:tr>
        <w:trPr>
          <w:trHeight w:val="27"/>
        </w:trPr>
        <w:tc>
          <w:tcPr>
            <w:tcW w:w="46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September 30, 2015, there was approximately $21.8 million of total unrecognized compensation cost related to unvested equity awards expected to be recognized over a weighted-average period of 2.6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has used the discrete tax approach in calculating the tax expense for the three and nine months ended September 30, 2015 and 2014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provisions recorded were primarily related to income taxes in jurisdictions outside of the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w:t>
      </w:r>
    </w:p>
    <w:p>
      <w:pPr>
        <w:spacing w:after="0" w:line="175"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Basic net income (loss) per share is computed by dividing net income (loss) by the weighted average number of shares of common stock outstanding during the period. Diluted income (loss) per share is computed in a similar manner, but it also includes the effect of potential common shares outstanding during the period, when dilutive. Potential common shares include outstanding in-the-money stock options, restricted stock units, shares to be purchased under the Company’s employee stock purchase plan and warrants to purchase common stock. The dilutive effect of potentially dilutive common shares is reflected in diluted earnings per share by application of the treasury stock method. To the extent these potential common shares are antidilutive, they are excluded from the calculation of diluted net income (loss) per share.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computation of basic and diluted net income (loss) per share for the periods presented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3"/>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w w:val="91"/>
              </w:rPr>
              <w:t>Weighted average common shares outstanding for basic calculation</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44,734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44,339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42,664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Employee stock-based awards</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9"/>
        </w:trPr>
        <w:tc>
          <w:tcPr>
            <w:tcW w:w="5160" w:type="dxa"/>
            <w:vAlign w:val="bottom"/>
          </w:tcPr>
          <w:p>
            <w:pPr>
              <w:ind w:left="540"/>
              <w:spacing w:after="0"/>
              <w:rPr>
                <w:sz w:val="20"/>
                <w:szCs w:val="20"/>
                <w:color w:val="auto"/>
              </w:rPr>
            </w:pPr>
            <w:r>
              <w:rPr>
                <w:rFonts w:ascii="Arial" w:cs="Arial" w:eastAsia="Arial" w:hAnsi="Arial"/>
                <w:sz w:val="18"/>
                <w:szCs w:val="18"/>
                <w:color w:val="auto"/>
                <w:w w:val="99"/>
              </w:rPr>
              <w:t>Weighted average common shares outstanding for diluted</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0"/>
        </w:trPr>
        <w:tc>
          <w:tcPr>
            <w:tcW w:w="5160" w:type="dxa"/>
            <w:vAlign w:val="bottom"/>
          </w:tcPr>
          <w:p>
            <w:pPr>
              <w:ind w:left="800"/>
              <w:spacing w:after="0"/>
              <w:rPr>
                <w:sz w:val="20"/>
                <w:szCs w:val="20"/>
                <w:color w:val="auto"/>
              </w:rPr>
            </w:pPr>
            <w:r>
              <w:rPr>
                <w:rFonts w:ascii="Arial" w:cs="Arial" w:eastAsia="Arial" w:hAnsi="Arial"/>
                <w:sz w:val="18"/>
                <w:szCs w:val="18"/>
                <w:color w:val="auto"/>
              </w:rPr>
              <w:t>calculation</w:t>
            </w:r>
          </w:p>
        </w:tc>
        <w:tc>
          <w:tcPr>
            <w:tcW w:w="2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47,996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48,786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44,339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42,664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9"/>
        </w:trPr>
        <w:tc>
          <w:tcPr>
            <w:tcW w:w="5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 per share,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per share,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 three months ended September 30, 2015 and 2014, the Company excluded 6.3 million and 0.6 million, respectively, of potential common shares outstanding from the calculation of diluted net income per share because their effect would have been antidilutive. In periods of net loss, all potential common shares were excluded from the diluted calculation because their effect would have been antidilutive. The following table summarizes the potential common shares excluded from the diluted calculation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6060" w:type="dxa"/>
            <w:vAlign w:val="bottom"/>
            <w:gridSpan w:val="2"/>
          </w:tcPr>
          <w:p>
            <w:pPr>
              <w:ind w:left="5760"/>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1480" w:type="dxa"/>
            <w:vAlign w:val="bottom"/>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8,474</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1,229</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32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9,926</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0"/>
        </w:trPr>
        <w:tc>
          <w:tcPr>
            <w:tcW w:w="6060" w:type="dxa"/>
            <w:vAlign w:val="bottom"/>
            <w:gridSpan w:val="2"/>
          </w:tcPr>
          <w:p>
            <w:pPr>
              <w:ind w:left="562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approximately 9.8 million microinverters as of September 30, 2015, which represents over 2.1 gigawatts (AC) of solar PV generating capacity. We currently offer microinverter systems targeting the residential and commercial markets in the United States, Canada, Mexico and other Latin America countries, the United Kingdom, France, the Benelux region, certain other European markets, Australia and New Zealand.</w:t>
      </w:r>
    </w:p>
    <w:p>
      <w:pPr>
        <w:spacing w:after="0" w:line="85"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jc w:val="both"/>
        <w:ind w:right="440" w:firstLine="446"/>
        <w:spacing w:after="0" w:line="342" w:lineRule="auto"/>
        <w:rPr>
          <w:sz w:val="20"/>
          <w:szCs w:val="20"/>
          <w:color w:val="auto"/>
        </w:rPr>
      </w:pPr>
      <w:r>
        <w:rPr>
          <w:rFonts w:ascii="Arial" w:cs="Arial" w:eastAsia="Arial" w:hAnsi="Arial"/>
          <w:sz w:val="16"/>
          <w:szCs w:val="16"/>
          <w:color w:val="auto"/>
        </w:rPr>
        <w:t>We primarily generate net revenues from sales of our microinverter systems, which include microinverter units and related accessories, an Envoy communications gateway device, and our Enlighten web-based monitoring service. We sell to distributors, large installers, OEMs and strategic partners.</w:t>
      </w:r>
    </w:p>
    <w:p>
      <w:pPr>
        <w:spacing w:after="0" w:line="16"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Our revenue is affected by changes in the volume and average selling prices of our microinverter systems, driven by supply and demand, sales incentives, and competitive product offerings. Our revenue growth is dependent on our ability to develop and introduce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jc w:val="both"/>
        <w:ind w:right="2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manufacturing personnel, logistics and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46"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We outsource our manufacturing to third-party contract manufacturers and generally negotiate product pricing with them on a quarterly basis. We believe our contract manufacturing partners have sufficient production capacity to meet the demand for our products for the foreseeable future.</w:t>
      </w:r>
    </w:p>
    <w:p>
      <w:pPr>
        <w:spacing w:after="0" w:line="16"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In addition, third parties, including one of our contract manufacturers, serve as our logistics providers by warehousing and delivering our products in North America, Europe, Australia and New Zealand.</w:t>
      </w:r>
    </w:p>
    <w:p>
      <w:pPr>
        <w:spacing w:after="0" w:line="62"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(including changes in estimates) and sales volume fluctuations.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60" w:firstLine="446"/>
        <w:spacing w:after="0" w:line="264"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incentive and stock-based compensation.</w:t>
      </w:r>
    </w:p>
    <w:p>
      <w:pPr>
        <w:spacing w:after="0" w:line="73"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Research and development expense includes personnel-related expenses such as salaries, incentive and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as well as development work related to new opportunities in energy management and energy storage. We intend to continue to invest substantial resources in our research and development efforts because we believe they are critical to maintaining our competitive position.</w:t>
      </w:r>
    </w:p>
    <w:p>
      <w:pPr>
        <w:spacing w:after="0" w:line="8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incentive and stock-based compensation, employee benefits and travel and adjustments to the fair value of the acquisition-related contingent consideration liability.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sell our products in the United States, Canada, Mexico and other Latin America countries, the United Kingdom, France, the Benelux region, certain other European markets, Australia and New Zealand. We expect to continue to expand the geographic reach of our product offerings and explore new sales channels in addressable markets in the future.</w:t>
      </w:r>
    </w:p>
    <w:p>
      <w:pPr>
        <w:spacing w:after="0" w:line="297" w:lineRule="exact"/>
        <w:rPr>
          <w:sz w:val="20"/>
          <w:szCs w:val="20"/>
          <w:color w:val="auto"/>
        </w:rPr>
      </w:pPr>
    </w:p>
    <w:p>
      <w:pPr>
        <w:jc w:val="both"/>
        <w:ind w:right="80" w:firstLine="446"/>
        <w:spacing w:after="0" w:line="312" w:lineRule="auto"/>
        <w:rPr>
          <w:sz w:val="20"/>
          <w:szCs w:val="20"/>
          <w:color w:val="auto"/>
        </w:rPr>
      </w:pPr>
      <w:r>
        <w:rPr>
          <w:rFonts w:ascii="Arial" w:cs="Arial" w:eastAsia="Arial" w:hAnsi="Arial"/>
          <w:sz w:val="16"/>
          <w:szCs w:val="16"/>
          <w:color w:val="auto"/>
        </w:rPr>
        <w:t>General and administrative expense consists primarily of salaries, incentive and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Other income (expense), net includes interest expense on amounts under our outstanding term loans prior to 2015 and non-cash interest expense related to the amortization of debt discounts and deferred financing costs. Other income (expense), net also includes gains or losses upon conversion of non-U.S. dollar transactions into U.S. dollars and from foreign currency forward contracts.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We are subject to income taxes in the countries where we sell our products, including the United States where we sell the majority of our products.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it is more-likely-than-not that all of our U.S. and state deferred tax assets will not be realized as of September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2015 and 2014</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9"/>
              </w:rPr>
              <w:t>$   102,874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99,113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3,761</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291,620</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   238,697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52,923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2015 and 2014</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Net revenues increased by 4% for the three months ended September 30, 2015, as compared to the same period in 2014, due to higher volume of microinverter systems sold. We sold 950,000 microinverter units in the three months ended September 30, 2015, compared to 760,000 units in the same period in 2014. The growth in net revenues was not commensurate with the growth in unit shipments due to declining average selling prices. Average selling prices per watt for microinverters shipped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declined approximately 18% in the third quarter of 2015, as compared to the same period in 2014. We expect average selling prices for microinverters to continue to decline in the future which may negatively affect net revenues.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2015 and 2014</w:t>
      </w:r>
    </w:p>
    <w:p>
      <w:pPr>
        <w:spacing w:after="0" w:line="17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Net revenues increased by 22% for the nine months ended September 30, 2015, compared to the same period in 2014, due to higher volume of microinverter systems sold. We sold 2,528,000 microinverter units in the nine months ended September 30, 2015, compared to 1,781,000 units in the same period in 2014. The growth in net revenues was not commensurate with the growth in unit shipments due to declining average selling prices. Average selling prices per watt for microinverters shipped declined approximately 14% in the nine months ended September 30, 2015, as compared to the same period in 2014. We expect average selling prices for microinverters to continue to decline in the future which may negatively affect net revenues.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74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71,408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66,592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4,816</w:t>
            </w: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7 %  $</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199,103</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  160,689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rPr>
              <w:t>38,414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860" w:type="dxa"/>
            <w:vAlign w:val="bottom"/>
          </w:tcPr>
          <w:p>
            <w:pPr>
              <w:jc w:val="right"/>
              <w:ind w:right="159"/>
              <w:spacing w:after="0"/>
              <w:rPr>
                <w:sz w:val="20"/>
                <w:szCs w:val="20"/>
                <w:color w:val="auto"/>
              </w:rPr>
            </w:pPr>
            <w:r>
              <w:rPr>
                <w:rFonts w:ascii="Arial" w:cs="Arial" w:eastAsia="Arial" w:hAnsi="Arial"/>
                <w:sz w:val="18"/>
                <w:szCs w:val="18"/>
                <w:color w:val="auto"/>
              </w:rPr>
              <w:t>31,466</w:t>
            </w:r>
          </w:p>
        </w:tc>
        <w:tc>
          <w:tcPr>
            <w:tcW w:w="320" w:type="dxa"/>
            <w:vAlign w:val="bottom"/>
          </w:tcPr>
          <w:p>
            <w:pPr>
              <w:spacing w:after="0"/>
              <w:rPr>
                <w:sz w:val="21"/>
                <w:szCs w:val="21"/>
                <w:color w:val="auto"/>
              </w:rPr>
            </w:pP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32,521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79"/>
              <w:spacing w:after="0"/>
              <w:rPr>
                <w:sz w:val="20"/>
                <w:szCs w:val="20"/>
                <w:color w:val="auto"/>
              </w:rPr>
            </w:pPr>
            <w:r>
              <w:rPr>
                <w:rFonts w:ascii="Arial" w:cs="Arial" w:eastAsia="Arial" w:hAnsi="Arial"/>
                <w:sz w:val="18"/>
                <w:szCs w:val="18"/>
                <w:color w:val="auto"/>
              </w:rPr>
              <w:t>(1,055)</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8"/>
                <w:szCs w:val="18"/>
                <w:color w:val="auto"/>
              </w:rPr>
              <w:t>92,517</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78,008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519"/>
              <w:spacing w:after="0"/>
              <w:rPr>
                <w:sz w:val="20"/>
                <w:szCs w:val="20"/>
                <w:color w:val="auto"/>
              </w:rPr>
            </w:pPr>
            <w:r>
              <w:rPr>
                <w:rFonts w:ascii="Arial" w:cs="Arial" w:eastAsia="Arial" w:hAnsi="Arial"/>
                <w:sz w:val="18"/>
                <w:szCs w:val="18"/>
                <w:color w:val="auto"/>
              </w:rPr>
              <w:t>14,509</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2015 and 2014</w:t>
      </w:r>
    </w:p>
    <w:p>
      <w:pPr>
        <w:spacing w:after="0" w:line="17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Cost of revenues increased by 7% for the three months ended September 30, 2015, as compared to the same period in 2014, and was attributable to the greater volume of shipments of our products. Gross margin decreased by 2.2 percentage points for the three months ended September 30, 2015, as compared to the same period in 2014. The decline in average selling price outpaced the reduction in our product costs which contributed to the decline in gross margin. Gross margin for the three months ended September 30, 2015 benefited from lower warranty expense as a percentage of net revenues, which was 1.6 percent, as compared to 2.4 percent for the same period in 2014. The decrease in warranty expense as a percentage of revenues was attributable to lower incremental charges from changes in estimates during the three months ended September 30, 2015, as compared to the same period in 2014. We expect average product costs to continue to decline in the future. The timing of product cost reductions relative to the declines in average selling prices will affect gross margin.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2015 and 2014</w:t>
      </w:r>
    </w:p>
    <w:p>
      <w:pPr>
        <w:spacing w:after="0" w:line="17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Cost of revenues increased by 24% for the nine months ended September 30, 2015, as compared to the same period in 2014, primarily due to the corresponding increase in net revenues. Gross margin decreased by 1.0 percentage point for the nine months ended September 30, 2015, as compared to the same period in 2014. The decline in average selling price outpaced the reduction in our product costs which contributed to the decline in gross margin. Gross margin for the nine months ended September 30, 2015 benefited from lower warranty expense as a percentage of net revenues, which was 1.6 percent, as compared to 2.4 percent for the same period in 2014. The decrease in warranty expense as a percentage of revenues was attributable to lower incremental charges from changes in estimates during the nine months ended September 30, 2015, as compared to the same period in 2014. We expect average product costs to continue to decline in the future. The timing of product cost reductions relative to the declines in average selling prices will affect gross margin.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w w:val="89"/>
              </w:rPr>
              <w:t>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762"/>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30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2"/>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Research and development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12,059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12,112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(53)</w:t>
            </w: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38,275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8"/>
              </w:rPr>
              <w:t>32,346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5,929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2015 and 2014</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Research and development expenses were flat for the three months ended September 30, 2015, as compared to the same period in 2014. Personnel-related costs decreased by $0.5 million. The decrease was attributed to lower incentive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expense of $2.4 million for the three months ended September 30, 2015, as compared to the same period in 2014. This decrease was offset by a $1.9 million increase in personnel-related costs due to the additions in headcount to support expanded research and development initiatives, including development of new products as well as enhancements and cost reductions to existing products. The decrease in personnel-related costs was offset by an increase in third-party development costs, research equipment depreciation and prototype material expense. The amount of research and development expenses may fluctuate from period to period due to the differing levels and stages of development activity.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2015 and 2014</w:t>
      </w:r>
    </w:p>
    <w:p>
      <w:pPr>
        <w:spacing w:after="0" w:line="17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Research and development expenses increased by 18% for the nine months ended September 30, 2015, as compared to the same period in 2014. Personnel-related costs increased by $3.8 million. The increase was attributable to a $6.8 million increase in personnel-related costs due to additions in headcount to support expanded research and development initiatives including development of new products as well as enhancements and cost reductions to existing products. This increase was offset by lower incentive compensation expense of $3.0 million for the nine months ended September 30, 2015, as compared to the same period in 2014. In addition, the remaining increase was primarily attributable to a $1.5 million increase in research equipment depreciation and prototype material expense and a $0.8 million increase in third-party development costs.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0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10,510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9,884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626</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  $</w:t>
            </w:r>
          </w:p>
        </w:tc>
        <w:tc>
          <w:tcPr>
            <w:tcW w:w="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34,955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29,205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5,750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2015 and 2014</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Sales and marketing expenses increased by 6% for the three months ended September 30, 2015, as compared to the same period in 2014. Personnel-related costs increased by $0.4 million. The increase was attributable to a $1.8 million increase in personnel-related costs due to growth in headcount. This increase was offset by lower incentive compensation expense of $1.4 million for the three months ended September 30, 2015, as compared to the same period in 2014. Other increases include a $0.4 million increase in marketing expenses and $0.5 million increase in bad debt expense, which includes $0.3 million related to a bad debt recovery received in the three months ended September 30, 2014. These increases were offset by a $0.7 million benefit related to a revaluation of acquisition-related contingent consideration liability.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2015 and 2014</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Sales and marketing expenses increased by 20% for the nine months ended September 30, 2015, as compared to the same period in 2014. Personnel-related costs increased by $5.5 million. The increase was attributable to a $6.8 million increase in personnel-related costs due to growth in headcount. This increase was offset by lower incentive compensation expense of $1.3 million for the nine months ended September 30, 2015, as compared to the same period in 2014. Other increases include a $1.6 million increase in marketing and consulting expenses and a $0.3 million increase in amortization of intangible assets. These increases were offset by a $1.6 million benefit related to a revaluation of acquisition-related contingent consideration liability.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w w:val="89"/>
              </w:rPr>
              <w:t>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40" w:type="dxa"/>
            <w:vAlign w:val="bottom"/>
            <w:gridSpan w:val="4"/>
          </w:tcPr>
          <w:p>
            <w:pPr>
              <w:ind w:left="24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(dollars in thousands)</w:t>
            </w: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7,118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8,632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(1,514)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  $</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23,425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8"/>
              </w:rPr>
              <w:t>22,837</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86"/>
              </w:rPr>
              <w:t>588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2015 and 2014</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General and administrative expenses decreased by 18% for the three months ended September 30, 2015, as compared to the same period in 2014. Personnel-related costs decreased by $1.6 million and were primarily attributable to lower incentive compensation expense of $1.8 million for the three months ended September 30, 2015, as compared to the same period in 2014. This decrease was offset by a $0.2 million increase in stock-based compensation. Other increases include a $0.5 million increase in facilities-related expenses including rent, utilities and depreciation related to corporate fixed assets offset by a $0.4 million decrease in professional services costs and other corporate expenses.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2015 and 2014</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General and administrative expenses increased by 3% for the nine months ended September 30, 2015, as compared to the same period in 2014. Personnel-related costs decreased by $1.5 million. The decrease was attributable to lower incentive compensation expense of $2.5 million for the nine months ended September 30, 2015, as compared to the same period in 2014. This decrease was offset by a $0.6 million increase related to annual salary adjustments and a $0.4 million increase in stock-based compensation. Other increases include a $1.0 million increase in corporate-level expenses including rent, utilities and depreciation related to corporate fixed assets, a $0.5 million increase in professional services costs and a $0.6 million increase in recruiting costs.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(844)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109</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  $</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(1,457)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266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2015 and 2014</w:t>
      </w:r>
    </w:p>
    <w:p>
      <w:pPr>
        <w:spacing w:after="0" w:line="17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Other expense, net, for the three months ended September 30, 2015 decreased by $0.1 million, as compared to the same period in 2014. The decrease was primarily attributable to a $0.2 million decrease in interest expense, as our term loans were repaid in full in December 2014. This decrease was offset by a $0.1 million increase in losses from unfavorable foreign currency exchange movements associated with transactions denominated in foreign currencies.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2015 and 2014</w:t>
      </w:r>
    </w:p>
    <w:p>
      <w:pPr>
        <w:spacing w:after="0" w:line="171"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color w:val="auto"/>
        </w:rPr>
        <w:t>Other expense, net, for the nine months ended September 30, 2015 decreased by $0.3 million, as compared to the same period in 2014. The decrease was attributable to a $1.0 million decrease in interest expense, as our term loans were repaid in full in December 2014. This decrease was offset by a $0.7 million increase in losses from unfavorable foreign currency exchange movements associated with transactions denominated in foreign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As of September 30, 2015, we had $22.5 million in cash and cash equivalents and working capital of $62.5 million. Cash and cash equivalents held in the United States were $17.9 million and consisted primarily of non-interest bearing checking deposits, with the remainder held in various foreign subsidiaries. In addition, we have a $50.0 million revolving credit facility (the “Revolver”) with Wells Fargo Bank, N.A. (“Wells Fargo”) that was entered into in November 2012 and subsequently amended in February 2014 to extend the maturity date to November 7, 2016. The amount of credit available under the Revolver is subject to a borrowing base calculation that limits availability to a percentage of eligible domestic accounts receivable plus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percentage of the value of eligible domestic inventory, less certain reserves. Amounts advanced under the Revolver bear interest at an annual rate equal to, at our option, either LIBOR or a “base rate” that is comprised of, among other things, the prime rate, plus a margin that is between 1.5% and 4.25% depending on the currency borrowed and the specific term of repayment. Advances under the Revolver may be drawn, repaid and redrawn until November 7, 2016, at which time all amounts borrowed must be repaid. The Revolver contains customary affirmative and negative covenants and events of default, and requires us to maintain at least $15.0 million of liquidity, consisting of cash, cash equivalents, and availability on the Revolver. Of this $15.0 million liquidity requirement, at least $5.0 million must be undrawn availability. We were in compliance with all financial covenants of the Revolver as of September 30, 2015.</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2015, our net availability under the Revolver, reflecting outstanding borrowings of $17.0 million, was $22.0 million.</w:t>
      </w:r>
    </w:p>
    <w:p>
      <w:pPr>
        <w:spacing w:after="0" w:line="11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believe our current cash and cash equivalents of $22.5 million as of September 30, 2015, together with borrowings expected to be available under our Revolver with Wells Fargo, will be sufficient to satisfy our working capital needs, capital asset purchases, outstanding commitments and obligations and fund our operations for at least the next 12 months.</w:t>
      </w:r>
    </w:p>
    <w:p>
      <w:pPr>
        <w:spacing w:after="0" w:line="73"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(9,682)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19,866</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1,111</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For the nine months ended September 30, 2015, net cash used in operating activities of $29.3 million was primarily attributable to a net loss of $6.3 million and net cash outflow from changes in our operating assets and liabilities of $39.6 million, which was partially offset by non-cash charges of $16.6 million primarily consisting of stock-based compensation and depreciation and amortization. Cash used for operating assets and liabilities included a $30.5 million increase in accounts receivable as a result of a larger percentage of our third quarter sales occurring in the last month of the quarter, as compared to a more linear sales pattern in the fourth quarter of 2014. Cash flows from operations could be impacted by the timing and nature of pricing actions, the timing of product cost reductions, our ability to adjust operating expenses to more closely align with the growth of our business, as well as fluctuations in working capital. Other changes in operating assets and liabilities that used cash included a $15.1 million increase in inventory, a $5.0 million increase in other assets and a $1.1 million decrease in warranty obligations. The increase in other assets included a $2.5 million increase in customer financing receivables and the corresponding deferred costs. Cash provided by changes in operating assets and liabilities included a $5.0 million increase in accounts payable, accrued and other liabilities and a $7.2 million increase in deferred revenue. The increase in accounts payable, accrued and other liabilities was due to timing of vendor payments as well as increased inventory purchases. The increase in deferred revenue included revenue related to our Enlighten service as well as deferred product revenue corresponding with the increase in customer financing receivables.</w:t>
      </w:r>
    </w:p>
    <w:p>
      <w:pPr>
        <w:spacing w:after="0" w:line="11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For the nine months ended September 30, 2014, net cash provided by operating activities was $15.3 million, primarily resulting from $8.5 million of net loss adjusted by non-cash charges of $14.3 million and a net cash inflow from changes in operating assets and liabilities of $9.5 million. Non-cash charges primarily consisted of stock-based compensation of $7.0 million, depreciation and amortization of $6.0 million and a provision for doubtful accounts of $0.7 million. Changes in operating assets and liabilities was positively impacted by a $22.6 million increase in accounts payable, accrued and other liabilities,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$3.7 million increase in deferred revenue related to sales of our Enlighten web-based monitoring service, a $1.9 million increase in warranty obligations and a $1.1 million decrease in inventory. Uses of cash include increases in operating assets consisting of a $17.9 million increase in accounts receivable and a $1.9 million increase to prepaid expenses and other assets. The increase in accounts payable was the result of higher business volume and the timing of vendor payments. The increase in accrued and other liabilities was attributable to increases in accruals for customer rebate programs as well as employee incentive compensation. The increase in accounts receivable was reflective of the overall growth in revenues. The increase in other assets includes replacement units on-hand for use in servicing our warranty obligations.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the nine months ended September 30, 2015, net cash used in investing activities was $9.7 million, primarily as a result of purchases of test and assembly equipment and internally developed software additions.</w:t>
      </w:r>
    </w:p>
    <w:p>
      <w:pPr>
        <w:spacing w:after="0" w:line="1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the nine months ended September 30, 2014, net cash used in investing activities was $9.8 million, primarily as a result of purchases of test and assembly equipment and internally developed software additions.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720" w:firstLine="432"/>
        <w:spacing w:after="0" w:line="308" w:lineRule="auto"/>
        <w:rPr>
          <w:sz w:val="20"/>
          <w:szCs w:val="20"/>
          <w:color w:val="auto"/>
        </w:rPr>
      </w:pPr>
      <w:r>
        <w:rPr>
          <w:rFonts w:ascii="Arial" w:cs="Arial" w:eastAsia="Arial" w:hAnsi="Arial"/>
          <w:sz w:val="17"/>
          <w:szCs w:val="17"/>
          <w:color w:val="auto"/>
        </w:rPr>
        <w:t>For the nine months ended September 30, 2015, net cash provided by financing activities was $19.9 million, consisting of $17.0 million in net borrowings under the Revolver and $2.9 million in proceeds from the issuance of common stock under employee stock plans.</w:t>
      </w:r>
    </w:p>
    <w:p>
      <w:pPr>
        <w:spacing w:after="0" w:line="9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For the nine months ended September 30, 2014, net cash provided by financing activities of $1.1 million and consisted of $4.0 million in cash received from the exercise of stock options and the issuance of common stock under our employee stock purchase plan. These inflows of cash were offset by principal repayments of term loans of $2.9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There were no material changes during the nine months ended September 30, 2015 to our contractual commitments as presented in “Management’s Discussion and Analysis of Financial Condition and Results of Operations” of our 2014 Form 10-K that were outside the ordinary course of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2015, we did not have any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2"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2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There have been no significant changes during the nine months ended September 30, 2015 to the items that we disclosed as our critical accounting policies and estimates in Management’s Discussion and Analysis of Financial Condition and Results of Operations in our Annual Report on Form 10-K for the year ended December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Effective</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date was recently deferred for one year to the interim and annual periods beginning on or after December 15, 2017. Early adoption is permitted for interim and annual periods beginning on or after December 15, 2016. The guidance permits the use of either a retrospective or cumulative effect transition method. We have not yet selected a transition method and are currently evaluating the effect that the updated standard will have on our consolidated financial statements and related disclosures.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2014. Our exposures to market risk have not changed materially since December 31, 2014.</w:t>
      </w:r>
    </w:p>
    <w:p>
      <w:pPr>
        <w:spacing w:after="0" w:line="22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2015.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2015, our chief executive officer and chief financial officer concluded that, as of such date, our disclosure controls and procedures were effective at the reasonable assurance level.</w:t>
      </w:r>
    </w:p>
    <w:p>
      <w:pPr>
        <w:spacing w:after="0" w:line="124"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right="80"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8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incurred significant net losses since we began doing business, including a net loss of $6.3 million during the nine months ended September 30,</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2015. As of September 30, 2015, we had an accumulated deficit of $167.3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relatively short operating history in a rapidly changing industry makes it difficult to evaluate our current business and future prospects.</w:t>
      </w:r>
    </w:p>
    <w:p>
      <w:pPr>
        <w:spacing w:after="0" w:line="18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While we have been in existence since 2006 and began shipping our products in commercial quantities until mid-2008, much of our growth has occurred in recent periods. Our relatively short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0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70" w:lineRule="exact"/>
        <w:rPr>
          <w:sz w:val="20"/>
          <w:szCs w:val="20"/>
          <w:color w:val="auto"/>
        </w:rPr>
      </w:pPr>
    </w:p>
    <w:p>
      <w:pPr>
        <w:ind w:left="5620" w:right="5340" w:hanging="5126"/>
        <w:spacing w:after="0" w:line="659" w:lineRule="auto"/>
        <w:tabs>
          <w:tab w:leader="none" w:pos="977"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acceptance of solar PV systems based on our product platform; 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24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28" w:lineRule="exact"/>
        <w:rPr>
          <w:rFonts w:ascii="Arial" w:cs="Arial" w:eastAsia="Arial" w:hAnsi="Arial"/>
          <w:sz w:val="17"/>
          <w:szCs w:val="17"/>
          <w:color w:val="auto"/>
        </w:rPr>
      </w:pPr>
    </w:p>
    <w:p>
      <w:pPr>
        <w:ind w:left="980" w:right="42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For the nine months ended September 30, 2015, CED Greentech and Vivint Solar, Inc. accounted for 17% and 13% of total net revenues, respectively. In 2014, Vivint Solar, Inc. and CED Greentech accounted for 24% and 16% of total net revenues, respectively. In 2013, Vivint Solar, Inc., CED Greentech and Focused Energy, Inc. accounted for 15%, 14% and 11%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which may be out of our control. For example, Vivint Solar, Inc. is pursuing a multi-sourcing strategy, and therefore, is not sole-sourcing our microinverters, which has resulted and may continue to result in a reduction in our revenue generated from sales to Vivint. The loss of, or events affecting, Vivint or one or more of our other large customers have had, could have and could continue to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62"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our products over time;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The market for solar PV solutions is highly competitive. To date, we have competed primarily against central or string inverter manufacturers. Marketing and selling our microinverter systems against traditional inverter solutions is highly competitive. Currently, competitors in the inverter market range from large companies such as SMA Solar Technology AG, Fronius International GmbH and ABB Ltd. to SolarEdge Technologies, offering DC optimized inverter systems, and other emerging companies offering alternative microinverter, DC to DC optimizer and other power electronic solutions.</w:t>
      </w:r>
    </w:p>
    <w:p>
      <w:pPr>
        <w:spacing w:after="0" w:line="10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Competition has intensified and we expect it to continue to intensify as new and existing competitors enter the microinverter market and additional add-on components like DC to DC optimizers that can be used with central or string inverters continue to gain more traction.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Asian manufacturers. We expect competition to intensify as new and existing competitors enter the PV solutions market. In addition, central and string inverter manufacturers continue to drive down their prices putting additional pressure on us and other alternative technologies.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Several of our existing and potential competitors are significantly larger, have greater financial, marketing, distribution, customer support and other resources, are more established than we are, and have significantly better brand recognition, especially in certain markets.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2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recently acquired SolarBridge Technologies, Inc., a microinverter manufacturer selling in small volumes.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4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73" w:lineRule="exact"/>
        <w:rPr>
          <w:sz w:val="20"/>
          <w:szCs w:val="20"/>
          <w:color w:val="auto"/>
        </w:rPr>
      </w:pPr>
    </w:p>
    <w:p>
      <w:pPr>
        <w:ind w:left="980" w:right="6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62"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62"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62"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71" w:lineRule="exact"/>
        <w:rPr>
          <w:sz w:val="20"/>
          <w:szCs w:val="20"/>
          <w:color w:val="auto"/>
        </w:rPr>
      </w:pPr>
    </w:p>
    <w:p>
      <w:pPr>
        <w:ind w:right="720" w:firstLine="432"/>
        <w:spacing w:after="0" w:line="312" w:lineRule="auto"/>
        <w:rPr>
          <w:sz w:val="20"/>
          <w:szCs w:val="20"/>
          <w:color w:val="auto"/>
        </w:rPr>
      </w:pPr>
      <w:r>
        <w:rPr>
          <w:rFonts w:ascii="Arial" w:cs="Arial" w:eastAsia="Arial" w:hAnsi="Arial"/>
          <w:sz w:val="16"/>
          <w:szCs w:val="16"/>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elimination or expiration of governmental subsidies and economic incentives for on-grid solar electricity applications.</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provides a 30% federal tax credit for residential and commercial solar installations, which expires on December 31, 2016.</w:t>
      </w:r>
    </w:p>
    <w:p>
      <w:pPr>
        <w:spacing w:after="0" w:line="134"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derive a significant portion of our revenues from California, which is the largest single solar market in the United States.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12"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We also sell our products in Europe. A number of European countries, including Germany and Belgium and the United Kingdom, have adopted reductions to their FiTs, and the United Kingdom’s FiT program is scheduled to terminate at the end of 2015. Other countries such as Spain and Italy have also suspended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also sell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In 2013, Australia elected a new national government. The new leadership pledged to revise national energy policy, including potentially reducing Australia’s renewable energy target and revising certain renewable energy financing mechanisms. In July 2014, the new leadership successfully repealed the tax on carbon emissions.</w:t>
      </w:r>
    </w:p>
    <w:p>
      <w:pPr>
        <w:spacing w:after="0" w:line="13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temporarily suspended for further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We believe the tax credit, grant, tariff and other incentive programs have had a positive effect on our sales since inception. However, unless these programs are further extended,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Changes in current laws or regulations applicable to us or the imposition of new laws and regulations in the United States or other jurisdictions in which we do business, such as Mexico and other Latin America countries, Australia, New Zealand,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0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1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35"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17" w:lineRule="exact"/>
        <w:rPr>
          <w:sz w:val="20"/>
          <w:szCs w:val="20"/>
          <w:color w:val="auto"/>
        </w:rPr>
      </w:pPr>
    </w:p>
    <w:p>
      <w:pPr>
        <w:jc w:val="both"/>
        <w:ind w:right="220" w:firstLine="432"/>
        <w:spacing w:after="0" w:line="34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6"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1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Mexico and other Latin America countries, the United Kingdom, France, the Benelux region, certain other European markets, Australia and New Zealand.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1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6" w:lineRule="exact"/>
        <w:rPr>
          <w:sz w:val="20"/>
          <w:szCs w:val="20"/>
          <w:color w:val="auto"/>
        </w:rPr>
      </w:pPr>
    </w:p>
    <w:p>
      <w:pPr>
        <w:ind w:left="980" w:right="32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35"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3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Similarly, the battery cells for our AC Battery product will also initially be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1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1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 For example, SunEdison, one of our customers, has announced an agreement to acquire Vivint Solar, Inc., historically our largest customer.</w:t>
      </w:r>
    </w:p>
    <w:p>
      <w:pPr>
        <w:spacing w:after="0" w:line="13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7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 our ability to form effective partnerships with solar module manufacturers may be adversely affected by the substantial changes faced by many of these manufacturers due to declining prices and revenues from sales of solar modules.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62" w:lineRule="exact"/>
        <w:rPr>
          <w:sz w:val="20"/>
          <w:szCs w:val="20"/>
          <w:color w:val="auto"/>
        </w:rPr>
      </w:pPr>
    </w:p>
    <w:p>
      <w:pPr>
        <w:ind w:left="980" w:right="6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expend significant resources to redesign the products that use the infringing technology and to develop or acquire non-infringing technology.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Covenants in our credit facility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a party to a loan and security agreements with Wells Fargo Bank, National Association (“Wells Fargo”). The loan and security agreement with Wells Fargo restricts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 with Wells Fargo is secured by substantially all of our assets (excluding intellectual property), which limits our ability to provide collateral for additional financing. A breach of any of these covenants, or a failure to pay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2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73"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7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5" w:lineRule="exact"/>
        <w:rPr>
          <w:sz w:val="20"/>
          <w:szCs w:val="20"/>
          <w:color w:val="auto"/>
        </w:rPr>
      </w:pPr>
    </w:p>
    <w:p>
      <w:pPr>
        <w:ind w:firstLine="8"/>
        <w:spacing w:after="0" w:line="277" w:lineRule="auto"/>
        <w:tabs>
          <w:tab w:leader="none" w:pos="13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1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1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may also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rely on commercial ocean transportation for the delivery of a large percentage of our products to our customers in North America.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Recently, contentious negotiations between the Pacific Maritime Association and the International Longshore &amp; Warehouse Union have resulted in port slowdowns which have caused port congestion and major delays in the transfer of cargo in the United States West Coast. Accordingly, we have had to ship a higher percentage of our products to our customers in North America via air transportation. Material interruptions in service or stoppages in transportation, such as the aforementioned dispute, whether caused by strike, work stoppage, lock-out, slowdown or otherwise, could materially and adversely impact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“Part II. Item 1A. Risk Factors”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73"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7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stockholders may not view as beneficial.</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73" w:lineRule="exact"/>
        <w:rPr>
          <w:sz w:val="20"/>
          <w:szCs w:val="20"/>
          <w:color w:val="auto"/>
        </w:rPr>
      </w:pPr>
    </w:p>
    <w:p>
      <w:pPr>
        <w:ind w:left="980" w:right="6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62"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80"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the Exhibit Index which follows the signature page of this Quarterly Report on Form 10-Q, which is incorporated herein by reference.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00"/>
          </w:cols>
          <w:pgMar w:left="240" w:top="125" w:right="1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November 4, 2015</w:t>
      </w: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thereto, dated March 15, 2010, as amended.</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3"/>
              </w:rPr>
              <w:t>Form of June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89"/>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93"/>
        </w:trPr>
        <w:tc>
          <w:tcPr>
            <w:tcW w:w="880" w:type="dxa"/>
            <w:vAlign w:val="bottom"/>
            <w:gridSpan w:val="2"/>
          </w:tcPr>
          <w:p>
            <w:pPr>
              <w:spacing w:after="0"/>
              <w:rPr>
                <w:sz w:val="20"/>
                <w:szCs w:val="20"/>
                <w:color w:val="auto"/>
              </w:rPr>
            </w:pPr>
            <w:r>
              <w:rPr>
                <w:rFonts w:ascii="Arial" w:cs="Arial" w:eastAsia="Arial" w:hAnsi="Arial"/>
                <w:sz w:val="18"/>
                <w:szCs w:val="18"/>
                <w:color w:val="auto"/>
              </w:rPr>
              <w:t>10.1***</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Development and Supply Agreement by and between the Company and Eliiy Power Co., Ltd. dated September 29, 2015.</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spacing w:after="0" w:line="35" w:lineRule="exact"/>
        <w:rPr>
          <w:sz w:val="20"/>
          <w:szCs w:val="20"/>
          <w:color w:val="auto"/>
        </w:rPr>
      </w:pPr>
    </w:p>
    <w:p>
      <w:pPr>
        <w:jc w:val="both"/>
        <w:ind w:left="1300" w:hanging="48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46" w:lineRule="exact"/>
        <w:rPr>
          <w:sz w:val="20"/>
          <w:szCs w:val="20"/>
          <w:color w:val="auto"/>
        </w:rPr>
      </w:pPr>
    </w:p>
    <w:p>
      <w:pPr>
        <w:ind w:left="1300" w:right="20" w:hanging="482"/>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Material in the exhibit marked with three asterisks [***] has been omitted pursuant to a request for confidential treatment filed with the Securities and Exchange Commission. Omitted portions have been filed separately with the Securities and Exchange Commission.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8"/>
        <w:spacing w:after="0" w:line="282" w:lineRule="auto"/>
        <w:tabs>
          <w:tab w:leader="none" w:pos="2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and Supply Agreement</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This Development and Supply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September 29, 2015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Eliiy Power Co., Ltd., a Japanese corporation (“</w:t>
      </w:r>
      <w:r>
        <w:rPr>
          <w:rFonts w:ascii="Arial" w:cs="Arial" w:eastAsia="Arial" w:hAnsi="Arial"/>
          <w:sz w:val="19"/>
          <w:szCs w:val="19"/>
          <w:b w:val="1"/>
          <w:bCs w:val="1"/>
          <w:color w:val="auto"/>
        </w:rPr>
        <w:t>Eliiy</w:t>
      </w:r>
      <w:r>
        <w:rPr>
          <w:rFonts w:ascii="Arial" w:cs="Arial" w:eastAsia="Arial" w:hAnsi="Arial"/>
          <w:sz w:val="19"/>
          <w:szCs w:val="19"/>
          <w:color w:val="auto"/>
        </w:rPr>
        <w:t>”), and Enphase Energy, Inc., a Delaware corporation (“</w:t>
      </w:r>
      <w:r>
        <w:rPr>
          <w:rFonts w:ascii="Arial" w:cs="Arial" w:eastAsia="Arial" w:hAnsi="Arial"/>
          <w:sz w:val="19"/>
          <w:szCs w:val="19"/>
          <w:b w:val="1"/>
          <w:bCs w:val="1"/>
          <w:color w:val="auto"/>
        </w:rPr>
        <w:t>Enphase</w:t>
      </w:r>
      <w:r>
        <w:rPr>
          <w:rFonts w:ascii="Arial" w:cs="Arial" w:eastAsia="Arial" w:hAnsi="Arial"/>
          <w:sz w:val="19"/>
          <w:szCs w:val="19"/>
          <w:color w:val="auto"/>
        </w:rPr>
        <w:t>”).</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Enphase has been and is engaged in the business of manufacturing, supplying and selling solar microinverters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components for solar energy systems;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Eliiy has been and is engaged in the business of developing, manufacturing and supplying battery modules;</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Enphase is developing an “</w:t>
      </w:r>
      <w:r>
        <w:rPr>
          <w:rFonts w:ascii="Arial" w:cs="Arial" w:eastAsia="Arial" w:hAnsi="Arial"/>
          <w:sz w:val="20"/>
          <w:szCs w:val="20"/>
          <w:b w:val="1"/>
          <w:bCs w:val="1"/>
          <w:color w:val="auto"/>
        </w:rPr>
        <w:t>AC Battery</w:t>
      </w:r>
      <w:r>
        <w:rPr>
          <w:rFonts w:ascii="Arial" w:cs="Arial" w:eastAsia="Arial" w:hAnsi="Arial"/>
          <w:sz w:val="20"/>
          <w:szCs w:val="20"/>
          <w:color w:val="auto"/>
        </w:rPr>
        <w:t>” for residential and commercial use that will allow an end user of solar energy systems to</w:t>
      </w:r>
      <w:r>
        <w:rPr>
          <w:rFonts w:ascii="Arial" w:cs="Arial" w:eastAsia="Arial" w:hAnsi="Arial"/>
          <w:sz w:val="20"/>
          <w:szCs w:val="20"/>
          <w:b w:val="1"/>
          <w:bCs w:val="1"/>
          <w:color w:val="auto"/>
        </w:rPr>
        <w:t xml:space="preserve"> </w:t>
      </w:r>
      <w:r>
        <w:rPr>
          <w:rFonts w:ascii="Arial" w:cs="Arial" w:eastAsia="Arial" w:hAnsi="Arial"/>
          <w:sz w:val="20"/>
          <w:szCs w:val="20"/>
          <w:color w:val="auto"/>
        </w:rPr>
        <w:t>store energy generated by the solar energy system; and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Eliiy has agreed to develop, manufacture and supply to Enphase a battery module component for the AC Battery.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promises and undertakings set forth herein, the parties agree as follows:</w:t>
      </w:r>
    </w:p>
    <w:p>
      <w:pPr>
        <w:spacing w:after="0" w:line="216" w:lineRule="exact"/>
        <w:rPr>
          <w:sz w:val="20"/>
          <w:szCs w:val="20"/>
          <w:color w:val="auto"/>
        </w:rPr>
      </w:pPr>
    </w:p>
    <w:p>
      <w:pPr>
        <w:ind w:left="660" w:hanging="328"/>
        <w:spacing w:after="0"/>
        <w:tabs>
          <w:tab w:leader="none" w:pos="660" w:val="left"/>
        </w:tabs>
        <w:numPr>
          <w:ilvl w:val="1"/>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15" w:lineRule="exact"/>
        <w:rPr>
          <w:rFonts w:ascii="Arial" w:cs="Arial" w:eastAsia="Arial" w:hAnsi="Arial"/>
          <w:sz w:val="20"/>
          <w:szCs w:val="20"/>
          <w:b w:val="1"/>
          <w:bCs w:val="1"/>
          <w:color w:val="auto"/>
        </w:rPr>
      </w:pPr>
    </w:p>
    <w:p>
      <w:pPr>
        <w:jc w:val="both"/>
        <w:ind w:left="1300" w:hanging="644"/>
        <w:spacing w:after="0" w:line="273" w:lineRule="auto"/>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mean non-public information that is proprietary or confidential to the party disclosing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including without limitation, information, materials, designs, products, reports, or samples relating to the disclosing party’s employees, contractors, trade secrets, technology, techniques, customers, vendors, finances, products, or applications. Confidential Information does not include information to the extent it: (i) is or becomes publicly available without any action or failure to act by either party in breach of this Agreement, (ii) is or was received lawfully by the party receiving the information without an obligation of confidentiality; (iii) is or was independently developed by the receiving party without reference to the Confidential Information; or (iv) is subject to disclosure as required by a court or governmental agency, provided that reasonable notice has been provided to the disclosing party so as to allow the disclosing party an opportunity to determine whether disclosure is appropriate, seek a protective order, or pursue other appropriate process to curtail disclosure.</w:t>
      </w:r>
    </w:p>
    <w:p>
      <w:pPr>
        <w:spacing w:after="0" w:line="163"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2"/>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“Dangerous Goods” </w:t>
      </w:r>
      <w:r>
        <w:rPr>
          <w:rFonts w:ascii="Arial" w:cs="Arial" w:eastAsia="Arial" w:hAnsi="Arial"/>
          <w:sz w:val="20"/>
          <w:szCs w:val="20"/>
          <w:color w:val="auto"/>
        </w:rPr>
        <w:t>shall mean solids, liquids or gases that can harm people, or other living organisms, property or the</w:t>
      </w:r>
      <w:r>
        <w:rPr>
          <w:rFonts w:ascii="Arial" w:cs="Arial" w:eastAsia="Arial" w:hAnsi="Arial"/>
          <w:sz w:val="20"/>
          <w:szCs w:val="20"/>
          <w:b w:val="1"/>
          <w:bCs w:val="1"/>
          <w:color w:val="auto"/>
        </w:rPr>
        <w:t xml:space="preserve"> </w:t>
      </w:r>
      <w:r>
        <w:rPr>
          <w:rFonts w:ascii="Arial" w:cs="Arial" w:eastAsia="Arial" w:hAnsi="Arial"/>
          <w:sz w:val="20"/>
          <w:szCs w:val="20"/>
          <w:color w:val="auto"/>
        </w:rPr>
        <w:t>environment and that are the subject of regulations in the respective jurisdictions as to the handling, packaging, storage, shipping and usage.</w:t>
      </w:r>
    </w:p>
    <w:p>
      <w:pPr>
        <w:spacing w:after="0" w:line="177" w:lineRule="exact"/>
        <w:rPr>
          <w:rFonts w:ascii="Arial" w:cs="Arial" w:eastAsia="Arial" w:hAnsi="Arial"/>
          <w:sz w:val="20"/>
          <w:szCs w:val="20"/>
          <w:color w:val="auto"/>
        </w:rPr>
      </w:pPr>
    </w:p>
    <w:p>
      <w:pPr>
        <w:ind w:left="1300" w:hanging="644"/>
        <w:spacing w:after="0"/>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shall mean the date when Product is delivered to Enphase at Eliiy factory location as described in Section 3.g.</w:t>
      </w:r>
    </w:p>
    <w:p>
      <w:pPr>
        <w:spacing w:after="0" w:line="4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(i).</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right="74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right="20" w:hanging="644"/>
        <w:spacing w:after="0" w:line="323" w:lineRule="auto"/>
        <w:tabs>
          <w:tab w:leader="none" w:pos="13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Eliiy IP</w:t>
      </w:r>
      <w:r>
        <w:rPr>
          <w:rFonts w:ascii="Arial" w:cs="Arial" w:eastAsia="Arial" w:hAnsi="Arial"/>
          <w:sz w:val="18"/>
          <w:szCs w:val="18"/>
          <w:color w:val="auto"/>
        </w:rPr>
        <w:t>” shall mean Intellectual Property Right which is: (i) owned by Eliiy; (ii) developed by Eliiy for purposes of fulfilling its obligations under this Agreement; or (iii) provided by Eliiy through license from other licensor(s) as applicable.</w:t>
      </w:r>
    </w:p>
    <w:p>
      <w:pPr>
        <w:spacing w:after="0" w:line="118"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2"/>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Enphase IP</w:t>
      </w:r>
      <w:r>
        <w:rPr>
          <w:rFonts w:ascii="Arial" w:cs="Arial" w:eastAsia="Arial" w:hAnsi="Arial"/>
          <w:sz w:val="20"/>
          <w:szCs w:val="20"/>
          <w:color w:val="auto"/>
        </w:rPr>
        <w:t>” shall mean Intellectual Property Right which is: (i) owned by Enphase; (ii) developed by Enphase for purposes of fulfilling its obligations under this Agreement; or (iii) provided by Enphase through license from other licensor(s) as applicable.</w:t>
      </w:r>
    </w:p>
    <w:p>
      <w:pPr>
        <w:spacing w:after="0" w:line="177" w:lineRule="exact"/>
        <w:rPr>
          <w:rFonts w:ascii="Arial" w:cs="Arial" w:eastAsia="Arial" w:hAnsi="Arial"/>
          <w:sz w:val="20"/>
          <w:szCs w:val="20"/>
          <w:color w:val="auto"/>
        </w:rPr>
      </w:pPr>
    </w:p>
    <w:p>
      <w:pPr>
        <w:ind w:left="1300" w:hanging="644"/>
        <w:spacing w:after="0" w:line="293" w:lineRule="auto"/>
        <w:tabs>
          <w:tab w:leader="none" w:pos="1300" w:val="left"/>
        </w:tabs>
        <w:numPr>
          <w:ilvl w:val="2"/>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national, autonomic, regional, province, town, city, tribal, or municipal government, whether domestic or foreign, or other administrative, regulatory or judicial body of any of the foregoing.</w:t>
      </w:r>
    </w:p>
    <w:p>
      <w:pPr>
        <w:spacing w:after="0" w:line="141" w:lineRule="exact"/>
        <w:rPr>
          <w:rFonts w:ascii="Arial" w:cs="Arial" w:eastAsia="Arial" w:hAnsi="Arial"/>
          <w:sz w:val="19"/>
          <w:szCs w:val="19"/>
          <w:color w:val="auto"/>
        </w:rPr>
      </w:pPr>
    </w:p>
    <w:p>
      <w:pPr>
        <w:ind w:left="1300" w:right="20" w:hanging="644"/>
        <w:spacing w:after="0" w:line="267" w:lineRule="auto"/>
        <w:tabs>
          <w:tab w:leader="none" w:pos="1300" w:val="left"/>
        </w:tabs>
        <w:numPr>
          <w:ilvl w:val="2"/>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w:t>
      </w:r>
      <w:r>
        <w:rPr>
          <w:rFonts w:ascii="Arial" w:cs="Arial" w:eastAsia="Arial" w:hAnsi="Arial"/>
          <w:sz w:val="20"/>
          <w:szCs w:val="20"/>
          <w:color w:val="auto"/>
        </w:rPr>
        <w:t>” shall mean hazardous or toxic substance, waste or material, or any other substance, pollutant or condition that is commonly understood to pose a severe risk to human health or the environment.</w:t>
      </w:r>
    </w:p>
    <w:p>
      <w:pPr>
        <w:spacing w:after="0" w:line="163" w:lineRule="exact"/>
        <w:rPr>
          <w:rFonts w:ascii="Arial" w:cs="Arial" w:eastAsia="Arial" w:hAnsi="Arial"/>
          <w:sz w:val="20"/>
          <w:szCs w:val="20"/>
          <w:color w:val="auto"/>
        </w:rPr>
      </w:pPr>
    </w:p>
    <w:p>
      <w:pPr>
        <w:jc w:val="both"/>
        <w:ind w:left="1300" w:hanging="644"/>
        <w:spacing w:after="0" w:line="277" w:lineRule="auto"/>
        <w:tabs>
          <w:tab w:leader="none" w:pos="13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w:t>
      </w:r>
      <w:r>
        <w:rPr>
          <w:rFonts w:ascii="Arial" w:cs="Arial" w:eastAsia="Arial" w:hAnsi="Arial"/>
          <w:sz w:val="18"/>
          <w:szCs w:val="18"/>
          <w:color w:val="auto"/>
        </w:rPr>
        <w:t>” or “</w:t>
      </w:r>
      <w:r>
        <w:rPr>
          <w:rFonts w:ascii="Arial" w:cs="Arial" w:eastAsia="Arial" w:hAnsi="Arial"/>
          <w:sz w:val="18"/>
          <w:szCs w:val="18"/>
          <w:b w:val="1"/>
          <w:bCs w:val="1"/>
          <w:color w:val="auto"/>
        </w:rPr>
        <w:t>IP Right</w:t>
      </w:r>
      <w:r>
        <w:rPr>
          <w:rFonts w:ascii="Arial" w:cs="Arial" w:eastAsia="Arial" w:hAnsi="Arial"/>
          <w:sz w:val="18"/>
          <w:szCs w:val="18"/>
          <w:color w:val="auto"/>
        </w:rPr>
        <w:t>” shall mean all intangible legal rights, titles and interests evidenced by or embodied in or connected or related to all inventions and all improvements thereto, and all patents, and patent applications trademarks, service marks, trade names, copyrights, rights in trade secrets, design rights, layout rights, mask work rights in mask works, designs and layouts, and all applications, registrations, and renewals in connection therewith and any other intellectual property rights, industrial rights and any other similar rights, existing now or in the future anywhere in the world, whether registered or unregistered and all copies and tangible embodiments thereof in whatever form or medium.</w:t>
      </w:r>
    </w:p>
    <w:p>
      <w:pPr>
        <w:spacing w:after="0" w:line="160"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2"/>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Laws</w:t>
      </w:r>
      <w:r>
        <w:rPr>
          <w:rFonts w:ascii="Arial" w:cs="Arial" w:eastAsia="Arial" w:hAnsi="Arial"/>
          <w:sz w:val="19"/>
          <w:szCs w:val="19"/>
          <w:color w:val="auto"/>
        </w:rPr>
        <w:t>” shall mean all laws, statutes, treaties, ordinances, codes, judgments, decrees, directives, guidelines, policies, injunctions, writs, orders, rules, regulations, including all applicable environmental regulations, interpretations, licenses, permits and other approvals with, from or of any governmental authority having jurisdiction in the Target Markets; provided, however, that laws of the other markets that are entered into by Enphase during the Term but after the Exclusivity Period and any country where the AC Battery will be manufactured or assembled by Enphase may be included in the scope of this definition by the consent of Eliiy upon examination of the laws within such jurisdiction, which such consent shall not be unreasonably withheld; provided however, that if Eliiy does not agree to enter a certain jurisdiction, then the parties shall negotiate in good faith a change to the volume requirements set forth in Section 3.e.</w:t>
      </w:r>
    </w:p>
    <w:p>
      <w:pPr>
        <w:spacing w:after="0" w:line="173" w:lineRule="exact"/>
        <w:rPr>
          <w:rFonts w:ascii="Arial" w:cs="Arial" w:eastAsia="Arial" w:hAnsi="Arial"/>
          <w:sz w:val="19"/>
          <w:szCs w:val="19"/>
          <w:color w:val="auto"/>
        </w:rPr>
      </w:pPr>
    </w:p>
    <w:p>
      <w:pPr>
        <w:ind w:left="1300" w:hanging="644"/>
        <w:spacing w:after="0" w:line="267" w:lineRule="auto"/>
        <w:tabs>
          <w:tab w:leader="none" w:pos="1300" w:val="left"/>
        </w:tabs>
        <w:numPr>
          <w:ilvl w:val="2"/>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w:t>
      </w:r>
      <w:r>
        <w:rPr>
          <w:rFonts w:ascii="Arial" w:cs="Arial" w:eastAsia="Arial" w:hAnsi="Arial"/>
          <w:sz w:val="20"/>
          <w:szCs w:val="20"/>
          <w:color w:val="auto"/>
        </w:rPr>
        <w:t>” shall mean the final, fully assembled and line-tested components (LIB, BMU and cables) produced by Eliiy pursuant to the Specifications.</w:t>
      </w:r>
    </w:p>
    <w:p>
      <w:pPr>
        <w:spacing w:after="0" w:line="163" w:lineRule="exact"/>
        <w:rPr>
          <w:rFonts w:ascii="Arial" w:cs="Arial" w:eastAsia="Arial" w:hAnsi="Arial"/>
          <w:sz w:val="20"/>
          <w:szCs w:val="20"/>
          <w:color w:val="auto"/>
        </w:rPr>
      </w:pPr>
    </w:p>
    <w:p>
      <w:pPr>
        <w:jc w:val="both"/>
        <w:ind w:left="1300" w:hanging="644"/>
        <w:spacing w:after="0" w:line="253" w:lineRule="auto"/>
        <w:tabs>
          <w:tab w:leader="none" w:pos="1300" w:val="left"/>
        </w:tabs>
        <w:numPr>
          <w:ilvl w:val="2"/>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Specifications</w:t>
      </w:r>
      <w:r>
        <w:rPr>
          <w:rFonts w:ascii="Arial" w:cs="Arial" w:eastAsia="Arial" w:hAnsi="Arial"/>
          <w:sz w:val="20"/>
          <w:szCs w:val="20"/>
          <w:color w:val="auto"/>
        </w:rPr>
        <w:t xml:space="preserve">” shall mean the specifications as agreed by Enphase and Eliiy in writing and made a part of this Agreement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such new specifications mutually agreed to by the parties and incorporated into this Agreement by the amendment of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ind w:left="660" w:hanging="328"/>
        <w:spacing w:after="0"/>
        <w:tabs>
          <w:tab w:leader="none" w:pos="660" w:val="left"/>
        </w:tabs>
        <w:numPr>
          <w:ilvl w:val="1"/>
          <w:numId w:val="25"/>
        </w:numPr>
        <w:rPr>
          <w:rFonts w:ascii="Arial" w:cs="Arial" w:eastAsia="Arial" w:hAnsi="Arial"/>
          <w:sz w:val="20"/>
          <w:szCs w:val="20"/>
          <w:color w:val="auto"/>
        </w:rPr>
      </w:pPr>
      <w:r>
        <w:rPr>
          <w:rFonts w:ascii="Arial" w:cs="Arial" w:eastAsia="Arial" w:hAnsi="Arial"/>
          <w:sz w:val="20"/>
          <w:szCs w:val="20"/>
          <w:b w:val="1"/>
          <w:bCs w:val="1"/>
          <w:color w:val="auto"/>
        </w:rPr>
        <w:t>Development of the Product.</w:t>
      </w:r>
    </w:p>
    <w:p>
      <w:pPr>
        <w:spacing w:after="0" w:line="235" w:lineRule="exact"/>
        <w:rPr>
          <w:rFonts w:ascii="Arial" w:cs="Arial" w:eastAsia="Arial" w:hAnsi="Arial"/>
          <w:sz w:val="20"/>
          <w:szCs w:val="20"/>
          <w:color w:val="auto"/>
        </w:rPr>
      </w:pPr>
    </w:p>
    <w:p>
      <w:pPr>
        <w:ind w:left="1300" w:hanging="644"/>
        <w:spacing w:after="0" w:line="265" w:lineRule="auto"/>
        <w:tabs>
          <w:tab w:leader="none" w:pos="1300" w:val="left"/>
        </w:tabs>
        <w:numPr>
          <w:ilvl w:val="2"/>
          <w:numId w:val="25"/>
        </w:numPr>
        <w:rPr>
          <w:rFonts w:ascii="Arial" w:cs="Arial" w:eastAsia="Arial" w:hAnsi="Arial"/>
          <w:sz w:val="22"/>
          <w:szCs w:val="22"/>
          <w:b w:val="1"/>
          <w:bCs w:val="1"/>
          <w:color w:val="auto"/>
        </w:rPr>
      </w:pPr>
      <w:r>
        <w:rPr>
          <w:rFonts w:ascii="Arial" w:cs="Arial" w:eastAsia="Arial" w:hAnsi="Arial"/>
          <w:sz w:val="20"/>
          <w:szCs w:val="20"/>
          <w:u w:val="single" w:color="auto"/>
          <w:color w:val="auto"/>
        </w:rPr>
        <w:t>Eliiy’s Obligations</w:t>
      </w:r>
      <w:r>
        <w:rPr>
          <w:rFonts w:ascii="Arial" w:cs="Arial" w:eastAsia="Arial" w:hAnsi="Arial"/>
          <w:sz w:val="20"/>
          <w:szCs w:val="20"/>
          <w:color w:val="auto"/>
        </w:rPr>
        <w:t>. Provided that Enphase provides all the necessary material, information and input as required, Eliiy agrees to undertake and complete development of the Product</w:t>
      </w:r>
    </w:p>
    <w:p>
      <w:pPr>
        <w:spacing w:after="0" w:line="200" w:lineRule="exact"/>
        <w:rPr>
          <w:rFonts w:ascii="Arial" w:cs="Arial" w:eastAsia="Arial" w:hAnsi="Arial"/>
          <w:sz w:val="22"/>
          <w:szCs w:val="22"/>
          <w:b w:val="1"/>
          <w:bCs w:val="1"/>
          <w:color w:val="auto"/>
        </w:rPr>
      </w:pPr>
    </w:p>
    <w:p>
      <w:pPr>
        <w:spacing w:after="0" w:line="228" w:lineRule="exact"/>
        <w:rPr>
          <w:rFonts w:ascii="Arial" w:cs="Arial" w:eastAsia="Arial" w:hAnsi="Arial"/>
          <w:sz w:val="22"/>
          <w:szCs w:val="22"/>
          <w:b w:val="1"/>
          <w:bCs w:val="1"/>
          <w:color w:val="auto"/>
        </w:rPr>
      </w:pPr>
    </w:p>
    <w:p>
      <w:pPr>
        <w:ind w:right="74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spacing w:after="0" w:line="326" w:lineRule="auto"/>
        <w:rPr>
          <w:sz w:val="20"/>
          <w:szCs w:val="20"/>
          <w:color w:val="auto"/>
        </w:rPr>
      </w:pPr>
      <w:r>
        <w:rPr>
          <w:rFonts w:ascii="Arial" w:cs="Arial" w:eastAsia="Arial" w:hAnsi="Arial"/>
          <w:sz w:val="18"/>
          <w:szCs w:val="18"/>
          <w:color w:val="auto"/>
        </w:rPr>
        <w:t>in accordance with the Specifications, milestones (each, a “</w:t>
      </w:r>
      <w:r>
        <w:rPr>
          <w:rFonts w:ascii="Arial" w:cs="Arial" w:eastAsia="Arial" w:hAnsi="Arial"/>
          <w:sz w:val="18"/>
          <w:szCs w:val="18"/>
          <w:b w:val="1"/>
          <w:bCs w:val="1"/>
          <w:color w:val="auto"/>
        </w:rPr>
        <w:t>Milestone</w:t>
      </w:r>
      <w:r>
        <w:rPr>
          <w:rFonts w:ascii="Arial" w:cs="Arial" w:eastAsia="Arial" w:hAnsi="Arial"/>
          <w:sz w:val="18"/>
          <w:szCs w:val="18"/>
          <w:color w:val="auto"/>
        </w:rPr>
        <w:t>”) and time frames set forth on the “</w:t>
      </w:r>
      <w:r>
        <w:rPr>
          <w:rFonts w:ascii="Arial" w:cs="Arial" w:eastAsia="Arial" w:hAnsi="Arial"/>
          <w:sz w:val="18"/>
          <w:szCs w:val="18"/>
          <w:b w:val="1"/>
          <w:bCs w:val="1"/>
          <w:color w:val="auto"/>
        </w:rPr>
        <w:t>Milestone Schedule</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Eliiy shall give Enphase at least [*] written notice if it is going to be unable to meet a deliverable date in the Milestone Schedule. Eliiy acknowledges that time is of the essence in the completion of its obligations hereunder.</w:t>
      </w:r>
    </w:p>
    <w:p>
      <w:pPr>
        <w:spacing w:after="0" w:line="142" w:lineRule="exact"/>
        <w:rPr>
          <w:sz w:val="20"/>
          <w:szCs w:val="20"/>
          <w:color w:val="auto"/>
        </w:rPr>
      </w:pPr>
    </w:p>
    <w:p>
      <w:pPr>
        <w:jc w:val="both"/>
        <w:ind w:left="1300" w:hanging="644"/>
        <w:spacing w:after="0" w:line="267" w:lineRule="auto"/>
        <w:tabs>
          <w:tab w:leader="none" w:pos="1300" w:val="left"/>
        </w:tabs>
        <w:numPr>
          <w:ilvl w:val="2"/>
          <w:numId w:val="26"/>
        </w:numPr>
        <w:rPr>
          <w:rFonts w:ascii="Arial" w:cs="Arial" w:eastAsia="Arial" w:hAnsi="Arial"/>
          <w:sz w:val="22"/>
          <w:szCs w:val="22"/>
          <w:i w:val="1"/>
          <w:iCs w:val="1"/>
          <w:color w:val="auto"/>
        </w:rPr>
      </w:pPr>
      <w:r>
        <w:rPr>
          <w:rFonts w:ascii="Arial" w:cs="Arial" w:eastAsia="Arial" w:hAnsi="Arial"/>
          <w:sz w:val="20"/>
          <w:szCs w:val="20"/>
          <w:u w:val="single" w:color="auto"/>
          <w:color w:val="auto"/>
        </w:rPr>
        <w:t>Project Coordinator</w:t>
      </w:r>
      <w:r>
        <w:rPr>
          <w:rFonts w:ascii="Arial" w:cs="Arial" w:eastAsia="Arial" w:hAnsi="Arial"/>
          <w:sz w:val="20"/>
          <w:szCs w:val="20"/>
          <w:color w:val="auto"/>
        </w:rPr>
        <w:t>. Each party shall designate one (1) initial “</w:t>
      </w:r>
      <w:r>
        <w:rPr>
          <w:rFonts w:ascii="Arial" w:cs="Arial" w:eastAsia="Arial" w:hAnsi="Arial"/>
          <w:sz w:val="20"/>
          <w:szCs w:val="20"/>
          <w:b w:val="1"/>
          <w:bCs w:val="1"/>
          <w:color w:val="auto"/>
        </w:rPr>
        <w:t>Project Coordinator</w:t>
      </w:r>
      <w:r>
        <w:rPr>
          <w:rFonts w:ascii="Arial" w:cs="Arial" w:eastAsia="Arial" w:hAnsi="Arial"/>
          <w:sz w:val="20"/>
          <w:szCs w:val="20"/>
          <w:color w:val="auto"/>
        </w:rPr>
        <w:t xml:space="preserve">” under this Agreement who is listed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this Agreement. The Project Coordinators will be responsible for day-to-day communications between the parties regarding the subject matter of this Agreement. Parties may designate alternate Project Coordinators upon written notice. Neither party’s Project Coordinator is authorized to amend, alter, waive or extend this Agreement or any obligations of the parties in any manner.</w:t>
      </w:r>
    </w:p>
    <w:p>
      <w:pPr>
        <w:spacing w:after="0" w:line="200" w:lineRule="exact"/>
        <w:rPr>
          <w:rFonts w:ascii="Arial" w:cs="Arial" w:eastAsia="Arial" w:hAnsi="Arial"/>
          <w:sz w:val="22"/>
          <w:szCs w:val="22"/>
          <w:i w:val="1"/>
          <w:iCs w:val="1"/>
          <w:color w:val="auto"/>
        </w:rPr>
      </w:pPr>
    </w:p>
    <w:p>
      <w:pPr>
        <w:jc w:val="both"/>
        <w:ind w:left="1300" w:hanging="644"/>
        <w:spacing w:after="0" w:line="266" w:lineRule="auto"/>
        <w:tabs>
          <w:tab w:leader="none" w:pos="1300" w:val="left"/>
        </w:tabs>
        <w:numPr>
          <w:ilvl w:val="2"/>
          <w:numId w:val="26"/>
        </w:numPr>
        <w:rPr>
          <w:rFonts w:ascii="Arial" w:cs="Arial" w:eastAsia="Arial" w:hAnsi="Arial"/>
          <w:sz w:val="22"/>
          <w:szCs w:val="22"/>
          <w:color w:val="auto"/>
        </w:rPr>
      </w:pPr>
      <w:r>
        <w:rPr>
          <w:rFonts w:ascii="Arial" w:cs="Arial" w:eastAsia="Arial" w:hAnsi="Arial"/>
          <w:sz w:val="20"/>
          <w:szCs w:val="20"/>
          <w:u w:val="single" w:color="auto"/>
          <w:color w:val="auto"/>
        </w:rPr>
        <w:t>Licenses</w:t>
      </w:r>
      <w:r>
        <w:rPr>
          <w:rFonts w:ascii="Arial" w:cs="Arial" w:eastAsia="Arial" w:hAnsi="Arial"/>
          <w:sz w:val="20"/>
          <w:szCs w:val="20"/>
          <w:color w:val="auto"/>
        </w:rPr>
        <w:t>. Enphase hereby grants Eliiy a non-exclusive license during the Term of this Agreement to use Enphase IP Rights as necessary to perform Eliiy’s obligations under this Agreement. Except as otherwise specifically provided in this Agreement, each party acknowledges and agrees that no licenses or rights under any of the Intellectual Property Rights of the other party are given or intended to be given to such other party.</w:t>
      </w:r>
    </w:p>
    <w:p>
      <w:pPr>
        <w:spacing w:after="0" w:line="197" w:lineRule="exact"/>
        <w:rPr>
          <w:rFonts w:ascii="Arial" w:cs="Arial" w:eastAsia="Arial" w:hAnsi="Arial"/>
          <w:sz w:val="22"/>
          <w:szCs w:val="22"/>
          <w:color w:val="auto"/>
        </w:rPr>
      </w:pPr>
    </w:p>
    <w:p>
      <w:pPr>
        <w:jc w:val="both"/>
        <w:ind w:left="1300" w:hanging="644"/>
        <w:spacing w:after="0" w:line="313" w:lineRule="auto"/>
        <w:tabs>
          <w:tab w:leader="none" w:pos="1300" w:val="left"/>
        </w:tabs>
        <w:numPr>
          <w:ilvl w:val="2"/>
          <w:numId w:val="26"/>
        </w:numPr>
        <w:rPr>
          <w:rFonts w:ascii="Arial" w:cs="Arial" w:eastAsia="Arial" w:hAnsi="Arial"/>
          <w:sz w:val="19"/>
          <w:szCs w:val="19"/>
          <w:color w:val="auto"/>
        </w:rPr>
      </w:pPr>
      <w:r>
        <w:rPr>
          <w:rFonts w:ascii="Arial" w:cs="Arial" w:eastAsia="Arial" w:hAnsi="Arial"/>
          <w:sz w:val="18"/>
          <w:szCs w:val="18"/>
          <w:u w:val="single" w:color="auto"/>
          <w:color w:val="auto"/>
        </w:rPr>
        <w:t>Unrelated Technology</w:t>
      </w:r>
      <w:r>
        <w:rPr>
          <w:rFonts w:ascii="Arial" w:cs="Arial" w:eastAsia="Arial" w:hAnsi="Arial"/>
          <w:sz w:val="18"/>
          <w:szCs w:val="18"/>
          <w:color w:val="auto"/>
        </w:rPr>
        <w:t>. In the event that, during the course of the development work of the Product, the parties discover or jointly develop Intellectual Property that is neither Eliiy IP nor Enphase IP, then the parties agree to negotiate in good faith, taking into consideration which party did most of the work and research, as to the ownership of such Intellectual Property.</w:t>
      </w:r>
    </w:p>
    <w:p>
      <w:pPr>
        <w:spacing w:after="0" w:line="141" w:lineRule="exact"/>
        <w:rPr>
          <w:rFonts w:ascii="Arial" w:cs="Arial" w:eastAsia="Arial" w:hAnsi="Arial"/>
          <w:sz w:val="19"/>
          <w:szCs w:val="19"/>
          <w:color w:val="auto"/>
        </w:rPr>
      </w:pPr>
    </w:p>
    <w:p>
      <w:pPr>
        <w:ind w:left="980" w:hanging="648"/>
        <w:spacing w:after="0"/>
        <w:tabs>
          <w:tab w:leader="none" w:pos="980" w:val="left"/>
        </w:tabs>
        <w:numPr>
          <w:ilvl w:val="1"/>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Supply and Purchase.</w:t>
      </w:r>
    </w:p>
    <w:p>
      <w:pPr>
        <w:spacing w:after="0" w:line="235" w:lineRule="exact"/>
        <w:rPr>
          <w:rFonts w:ascii="Arial" w:cs="Arial" w:eastAsia="Arial" w:hAnsi="Arial"/>
          <w:sz w:val="20"/>
          <w:szCs w:val="20"/>
          <w:b w:val="1"/>
          <w:bCs w:val="1"/>
          <w:color w:val="auto"/>
        </w:rPr>
      </w:pPr>
    </w:p>
    <w:p>
      <w:pPr>
        <w:ind w:left="1300" w:hanging="644"/>
        <w:spacing w:after="0" w:line="265" w:lineRule="auto"/>
        <w:tabs>
          <w:tab w:leader="none" w:pos="1300" w:val="left"/>
        </w:tabs>
        <w:numPr>
          <w:ilvl w:val="2"/>
          <w:numId w:val="27"/>
        </w:numPr>
        <w:rPr>
          <w:rFonts w:ascii="Arial" w:cs="Arial" w:eastAsia="Arial" w:hAnsi="Arial"/>
          <w:sz w:val="22"/>
          <w:szCs w:val="22"/>
          <w:i w:val="1"/>
          <w:iCs w:val="1"/>
          <w:color w:val="auto"/>
        </w:rPr>
      </w:pPr>
      <w:r>
        <w:rPr>
          <w:rFonts w:ascii="Arial" w:cs="Arial" w:eastAsia="Arial" w:hAnsi="Arial"/>
          <w:sz w:val="20"/>
          <w:szCs w:val="20"/>
          <w:u w:val="single" w:color="auto"/>
          <w:color w:val="auto"/>
        </w:rPr>
        <w:t>Scope</w:t>
      </w:r>
      <w:r>
        <w:rPr>
          <w:rFonts w:ascii="Arial" w:cs="Arial" w:eastAsia="Arial" w:hAnsi="Arial"/>
          <w:sz w:val="20"/>
          <w:szCs w:val="20"/>
          <w:color w:val="auto"/>
        </w:rPr>
        <w:t>. Provided that Eliiy timely completes the development of the Product pursuant to the terms of the Milestone Schedule and the Specifications then, during the Term:</w:t>
      </w:r>
    </w:p>
    <w:p>
      <w:pPr>
        <w:spacing w:after="0" w:line="182" w:lineRule="exact"/>
        <w:rPr>
          <w:rFonts w:ascii="Arial" w:cs="Arial" w:eastAsia="Arial" w:hAnsi="Arial"/>
          <w:sz w:val="22"/>
          <w:szCs w:val="22"/>
          <w:i w:val="1"/>
          <w:iCs w:val="1"/>
          <w:color w:val="auto"/>
        </w:rPr>
      </w:pPr>
    </w:p>
    <w:p>
      <w:pPr>
        <w:jc w:val="both"/>
        <w:ind w:left="1960" w:hanging="655"/>
        <w:spacing w:after="0" w:line="243" w:lineRule="auto"/>
        <w:tabs>
          <w:tab w:leader="none" w:pos="1960" w:val="left"/>
        </w:tabs>
        <w:numPr>
          <w:ilvl w:val="3"/>
          <w:numId w:val="27"/>
        </w:numPr>
        <w:rPr>
          <w:rFonts w:ascii="Arial" w:cs="Arial" w:eastAsia="Arial" w:hAnsi="Arial"/>
          <w:sz w:val="20"/>
          <w:szCs w:val="20"/>
          <w:color w:val="auto"/>
        </w:rPr>
      </w:pPr>
      <w:r>
        <w:rPr>
          <w:rFonts w:ascii="Arial" w:cs="Arial" w:eastAsia="Arial" w:hAnsi="Arial"/>
          <w:sz w:val="20"/>
          <w:szCs w:val="20"/>
          <w:color w:val="auto"/>
        </w:rPr>
        <w:t>Eliiy shall: (A) deliver all of the Product specified in a Purchase Order in accordance with the provisions of this Agreement and such Purchase Order; (B) provide the Warranties with respect to the Product delivered hereunder; (C) perform its other obligations set forth in this Agreement and such Purchase Order; and (D) comply with Enphase’s Advanced Product Quality Planning document, version 1.3 (“</w:t>
      </w:r>
      <w:r>
        <w:rPr>
          <w:rFonts w:ascii="Arial" w:cs="Arial" w:eastAsia="Arial" w:hAnsi="Arial"/>
          <w:sz w:val="20"/>
          <w:szCs w:val="20"/>
          <w:b w:val="1"/>
          <w:bCs w:val="1"/>
          <w:color w:val="auto"/>
        </w:rPr>
        <w:t>APQP</w:t>
      </w:r>
      <w:r>
        <w:rPr>
          <w:rFonts w:ascii="Arial" w:cs="Arial" w:eastAsia="Arial" w:hAnsi="Arial"/>
          <w:sz w:val="20"/>
          <w:szCs w:val="20"/>
          <w:color w:val="auto"/>
        </w:rPr>
        <w:t>”). To the extent [*] because [*], it will promptly notify Enphase in writing and the parties agree to [*]; provided however, the parties agree that [*] as of the Effective Date.</w:t>
      </w:r>
    </w:p>
    <w:p>
      <w:pPr>
        <w:spacing w:after="0" w:line="196" w:lineRule="exact"/>
        <w:rPr>
          <w:rFonts w:ascii="Arial" w:cs="Arial" w:eastAsia="Arial" w:hAnsi="Arial"/>
          <w:sz w:val="20"/>
          <w:szCs w:val="20"/>
          <w:color w:val="auto"/>
        </w:rPr>
      </w:pPr>
    </w:p>
    <w:p>
      <w:pPr>
        <w:jc w:val="both"/>
        <w:ind w:left="1960" w:hanging="655"/>
        <w:spacing w:after="0" w:line="243" w:lineRule="auto"/>
        <w:tabs>
          <w:tab w:leader="none" w:pos="1960" w:val="left"/>
        </w:tabs>
        <w:numPr>
          <w:ilvl w:val="3"/>
          <w:numId w:val="27"/>
        </w:numPr>
        <w:rPr>
          <w:rFonts w:ascii="Arial" w:cs="Arial" w:eastAsia="Arial" w:hAnsi="Arial"/>
          <w:sz w:val="20"/>
          <w:szCs w:val="20"/>
          <w:color w:val="auto"/>
        </w:rPr>
      </w:pPr>
      <w:r>
        <w:rPr>
          <w:rFonts w:ascii="Arial" w:cs="Arial" w:eastAsia="Arial" w:hAnsi="Arial"/>
          <w:sz w:val="20"/>
          <w:szCs w:val="20"/>
          <w:color w:val="auto"/>
        </w:rPr>
        <w:t>Enphase shall purchase battery module products exclusively from Eliiy until the later of: (A) two (2) years from the date that the first commercial Product is sold to Enphase; (B) or March 31, 2018 (the “</w:t>
      </w:r>
      <w:r>
        <w:rPr>
          <w:rFonts w:ascii="Arial" w:cs="Arial" w:eastAsia="Arial" w:hAnsi="Arial"/>
          <w:sz w:val="20"/>
          <w:szCs w:val="20"/>
          <w:b w:val="1"/>
          <w:bCs w:val="1"/>
          <w:color w:val="auto"/>
        </w:rPr>
        <w:t>Exclusivity Period</w:t>
      </w:r>
      <w:r>
        <w:rPr>
          <w:rFonts w:ascii="Arial" w:cs="Arial" w:eastAsia="Arial" w:hAnsi="Arial"/>
          <w:sz w:val="20"/>
          <w:szCs w:val="20"/>
          <w:color w:val="auto"/>
        </w:rPr>
        <w:t>”); provided however, that Eliiy is willing and able to produce the Product in the volumes and at the agreed upon prices described in Section 3.e and 3.f below, and in accordance with the Specifications, the quantities and Delivery Dates on accepted Purchase Orders, that are reasonably required by Enphase during such Exclusivity Period (the “</w:t>
      </w:r>
      <w:r>
        <w:rPr>
          <w:rFonts w:ascii="Arial" w:cs="Arial" w:eastAsia="Arial" w:hAnsi="Arial"/>
          <w:sz w:val="20"/>
          <w:szCs w:val="20"/>
          <w:b w:val="1"/>
          <w:bCs w:val="1"/>
          <w:color w:val="auto"/>
        </w:rPr>
        <w:t>Performance</w:t>
      </w:r>
      <w:r>
        <w:rPr>
          <w:rFonts w:ascii="Arial" w:cs="Arial" w:eastAsia="Arial" w:hAnsi="Arial"/>
          <w:sz w:val="20"/>
          <w:szCs w:val="20"/>
          <w:color w:val="auto"/>
        </w:rPr>
        <w:t xml:space="preserve"> </w:t>
      </w:r>
      <w:r>
        <w:rPr>
          <w:rFonts w:ascii="Arial" w:cs="Arial" w:eastAsia="Arial" w:hAnsi="Arial"/>
          <w:sz w:val="20"/>
          <w:szCs w:val="20"/>
          <w:b w:val="1"/>
          <w:bCs w:val="1"/>
          <w:color w:val="auto"/>
        </w:rPr>
        <w:t>Requirements</w:t>
      </w:r>
      <w:r>
        <w:rPr>
          <w:rFonts w:ascii="Arial" w:cs="Arial" w:eastAsia="Arial" w:hAnsi="Arial"/>
          <w:sz w:val="20"/>
          <w:szCs w:val="20"/>
          <w:color w:val="auto"/>
        </w:rPr>
        <w:t>”). Notwithstanding any other remedy in law or equity, in the event that Eliiy is unable to meet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Requirements, the</w:t>
      </w: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right="74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960"/>
        <w:spacing w:after="0" w:line="289" w:lineRule="auto"/>
        <w:rPr>
          <w:sz w:val="20"/>
          <w:szCs w:val="20"/>
          <w:color w:val="auto"/>
        </w:rPr>
      </w:pPr>
      <w:r>
        <w:rPr>
          <w:rFonts w:ascii="Arial" w:cs="Arial" w:eastAsia="Arial" w:hAnsi="Arial"/>
          <w:sz w:val="20"/>
          <w:szCs w:val="20"/>
          <w:color w:val="auto"/>
        </w:rPr>
        <w:t>parties shall negotiate in good faith the reduction of the Annual Volume amounts set forth in Section 3.e and/or other reasonable measures.</w:t>
      </w:r>
    </w:p>
    <w:p>
      <w:pPr>
        <w:spacing w:after="0" w:line="162" w:lineRule="exact"/>
        <w:rPr>
          <w:sz w:val="20"/>
          <w:szCs w:val="20"/>
          <w:color w:val="auto"/>
        </w:rPr>
      </w:pPr>
    </w:p>
    <w:p>
      <w:pPr>
        <w:jc w:val="both"/>
        <w:ind w:left="1960" w:hanging="655"/>
        <w:spacing w:after="0" w:line="278" w:lineRule="auto"/>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Eliiy shall use best efforts to insure that the Product is completed, certified and suitable for commercial production pursuant to the terms of the Milestone Schedule (the “</w:t>
      </w:r>
      <w:r>
        <w:rPr>
          <w:rFonts w:ascii="Arial" w:cs="Arial" w:eastAsia="Arial" w:hAnsi="Arial"/>
          <w:sz w:val="18"/>
          <w:szCs w:val="18"/>
          <w:b w:val="1"/>
          <w:bCs w:val="1"/>
          <w:color w:val="auto"/>
        </w:rPr>
        <w:t>Target Date</w:t>
      </w:r>
      <w:r>
        <w:rPr>
          <w:rFonts w:ascii="Arial" w:cs="Arial" w:eastAsia="Arial" w:hAnsi="Arial"/>
          <w:sz w:val="18"/>
          <w:szCs w:val="18"/>
          <w:color w:val="auto"/>
        </w:rPr>
        <w:t>”). If Eliiy cannot meet the Target Date, then the parties shall negotiate in good faith the modification of Enphase’s obligations (including the Annual Volume amounts set forth in Section 3.e. and the Unit Price set forth in Section 3.f) under this Agreement. If there is a material design or Milestone change, then the parties shall mutually agree to a reasonable extension of the Target Date.</w:t>
      </w:r>
    </w:p>
    <w:p>
      <w:pPr>
        <w:spacing w:after="0" w:line="17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i w:val="1"/>
          <w:iCs w:val="1"/>
          <w:color w:val="auto"/>
        </w:rPr>
        <w:t>b.</w:t>
      </w:r>
      <w:r>
        <w:rPr>
          <w:rFonts w:ascii="Arial" w:cs="Arial" w:eastAsia="Arial" w:hAnsi="Arial"/>
          <w:sz w:val="16"/>
          <w:szCs w:val="16"/>
          <w:u w:val="single" w:color="auto"/>
          <w:color w:val="auto"/>
        </w:rPr>
        <w:t>Purchase Orders</w:t>
      </w:r>
      <w:r>
        <w:rPr>
          <w:rFonts w:ascii="Arial" w:cs="Arial" w:eastAsia="Arial" w:hAnsi="Arial"/>
          <w:sz w:val="16"/>
          <w:szCs w:val="16"/>
          <w:color w:val="auto"/>
        </w:rPr>
        <w:t>.</w:t>
      </w:r>
    </w:p>
    <w:p>
      <w:pPr>
        <w:spacing w:after="0" w:line="204" w:lineRule="exact"/>
        <w:rPr>
          <w:rFonts w:ascii="Arial" w:cs="Arial" w:eastAsia="Arial" w:hAnsi="Arial"/>
          <w:sz w:val="18"/>
          <w:szCs w:val="18"/>
          <w:color w:val="auto"/>
        </w:rPr>
      </w:pPr>
    </w:p>
    <w:p>
      <w:pPr>
        <w:ind w:left="1960" w:hanging="655"/>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Purchase Orders</w:t>
      </w:r>
      <w:r>
        <w:rPr>
          <w:rFonts w:ascii="Arial" w:cs="Arial" w:eastAsia="Arial" w:hAnsi="Arial"/>
          <w:sz w:val="18"/>
          <w:szCs w:val="18"/>
          <w:color w:val="auto"/>
        </w:rPr>
        <w:t>. Enphase shall order the Product by issuing a written “</w:t>
      </w:r>
      <w:r>
        <w:rPr>
          <w:rFonts w:ascii="Arial" w:cs="Arial" w:eastAsia="Arial" w:hAnsi="Arial"/>
          <w:sz w:val="18"/>
          <w:szCs w:val="18"/>
          <w:b w:val="1"/>
          <w:bCs w:val="1"/>
          <w:color w:val="auto"/>
        </w:rPr>
        <w:t>Purchase Order</w:t>
      </w:r>
      <w:r>
        <w:rPr>
          <w:rFonts w:ascii="Arial" w:cs="Arial" w:eastAsia="Arial" w:hAnsi="Arial"/>
          <w:sz w:val="18"/>
          <w:szCs w:val="18"/>
          <w:color w:val="auto"/>
        </w:rPr>
        <w:t>” that sets forth at least the:</w:t>
      </w:r>
    </w:p>
    <w:p>
      <w:pPr>
        <w:spacing w:after="0" w:line="44" w:lineRule="exact"/>
        <w:rPr>
          <w:rFonts w:ascii="Arial" w:cs="Arial" w:eastAsia="Arial" w:hAnsi="Arial"/>
          <w:sz w:val="18"/>
          <w:szCs w:val="18"/>
          <w:color w:val="auto"/>
        </w:rPr>
      </w:pPr>
    </w:p>
    <w:p>
      <w:pPr>
        <w:jc w:val="both"/>
        <w:ind w:left="1960" w:hanging="7"/>
        <w:spacing w:after="0" w:line="241" w:lineRule="auto"/>
        <w:tabs>
          <w:tab w:leader="none" w:pos="2333" w:val="left"/>
        </w:tabs>
        <w:numPr>
          <w:ilvl w:val="3"/>
          <w:numId w:val="29"/>
        </w:numPr>
        <w:rPr>
          <w:rFonts w:ascii="Arial" w:cs="Arial" w:eastAsia="Arial" w:hAnsi="Arial"/>
          <w:sz w:val="20"/>
          <w:szCs w:val="20"/>
          <w:color w:val="auto"/>
        </w:rPr>
      </w:pPr>
      <w:r>
        <w:rPr>
          <w:rFonts w:ascii="Arial" w:cs="Arial" w:eastAsia="Arial" w:hAnsi="Arial"/>
          <w:sz w:val="20"/>
          <w:szCs w:val="20"/>
          <w:color w:val="auto"/>
        </w:rPr>
        <w:t>quantity of Product; (B) Unit Price (as described in 3.f.(i) below); and (C) Delivery Date</w:t>
      </w:r>
      <w:r>
        <w:rPr>
          <w:rFonts w:ascii="Arial" w:cs="Arial" w:eastAsia="Arial" w:hAnsi="Arial"/>
          <w:sz w:val="20"/>
          <w:szCs w:val="20"/>
          <w:b w:val="1"/>
          <w:bCs w:val="1"/>
          <w:color w:val="auto"/>
        </w:rPr>
        <w:t>,</w:t>
      </w:r>
      <w:r>
        <w:rPr>
          <w:rFonts w:ascii="Arial" w:cs="Arial" w:eastAsia="Arial" w:hAnsi="Arial"/>
          <w:sz w:val="20"/>
          <w:szCs w:val="20"/>
          <w:color w:val="auto"/>
        </w:rPr>
        <w:t xml:space="preserve"> which shall be reasonably in-line with the Rolling Forecast. Enphase shall not send Purchase Orders more than one (1) time during each [*] period; provided however, that Eliiy may agree to accept additional Purchase Orders if reasonably requested by Enphase.</w:t>
      </w:r>
    </w:p>
    <w:p>
      <w:pPr>
        <w:spacing w:after="0" w:line="194" w:lineRule="exact"/>
        <w:rPr>
          <w:rFonts w:ascii="Arial" w:cs="Arial" w:eastAsia="Arial" w:hAnsi="Arial"/>
          <w:sz w:val="20"/>
          <w:szCs w:val="20"/>
          <w:color w:val="auto"/>
        </w:rPr>
      </w:pPr>
    </w:p>
    <w:p>
      <w:pPr>
        <w:ind w:left="1960" w:hanging="655"/>
        <w:spacing w:after="0"/>
        <w:tabs>
          <w:tab w:leader="none" w:pos="1960" w:val="left"/>
        </w:tabs>
        <w:numPr>
          <w:ilvl w:val="2"/>
          <w:numId w:val="29"/>
        </w:numPr>
        <w:rPr>
          <w:rFonts w:ascii="Arial" w:cs="Arial" w:eastAsia="Arial" w:hAnsi="Arial"/>
          <w:sz w:val="20"/>
          <w:szCs w:val="20"/>
          <w:color w:val="auto"/>
        </w:rPr>
      </w:pPr>
      <w:r>
        <w:rPr>
          <w:rFonts w:ascii="Arial" w:cs="Arial" w:eastAsia="Arial" w:hAnsi="Arial"/>
          <w:sz w:val="20"/>
          <w:szCs w:val="20"/>
          <w:u w:val="single" w:color="auto"/>
          <w:color w:val="auto"/>
        </w:rPr>
        <w:t>Lead Time</w:t>
      </w:r>
      <w:r>
        <w:rPr>
          <w:rFonts w:ascii="Arial" w:cs="Arial" w:eastAsia="Arial" w:hAnsi="Arial"/>
          <w:sz w:val="20"/>
          <w:szCs w:val="20"/>
          <w:color w:val="auto"/>
        </w:rPr>
        <w:t>. Orders for the Product require a lead time of [*] prior to the Delivery Date of the Product.</w:t>
      </w:r>
    </w:p>
    <w:p>
      <w:pPr>
        <w:spacing w:after="0" w:line="215" w:lineRule="exact"/>
        <w:rPr>
          <w:rFonts w:ascii="Arial" w:cs="Arial" w:eastAsia="Arial" w:hAnsi="Arial"/>
          <w:sz w:val="20"/>
          <w:szCs w:val="20"/>
          <w:color w:val="auto"/>
        </w:rPr>
      </w:pPr>
    </w:p>
    <w:p>
      <w:pPr>
        <w:jc w:val="both"/>
        <w:ind w:left="1960" w:hanging="655"/>
        <w:spacing w:after="0" w:line="259" w:lineRule="auto"/>
        <w:tabs>
          <w:tab w:leader="none" w:pos="1960" w:val="left"/>
        </w:tabs>
        <w:numPr>
          <w:ilvl w:val="2"/>
          <w:numId w:val="29"/>
        </w:numPr>
        <w:rPr>
          <w:rFonts w:ascii="Arial" w:cs="Arial" w:eastAsia="Arial" w:hAnsi="Arial"/>
          <w:sz w:val="19"/>
          <w:szCs w:val="19"/>
          <w:color w:val="auto"/>
        </w:rPr>
      </w:pPr>
      <w:r>
        <w:rPr>
          <w:rFonts w:ascii="Arial" w:cs="Arial" w:eastAsia="Arial" w:hAnsi="Arial"/>
          <w:sz w:val="19"/>
          <w:szCs w:val="19"/>
          <w:u w:val="single" w:color="auto"/>
          <w:color w:val="auto"/>
        </w:rPr>
        <w:t>Acceptance of Purchase Order</w:t>
      </w:r>
      <w:r>
        <w:rPr>
          <w:rFonts w:ascii="Arial" w:cs="Arial" w:eastAsia="Arial" w:hAnsi="Arial"/>
          <w:sz w:val="19"/>
          <w:szCs w:val="19"/>
          <w:color w:val="auto"/>
        </w:rPr>
        <w:t>. Eliiy shall use best efforts to accept and acknowledge the Purchase Order within [*] (meaning a day when: (i) deposit-taking banks are open in Tokyo for the business of over-the-counter deposit-taking; or (ii) Eliiy’s manufacturing plant is open for business (which shall be communicated to Enphase by the start of Eliiy’s each fiscal year)) of receipt of the Purchase Order, but in no event more than [*] from such receipt. Upon acceptance of a Purchase Order submitted by Enphase, Enphase agrees to purchase such Product from Eliiy, and Eliiy agrees to sell and deliver to Enphase such Product.</w:t>
      </w:r>
    </w:p>
    <w:p>
      <w:pPr>
        <w:spacing w:after="0" w:line="178" w:lineRule="exact"/>
        <w:rPr>
          <w:rFonts w:ascii="Arial" w:cs="Arial" w:eastAsia="Arial" w:hAnsi="Arial"/>
          <w:sz w:val="19"/>
          <w:szCs w:val="19"/>
          <w:color w:val="auto"/>
        </w:rPr>
      </w:pPr>
    </w:p>
    <w:p>
      <w:pPr>
        <w:ind w:left="1960" w:hanging="655"/>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Cancellation of a Purchase Order</w:t>
      </w:r>
      <w:r>
        <w:rPr>
          <w:rFonts w:ascii="Arial" w:cs="Arial" w:eastAsia="Arial" w:hAnsi="Arial"/>
          <w:sz w:val="18"/>
          <w:szCs w:val="18"/>
          <w:color w:val="auto"/>
        </w:rPr>
        <w:t>. Enphase may cancel a Purchase Order prior to the receipt of Eliiy’s acceptance.</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740"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300" w:hanging="644"/>
        <w:spacing w:after="0" w:line="266" w:lineRule="auto"/>
        <w:tabs>
          <w:tab w:leader="none" w:pos="1300" w:val="left"/>
        </w:tabs>
        <w:numPr>
          <w:ilvl w:val="0"/>
          <w:numId w:val="30"/>
        </w:numPr>
        <w:rPr>
          <w:rFonts w:ascii="Arial" w:cs="Arial" w:eastAsia="Arial" w:hAnsi="Arial"/>
          <w:sz w:val="22"/>
          <w:szCs w:val="22"/>
          <w:i w:val="1"/>
          <w:iCs w:val="1"/>
          <w:color w:val="auto"/>
        </w:rPr>
      </w:pPr>
      <w:r>
        <w:rPr>
          <w:rFonts w:ascii="Arial" w:cs="Arial" w:eastAsia="Arial" w:hAnsi="Arial"/>
          <w:sz w:val="20"/>
          <w:szCs w:val="20"/>
          <w:u w:val="single" w:color="auto"/>
          <w:color w:val="auto"/>
        </w:rPr>
        <w:t>Business Plan</w:t>
      </w:r>
      <w:r>
        <w:rPr>
          <w:rFonts w:ascii="Arial" w:cs="Arial" w:eastAsia="Arial" w:hAnsi="Arial"/>
          <w:sz w:val="20"/>
          <w:szCs w:val="20"/>
          <w:color w:val="auto"/>
        </w:rPr>
        <w:t>. During the Term of this Agreement, each party shall deliver to the other Party, by the end of October each year, their respective business plans regarding the AC Battery and the Product for the following year, and consult with each other in determining its business plan for the following year. Enphase shall use commercially reasonable efforts to sell the AC Battery in Australia, United States, Canada, and the European Union as the initial target markets (collectively, the “</w:t>
      </w:r>
      <w:r>
        <w:rPr>
          <w:rFonts w:ascii="Arial" w:cs="Arial" w:eastAsia="Arial" w:hAnsi="Arial"/>
          <w:sz w:val="20"/>
          <w:szCs w:val="20"/>
          <w:b w:val="1"/>
          <w:bCs w:val="1"/>
          <w:color w:val="auto"/>
        </w:rPr>
        <w:t>Target Markets</w:t>
      </w:r>
      <w:r>
        <w:rPr>
          <w:rFonts w:ascii="Arial" w:cs="Arial" w:eastAsia="Arial" w:hAnsi="Arial"/>
          <w:sz w:val="20"/>
          <w:szCs w:val="20"/>
          <w:color w:val="auto"/>
        </w:rPr>
        <w:t>”) during the Exclusivity Period.</w:t>
      </w:r>
    </w:p>
    <w:p>
      <w:pPr>
        <w:spacing w:after="0" w:line="199" w:lineRule="exact"/>
        <w:rPr>
          <w:rFonts w:ascii="Arial" w:cs="Arial" w:eastAsia="Arial" w:hAnsi="Arial"/>
          <w:sz w:val="22"/>
          <w:szCs w:val="22"/>
          <w:i w:val="1"/>
          <w:iCs w:val="1"/>
          <w:color w:val="auto"/>
        </w:rPr>
      </w:pPr>
    </w:p>
    <w:p>
      <w:pPr>
        <w:jc w:val="both"/>
        <w:ind w:left="1300" w:right="20" w:hanging="644"/>
        <w:spacing w:after="0" w:line="313" w:lineRule="auto"/>
        <w:tabs>
          <w:tab w:leader="none" w:pos="1300" w:val="left"/>
        </w:tabs>
        <w:numPr>
          <w:ilvl w:val="0"/>
          <w:numId w:val="30"/>
        </w:numPr>
        <w:rPr>
          <w:rFonts w:ascii="Arial" w:cs="Arial" w:eastAsia="Arial" w:hAnsi="Arial"/>
          <w:sz w:val="19"/>
          <w:szCs w:val="19"/>
          <w:i w:val="1"/>
          <w:iCs w:val="1"/>
          <w:color w:val="auto"/>
        </w:rPr>
      </w:pPr>
      <w:r>
        <w:rPr>
          <w:rFonts w:ascii="Arial" w:cs="Arial" w:eastAsia="Arial" w:hAnsi="Arial"/>
          <w:sz w:val="18"/>
          <w:szCs w:val="18"/>
          <w:u w:val="single" w:color="auto"/>
          <w:color w:val="auto"/>
        </w:rPr>
        <w:t>Rolling Forecast</w:t>
      </w:r>
      <w:r>
        <w:rPr>
          <w:rFonts w:ascii="Arial" w:cs="Arial" w:eastAsia="Arial" w:hAnsi="Arial"/>
          <w:sz w:val="18"/>
          <w:szCs w:val="18"/>
          <w:color w:val="auto"/>
        </w:rPr>
        <w:t>. Enphase shall deliver to Eliiy a rolling forecast on a monthly basis which sets out the order forecast for the following [*] (the “</w:t>
      </w:r>
      <w:r>
        <w:rPr>
          <w:rFonts w:ascii="Arial" w:cs="Arial" w:eastAsia="Arial" w:hAnsi="Arial"/>
          <w:sz w:val="18"/>
          <w:szCs w:val="18"/>
          <w:b w:val="1"/>
          <w:bCs w:val="1"/>
          <w:color w:val="auto"/>
        </w:rPr>
        <w:t>Rolling Forecast</w:t>
      </w:r>
      <w:r>
        <w:rPr>
          <w:rFonts w:ascii="Arial" w:cs="Arial" w:eastAsia="Arial" w:hAnsi="Arial"/>
          <w:sz w:val="18"/>
          <w:szCs w:val="18"/>
          <w:color w:val="auto"/>
        </w:rPr>
        <w:t>”). The Rolling Forecasts shall be non-binding and are intended by the parties solely to assist them in coordinating the manufacture and supply of the Product under this Agreement and Purchase Orders.</w:t>
      </w:r>
    </w:p>
    <w:p>
      <w:pPr>
        <w:spacing w:after="0" w:line="161" w:lineRule="exact"/>
        <w:rPr>
          <w:rFonts w:ascii="Arial" w:cs="Arial" w:eastAsia="Arial" w:hAnsi="Arial"/>
          <w:sz w:val="19"/>
          <w:szCs w:val="19"/>
          <w:i w:val="1"/>
          <w:iCs w:val="1"/>
          <w:color w:val="auto"/>
        </w:rPr>
      </w:pPr>
    </w:p>
    <w:p>
      <w:pPr>
        <w:jc w:val="both"/>
        <w:ind w:left="1300" w:hanging="644"/>
        <w:spacing w:after="0" w:line="266" w:lineRule="auto"/>
        <w:tabs>
          <w:tab w:leader="none" w:pos="1300" w:val="left"/>
        </w:tabs>
        <w:numPr>
          <w:ilvl w:val="0"/>
          <w:numId w:val="30"/>
        </w:numPr>
        <w:rPr>
          <w:rFonts w:ascii="Arial" w:cs="Arial" w:eastAsia="Arial" w:hAnsi="Arial"/>
          <w:sz w:val="22"/>
          <w:szCs w:val="22"/>
          <w:i w:val="1"/>
          <w:iCs w:val="1"/>
          <w:color w:val="auto"/>
        </w:rPr>
      </w:pPr>
      <w:r>
        <w:rPr>
          <w:rFonts w:ascii="Arial" w:cs="Arial" w:eastAsia="Arial" w:hAnsi="Arial"/>
          <w:sz w:val="20"/>
          <w:szCs w:val="20"/>
          <w:u w:val="single" w:color="auto"/>
          <w:color w:val="auto"/>
        </w:rPr>
        <w:t>Annual Volumes</w:t>
      </w:r>
      <w:r>
        <w:rPr>
          <w:rFonts w:ascii="Arial" w:cs="Arial" w:eastAsia="Arial" w:hAnsi="Arial"/>
          <w:sz w:val="20"/>
          <w:szCs w:val="20"/>
          <w:color w:val="auto"/>
        </w:rPr>
        <w:t>. Enphase shall use commercially reasonable efforts to submit Purchase Orders which, in the aggregate, binds Enphase to purchase of a volume of Product in the ranges set forth below; provided however, that to the extent that the parties have agreed to pricing (as of the Effective Date and in the future), then Enphase shall be obliged to purchase the Product volume for the time period that the pricing has been agreed to:</w:t>
      </w:r>
    </w:p>
    <w:p>
      <w:pPr>
        <w:spacing w:after="0" w:line="316" w:lineRule="exact"/>
        <w:rPr>
          <w:sz w:val="20"/>
          <w:szCs w:val="20"/>
          <w:color w:val="auto"/>
        </w:rPr>
      </w:pPr>
    </w:p>
    <w:tbl>
      <w:tblPr>
        <w:tblLayout w:type="fixed"/>
        <w:tblInd w:w="1370" w:type="dxa"/>
        <w:tblCellMar>
          <w:top w:w="0" w:type="dxa"/>
          <w:left w:w="0" w:type="dxa"/>
          <w:bottom w:w="0" w:type="dxa"/>
          <w:right w:w="0" w:type="dxa"/>
        </w:tblCellMar>
      </w:tblPr>
      <w:tr>
        <w:trPr>
          <w:trHeight w:val="274"/>
        </w:trPr>
        <w:tc>
          <w:tcPr>
            <w:tcW w:w="11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Year</w:t>
            </w:r>
          </w:p>
        </w:tc>
        <w:tc>
          <w:tcPr>
            <w:tcW w:w="4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Number of Products</w:t>
            </w:r>
          </w:p>
        </w:tc>
      </w:tr>
      <w:tr>
        <w:trPr>
          <w:trHeight w:val="23"/>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5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2015</w:t>
            </w:r>
          </w:p>
        </w:tc>
        <w:tc>
          <w:tcPr>
            <w:tcW w:w="4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5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2016</w:t>
            </w:r>
          </w:p>
        </w:tc>
        <w:tc>
          <w:tcPr>
            <w:tcW w:w="4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5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2017</w:t>
            </w:r>
          </w:p>
        </w:tc>
        <w:tc>
          <w:tcPr>
            <w:tcW w:w="4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5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2018</w:t>
            </w:r>
          </w:p>
        </w:tc>
        <w:tc>
          <w:tcPr>
            <w:tcW w:w="4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5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2019</w:t>
            </w:r>
          </w:p>
        </w:tc>
        <w:tc>
          <w:tcPr>
            <w:tcW w:w="4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5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2020</w:t>
            </w:r>
          </w:p>
        </w:tc>
        <w:tc>
          <w:tcPr>
            <w:tcW w:w="4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74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22"/>
          <w:szCs w:val="22"/>
          <w:i w:val="1"/>
          <w:iCs w:val="1"/>
          <w:color w:val="auto"/>
        </w:rPr>
      </w:pPr>
      <w:r>
        <w:rPr>
          <w:rFonts w:ascii="Arial" w:cs="Arial" w:eastAsia="Arial" w:hAnsi="Arial"/>
          <w:sz w:val="20"/>
          <w:szCs w:val="20"/>
          <w:u w:val="single" w:color="auto"/>
          <w:color w:val="auto"/>
        </w:rPr>
        <w:t>Pricing and Payment</w:t>
      </w:r>
      <w:r>
        <w:rPr>
          <w:rFonts w:ascii="Arial" w:cs="Arial" w:eastAsia="Arial" w:hAnsi="Arial"/>
          <w:sz w:val="20"/>
          <w:szCs w:val="20"/>
          <w:color w:val="auto"/>
        </w:rPr>
        <w:t>.</w:t>
      </w:r>
    </w:p>
    <w:p>
      <w:pPr>
        <w:spacing w:after="0" w:line="219" w:lineRule="exact"/>
        <w:rPr>
          <w:rFonts w:ascii="Arial" w:cs="Arial" w:eastAsia="Arial" w:hAnsi="Arial"/>
          <w:sz w:val="22"/>
          <w:szCs w:val="22"/>
          <w:i w:val="1"/>
          <w:iCs w:val="1"/>
          <w:color w:val="auto"/>
        </w:rPr>
      </w:pPr>
    </w:p>
    <w:p>
      <w:pPr>
        <w:ind w:left="1960" w:hanging="655"/>
        <w:spacing w:after="0"/>
        <w:tabs>
          <w:tab w:leader="none" w:pos="1960" w:val="left"/>
        </w:tabs>
        <w:numPr>
          <w:ilvl w:val="1"/>
          <w:numId w:val="32"/>
        </w:numPr>
        <w:rPr>
          <w:rFonts w:ascii="Arial" w:cs="Arial" w:eastAsia="Arial" w:hAnsi="Arial"/>
          <w:sz w:val="22"/>
          <w:szCs w:val="22"/>
          <w:i w:val="1"/>
          <w:iCs w:val="1"/>
          <w:color w:val="auto"/>
        </w:rPr>
      </w:pPr>
      <w:r>
        <w:rPr>
          <w:rFonts w:ascii="Arial" w:cs="Arial" w:eastAsia="Arial" w:hAnsi="Arial"/>
          <w:sz w:val="20"/>
          <w:szCs w:val="20"/>
          <w:u w:val="single" w:color="auto"/>
          <w:color w:val="auto"/>
        </w:rPr>
        <w:t>Unit Price</w:t>
      </w:r>
      <w:r>
        <w:rPr>
          <w:rFonts w:ascii="Arial" w:cs="Arial" w:eastAsia="Arial" w:hAnsi="Arial"/>
          <w:sz w:val="20"/>
          <w:szCs w:val="20"/>
          <w:color w:val="auto"/>
        </w:rPr>
        <w:t>. The unit price for the Product shall be:</w:t>
      </w:r>
    </w:p>
    <w:p>
      <w:pPr>
        <w:spacing w:after="0" w:line="208" w:lineRule="exact"/>
        <w:rPr>
          <w:rFonts w:ascii="Arial" w:cs="Arial" w:eastAsia="Arial" w:hAnsi="Arial"/>
          <w:sz w:val="22"/>
          <w:szCs w:val="22"/>
          <w:i w:val="1"/>
          <w:iCs w:val="1"/>
          <w:color w:val="auto"/>
        </w:rPr>
      </w:pPr>
    </w:p>
    <w:p>
      <w:pPr>
        <w:spacing w:after="0"/>
        <w:rPr>
          <w:rFonts w:ascii="Arial" w:cs="Arial" w:eastAsia="Arial" w:hAnsi="Arial"/>
          <w:sz w:val="22"/>
          <w:szCs w:val="22"/>
          <w:i w:val="1"/>
          <w:iCs w:val="1"/>
          <w:color w:val="auto"/>
        </w:rPr>
      </w:pPr>
      <w:r>
        <w:rPr>
          <w:rFonts w:ascii="Arial" w:cs="Arial" w:eastAsia="Arial" w:hAnsi="Arial"/>
          <w:sz w:val="20"/>
          <w:szCs w:val="20"/>
          <w:color w:val="auto"/>
        </w:rPr>
        <w:t>2015: USD [*]</w:t>
      </w:r>
    </w:p>
    <w:p>
      <w:pPr>
        <w:spacing w:after="0" w:line="216" w:lineRule="exact"/>
        <w:rPr>
          <w:sz w:val="20"/>
          <w:szCs w:val="20"/>
          <w:color w:val="auto"/>
        </w:rPr>
      </w:pPr>
    </w:p>
    <w:tbl>
      <w:tblPr>
        <w:tblLayout w:type="fixed"/>
        <w:tblInd w:w="1960" w:type="dxa"/>
        <w:tblCellMar>
          <w:top w:w="0" w:type="dxa"/>
          <w:left w:w="0" w:type="dxa"/>
          <w:bottom w:w="0" w:type="dxa"/>
          <w:right w:w="0" w:type="dxa"/>
        </w:tblCellMar>
      </w:tblPr>
      <w:tr>
        <w:trPr>
          <w:trHeight w:val="250"/>
        </w:trPr>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40" w:type="dxa"/>
            <w:vAlign w:val="bottom"/>
          </w:tcPr>
          <w:p>
            <w:pPr>
              <w:ind w:left="1060"/>
              <w:spacing w:after="0"/>
              <w:rPr>
                <w:sz w:val="20"/>
                <w:szCs w:val="20"/>
                <w:color w:val="auto"/>
              </w:rPr>
            </w:pPr>
            <w:r>
              <w:rPr>
                <w:rFonts w:ascii="Arial" w:cs="Arial" w:eastAsia="Arial" w:hAnsi="Arial"/>
                <w:sz w:val="20"/>
                <w:szCs w:val="20"/>
                <w:color w:val="auto"/>
                <w:w w:val="98"/>
              </w:rPr>
              <w:t>USD [*]</w:t>
            </w:r>
          </w:p>
        </w:tc>
      </w:tr>
      <w:tr>
        <w:trPr>
          <w:trHeight w:val="446"/>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ind w:left="1060"/>
              <w:spacing w:after="0"/>
              <w:rPr>
                <w:sz w:val="20"/>
                <w:szCs w:val="20"/>
                <w:color w:val="auto"/>
              </w:rPr>
            </w:pPr>
            <w:r>
              <w:rPr>
                <w:rFonts w:ascii="Arial" w:cs="Arial" w:eastAsia="Arial" w:hAnsi="Arial"/>
                <w:sz w:val="20"/>
                <w:szCs w:val="20"/>
                <w:color w:val="auto"/>
                <w:w w:val="98"/>
              </w:rPr>
              <w:t>USD [*]</w:t>
            </w:r>
          </w:p>
        </w:tc>
      </w:tr>
      <w:tr>
        <w:trPr>
          <w:trHeight w:val="446"/>
        </w:trPr>
        <w:tc>
          <w:tcPr>
            <w:tcW w:w="260" w:type="dxa"/>
            <w:vAlign w:val="bottom"/>
          </w:tcPr>
          <w:p>
            <w:pPr>
              <w:spacing w:after="0"/>
              <w:rPr>
                <w:sz w:val="20"/>
                <w:szCs w:val="20"/>
                <w:color w:val="auto"/>
              </w:rPr>
            </w:pPr>
            <w:r>
              <w:rPr>
                <w:rFonts w:ascii="Arial" w:cs="Arial" w:eastAsia="Arial" w:hAnsi="Arial"/>
                <w:sz w:val="20"/>
                <w:szCs w:val="20"/>
                <w:color w:val="auto"/>
                <w:w w:val="89"/>
              </w:rPr>
              <w:t>Q1</w:t>
            </w:r>
          </w:p>
        </w:tc>
        <w:tc>
          <w:tcPr>
            <w:tcW w:w="1020" w:type="dxa"/>
            <w:vAlign w:val="bottom"/>
          </w:tcPr>
          <w:p>
            <w:pPr>
              <w:ind w:left="20"/>
              <w:spacing w:after="0"/>
              <w:rPr>
                <w:sz w:val="20"/>
                <w:szCs w:val="20"/>
                <w:color w:val="auto"/>
              </w:rPr>
            </w:pPr>
            <w:r>
              <w:rPr>
                <w:rFonts w:ascii="Arial" w:cs="Arial" w:eastAsia="Arial" w:hAnsi="Arial"/>
                <w:sz w:val="20"/>
                <w:szCs w:val="20"/>
                <w:color w:val="auto"/>
              </w:rPr>
              <w:t>– 2016:</w:t>
            </w:r>
          </w:p>
        </w:tc>
        <w:tc>
          <w:tcPr>
            <w:tcW w:w="1740" w:type="dxa"/>
            <w:vAlign w:val="bottom"/>
          </w:tcPr>
          <w:p>
            <w:pPr>
              <w:ind w:left="400"/>
              <w:spacing w:after="0"/>
              <w:rPr>
                <w:sz w:val="20"/>
                <w:szCs w:val="20"/>
                <w:color w:val="auto"/>
              </w:rPr>
            </w:pPr>
            <w:r>
              <w:rPr>
                <w:rFonts w:ascii="Arial" w:cs="Arial" w:eastAsia="Arial" w:hAnsi="Arial"/>
                <w:sz w:val="20"/>
                <w:szCs w:val="20"/>
                <w:color w:val="auto"/>
              </w:rPr>
              <w:t>USD [*]</w:t>
            </w:r>
          </w:p>
        </w:tc>
      </w:tr>
      <w:tr>
        <w:trPr>
          <w:trHeight w:val="446"/>
        </w:trPr>
        <w:tc>
          <w:tcPr>
            <w:tcW w:w="260" w:type="dxa"/>
            <w:vAlign w:val="bottom"/>
          </w:tcPr>
          <w:p>
            <w:pPr>
              <w:spacing w:after="0"/>
              <w:rPr>
                <w:sz w:val="20"/>
                <w:szCs w:val="20"/>
                <w:color w:val="auto"/>
              </w:rPr>
            </w:pPr>
            <w:r>
              <w:rPr>
                <w:rFonts w:ascii="Arial" w:cs="Arial" w:eastAsia="Arial" w:hAnsi="Arial"/>
                <w:sz w:val="20"/>
                <w:szCs w:val="20"/>
                <w:color w:val="auto"/>
                <w:w w:val="89"/>
              </w:rPr>
              <w:t>Q2</w:t>
            </w:r>
          </w:p>
        </w:tc>
        <w:tc>
          <w:tcPr>
            <w:tcW w:w="1020" w:type="dxa"/>
            <w:vAlign w:val="bottom"/>
          </w:tcPr>
          <w:p>
            <w:pPr>
              <w:ind w:left="20"/>
              <w:spacing w:after="0"/>
              <w:rPr>
                <w:sz w:val="20"/>
                <w:szCs w:val="20"/>
                <w:color w:val="auto"/>
              </w:rPr>
            </w:pPr>
            <w:r>
              <w:rPr>
                <w:rFonts w:ascii="Arial" w:cs="Arial" w:eastAsia="Arial" w:hAnsi="Arial"/>
                <w:sz w:val="20"/>
                <w:szCs w:val="20"/>
                <w:color w:val="auto"/>
              </w:rPr>
              <w:t>– 2016:</w:t>
            </w:r>
          </w:p>
        </w:tc>
        <w:tc>
          <w:tcPr>
            <w:tcW w:w="1740" w:type="dxa"/>
            <w:vAlign w:val="bottom"/>
          </w:tcPr>
          <w:p>
            <w:pPr>
              <w:ind w:left="400"/>
              <w:spacing w:after="0"/>
              <w:rPr>
                <w:sz w:val="20"/>
                <w:szCs w:val="20"/>
                <w:color w:val="auto"/>
              </w:rPr>
            </w:pPr>
            <w:r>
              <w:rPr>
                <w:rFonts w:ascii="Arial" w:cs="Arial" w:eastAsia="Arial" w:hAnsi="Arial"/>
                <w:sz w:val="20"/>
                <w:szCs w:val="20"/>
                <w:color w:val="auto"/>
              </w:rPr>
              <w:t>USD [*]</w:t>
            </w:r>
          </w:p>
        </w:tc>
      </w:tr>
      <w:tr>
        <w:trPr>
          <w:trHeight w:val="446"/>
        </w:trPr>
        <w:tc>
          <w:tcPr>
            <w:tcW w:w="260" w:type="dxa"/>
            <w:vAlign w:val="bottom"/>
          </w:tcPr>
          <w:p>
            <w:pPr>
              <w:spacing w:after="0"/>
              <w:rPr>
                <w:sz w:val="20"/>
                <w:szCs w:val="20"/>
                <w:color w:val="auto"/>
              </w:rPr>
            </w:pPr>
            <w:r>
              <w:rPr>
                <w:rFonts w:ascii="Arial" w:cs="Arial" w:eastAsia="Arial" w:hAnsi="Arial"/>
                <w:sz w:val="20"/>
                <w:szCs w:val="20"/>
                <w:color w:val="auto"/>
                <w:w w:val="89"/>
              </w:rPr>
              <w:t>Q3</w:t>
            </w:r>
          </w:p>
        </w:tc>
        <w:tc>
          <w:tcPr>
            <w:tcW w:w="1020" w:type="dxa"/>
            <w:vAlign w:val="bottom"/>
          </w:tcPr>
          <w:p>
            <w:pPr>
              <w:ind w:left="20"/>
              <w:spacing w:after="0"/>
              <w:rPr>
                <w:sz w:val="20"/>
                <w:szCs w:val="20"/>
                <w:color w:val="auto"/>
              </w:rPr>
            </w:pPr>
            <w:r>
              <w:rPr>
                <w:rFonts w:ascii="Arial" w:cs="Arial" w:eastAsia="Arial" w:hAnsi="Arial"/>
                <w:sz w:val="20"/>
                <w:szCs w:val="20"/>
                <w:color w:val="auto"/>
              </w:rPr>
              <w:t>– 2016:</w:t>
            </w:r>
          </w:p>
        </w:tc>
        <w:tc>
          <w:tcPr>
            <w:tcW w:w="1740" w:type="dxa"/>
            <w:vAlign w:val="bottom"/>
          </w:tcPr>
          <w:p>
            <w:pPr>
              <w:ind w:left="400"/>
              <w:spacing w:after="0"/>
              <w:rPr>
                <w:sz w:val="20"/>
                <w:szCs w:val="20"/>
                <w:color w:val="auto"/>
              </w:rPr>
            </w:pPr>
            <w:r>
              <w:rPr>
                <w:rFonts w:ascii="Arial" w:cs="Arial" w:eastAsia="Arial" w:hAnsi="Arial"/>
                <w:sz w:val="20"/>
                <w:szCs w:val="20"/>
                <w:color w:val="auto"/>
              </w:rPr>
              <w:t>USD [*]</w:t>
            </w:r>
          </w:p>
        </w:tc>
      </w:tr>
      <w:tr>
        <w:trPr>
          <w:trHeight w:val="446"/>
        </w:trPr>
        <w:tc>
          <w:tcPr>
            <w:tcW w:w="260" w:type="dxa"/>
            <w:vAlign w:val="bottom"/>
          </w:tcPr>
          <w:p>
            <w:pPr>
              <w:spacing w:after="0"/>
              <w:rPr>
                <w:sz w:val="20"/>
                <w:szCs w:val="20"/>
                <w:color w:val="auto"/>
              </w:rPr>
            </w:pPr>
            <w:r>
              <w:rPr>
                <w:rFonts w:ascii="Arial" w:cs="Arial" w:eastAsia="Arial" w:hAnsi="Arial"/>
                <w:sz w:val="20"/>
                <w:szCs w:val="20"/>
                <w:color w:val="auto"/>
                <w:w w:val="89"/>
              </w:rPr>
              <w:t>Q4</w:t>
            </w:r>
          </w:p>
        </w:tc>
        <w:tc>
          <w:tcPr>
            <w:tcW w:w="2760" w:type="dxa"/>
            <w:vAlign w:val="bottom"/>
            <w:gridSpan w:val="2"/>
          </w:tcPr>
          <w:p>
            <w:pPr>
              <w:ind w:left="20"/>
              <w:spacing w:after="0"/>
              <w:rPr>
                <w:sz w:val="20"/>
                <w:szCs w:val="20"/>
                <w:color w:val="auto"/>
              </w:rPr>
            </w:pPr>
            <w:r>
              <w:rPr>
                <w:rFonts w:ascii="Arial" w:cs="Arial" w:eastAsia="Arial" w:hAnsi="Arial"/>
                <w:sz w:val="20"/>
                <w:szCs w:val="20"/>
                <w:color w:val="auto"/>
              </w:rPr>
              <w:t>– 2016 through 2017:[*]</w:t>
            </w:r>
          </w:p>
        </w:tc>
      </w:tr>
    </w:tbl>
    <w:p>
      <w:pPr>
        <w:spacing w:after="0" w:line="195" w:lineRule="exact"/>
        <w:rPr>
          <w:sz w:val="20"/>
          <w:szCs w:val="20"/>
          <w:color w:val="auto"/>
        </w:rPr>
      </w:pPr>
    </w:p>
    <w:p>
      <w:pPr>
        <w:jc w:val="both"/>
        <w:ind w:left="1960"/>
        <w:spacing w:after="0" w:line="250" w:lineRule="auto"/>
        <w:rPr>
          <w:sz w:val="20"/>
          <w:szCs w:val="20"/>
          <w:color w:val="auto"/>
        </w:rPr>
      </w:pPr>
      <w:r>
        <w:rPr>
          <w:rFonts w:ascii="Arial" w:cs="Arial" w:eastAsia="Arial" w:hAnsi="Arial"/>
          <w:sz w:val="20"/>
          <w:szCs w:val="20"/>
          <w:color w:val="auto"/>
        </w:rPr>
        <w:t>All Unit Prices are FCA Eliiy factory location, Japan (Incoterms 2010). Unit Price is determined based on the Delivery Date. The parties shall mutually agree to all future pricing during the Term no later than [*] before the pricing goes into effect.</w:t>
      </w:r>
    </w:p>
    <w:p>
      <w:pPr>
        <w:spacing w:after="0" w:line="186" w:lineRule="exact"/>
        <w:rPr>
          <w:sz w:val="20"/>
          <w:szCs w:val="20"/>
          <w:color w:val="auto"/>
        </w:rPr>
      </w:pPr>
    </w:p>
    <w:p>
      <w:pPr>
        <w:jc w:val="both"/>
        <w:ind w:left="2600" w:hanging="647"/>
        <w:spacing w:after="0" w:line="271" w:lineRule="auto"/>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Unless otherwise agreed in writing, the Unit Prices are in US dollars and are exclusive of all taxes, duties, tariffs, and assessments, and Enphase will pay all taxes, duties and assessments including but not limited to sales, use, VAT, withholding tax and other taxes, if any, arising on or measured by amounts payable to Eliiy under this Agreement. To the extent that the Exchange Rate on the last day of any quarter has changed more than [*] from the Effective Exchange Rate, the Unit Prices for purchases beginning the first day of the following quarter shall be adjusted based on changes in the Exchange Rate as reported on the last business day of the prior calendar quarter. “Exchange Rate” is defined as the closing currency exchange rate of the United States Dollar to the Japanese Yen as quoted on the Wall Street Journal. “Effective Exchange Rate” shall mean [*], or to the extent Unit Prices have previously been adjusted pursuant to this Section 3(f)(i)(A), the Exchange Rate on last day of any quarter proceeding such adjustment .</w:t>
      </w:r>
    </w:p>
    <w:p>
      <w:pPr>
        <w:spacing w:after="0" w:line="174" w:lineRule="exact"/>
        <w:rPr>
          <w:rFonts w:ascii="Arial" w:cs="Arial" w:eastAsia="Arial" w:hAnsi="Arial"/>
          <w:sz w:val="18"/>
          <w:szCs w:val="18"/>
          <w:color w:val="auto"/>
        </w:rPr>
      </w:pPr>
    </w:p>
    <w:p>
      <w:pPr>
        <w:ind w:left="2600" w:hanging="647"/>
        <w:spacing w:after="0" w:line="260" w:lineRule="auto"/>
        <w:tabs>
          <w:tab w:leader="none" w:pos="260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Terms</w:t>
      </w:r>
      <w:r>
        <w:rPr>
          <w:rFonts w:ascii="Arial" w:cs="Arial" w:eastAsia="Arial" w:hAnsi="Arial"/>
          <w:sz w:val="20"/>
          <w:szCs w:val="20"/>
          <w:color w:val="auto"/>
        </w:rPr>
        <w:t>. Enphase shall pay Eliiy the amount specified in a Purchase Order accepted by Eliiy net [*] from Enphase’s receipt of an undisputed invoice.</w:t>
      </w:r>
    </w:p>
    <w:p>
      <w:pPr>
        <w:spacing w:after="0" w:line="176" w:lineRule="exact"/>
        <w:rPr>
          <w:rFonts w:ascii="Arial" w:cs="Arial" w:eastAsia="Arial" w:hAnsi="Arial"/>
          <w:sz w:val="20"/>
          <w:szCs w:val="20"/>
          <w:color w:val="auto"/>
        </w:rPr>
      </w:pPr>
    </w:p>
    <w:p>
      <w:pPr>
        <w:jc w:val="both"/>
        <w:ind w:left="2600" w:hanging="647"/>
        <w:spacing w:after="0" w:line="244" w:lineRule="auto"/>
        <w:tabs>
          <w:tab w:leader="none" w:pos="260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Late Payment</w:t>
      </w:r>
      <w:r>
        <w:rPr>
          <w:rFonts w:ascii="Arial" w:cs="Arial" w:eastAsia="Arial" w:hAnsi="Arial"/>
          <w:sz w:val="20"/>
          <w:szCs w:val="20"/>
          <w:color w:val="auto"/>
        </w:rPr>
        <w:t>. Any undisputed amount not paid by Enphase to Eliiy when due shall accrue interest at the rate of [*] beginning on the date that is [*] after Enphase has received Eliiy’s written notice that such undisputed amount has not been paid. Eliiy may suspend the deliveries of accepted Purchase Orders if: (a) Eliiy has provided notice that Enphase has not paid a undisputed invoice; and (b) Enphase has not paid the undisputed invoice after a cure period of [*].</w:t>
      </w: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right="740"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600" w:hanging="647"/>
        <w:spacing w:after="0" w:line="263" w:lineRule="auto"/>
        <w:tabs>
          <w:tab w:leader="none" w:pos="2600" w:val="left"/>
        </w:tabs>
        <w:numPr>
          <w:ilvl w:val="3"/>
          <w:numId w:val="34"/>
        </w:numPr>
        <w:rPr>
          <w:rFonts w:ascii="Arial" w:cs="Arial" w:eastAsia="Arial" w:hAnsi="Arial"/>
          <w:sz w:val="19"/>
          <w:szCs w:val="19"/>
          <w:color w:val="auto"/>
        </w:rPr>
      </w:pPr>
      <w:r>
        <w:rPr>
          <w:rFonts w:ascii="Arial" w:cs="Arial" w:eastAsia="Arial" w:hAnsi="Arial"/>
          <w:sz w:val="19"/>
          <w:szCs w:val="19"/>
          <w:u w:val="single" w:color="auto"/>
          <w:color w:val="auto"/>
        </w:rPr>
        <w:t>Payments Not Acceptance of Product</w:t>
      </w:r>
      <w:r>
        <w:rPr>
          <w:rFonts w:ascii="Arial" w:cs="Arial" w:eastAsia="Arial" w:hAnsi="Arial"/>
          <w:sz w:val="19"/>
          <w:szCs w:val="19"/>
          <w:color w:val="auto"/>
        </w:rPr>
        <w:t>. No payment made hereunder shall be considered or deemed to represent that Enphase has inspected the Product or checked the quality or quantity thereof and shall not be deemed or construed as approval or acceptance of any Product, or as a waiver of any claim or right that Enphase may then or thereafter have, including any rejection or warranty right.</w:t>
      </w:r>
    </w:p>
    <w:p>
      <w:pPr>
        <w:spacing w:after="0" w:line="187" w:lineRule="exact"/>
        <w:rPr>
          <w:rFonts w:ascii="Arial" w:cs="Arial" w:eastAsia="Arial" w:hAnsi="Arial"/>
          <w:sz w:val="19"/>
          <w:szCs w:val="19"/>
          <w:color w:val="auto"/>
        </w:rPr>
      </w:pPr>
    </w:p>
    <w:p>
      <w:pPr>
        <w:ind w:left="1300" w:hanging="644"/>
        <w:spacing w:after="0"/>
        <w:tabs>
          <w:tab w:leader="none" w:pos="1300" w:val="left"/>
        </w:tabs>
        <w:numPr>
          <w:ilvl w:val="1"/>
          <w:numId w:val="35"/>
        </w:numPr>
        <w:rPr>
          <w:rFonts w:ascii="Arial" w:cs="Arial" w:eastAsia="Arial" w:hAnsi="Arial"/>
          <w:sz w:val="22"/>
          <w:szCs w:val="22"/>
          <w:i w:val="1"/>
          <w:iCs w:val="1"/>
          <w:color w:val="auto"/>
        </w:rPr>
      </w:pPr>
      <w:r>
        <w:rPr>
          <w:rFonts w:ascii="Arial" w:cs="Arial" w:eastAsia="Arial" w:hAnsi="Arial"/>
          <w:sz w:val="20"/>
          <w:szCs w:val="20"/>
          <w:u w:val="single" w:color="auto"/>
          <w:color w:val="auto"/>
        </w:rPr>
        <w:t>Packaging and Delivery</w:t>
      </w:r>
      <w:r>
        <w:rPr>
          <w:rFonts w:ascii="Arial" w:cs="Arial" w:eastAsia="Arial" w:hAnsi="Arial"/>
          <w:sz w:val="20"/>
          <w:szCs w:val="20"/>
          <w:color w:val="auto"/>
        </w:rPr>
        <w:t>.</w:t>
      </w:r>
    </w:p>
    <w:p>
      <w:pPr>
        <w:spacing w:after="0" w:line="222" w:lineRule="exact"/>
        <w:rPr>
          <w:rFonts w:ascii="Arial" w:cs="Arial" w:eastAsia="Arial" w:hAnsi="Arial"/>
          <w:sz w:val="22"/>
          <w:szCs w:val="22"/>
          <w:i w:val="1"/>
          <w:iCs w:val="1"/>
          <w:color w:val="auto"/>
        </w:rPr>
      </w:pPr>
    </w:p>
    <w:p>
      <w:pPr>
        <w:jc w:val="both"/>
        <w:ind w:left="1960" w:hanging="655"/>
        <w:spacing w:after="0" w:line="265" w:lineRule="auto"/>
        <w:tabs>
          <w:tab w:leader="none" w:pos="1960" w:val="left"/>
        </w:tabs>
        <w:numPr>
          <w:ilvl w:val="2"/>
          <w:numId w:val="35"/>
        </w:numPr>
        <w:rPr>
          <w:rFonts w:ascii="Arial" w:cs="Arial" w:eastAsia="Arial" w:hAnsi="Arial"/>
          <w:sz w:val="22"/>
          <w:szCs w:val="22"/>
          <w:i w:val="1"/>
          <w:iCs w:val="1"/>
          <w:color w:val="auto"/>
        </w:rPr>
      </w:pPr>
      <w:r>
        <w:rPr>
          <w:rFonts w:ascii="Arial" w:cs="Arial" w:eastAsia="Arial" w:hAnsi="Arial"/>
          <w:sz w:val="20"/>
          <w:szCs w:val="20"/>
          <w:color w:val="auto"/>
        </w:rPr>
        <w:t>All Product purchased by Enphase and sold by Eliiy under Purchase Orders entered pursuant to this Agreement shall be packaged in accordance with applicable Laws and delivered by Eliiy to Enphase according to FCA Eliiy factory location, Japan (Incoterms 2010) (the “</w:t>
      </w:r>
      <w:r>
        <w:rPr>
          <w:rFonts w:ascii="Arial" w:cs="Arial" w:eastAsia="Arial" w:hAnsi="Arial"/>
          <w:sz w:val="20"/>
          <w:szCs w:val="20"/>
          <w:b w:val="1"/>
          <w:bCs w:val="1"/>
          <w:color w:val="auto"/>
        </w:rPr>
        <w:t>Delivery Point</w:t>
      </w:r>
      <w:r>
        <w:rPr>
          <w:rFonts w:ascii="Arial" w:cs="Arial" w:eastAsia="Arial" w:hAnsi="Arial"/>
          <w:sz w:val="20"/>
          <w:szCs w:val="20"/>
          <w:color w:val="auto"/>
        </w:rPr>
        <w:t>”).</w:t>
      </w:r>
    </w:p>
    <w:p>
      <w:pPr>
        <w:spacing w:after="0" w:line="198" w:lineRule="exact"/>
        <w:rPr>
          <w:rFonts w:ascii="Arial" w:cs="Arial" w:eastAsia="Arial" w:hAnsi="Arial"/>
          <w:sz w:val="22"/>
          <w:szCs w:val="22"/>
          <w:i w:val="1"/>
          <w:iCs w:val="1"/>
          <w:color w:val="auto"/>
        </w:rPr>
      </w:pPr>
    </w:p>
    <w:p>
      <w:pPr>
        <w:ind w:left="1960" w:right="20" w:hanging="655"/>
        <w:spacing w:after="0" w:line="265" w:lineRule="auto"/>
        <w:tabs>
          <w:tab w:leader="none" w:pos="1960" w:val="left"/>
        </w:tabs>
        <w:numPr>
          <w:ilvl w:val="2"/>
          <w:numId w:val="35"/>
        </w:numPr>
        <w:rPr>
          <w:rFonts w:ascii="Arial" w:cs="Arial" w:eastAsia="Arial" w:hAnsi="Arial"/>
          <w:sz w:val="22"/>
          <w:szCs w:val="22"/>
          <w:i w:val="1"/>
          <w:iCs w:val="1"/>
          <w:color w:val="auto"/>
        </w:rPr>
      </w:pPr>
      <w:r>
        <w:rPr>
          <w:rFonts w:ascii="Arial" w:cs="Arial" w:eastAsia="Arial" w:hAnsi="Arial"/>
          <w:sz w:val="20"/>
          <w:szCs w:val="20"/>
          <w:color w:val="auto"/>
        </w:rPr>
        <w:t>If, after proper due diligence by both parties, the parties determine in good faith that [*], then the Product may be [*]. Eliiy shall [*] if [*].</w:t>
      </w:r>
    </w:p>
    <w:p>
      <w:pPr>
        <w:spacing w:after="0" w:line="196" w:lineRule="exact"/>
        <w:rPr>
          <w:rFonts w:ascii="Arial" w:cs="Arial" w:eastAsia="Arial" w:hAnsi="Arial"/>
          <w:sz w:val="22"/>
          <w:szCs w:val="22"/>
          <w:i w:val="1"/>
          <w:iCs w:val="1"/>
          <w:color w:val="auto"/>
        </w:rPr>
      </w:pPr>
    </w:p>
    <w:p>
      <w:pPr>
        <w:jc w:val="both"/>
        <w:ind w:left="1960" w:hanging="655"/>
        <w:spacing w:after="0" w:line="283" w:lineRule="auto"/>
        <w:tabs>
          <w:tab w:leader="none" w:pos="1960" w:val="left"/>
        </w:tabs>
        <w:numPr>
          <w:ilvl w:val="2"/>
          <w:numId w:val="35"/>
        </w:numPr>
        <w:rPr>
          <w:rFonts w:ascii="Arial" w:cs="Arial" w:eastAsia="Arial" w:hAnsi="Arial"/>
          <w:sz w:val="21"/>
          <w:szCs w:val="21"/>
          <w:i w:val="1"/>
          <w:iCs w:val="1"/>
          <w:color w:val="auto"/>
        </w:rPr>
      </w:pPr>
      <w:r>
        <w:rPr>
          <w:rFonts w:ascii="Arial" w:cs="Arial" w:eastAsia="Arial" w:hAnsi="Arial"/>
          <w:sz w:val="19"/>
          <w:szCs w:val="19"/>
          <w:color w:val="auto"/>
        </w:rPr>
        <w:t>Eliiy shall cause the carrier to inspect the packaging of the Product prior to its loading of the Product, and the carrier shall have the authority to reject Product on behalf of Enphase if the packaging is damaged. Eliiy shall, in advance of Delivery Date provide to Enphase’s freight forwarder all documentation required for the ocean carrier to issue bill of lading. To the extent not included in the foregoing, Eliiy shall provide an itemized list of all Product delivered to a carrier for each shipment in order to validate the quantity and type of Product delivered.</w:t>
      </w:r>
    </w:p>
    <w:p>
      <w:pPr>
        <w:spacing w:after="0" w:line="183" w:lineRule="exact"/>
        <w:rPr>
          <w:rFonts w:ascii="Arial" w:cs="Arial" w:eastAsia="Arial" w:hAnsi="Arial"/>
          <w:sz w:val="21"/>
          <w:szCs w:val="21"/>
          <w:i w:val="1"/>
          <w:iCs w:val="1"/>
          <w:color w:val="auto"/>
        </w:rPr>
      </w:pPr>
    </w:p>
    <w:p>
      <w:pPr>
        <w:jc w:val="both"/>
        <w:ind w:left="1960" w:hanging="655"/>
        <w:spacing w:after="0" w:line="284" w:lineRule="auto"/>
        <w:tabs>
          <w:tab w:leader="none" w:pos="1960" w:val="left"/>
        </w:tabs>
        <w:numPr>
          <w:ilvl w:val="2"/>
          <w:numId w:val="35"/>
        </w:numPr>
        <w:rPr>
          <w:rFonts w:ascii="Arial" w:cs="Arial" w:eastAsia="Arial" w:hAnsi="Arial"/>
          <w:sz w:val="21"/>
          <w:szCs w:val="21"/>
          <w:i w:val="1"/>
          <w:iCs w:val="1"/>
          <w:color w:val="auto"/>
        </w:rPr>
      </w:pPr>
      <w:r>
        <w:rPr>
          <w:rFonts w:ascii="Arial" w:cs="Arial" w:eastAsia="Arial" w:hAnsi="Arial"/>
          <w:sz w:val="19"/>
          <w:szCs w:val="19"/>
          <w:color w:val="auto"/>
        </w:rPr>
        <w:t>From the Effective Date until [*], Enphase shall reimburse Eliiy for the reasonable costs and expenses related to the incremental costs for complying with clearing the Product for international shipment pursuant to the requirements of FCA Eliiy factory location, Japan (Incoterms 2010) (excluding packaging requirements).</w:t>
      </w:r>
    </w:p>
    <w:p>
      <w:pPr>
        <w:spacing w:after="0" w:line="183" w:lineRule="exact"/>
        <w:rPr>
          <w:rFonts w:ascii="Arial" w:cs="Arial" w:eastAsia="Arial" w:hAnsi="Arial"/>
          <w:sz w:val="21"/>
          <w:szCs w:val="21"/>
          <w:i w:val="1"/>
          <w:iCs w:val="1"/>
          <w:color w:val="auto"/>
        </w:rPr>
      </w:pPr>
    </w:p>
    <w:p>
      <w:pPr>
        <w:jc w:val="both"/>
        <w:ind w:left="1300" w:hanging="644"/>
        <w:spacing w:after="0" w:line="282" w:lineRule="auto"/>
        <w:tabs>
          <w:tab w:leader="none" w:pos="1300" w:val="left"/>
        </w:tabs>
        <w:numPr>
          <w:ilvl w:val="1"/>
          <w:numId w:val="35"/>
        </w:numPr>
        <w:rPr>
          <w:rFonts w:ascii="Arial" w:cs="Arial" w:eastAsia="Arial" w:hAnsi="Arial"/>
          <w:sz w:val="21"/>
          <w:szCs w:val="21"/>
          <w:i w:val="1"/>
          <w:iCs w:val="1"/>
          <w:color w:val="auto"/>
        </w:rPr>
      </w:pPr>
      <w:r>
        <w:rPr>
          <w:rFonts w:ascii="Arial" w:cs="Arial" w:eastAsia="Arial" w:hAnsi="Arial"/>
          <w:sz w:val="19"/>
          <w:szCs w:val="19"/>
          <w:u w:val="single" w:color="auto"/>
          <w:color w:val="auto"/>
        </w:rPr>
        <w:t>Acceptance and Rejection</w:t>
      </w:r>
      <w:r>
        <w:rPr>
          <w:rFonts w:ascii="Arial" w:cs="Arial" w:eastAsia="Arial" w:hAnsi="Arial"/>
          <w:sz w:val="19"/>
          <w:szCs w:val="19"/>
          <w:color w:val="auto"/>
        </w:rPr>
        <w:t>. Enphase shall use commercially reasonable efforts to inspect the Product within a reasonable period of time following arrival of the Product at the Delivery Point. Enphase or its representatives may reject any non-conforming Product or shipments of Product [*]: (a) [*] following the discovery of any Product that does not conform with the applicable Specification, the applicable Purchase Order, or any other requirement set forth in this Agreement; or (b) [*] following the date of delivery at the Delivery Point. Title to the Product shall pass from Eliiy to Enphase at the Delivery Point when such Product have been loaded on the carrier’s means of transport.</w:t>
      </w:r>
    </w:p>
    <w:p>
      <w:pPr>
        <w:spacing w:after="0" w:line="188" w:lineRule="exact"/>
        <w:rPr>
          <w:rFonts w:ascii="Arial" w:cs="Arial" w:eastAsia="Arial" w:hAnsi="Arial"/>
          <w:sz w:val="21"/>
          <w:szCs w:val="21"/>
          <w:i w:val="1"/>
          <w:iCs w:val="1"/>
          <w:color w:val="auto"/>
        </w:rPr>
      </w:pPr>
    </w:p>
    <w:p>
      <w:pPr>
        <w:jc w:val="both"/>
        <w:ind w:left="1300" w:hanging="644"/>
        <w:spacing w:after="0" w:line="266" w:lineRule="auto"/>
        <w:tabs>
          <w:tab w:leader="none" w:pos="1300" w:val="left"/>
        </w:tabs>
        <w:numPr>
          <w:ilvl w:val="1"/>
          <w:numId w:val="35"/>
        </w:numPr>
        <w:rPr>
          <w:rFonts w:ascii="Arial" w:cs="Arial" w:eastAsia="Arial" w:hAnsi="Arial"/>
          <w:sz w:val="22"/>
          <w:szCs w:val="22"/>
          <w:i w:val="1"/>
          <w:iCs w:val="1"/>
          <w:color w:val="auto"/>
        </w:rPr>
      </w:pPr>
      <w:r>
        <w:rPr>
          <w:rFonts w:ascii="Arial" w:cs="Arial" w:eastAsia="Arial" w:hAnsi="Arial"/>
          <w:sz w:val="20"/>
          <w:szCs w:val="20"/>
          <w:u w:val="single" w:color="auto"/>
          <w:color w:val="auto"/>
        </w:rPr>
        <w:t>Product Warranty and RMA Procedure</w:t>
      </w:r>
      <w:r>
        <w:rPr>
          <w:rFonts w:ascii="Arial" w:cs="Arial" w:eastAsia="Arial" w:hAnsi="Arial"/>
          <w:sz w:val="20"/>
          <w:szCs w:val="20"/>
          <w:color w:val="auto"/>
        </w:rPr>
        <w:t xml:space="preserve">. Eliiy shall offer an [*] Warranty for the Product as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 The Warranty Period begins on the Delivery Date of the Product provided that the RMA Procedure and warranty precautions and exclusions shall be agreed upon by both parties prior to the Delivery Date. The parties shall work in good faith to: (i) complete the RMA Procedure on or before [*]; and (ii) agree to reasonable warranty precautions and exclusions on or before [*] from the Effective Date.</w:t>
      </w:r>
    </w:p>
    <w:p>
      <w:pPr>
        <w:spacing w:after="0" w:line="199" w:lineRule="exact"/>
        <w:rPr>
          <w:rFonts w:ascii="Arial" w:cs="Arial" w:eastAsia="Arial" w:hAnsi="Arial"/>
          <w:sz w:val="22"/>
          <w:szCs w:val="22"/>
          <w:i w:val="1"/>
          <w:iCs w:val="1"/>
          <w:color w:val="auto"/>
        </w:rPr>
      </w:pPr>
    </w:p>
    <w:p>
      <w:pPr>
        <w:ind w:left="1300" w:hanging="644"/>
        <w:spacing w:after="0"/>
        <w:tabs>
          <w:tab w:leader="none" w:pos="1300" w:val="left"/>
        </w:tabs>
        <w:numPr>
          <w:ilvl w:val="1"/>
          <w:numId w:val="35"/>
        </w:numPr>
        <w:rPr>
          <w:rFonts w:ascii="Arial" w:cs="Arial" w:eastAsia="Arial" w:hAnsi="Arial"/>
          <w:sz w:val="21"/>
          <w:szCs w:val="21"/>
          <w:i w:val="1"/>
          <w:iCs w:val="1"/>
          <w:color w:val="auto"/>
        </w:rPr>
      </w:pPr>
      <w:r>
        <w:rPr>
          <w:rFonts w:ascii="Arial" w:cs="Arial" w:eastAsia="Arial" w:hAnsi="Arial"/>
          <w:sz w:val="19"/>
          <w:szCs w:val="19"/>
          <w:u w:val="single" w:color="auto"/>
          <w:color w:val="auto"/>
        </w:rPr>
        <w:t>Epidemic Failure</w:t>
      </w:r>
      <w:r>
        <w:rPr>
          <w:rFonts w:ascii="Arial" w:cs="Arial" w:eastAsia="Arial" w:hAnsi="Arial"/>
          <w:sz w:val="19"/>
          <w:szCs w:val="19"/>
          <w:color w:val="auto"/>
        </w:rPr>
        <w:t>. The rights and obligations set forth in this section will apply if at any time during the Term: (a) Eliiy</w:t>
      </w:r>
    </w:p>
    <w:p>
      <w:pPr>
        <w:spacing w:after="0" w:line="28" w:lineRule="exact"/>
        <w:rPr>
          <w:rFonts w:ascii="Arial" w:cs="Arial" w:eastAsia="Arial" w:hAnsi="Arial"/>
          <w:sz w:val="21"/>
          <w:szCs w:val="21"/>
          <w:i w:val="1"/>
          <w:iCs w:val="1"/>
          <w:color w:val="auto"/>
        </w:rPr>
      </w:pPr>
    </w:p>
    <w:p>
      <w:pPr>
        <w:ind w:left="1300"/>
        <w:spacing w:after="0" w:line="275" w:lineRule="auto"/>
        <w:rPr>
          <w:rFonts w:ascii="Arial" w:cs="Arial" w:eastAsia="Arial" w:hAnsi="Arial"/>
          <w:sz w:val="21"/>
          <w:szCs w:val="21"/>
          <w:i w:val="1"/>
          <w:iCs w:val="1"/>
          <w:color w:val="auto"/>
        </w:rPr>
      </w:pPr>
      <w:r>
        <w:rPr>
          <w:rFonts w:ascii="Arial" w:cs="Arial" w:eastAsia="Arial" w:hAnsi="Arial"/>
          <w:sz w:val="20"/>
          <w:szCs w:val="20"/>
          <w:color w:val="auto"/>
        </w:rPr>
        <w:t>receives valid Warranty claims from Enphase resulting in an annualized failure rate in any rolling [*] period of: (i) [*] relating to the same failure</w:t>
      </w:r>
    </w:p>
    <w:p>
      <w:pPr>
        <w:spacing w:after="0" w:line="200" w:lineRule="exact"/>
        <w:rPr>
          <w:rFonts w:ascii="Arial" w:cs="Arial" w:eastAsia="Arial" w:hAnsi="Arial"/>
          <w:sz w:val="21"/>
          <w:szCs w:val="21"/>
          <w:i w:val="1"/>
          <w:iCs w:val="1"/>
          <w:color w:val="auto"/>
        </w:rPr>
      </w:pPr>
    </w:p>
    <w:p>
      <w:pPr>
        <w:spacing w:after="0" w:line="221" w:lineRule="exact"/>
        <w:rPr>
          <w:rFonts w:ascii="Arial" w:cs="Arial" w:eastAsia="Arial" w:hAnsi="Arial"/>
          <w:sz w:val="21"/>
          <w:szCs w:val="21"/>
          <w:i w:val="1"/>
          <w:iCs w:val="1"/>
          <w:color w:val="auto"/>
        </w:rPr>
      </w:pPr>
    </w:p>
    <w:p>
      <w:pPr>
        <w:ind w:right="74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300"/>
        <w:spacing w:after="0" w:line="300" w:lineRule="auto"/>
        <w:rPr>
          <w:sz w:val="20"/>
          <w:szCs w:val="20"/>
          <w:color w:val="auto"/>
        </w:rPr>
      </w:pPr>
      <w:r>
        <w:rPr>
          <w:rFonts w:ascii="Arial" w:cs="Arial" w:eastAsia="Arial" w:hAnsi="Arial"/>
          <w:sz w:val="18"/>
          <w:szCs w:val="18"/>
          <w:color w:val="auto"/>
        </w:rPr>
        <w:t>mode, (ii) or [*] for all cumulative failure modes; or (b) Eliiy recalls any Product. If after a valid and proper RMA Procedure, Enphase notifies Eliiy that the Epidemic Failure threshold has been met or Eliiy notifies Enphase of a recall for any Product, Eliiy shall: (a) contain the problem within [*]; (b) perform a root cause analysis within [*]; and (c) provide Enphase with a written report explaining the likely causes of the serial defect and how Eliiy intends to address the matter. Eliiy shall promptly, at its sole cost and expense and without the need for Enphase to make a further claim under the Warranty, address the serial defect in each Product sold to Enphase under this Agreement. Eliiy shall address the serial defect through replacement, refund or another remedy that Enphase reasonably deems appropriate and technically feasible under its Warranty, provided that such solution addresses the defect. Eliiy’s associated costs of replacement for the Product may include, but are not limited to: freight, storage, failure analyzing, labor, truck roll, installation and disposal. Enphase may, upon written notice and without being in breach or default of its obligations under this Agreement or any Purchase Order: (i) suspend issuances of Purchase Orders for such Product; (ii) direct Eliiy to suspend deliveries of such Product to the Delivery Point; or (iii) reject any such Product then in storage at Enphase’s facility, or any contracted storage facility, and Eliiy shall arrange for the proper disposal of such rejected Product and bear all expenses related to such disposal. The foregoing remedies are not exclusive, and Enphase may elect to apply one remedy with respect to certain Product and a different remedy with respect to other Product; provided however, that the parties agree that the Annual Volume requirements set forth in Section 3.e shall be renegotiated in good faith within no more than [*] of a written notice from Enphase. Enphase shall not be obligated to resume performance under this Agreement until Eliiy has supplied evidence reasonably satisfactory to Enphase to demonstrate the defect has been addressed with respect to manufacturing additional Product. The foregoing obligations are separate from the obligations of either party which the parties shall undertake in the course of the RMA process.</w:t>
      </w:r>
    </w:p>
    <w:p>
      <w:pPr>
        <w:spacing w:after="0" w:line="173" w:lineRule="exact"/>
        <w:rPr>
          <w:sz w:val="20"/>
          <w:szCs w:val="20"/>
          <w:color w:val="auto"/>
        </w:rPr>
      </w:pPr>
    </w:p>
    <w:p>
      <w:pPr>
        <w:ind w:left="1300" w:hanging="644"/>
        <w:spacing w:after="0"/>
        <w:tabs>
          <w:tab w:leader="none" w:pos="1300" w:val="left"/>
        </w:tabs>
        <w:numPr>
          <w:ilvl w:val="1"/>
          <w:numId w:val="36"/>
        </w:numPr>
        <w:rPr>
          <w:rFonts w:ascii="Arial" w:cs="Arial" w:eastAsia="Arial" w:hAnsi="Arial"/>
          <w:sz w:val="22"/>
          <w:szCs w:val="22"/>
          <w:i w:val="1"/>
          <w:iCs w:val="1"/>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9" w:lineRule="exact"/>
        <w:rPr>
          <w:rFonts w:ascii="Arial" w:cs="Arial" w:eastAsia="Arial" w:hAnsi="Arial"/>
          <w:sz w:val="22"/>
          <w:szCs w:val="22"/>
          <w:i w:val="1"/>
          <w:iCs w:val="1"/>
          <w:color w:val="auto"/>
        </w:rPr>
      </w:pPr>
    </w:p>
    <w:p>
      <w:pPr>
        <w:ind w:left="1960" w:hanging="655"/>
        <w:spacing w:after="0"/>
        <w:tabs>
          <w:tab w:leader="none" w:pos="1960" w:val="left"/>
        </w:tabs>
        <w:numPr>
          <w:ilvl w:val="2"/>
          <w:numId w:val="36"/>
        </w:numPr>
        <w:rPr>
          <w:rFonts w:ascii="Arial" w:cs="Arial" w:eastAsia="Arial" w:hAnsi="Arial"/>
          <w:sz w:val="22"/>
          <w:szCs w:val="22"/>
          <w:color w:val="auto"/>
        </w:rPr>
      </w:pPr>
      <w:r>
        <w:rPr>
          <w:rFonts w:ascii="Arial" w:cs="Arial" w:eastAsia="Arial" w:hAnsi="Arial"/>
          <w:sz w:val="20"/>
          <w:szCs w:val="20"/>
          <w:u w:val="single" w:color="auto"/>
          <w:color w:val="auto"/>
        </w:rPr>
        <w:t>Representations and Warranties of Eliiy</w:t>
      </w:r>
      <w:r>
        <w:rPr>
          <w:rFonts w:ascii="Arial" w:cs="Arial" w:eastAsia="Arial" w:hAnsi="Arial"/>
          <w:sz w:val="20"/>
          <w:szCs w:val="20"/>
          <w:color w:val="auto"/>
        </w:rPr>
        <w:t>. Eliiy represents and warrants that: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3"/>
          <w:numId w:val="36"/>
        </w:numPr>
        <w:rPr>
          <w:rFonts w:ascii="Arial" w:cs="Arial" w:eastAsia="Arial" w:hAnsi="Arial"/>
          <w:sz w:val="22"/>
          <w:szCs w:val="22"/>
          <w:color w:val="auto"/>
        </w:rPr>
      </w:pPr>
      <w:r>
        <w:rPr>
          <w:rFonts w:ascii="Arial" w:cs="Arial" w:eastAsia="Arial" w:hAnsi="Arial"/>
          <w:sz w:val="20"/>
          <w:szCs w:val="20"/>
          <w:color w:val="auto"/>
        </w:rPr>
        <w:t>it has full authority to execute this Agreement;</w:t>
      </w:r>
    </w:p>
    <w:p>
      <w:pPr>
        <w:spacing w:after="0" w:line="222" w:lineRule="exact"/>
        <w:rPr>
          <w:rFonts w:ascii="Arial" w:cs="Arial" w:eastAsia="Arial" w:hAnsi="Arial"/>
          <w:sz w:val="22"/>
          <w:szCs w:val="22"/>
          <w:color w:val="auto"/>
        </w:rPr>
      </w:pPr>
    </w:p>
    <w:p>
      <w:pPr>
        <w:ind w:left="2600" w:hanging="647"/>
        <w:spacing w:after="0" w:line="265" w:lineRule="auto"/>
        <w:tabs>
          <w:tab w:leader="none" w:pos="2600" w:val="left"/>
        </w:tabs>
        <w:numPr>
          <w:ilvl w:val="3"/>
          <w:numId w:val="36"/>
        </w:numPr>
        <w:rPr>
          <w:rFonts w:ascii="Arial" w:cs="Arial" w:eastAsia="Arial" w:hAnsi="Arial"/>
          <w:sz w:val="22"/>
          <w:szCs w:val="22"/>
          <w:color w:val="auto"/>
        </w:rPr>
      </w:pPr>
      <w:r>
        <w:rPr>
          <w:rFonts w:ascii="Arial" w:cs="Arial" w:eastAsia="Arial" w:hAnsi="Arial"/>
          <w:sz w:val="20"/>
          <w:szCs w:val="20"/>
          <w:color w:val="auto"/>
        </w:rPr>
        <w:t>it is in good standing in all jurisdictions where it currently operates and that the operation of its business is conducted pursuant to all applicable Laws in all jurisdictions where it currently operates;</w:t>
      </w:r>
    </w:p>
    <w:p>
      <w:pPr>
        <w:spacing w:after="0" w:line="196" w:lineRule="exact"/>
        <w:rPr>
          <w:rFonts w:ascii="Arial" w:cs="Arial" w:eastAsia="Arial" w:hAnsi="Arial"/>
          <w:sz w:val="22"/>
          <w:szCs w:val="22"/>
          <w:color w:val="auto"/>
        </w:rPr>
      </w:pPr>
    </w:p>
    <w:p>
      <w:pPr>
        <w:ind w:left="2600" w:hanging="647"/>
        <w:spacing w:after="0" w:line="265" w:lineRule="auto"/>
        <w:tabs>
          <w:tab w:leader="none" w:pos="2600" w:val="left"/>
        </w:tabs>
        <w:numPr>
          <w:ilvl w:val="3"/>
          <w:numId w:val="36"/>
        </w:numPr>
        <w:rPr>
          <w:rFonts w:ascii="Arial" w:cs="Arial" w:eastAsia="Arial" w:hAnsi="Arial"/>
          <w:sz w:val="22"/>
          <w:szCs w:val="22"/>
          <w:color w:val="auto"/>
        </w:rPr>
      </w:pPr>
      <w:r>
        <w:rPr>
          <w:rFonts w:ascii="Arial" w:cs="Arial" w:eastAsia="Arial" w:hAnsi="Arial"/>
          <w:sz w:val="20"/>
          <w:szCs w:val="20"/>
          <w:color w:val="auto"/>
        </w:rPr>
        <w:t>it will not be in breach of any other contract or agreement by entering into and performing under this Agreement;</w:t>
      </w:r>
    </w:p>
    <w:p>
      <w:pPr>
        <w:spacing w:after="0" w:line="196" w:lineRule="exact"/>
        <w:rPr>
          <w:rFonts w:ascii="Arial" w:cs="Arial" w:eastAsia="Arial" w:hAnsi="Arial"/>
          <w:sz w:val="22"/>
          <w:szCs w:val="22"/>
          <w:color w:val="auto"/>
        </w:rPr>
      </w:pPr>
    </w:p>
    <w:p>
      <w:pPr>
        <w:ind w:left="2600" w:right="20" w:hanging="647"/>
        <w:spacing w:after="0" w:line="265" w:lineRule="auto"/>
        <w:tabs>
          <w:tab w:leader="none" w:pos="2600" w:val="left"/>
        </w:tabs>
        <w:numPr>
          <w:ilvl w:val="3"/>
          <w:numId w:val="36"/>
        </w:numPr>
        <w:rPr>
          <w:rFonts w:ascii="Arial" w:cs="Arial" w:eastAsia="Arial" w:hAnsi="Arial"/>
          <w:sz w:val="22"/>
          <w:szCs w:val="22"/>
          <w:color w:val="auto"/>
        </w:rPr>
      </w:pPr>
      <w:r>
        <w:rPr>
          <w:rFonts w:ascii="Arial" w:cs="Arial" w:eastAsia="Arial" w:hAnsi="Arial"/>
          <w:sz w:val="20"/>
          <w:szCs w:val="20"/>
          <w:color w:val="auto"/>
        </w:rPr>
        <w:t>it will use reasonable efforts to assist Enphase to determine all applicable Laws respect to the manufacturing, packaging, and shipment of the Product;</w:t>
      </w:r>
    </w:p>
    <w:p>
      <w:pPr>
        <w:spacing w:after="0" w:line="196" w:lineRule="exact"/>
        <w:rPr>
          <w:rFonts w:ascii="Arial" w:cs="Arial" w:eastAsia="Arial" w:hAnsi="Arial"/>
          <w:sz w:val="22"/>
          <w:szCs w:val="22"/>
          <w:color w:val="auto"/>
        </w:rPr>
      </w:pPr>
    </w:p>
    <w:p>
      <w:pPr>
        <w:jc w:val="both"/>
        <w:ind w:left="2600" w:hanging="647"/>
        <w:spacing w:after="0" w:line="265" w:lineRule="auto"/>
        <w:tabs>
          <w:tab w:leader="none" w:pos="2600" w:val="left"/>
        </w:tabs>
        <w:numPr>
          <w:ilvl w:val="3"/>
          <w:numId w:val="36"/>
        </w:numPr>
        <w:rPr>
          <w:rFonts w:ascii="Arial" w:cs="Arial" w:eastAsia="Arial" w:hAnsi="Arial"/>
          <w:sz w:val="22"/>
          <w:szCs w:val="22"/>
          <w:color w:val="auto"/>
        </w:rPr>
      </w:pPr>
      <w:r>
        <w:rPr>
          <w:rFonts w:ascii="Arial" w:cs="Arial" w:eastAsia="Arial" w:hAnsi="Arial"/>
          <w:sz w:val="20"/>
          <w:szCs w:val="20"/>
          <w:color w:val="auto"/>
        </w:rPr>
        <w:t>all Product shall be manufactured, packaged and prepared for shipment in accordance with the Specifications, all applicable Laws and this Agreement; including, but not limited to, complying with all laws related to the handling of Dangerous Goods.</w:t>
      </w: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right="740" w:firstLine="8"/>
        <w:spacing w:after="0" w:line="27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2600" w:hanging="647"/>
        <w:spacing w:after="0" w:line="283" w:lineRule="auto"/>
        <w:tabs>
          <w:tab w:leader="none" w:pos="2600" w:val="left"/>
        </w:tabs>
        <w:numPr>
          <w:ilvl w:val="0"/>
          <w:numId w:val="37"/>
        </w:numPr>
        <w:rPr>
          <w:rFonts w:ascii="Arial" w:cs="Arial" w:eastAsia="Arial" w:hAnsi="Arial"/>
          <w:sz w:val="21"/>
          <w:szCs w:val="21"/>
          <w:color w:val="auto"/>
        </w:rPr>
      </w:pPr>
      <w:r>
        <w:rPr>
          <w:rFonts w:ascii="Arial" w:cs="Arial" w:eastAsia="Arial" w:hAnsi="Arial"/>
          <w:sz w:val="19"/>
          <w:szCs w:val="19"/>
          <w:color w:val="auto"/>
        </w:rPr>
        <w:t xml:space="preserve">Eliiy shall maintain in effect insurance in accordance with the provisions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throughout the Term. Eliiy shall use best efforts to increase the insurance coverage in amounts Enphase reasonably requests as the volumes of Product sold increases. Eliiy shall comply with the terms of any policy required to be maintained by Eliiy in connection with this Agreement. Eliiy shall use its best efforts to provide to Enphase an insurance certificate meeting the requirements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by [*].</w:t>
      </w:r>
    </w:p>
    <w:p>
      <w:pPr>
        <w:spacing w:after="0" w:line="183" w:lineRule="exact"/>
        <w:rPr>
          <w:rFonts w:ascii="Arial" w:cs="Arial" w:eastAsia="Arial" w:hAnsi="Arial"/>
          <w:sz w:val="21"/>
          <w:szCs w:val="21"/>
          <w:color w:val="auto"/>
        </w:rPr>
      </w:pPr>
    </w:p>
    <w:p>
      <w:pPr>
        <w:ind w:left="2600" w:right="20" w:hanging="647"/>
        <w:spacing w:after="0" w:line="265" w:lineRule="auto"/>
        <w:tabs>
          <w:tab w:leader="none" w:pos="2600" w:val="left"/>
        </w:tabs>
        <w:numPr>
          <w:ilvl w:val="0"/>
          <w:numId w:val="37"/>
        </w:numPr>
        <w:rPr>
          <w:rFonts w:ascii="Arial" w:cs="Arial" w:eastAsia="Arial" w:hAnsi="Arial"/>
          <w:sz w:val="22"/>
          <w:szCs w:val="22"/>
          <w:color w:val="auto"/>
        </w:rPr>
      </w:pPr>
      <w:r>
        <w:rPr>
          <w:rFonts w:ascii="Arial" w:cs="Arial" w:eastAsia="Arial" w:hAnsi="Arial"/>
          <w:sz w:val="20"/>
          <w:szCs w:val="20"/>
          <w:color w:val="auto"/>
        </w:rPr>
        <w:t>the manufacture and operation of the Product does not and shall not infringe on any intellectual property rights of third parties;</w:t>
      </w:r>
    </w:p>
    <w:p>
      <w:pPr>
        <w:spacing w:after="0" w:line="193" w:lineRule="exact"/>
        <w:rPr>
          <w:rFonts w:ascii="Arial" w:cs="Arial" w:eastAsia="Arial" w:hAnsi="Arial"/>
          <w:sz w:val="22"/>
          <w:szCs w:val="22"/>
          <w:color w:val="auto"/>
        </w:rPr>
      </w:pPr>
    </w:p>
    <w:p>
      <w:pPr>
        <w:ind w:left="2600" w:hanging="647"/>
        <w:spacing w:after="0"/>
        <w:tabs>
          <w:tab w:leader="none" w:pos="2600" w:val="left"/>
        </w:tabs>
        <w:numPr>
          <w:ilvl w:val="0"/>
          <w:numId w:val="37"/>
        </w:numPr>
        <w:rPr>
          <w:rFonts w:ascii="Arial" w:cs="Arial" w:eastAsia="Arial" w:hAnsi="Arial"/>
          <w:sz w:val="22"/>
          <w:szCs w:val="22"/>
          <w:color w:val="auto"/>
        </w:rPr>
      </w:pPr>
      <w:r>
        <w:rPr>
          <w:rFonts w:ascii="Arial" w:cs="Arial" w:eastAsia="Arial" w:hAnsi="Arial"/>
          <w:sz w:val="20"/>
          <w:szCs w:val="20"/>
          <w:color w:val="auto"/>
        </w:rPr>
        <w:t>it has no known claims made against it, realized or pending; and</w:t>
      </w:r>
    </w:p>
    <w:p>
      <w:pPr>
        <w:spacing w:after="0" w:line="222" w:lineRule="exact"/>
        <w:rPr>
          <w:rFonts w:ascii="Arial" w:cs="Arial" w:eastAsia="Arial" w:hAnsi="Arial"/>
          <w:sz w:val="22"/>
          <w:szCs w:val="22"/>
          <w:color w:val="auto"/>
        </w:rPr>
      </w:pPr>
    </w:p>
    <w:p>
      <w:pPr>
        <w:jc w:val="both"/>
        <w:ind w:left="2600" w:hanging="647"/>
        <w:spacing w:after="0" w:line="313" w:lineRule="auto"/>
        <w:tabs>
          <w:tab w:leader="none" w:pos="2600" w:val="left"/>
        </w:tabs>
        <w:numPr>
          <w:ilvl w:val="0"/>
          <w:numId w:val="37"/>
        </w:numPr>
        <w:rPr>
          <w:rFonts w:ascii="Arial" w:cs="Arial" w:eastAsia="Arial" w:hAnsi="Arial"/>
          <w:sz w:val="19"/>
          <w:szCs w:val="19"/>
          <w:color w:val="auto"/>
        </w:rPr>
      </w:pPr>
      <w:r>
        <w:rPr>
          <w:rFonts w:ascii="Arial" w:cs="Arial" w:eastAsia="Arial" w:hAnsi="Arial"/>
          <w:sz w:val="18"/>
          <w:szCs w:val="18"/>
          <w:color w:val="auto"/>
        </w:rPr>
        <w:t>no governmental approval is required on the part of Eliiy in connection with the execution, delivery and performance of this Agreement, except all governmental approvals which have been or will be timely obtained in the ordinary course of performance of this Agreement and before being required by applicable Laws.</w:t>
      </w:r>
    </w:p>
    <w:p>
      <w:pPr>
        <w:spacing w:after="0" w:line="148"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EXCEPT AS SET FORTH IN THIS AGREEMENT, ELIIY MAKES NO REPRESENTATIONS AND NO OTHER WARRANTIES OR CONDITIONS ON THE PERFORMANCE OF THE PRODUCT, EXPRESS, IMPLIED, STATUTORY, OR IN ANY OTHER PROVISION OF THIS AGREEMENT OR COMMUNICATION WITH ENPHASE, AND ELIIY SPECIFICALLY DISCLAIMS ANY IMPLIED WARRANTY OR CONDITION OF MERCHANTABILITY OR FITNESS FOR A PARTICULAR PURPOSE.</w:t>
      </w:r>
    </w:p>
    <w:p>
      <w:pPr>
        <w:spacing w:after="0" w:line="206" w:lineRule="exact"/>
        <w:rPr>
          <w:sz w:val="20"/>
          <w:szCs w:val="20"/>
          <w:color w:val="auto"/>
        </w:rPr>
      </w:pPr>
    </w:p>
    <w:p>
      <w:pPr>
        <w:ind w:left="1960" w:hanging="655"/>
        <w:spacing w:after="0"/>
        <w:tabs>
          <w:tab w:leader="none" w:pos="1960" w:val="left"/>
        </w:tabs>
        <w:numPr>
          <w:ilvl w:val="1"/>
          <w:numId w:val="38"/>
        </w:numPr>
        <w:rPr>
          <w:rFonts w:ascii="Arial" w:cs="Arial" w:eastAsia="Arial" w:hAnsi="Arial"/>
          <w:sz w:val="22"/>
          <w:szCs w:val="22"/>
          <w:color w:val="auto"/>
        </w:rPr>
      </w:pPr>
      <w:r>
        <w:rPr>
          <w:rFonts w:ascii="Arial" w:cs="Arial" w:eastAsia="Arial" w:hAnsi="Arial"/>
          <w:sz w:val="20"/>
          <w:szCs w:val="20"/>
          <w:u w:val="single" w:color="auto"/>
          <w:color w:val="auto"/>
        </w:rPr>
        <w:t>Representations and Warranties of Enphase.</w:t>
      </w:r>
      <w:r>
        <w:rPr>
          <w:rFonts w:ascii="Arial" w:cs="Arial" w:eastAsia="Arial" w:hAnsi="Arial"/>
          <w:sz w:val="20"/>
          <w:szCs w:val="20"/>
          <w:color w:val="auto"/>
        </w:rPr>
        <w:t xml:space="preserve"> Enphase represents and warrants that:</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2"/>
          <w:numId w:val="38"/>
        </w:numPr>
        <w:rPr>
          <w:rFonts w:ascii="Arial" w:cs="Arial" w:eastAsia="Arial" w:hAnsi="Arial"/>
          <w:sz w:val="22"/>
          <w:szCs w:val="22"/>
          <w:color w:val="auto"/>
        </w:rPr>
      </w:pPr>
      <w:r>
        <w:rPr>
          <w:rFonts w:ascii="Arial" w:cs="Arial" w:eastAsia="Arial" w:hAnsi="Arial"/>
          <w:sz w:val="20"/>
          <w:szCs w:val="20"/>
          <w:color w:val="auto"/>
        </w:rPr>
        <w:t>it has full authority to execute this Agreement;</w:t>
      </w:r>
    </w:p>
    <w:p>
      <w:pPr>
        <w:spacing w:after="0" w:line="222" w:lineRule="exact"/>
        <w:rPr>
          <w:rFonts w:ascii="Arial" w:cs="Arial" w:eastAsia="Arial" w:hAnsi="Arial"/>
          <w:sz w:val="22"/>
          <w:szCs w:val="22"/>
          <w:color w:val="auto"/>
        </w:rPr>
      </w:pPr>
    </w:p>
    <w:p>
      <w:pPr>
        <w:ind w:left="2600" w:hanging="647"/>
        <w:spacing w:after="0" w:line="265" w:lineRule="auto"/>
        <w:tabs>
          <w:tab w:leader="none" w:pos="2600" w:val="left"/>
        </w:tabs>
        <w:numPr>
          <w:ilvl w:val="2"/>
          <w:numId w:val="38"/>
        </w:numPr>
        <w:rPr>
          <w:rFonts w:ascii="Arial" w:cs="Arial" w:eastAsia="Arial" w:hAnsi="Arial"/>
          <w:sz w:val="22"/>
          <w:szCs w:val="22"/>
          <w:color w:val="auto"/>
        </w:rPr>
      </w:pPr>
      <w:r>
        <w:rPr>
          <w:rFonts w:ascii="Arial" w:cs="Arial" w:eastAsia="Arial" w:hAnsi="Arial"/>
          <w:sz w:val="20"/>
          <w:szCs w:val="20"/>
          <w:color w:val="auto"/>
        </w:rPr>
        <w:t>it is in good standing in all jurisdictions where it currently operates and that the operation of its business is conducted pursuant to all applicable Laws;</w:t>
      </w:r>
    </w:p>
    <w:p>
      <w:pPr>
        <w:spacing w:after="0" w:line="193" w:lineRule="exact"/>
        <w:rPr>
          <w:rFonts w:ascii="Arial" w:cs="Arial" w:eastAsia="Arial" w:hAnsi="Arial"/>
          <w:sz w:val="22"/>
          <w:szCs w:val="22"/>
          <w:color w:val="auto"/>
        </w:rPr>
      </w:pPr>
    </w:p>
    <w:p>
      <w:pPr>
        <w:ind w:left="2600" w:hanging="647"/>
        <w:spacing w:after="0"/>
        <w:tabs>
          <w:tab w:leader="none" w:pos="2600" w:val="left"/>
        </w:tabs>
        <w:numPr>
          <w:ilvl w:val="2"/>
          <w:numId w:val="38"/>
        </w:numPr>
        <w:rPr>
          <w:rFonts w:ascii="Arial" w:cs="Arial" w:eastAsia="Arial" w:hAnsi="Arial"/>
          <w:sz w:val="22"/>
          <w:szCs w:val="22"/>
          <w:color w:val="auto"/>
        </w:rPr>
      </w:pPr>
      <w:r>
        <w:rPr>
          <w:rFonts w:ascii="Arial" w:cs="Arial" w:eastAsia="Arial" w:hAnsi="Arial"/>
          <w:sz w:val="20"/>
          <w:szCs w:val="20"/>
          <w:color w:val="auto"/>
        </w:rPr>
        <w:t>it will not be in breach of any other contract or agreement by entering into this Agreement;</w:t>
      </w:r>
    </w:p>
    <w:p>
      <w:pPr>
        <w:spacing w:after="0" w:line="222" w:lineRule="exact"/>
        <w:rPr>
          <w:rFonts w:ascii="Arial" w:cs="Arial" w:eastAsia="Arial" w:hAnsi="Arial"/>
          <w:sz w:val="22"/>
          <w:szCs w:val="22"/>
          <w:color w:val="auto"/>
        </w:rPr>
      </w:pPr>
    </w:p>
    <w:p>
      <w:pPr>
        <w:ind w:left="2600" w:hanging="647"/>
        <w:spacing w:after="0" w:line="265" w:lineRule="auto"/>
        <w:tabs>
          <w:tab w:leader="none" w:pos="2600" w:val="left"/>
        </w:tabs>
        <w:numPr>
          <w:ilvl w:val="2"/>
          <w:numId w:val="38"/>
        </w:numPr>
        <w:rPr>
          <w:rFonts w:ascii="Arial" w:cs="Arial" w:eastAsia="Arial" w:hAnsi="Arial"/>
          <w:sz w:val="22"/>
          <w:szCs w:val="22"/>
          <w:color w:val="auto"/>
        </w:rPr>
      </w:pPr>
      <w:r>
        <w:rPr>
          <w:rFonts w:ascii="Arial" w:cs="Arial" w:eastAsia="Arial" w:hAnsi="Arial"/>
          <w:sz w:val="20"/>
          <w:szCs w:val="20"/>
          <w:color w:val="auto"/>
        </w:rPr>
        <w:t>the Specification complies with all applicable laws with respect to the shipment of the Product, including, but not limited to, complying with all laws related to the handling of Dangerous Goods;</w:t>
      </w:r>
    </w:p>
    <w:p>
      <w:pPr>
        <w:spacing w:after="0" w:line="196" w:lineRule="exact"/>
        <w:rPr>
          <w:rFonts w:ascii="Arial" w:cs="Arial" w:eastAsia="Arial" w:hAnsi="Arial"/>
          <w:sz w:val="22"/>
          <w:szCs w:val="22"/>
          <w:color w:val="auto"/>
        </w:rPr>
      </w:pPr>
    </w:p>
    <w:p>
      <w:pPr>
        <w:ind w:left="2600" w:hanging="647"/>
        <w:spacing w:after="0" w:line="265" w:lineRule="auto"/>
        <w:tabs>
          <w:tab w:leader="none" w:pos="2600" w:val="left"/>
        </w:tabs>
        <w:numPr>
          <w:ilvl w:val="2"/>
          <w:numId w:val="38"/>
        </w:numPr>
        <w:rPr>
          <w:rFonts w:ascii="Arial" w:cs="Arial" w:eastAsia="Arial" w:hAnsi="Arial"/>
          <w:sz w:val="22"/>
          <w:szCs w:val="22"/>
          <w:color w:val="auto"/>
        </w:rPr>
      </w:pPr>
      <w:r>
        <w:rPr>
          <w:rFonts w:ascii="Arial" w:cs="Arial" w:eastAsia="Arial" w:hAnsi="Arial"/>
          <w:sz w:val="20"/>
          <w:szCs w:val="20"/>
          <w:color w:val="auto"/>
        </w:rPr>
        <w:t>it will use reasonable efforts to assist Eliiy to determine all applicable Laws respect to the manufacturing, packaging, and shipment of the Product;</w:t>
      </w:r>
    </w:p>
    <w:p>
      <w:pPr>
        <w:spacing w:after="0" w:line="196" w:lineRule="exact"/>
        <w:rPr>
          <w:rFonts w:ascii="Arial" w:cs="Arial" w:eastAsia="Arial" w:hAnsi="Arial"/>
          <w:sz w:val="22"/>
          <w:szCs w:val="22"/>
          <w:color w:val="auto"/>
        </w:rPr>
      </w:pPr>
    </w:p>
    <w:p>
      <w:pPr>
        <w:jc w:val="both"/>
        <w:ind w:left="2600" w:hanging="647"/>
        <w:spacing w:after="0" w:line="266" w:lineRule="auto"/>
        <w:tabs>
          <w:tab w:leader="none" w:pos="2600" w:val="left"/>
        </w:tabs>
        <w:numPr>
          <w:ilvl w:val="2"/>
          <w:numId w:val="38"/>
        </w:numPr>
        <w:rPr>
          <w:rFonts w:ascii="Arial" w:cs="Arial" w:eastAsia="Arial" w:hAnsi="Arial"/>
          <w:sz w:val="22"/>
          <w:szCs w:val="22"/>
          <w:color w:val="auto"/>
        </w:rPr>
      </w:pPr>
      <w:r>
        <w:rPr>
          <w:rFonts w:ascii="Arial" w:cs="Arial" w:eastAsia="Arial" w:hAnsi="Arial"/>
          <w:sz w:val="20"/>
          <w:szCs w:val="20"/>
          <w:color w:val="auto"/>
        </w:rPr>
        <w:t xml:space="preserve">Enphase shall maintain in effect insurance in accordance with the provisions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throughout the Term. Enphase shall use best efforts to increase the insurance coverage in amounts Enphase reasonably determines as the volumes of Product sold to Enphase increases. Enphase shall comply with the terms of any policy required to be maintained by Enphase in connection</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right="74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2600"/>
        <w:spacing w:after="0" w:line="289" w:lineRule="auto"/>
        <w:rPr>
          <w:sz w:val="20"/>
          <w:szCs w:val="20"/>
          <w:color w:val="auto"/>
        </w:rPr>
      </w:pPr>
      <w:r>
        <w:rPr>
          <w:rFonts w:ascii="Arial" w:cs="Arial" w:eastAsia="Arial" w:hAnsi="Arial"/>
          <w:sz w:val="20"/>
          <w:szCs w:val="20"/>
          <w:color w:val="auto"/>
        </w:rPr>
        <w:t xml:space="preserve">with this Agreement. Enphase shall use its best efforts to provide to Eliiy an insurance certificate meeting the requirements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by [*].</w:t>
      </w:r>
    </w:p>
    <w:p>
      <w:pPr>
        <w:spacing w:after="0" w:line="173" w:lineRule="exact"/>
        <w:rPr>
          <w:sz w:val="20"/>
          <w:szCs w:val="20"/>
          <w:color w:val="auto"/>
        </w:rPr>
      </w:pPr>
    </w:p>
    <w:p>
      <w:pPr>
        <w:ind w:left="2600" w:hanging="647"/>
        <w:spacing w:after="0"/>
        <w:tabs>
          <w:tab w:leader="none" w:pos="2600" w:val="left"/>
        </w:tabs>
        <w:numPr>
          <w:ilvl w:val="0"/>
          <w:numId w:val="39"/>
        </w:numPr>
        <w:rPr>
          <w:rFonts w:ascii="Arial" w:cs="Arial" w:eastAsia="Arial" w:hAnsi="Arial"/>
          <w:sz w:val="22"/>
          <w:szCs w:val="22"/>
          <w:color w:val="auto"/>
        </w:rPr>
      </w:pPr>
      <w:r>
        <w:rPr>
          <w:rFonts w:ascii="Arial" w:cs="Arial" w:eastAsia="Arial" w:hAnsi="Arial"/>
          <w:sz w:val="20"/>
          <w:szCs w:val="20"/>
          <w:color w:val="auto"/>
        </w:rPr>
        <w:t>it does not infringe on any intellectual property rights of third parties;</w:t>
      </w:r>
    </w:p>
    <w:p>
      <w:pPr>
        <w:spacing w:after="0" w:line="222" w:lineRule="exact"/>
        <w:rPr>
          <w:rFonts w:ascii="Arial" w:cs="Arial" w:eastAsia="Arial" w:hAnsi="Arial"/>
          <w:sz w:val="22"/>
          <w:szCs w:val="22"/>
          <w:color w:val="auto"/>
        </w:rPr>
      </w:pPr>
    </w:p>
    <w:p>
      <w:pPr>
        <w:ind w:left="2600" w:hanging="647"/>
        <w:spacing w:after="0" w:line="265" w:lineRule="auto"/>
        <w:tabs>
          <w:tab w:leader="none" w:pos="2600" w:val="left"/>
        </w:tabs>
        <w:numPr>
          <w:ilvl w:val="0"/>
          <w:numId w:val="39"/>
        </w:numPr>
        <w:rPr>
          <w:rFonts w:ascii="Arial" w:cs="Arial" w:eastAsia="Arial" w:hAnsi="Arial"/>
          <w:sz w:val="22"/>
          <w:szCs w:val="22"/>
          <w:color w:val="auto"/>
        </w:rPr>
      </w:pPr>
      <w:r>
        <w:rPr>
          <w:rFonts w:ascii="Arial" w:cs="Arial" w:eastAsia="Arial" w:hAnsi="Arial"/>
          <w:sz w:val="20"/>
          <w:szCs w:val="20"/>
          <w:color w:val="auto"/>
        </w:rPr>
        <w:t>Enphase will [*] for the AC Battery [*]. Enphase will not [*] or [*]. Enphase will not [*] or [*], and Enphase will expressly indicate that [*] in connection with [*] or [*] concerning the AC Battery;</w:t>
      </w:r>
    </w:p>
    <w:p>
      <w:pPr>
        <w:spacing w:after="0" w:line="193" w:lineRule="exact"/>
        <w:rPr>
          <w:rFonts w:ascii="Arial" w:cs="Arial" w:eastAsia="Arial" w:hAnsi="Arial"/>
          <w:sz w:val="22"/>
          <w:szCs w:val="22"/>
          <w:color w:val="auto"/>
        </w:rPr>
      </w:pPr>
    </w:p>
    <w:p>
      <w:pPr>
        <w:ind w:left="2600" w:hanging="323"/>
        <w:spacing w:after="0"/>
        <w:tabs>
          <w:tab w:leader="none" w:pos="2600" w:val="left"/>
        </w:tabs>
        <w:numPr>
          <w:ilvl w:val="1"/>
          <w:numId w:val="39"/>
        </w:numPr>
        <w:rPr>
          <w:rFonts w:ascii="Arial" w:cs="Arial" w:eastAsia="Arial" w:hAnsi="Arial"/>
          <w:sz w:val="22"/>
          <w:szCs w:val="22"/>
          <w:color w:val="auto"/>
        </w:rPr>
      </w:pPr>
      <w:r>
        <w:rPr>
          <w:rFonts w:ascii="Arial" w:cs="Arial" w:eastAsia="Arial" w:hAnsi="Arial"/>
          <w:sz w:val="20"/>
          <w:szCs w:val="20"/>
          <w:color w:val="auto"/>
        </w:rPr>
        <w:t>it has no known claims made against it, realized or pending; and</w:t>
      </w:r>
    </w:p>
    <w:p>
      <w:pPr>
        <w:spacing w:after="0" w:line="222" w:lineRule="exact"/>
        <w:rPr>
          <w:rFonts w:ascii="Arial" w:cs="Arial" w:eastAsia="Arial" w:hAnsi="Arial"/>
          <w:sz w:val="22"/>
          <w:szCs w:val="22"/>
          <w:color w:val="auto"/>
        </w:rPr>
      </w:pPr>
    </w:p>
    <w:p>
      <w:pPr>
        <w:jc w:val="both"/>
        <w:ind w:left="2600" w:hanging="323"/>
        <w:spacing w:after="0" w:line="313" w:lineRule="auto"/>
        <w:tabs>
          <w:tab w:leader="none" w:pos="2600" w:val="left"/>
        </w:tabs>
        <w:numPr>
          <w:ilvl w:val="1"/>
          <w:numId w:val="39"/>
        </w:numPr>
        <w:rPr>
          <w:rFonts w:ascii="Arial" w:cs="Arial" w:eastAsia="Arial" w:hAnsi="Arial"/>
          <w:sz w:val="19"/>
          <w:szCs w:val="19"/>
          <w:color w:val="auto"/>
        </w:rPr>
      </w:pPr>
      <w:r>
        <w:rPr>
          <w:rFonts w:ascii="Arial" w:cs="Arial" w:eastAsia="Arial" w:hAnsi="Arial"/>
          <w:sz w:val="18"/>
          <w:szCs w:val="18"/>
          <w:color w:val="auto"/>
        </w:rPr>
        <w:t>no governmental approval is required on the part of Enphase in connection with the execution, delivery and performance of this Agreement, except all governmental approvals which have been or will be timely obtained in the ordinary course of performance of this Agreement and before being required by applicable Laws.</w:t>
      </w:r>
    </w:p>
    <w:p>
      <w:pPr>
        <w:spacing w:after="0" w:line="148"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EXCEPT AS SET FORTH IN THIS AGREEMENT, ENPHASE MAKES NO REPRESENTATIONS AND NO OTHER WARRANTIES OR CONDITIONS ON THE PERFORMANCE OF THE PRODUCT, EXPRESS, IMPLIED, STATUTORY, OR IN ANY OTHER PROVISION OF THIS AGREEMENT OR COMMUNICATION WITH ENPHASE, AND ENPHASE SPECIFICALLY DISCLAIMS ANY IMPLIED WARRANTY OR CONDITION OF MERCHANTABILITY OR FITNESS FOR A PARTICULAR PURPOSE.</w:t>
      </w:r>
    </w:p>
    <w:p>
      <w:pPr>
        <w:spacing w:after="0" w:line="208" w:lineRule="exact"/>
        <w:rPr>
          <w:sz w:val="20"/>
          <w:szCs w:val="20"/>
          <w:color w:val="auto"/>
        </w:rPr>
      </w:pPr>
    </w:p>
    <w:p>
      <w:pPr>
        <w:ind w:left="1960" w:hanging="655"/>
        <w:spacing w:after="0" w:line="265" w:lineRule="auto"/>
        <w:tabs>
          <w:tab w:leader="none" w:pos="1960" w:val="left"/>
        </w:tabs>
        <w:numPr>
          <w:ilvl w:val="1"/>
          <w:numId w:val="40"/>
        </w:numPr>
        <w:rPr>
          <w:rFonts w:ascii="Arial" w:cs="Arial" w:eastAsia="Arial" w:hAnsi="Arial"/>
          <w:sz w:val="22"/>
          <w:szCs w:val="22"/>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xml:space="preserve"> Each party will give prompt notice to the other party if any Representations and Warranties have been breached by either party.</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right="740" w:firstLine="8"/>
        <w:spacing w:after="0" w:line="27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56" w:name="page57"/>
    <w:bookmarkEnd w:id="56"/>
    <w:p>
      <w:pPr>
        <w:ind w:left="10392"/>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92" w:hanging="644"/>
        <w:spacing w:after="0"/>
        <w:tabs>
          <w:tab w:leader="none" w:pos="1292" w:val="left"/>
        </w:tabs>
        <w:numPr>
          <w:ilvl w:val="1"/>
          <w:numId w:val="41"/>
        </w:numPr>
        <w:rPr>
          <w:rFonts w:ascii="Arial" w:cs="Arial" w:eastAsia="Arial" w:hAnsi="Arial"/>
          <w:sz w:val="22"/>
          <w:szCs w:val="22"/>
          <w:i w:val="1"/>
          <w:iCs w:val="1"/>
          <w:color w:val="auto"/>
        </w:rPr>
      </w:pPr>
      <w:r>
        <w:rPr>
          <w:rFonts w:ascii="Arial" w:cs="Arial" w:eastAsia="Arial" w:hAnsi="Arial"/>
          <w:sz w:val="20"/>
          <w:szCs w:val="20"/>
          <w:u w:val="single" w:color="auto"/>
          <w:color w:val="auto"/>
        </w:rPr>
        <w:t>Changes to Specifications, Technical Support and Engineering Changes</w:t>
      </w:r>
      <w:r>
        <w:rPr>
          <w:rFonts w:ascii="Arial" w:cs="Arial" w:eastAsia="Arial" w:hAnsi="Arial"/>
          <w:sz w:val="20"/>
          <w:szCs w:val="20"/>
          <w:color w:val="auto"/>
        </w:rPr>
        <w:t>.</w:t>
      </w:r>
    </w:p>
    <w:p>
      <w:pPr>
        <w:spacing w:after="0" w:line="222" w:lineRule="exact"/>
        <w:rPr>
          <w:rFonts w:ascii="Arial" w:cs="Arial" w:eastAsia="Arial" w:hAnsi="Arial"/>
          <w:sz w:val="22"/>
          <w:szCs w:val="22"/>
          <w:i w:val="1"/>
          <w:iCs w:val="1"/>
          <w:color w:val="auto"/>
        </w:rPr>
      </w:pPr>
    </w:p>
    <w:p>
      <w:pPr>
        <w:jc w:val="both"/>
        <w:ind w:left="1952" w:hanging="655"/>
        <w:spacing w:after="0" w:line="266" w:lineRule="auto"/>
        <w:tabs>
          <w:tab w:leader="none" w:pos="1952" w:val="left"/>
        </w:tabs>
        <w:numPr>
          <w:ilvl w:val="2"/>
          <w:numId w:val="41"/>
        </w:numPr>
        <w:rPr>
          <w:rFonts w:ascii="Arial" w:cs="Arial" w:eastAsia="Arial" w:hAnsi="Arial"/>
          <w:sz w:val="22"/>
          <w:szCs w:val="22"/>
          <w:i w:val="1"/>
          <w:iCs w:val="1"/>
          <w:color w:val="auto"/>
        </w:rPr>
      </w:pPr>
      <w:r>
        <w:rPr>
          <w:rFonts w:ascii="Arial" w:cs="Arial" w:eastAsia="Arial" w:hAnsi="Arial"/>
          <w:sz w:val="20"/>
          <w:szCs w:val="20"/>
          <w:u w:val="single" w:color="auto"/>
          <w:color w:val="auto"/>
        </w:rPr>
        <w:t>Changes to Specifications</w:t>
      </w:r>
      <w:r>
        <w:rPr>
          <w:rFonts w:ascii="Arial" w:cs="Arial" w:eastAsia="Arial" w:hAnsi="Arial"/>
          <w:sz w:val="20"/>
          <w:szCs w:val="20"/>
          <w:color w:val="auto"/>
        </w:rPr>
        <w:t xml:space="preserve">. Eliiy shall use commercially reasonable efforts during the Term to maintain the ability to manufacture Product meeting the Specifications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During the Term, Eliiy shall not, without Enphase’s prior written consent, substitute different Product for the Product ordered by Enphase under any accepted Purchase Order. Eliiy shall not make any modifications to the Specifications that change the form, fit or function of the Product. Enphase shall have the right to reject any Product that fail to conform to the Specifications or other requirements of this Agreement.</w:t>
      </w:r>
    </w:p>
    <w:p>
      <w:pPr>
        <w:spacing w:after="0" w:line="200" w:lineRule="exact"/>
        <w:rPr>
          <w:rFonts w:ascii="Arial" w:cs="Arial" w:eastAsia="Arial" w:hAnsi="Arial"/>
          <w:sz w:val="22"/>
          <w:szCs w:val="22"/>
          <w:i w:val="1"/>
          <w:iCs w:val="1"/>
          <w:color w:val="auto"/>
        </w:rPr>
      </w:pPr>
    </w:p>
    <w:p>
      <w:pPr>
        <w:jc w:val="both"/>
        <w:ind w:left="1952" w:hanging="655"/>
        <w:spacing w:after="0" w:line="282" w:lineRule="auto"/>
        <w:tabs>
          <w:tab w:leader="none" w:pos="1952" w:val="left"/>
        </w:tabs>
        <w:numPr>
          <w:ilvl w:val="2"/>
          <w:numId w:val="41"/>
        </w:numPr>
        <w:rPr>
          <w:rFonts w:ascii="Arial" w:cs="Arial" w:eastAsia="Arial" w:hAnsi="Arial"/>
          <w:sz w:val="21"/>
          <w:szCs w:val="21"/>
          <w:i w:val="1"/>
          <w:iCs w:val="1"/>
          <w:color w:val="auto"/>
        </w:rPr>
      </w:pPr>
      <w:r>
        <w:rPr>
          <w:rFonts w:ascii="Arial" w:cs="Arial" w:eastAsia="Arial" w:hAnsi="Arial"/>
          <w:sz w:val="19"/>
          <w:szCs w:val="19"/>
          <w:u w:val="single" w:color="auto"/>
          <w:color w:val="auto"/>
        </w:rPr>
        <w:t>Technical Support</w:t>
      </w:r>
      <w:r>
        <w:rPr>
          <w:rFonts w:ascii="Arial" w:cs="Arial" w:eastAsia="Arial" w:hAnsi="Arial"/>
          <w:sz w:val="19"/>
          <w:szCs w:val="19"/>
          <w:color w:val="auto"/>
        </w:rPr>
        <w:t xml:space="preserve">. Eliiy shall provide the technical services to be set forth in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during the Warranty Period free of charge. The parties shall work in good faith to complete the contents of the technical service on or before [*] in conjunction with the completion of the RMA Procedure as described in Section 3.i. For a minimum of [*] after the end of the Warranty Period for a Product, Eliiy agrees to provide after-warranty engineering services that Eliiy has, at the time, available to offer to Enphase, at a reasonable cost no greater than Eliiy’s then-current most-favorable rates offered or provided to any non-affiliated third-party that is purchasing a battery module that is similar to the Product, and purchasing similar volumes as Enphase.</w:t>
      </w:r>
    </w:p>
    <w:p>
      <w:pPr>
        <w:spacing w:after="0" w:line="182" w:lineRule="exact"/>
        <w:rPr>
          <w:rFonts w:ascii="Arial" w:cs="Arial" w:eastAsia="Arial" w:hAnsi="Arial"/>
          <w:sz w:val="21"/>
          <w:szCs w:val="21"/>
          <w:i w:val="1"/>
          <w:iCs w:val="1"/>
          <w:color w:val="auto"/>
        </w:rPr>
      </w:pPr>
    </w:p>
    <w:p>
      <w:pPr>
        <w:ind w:left="1952" w:hanging="655"/>
        <w:spacing w:after="0" w:line="271" w:lineRule="auto"/>
        <w:tabs>
          <w:tab w:leader="none" w:pos="1952" w:val="left"/>
        </w:tabs>
        <w:numPr>
          <w:ilvl w:val="2"/>
          <w:numId w:val="41"/>
        </w:numPr>
        <w:rPr>
          <w:rFonts w:ascii="Arial" w:cs="Arial" w:eastAsia="Arial" w:hAnsi="Arial"/>
          <w:sz w:val="22"/>
          <w:szCs w:val="22"/>
          <w:i w:val="1"/>
          <w:iCs w:val="1"/>
          <w:color w:val="auto"/>
        </w:rPr>
      </w:pPr>
      <w:r>
        <w:rPr>
          <w:rFonts w:ascii="Arial" w:cs="Arial" w:eastAsia="Arial" w:hAnsi="Arial"/>
          <w:sz w:val="20"/>
          <w:szCs w:val="20"/>
          <w:u w:val="single" w:color="auto"/>
          <w:color w:val="auto"/>
        </w:rPr>
        <w:t>PCN Process</w:t>
      </w:r>
      <w:r>
        <w:rPr>
          <w:rFonts w:ascii="Arial" w:cs="Arial" w:eastAsia="Arial" w:hAnsi="Arial"/>
          <w:sz w:val="20"/>
          <w:szCs w:val="20"/>
          <w:color w:val="auto"/>
        </w:rPr>
        <w:t>. Eliiy shall comply with Enphase’s Product Change Notice (“</w:t>
      </w:r>
      <w:r>
        <w:rPr>
          <w:rFonts w:ascii="Arial" w:cs="Arial" w:eastAsia="Arial" w:hAnsi="Arial"/>
          <w:sz w:val="20"/>
          <w:szCs w:val="20"/>
          <w:b w:val="1"/>
          <w:bCs w:val="1"/>
          <w:color w:val="auto"/>
        </w:rPr>
        <w:t>PCN</w:t>
      </w:r>
      <w:r>
        <w:rPr>
          <w:rFonts w:ascii="Arial" w:cs="Arial" w:eastAsia="Arial" w:hAnsi="Arial"/>
          <w:sz w:val="20"/>
          <w:szCs w:val="20"/>
          <w:color w:val="auto"/>
        </w:rPr>
        <w:t>”) Process, a copy of which has been provided to Eliiy.</w:t>
      </w:r>
    </w:p>
    <w:p>
      <w:pPr>
        <w:spacing w:after="0" w:line="189" w:lineRule="exact"/>
        <w:rPr>
          <w:rFonts w:ascii="Arial" w:cs="Arial" w:eastAsia="Arial" w:hAnsi="Arial"/>
          <w:sz w:val="22"/>
          <w:szCs w:val="22"/>
          <w:i w:val="1"/>
          <w:iCs w:val="1"/>
          <w:color w:val="auto"/>
        </w:rPr>
      </w:pPr>
    </w:p>
    <w:p>
      <w:pPr>
        <w:jc w:val="both"/>
        <w:ind w:left="1952" w:hanging="655"/>
        <w:spacing w:after="0" w:line="305" w:lineRule="auto"/>
        <w:tabs>
          <w:tab w:leader="none" w:pos="1952" w:val="left"/>
        </w:tabs>
        <w:numPr>
          <w:ilvl w:val="2"/>
          <w:numId w:val="41"/>
        </w:numPr>
        <w:rPr>
          <w:rFonts w:ascii="Arial" w:cs="Arial" w:eastAsia="Arial" w:hAnsi="Arial"/>
          <w:sz w:val="19"/>
          <w:szCs w:val="19"/>
          <w:i w:val="1"/>
          <w:iCs w:val="1"/>
          <w:color w:val="auto"/>
        </w:rPr>
      </w:pPr>
      <w:r>
        <w:rPr>
          <w:rFonts w:ascii="Arial" w:cs="Arial" w:eastAsia="Arial" w:hAnsi="Arial"/>
          <w:sz w:val="18"/>
          <w:szCs w:val="18"/>
          <w:u w:val="single" w:color="auto"/>
          <w:color w:val="auto"/>
        </w:rPr>
        <w:t>Quality Control</w:t>
      </w:r>
      <w:r>
        <w:rPr>
          <w:rFonts w:ascii="Arial" w:cs="Arial" w:eastAsia="Arial" w:hAnsi="Arial"/>
          <w:sz w:val="18"/>
          <w:szCs w:val="18"/>
          <w:color w:val="auto"/>
        </w:rPr>
        <w:t>. Eliiy shall and shall cause any supplier of parts or chemicals incorporated into the Product to adhere to the APQP and the Enphase Quality Assurance Manual (SQA-00001 Supplier Quality Assurance Manual v1.1), including the Supplier Code of Conduct, which Enphase has provided to Eliiy. Eliiy shall neither ship nor bill Enphase for any Product that fail to meet the applicable requirements in such manual. Eliiy shall promptly notify Enphase in writing in the event that it becomes aware that any of its suppliers fail to comply with the requirements of such manual.</w:t>
      </w:r>
    </w:p>
    <w:p>
      <w:pPr>
        <w:spacing w:after="0" w:line="169" w:lineRule="exact"/>
        <w:rPr>
          <w:rFonts w:ascii="Arial" w:cs="Arial" w:eastAsia="Arial" w:hAnsi="Arial"/>
          <w:sz w:val="19"/>
          <w:szCs w:val="19"/>
          <w:i w:val="1"/>
          <w:iCs w:val="1"/>
          <w:color w:val="auto"/>
        </w:rPr>
      </w:pPr>
    </w:p>
    <w:p>
      <w:pPr>
        <w:jc w:val="both"/>
        <w:ind w:left="1952" w:hanging="655"/>
        <w:spacing w:after="0" w:line="266" w:lineRule="auto"/>
        <w:tabs>
          <w:tab w:leader="none" w:pos="1952" w:val="left"/>
        </w:tabs>
        <w:numPr>
          <w:ilvl w:val="2"/>
          <w:numId w:val="41"/>
        </w:numPr>
        <w:rPr>
          <w:rFonts w:ascii="Arial" w:cs="Arial" w:eastAsia="Arial" w:hAnsi="Arial"/>
          <w:sz w:val="22"/>
          <w:szCs w:val="22"/>
          <w:i w:val="1"/>
          <w:iCs w:val="1"/>
          <w:color w:val="auto"/>
        </w:rPr>
      </w:pPr>
      <w:r>
        <w:rPr>
          <w:rFonts w:ascii="Arial" w:cs="Arial" w:eastAsia="Arial" w:hAnsi="Arial"/>
          <w:sz w:val="20"/>
          <w:szCs w:val="20"/>
          <w:u w:val="single" w:color="auto"/>
          <w:color w:val="auto"/>
        </w:rPr>
        <w:t>Engineering Changes</w:t>
      </w:r>
      <w:r>
        <w:rPr>
          <w:rFonts w:ascii="Arial" w:cs="Arial" w:eastAsia="Arial" w:hAnsi="Arial"/>
          <w:sz w:val="20"/>
          <w:szCs w:val="20"/>
          <w:color w:val="auto"/>
        </w:rPr>
        <w:t>. Enphase may request that Eliiy incorporate engineering changes into the Product by providing Eliiy with a description of the proposed engineering change sufficient to permit Eliiy to evaluate its feasibility and cost. Eliiy will, in good faith, proceed with engineering changes when the parties have agreed upon the changes to the Specifications, delivery schedule and product pricing and Enphase has issued a Purchase Order for the agreed upon and reasonable implementation costs.</w:t>
      </w:r>
    </w:p>
    <w:p>
      <w:pPr>
        <w:spacing w:after="0" w:line="199" w:lineRule="exact"/>
        <w:rPr>
          <w:rFonts w:ascii="Arial" w:cs="Arial" w:eastAsia="Arial" w:hAnsi="Arial"/>
          <w:sz w:val="22"/>
          <w:szCs w:val="22"/>
          <w:i w:val="1"/>
          <w:iCs w:val="1"/>
          <w:color w:val="auto"/>
        </w:rPr>
      </w:pPr>
    </w:p>
    <w:p>
      <w:pPr>
        <w:jc w:val="both"/>
        <w:ind w:left="1292" w:hanging="644"/>
        <w:spacing w:after="0" w:line="308" w:lineRule="auto"/>
        <w:tabs>
          <w:tab w:leader="none" w:pos="1292" w:val="left"/>
        </w:tabs>
        <w:numPr>
          <w:ilvl w:val="1"/>
          <w:numId w:val="41"/>
        </w:numPr>
        <w:rPr>
          <w:rFonts w:ascii="Arial" w:cs="Arial" w:eastAsia="Arial" w:hAnsi="Arial"/>
          <w:sz w:val="19"/>
          <w:szCs w:val="19"/>
          <w:color w:val="auto"/>
        </w:rPr>
      </w:pPr>
      <w:r>
        <w:rPr>
          <w:rFonts w:ascii="Arial" w:cs="Arial" w:eastAsia="Arial" w:hAnsi="Arial"/>
          <w:sz w:val="18"/>
          <w:szCs w:val="18"/>
          <w:u w:val="single" w:color="auto"/>
          <w:color w:val="auto"/>
        </w:rPr>
        <w:t>Conflict Minerals</w:t>
      </w:r>
      <w:r>
        <w:rPr>
          <w:rFonts w:ascii="Arial" w:cs="Arial" w:eastAsia="Arial" w:hAnsi="Arial"/>
          <w:sz w:val="18"/>
          <w:szCs w:val="18"/>
          <w:color w:val="auto"/>
        </w:rPr>
        <w:t>. Enphase shall comply, and Eliiy shall assist Enphase in a commercially reasonable manner, with any reporting requirement due to the use of Conflict Minerals, as such term is defined by the Securities and Exchange Commission’s final rules mandated by the Dodd-Frank Wall Street Reform and Consumer Protection Act: (Tantalum (Ta), Tungsten (W), Tin (Sn), and Gold (Au)) originating from the Democratic Republic of the Congo (DRC) or adjoining countries.</w:t>
      </w:r>
    </w:p>
    <w:p>
      <w:pPr>
        <w:spacing w:after="0" w:line="397" w:lineRule="exact"/>
        <w:rPr>
          <w:rFonts w:ascii="Arial" w:cs="Arial" w:eastAsia="Arial" w:hAnsi="Arial"/>
          <w:sz w:val="19"/>
          <w:szCs w:val="19"/>
          <w:color w:val="auto"/>
        </w:rPr>
      </w:pPr>
    </w:p>
    <w:p>
      <w:pPr>
        <w:ind w:left="-8" w:right="740" w:firstLine="8"/>
        <w:spacing w:after="0" w:line="277" w:lineRule="auto"/>
        <w:tabs>
          <w:tab w:leader="none" w:pos="2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11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300" w:hanging="644"/>
        <w:spacing w:after="0" w:line="308" w:lineRule="auto"/>
        <w:tabs>
          <w:tab w:leader="none" w:pos="1300" w:val="left"/>
        </w:tabs>
        <w:numPr>
          <w:ilvl w:val="1"/>
          <w:numId w:val="42"/>
        </w:numPr>
        <w:rPr>
          <w:rFonts w:ascii="Arial" w:cs="Arial" w:eastAsia="Arial" w:hAnsi="Arial"/>
          <w:sz w:val="19"/>
          <w:szCs w:val="19"/>
          <w:i w:val="1"/>
          <w:iCs w:val="1"/>
          <w:color w:val="auto"/>
        </w:rPr>
      </w:pPr>
      <w:r>
        <w:rPr>
          <w:rFonts w:ascii="Arial" w:cs="Arial" w:eastAsia="Arial" w:hAnsi="Arial"/>
          <w:sz w:val="18"/>
          <w:szCs w:val="18"/>
          <w:u w:val="single" w:color="auto"/>
          <w:color w:val="auto"/>
        </w:rPr>
        <w:t>Battery Recycling</w:t>
      </w:r>
      <w:r>
        <w:rPr>
          <w:rFonts w:ascii="Arial" w:cs="Arial" w:eastAsia="Arial" w:hAnsi="Arial"/>
          <w:sz w:val="18"/>
          <w:szCs w:val="18"/>
          <w:color w:val="auto"/>
        </w:rPr>
        <w:t>. Eliiy shall assist Enphase in the compliance with any Laws regarding the disposal of battery materials and other “eWaste,” as set forth in the RMA process. Enphase shall be solely responsible for the disposal and costs of disposal of battery materials and other “eWaste” components; provided however, that if there is a defect in the Product, then Eliiy shall be solely responsible for the disposal and costs of disposal of the Product under Warranty claim or Epidemic Failure.</w:t>
      </w:r>
    </w:p>
    <w:p>
      <w:pPr>
        <w:spacing w:after="0" w:line="165" w:lineRule="exact"/>
        <w:rPr>
          <w:rFonts w:ascii="Arial" w:cs="Arial" w:eastAsia="Arial" w:hAnsi="Arial"/>
          <w:sz w:val="19"/>
          <w:szCs w:val="19"/>
          <w:i w:val="1"/>
          <w:iCs w:val="1"/>
          <w:color w:val="auto"/>
        </w:rPr>
      </w:pPr>
    </w:p>
    <w:p>
      <w:pPr>
        <w:jc w:val="both"/>
        <w:ind w:left="1300" w:hanging="644"/>
        <w:spacing w:after="0" w:line="294" w:lineRule="auto"/>
        <w:tabs>
          <w:tab w:leader="none" w:pos="1300" w:val="left"/>
        </w:tabs>
        <w:numPr>
          <w:ilvl w:val="1"/>
          <w:numId w:val="42"/>
        </w:numPr>
        <w:rPr>
          <w:rFonts w:ascii="Arial" w:cs="Arial" w:eastAsia="Arial" w:hAnsi="Arial"/>
          <w:sz w:val="19"/>
          <w:szCs w:val="19"/>
          <w:i w:val="1"/>
          <w:iCs w:val="1"/>
          <w:color w:val="auto"/>
        </w:rPr>
      </w:pPr>
      <w:r>
        <w:rPr>
          <w:rFonts w:ascii="Arial" w:cs="Arial" w:eastAsia="Arial" w:hAnsi="Arial"/>
          <w:sz w:val="18"/>
          <w:szCs w:val="18"/>
          <w:u w:val="single" w:color="auto"/>
          <w:color w:val="auto"/>
        </w:rPr>
        <w:t>End of Life of Product</w:t>
      </w:r>
      <w:r>
        <w:rPr>
          <w:rFonts w:ascii="Arial" w:cs="Arial" w:eastAsia="Arial" w:hAnsi="Arial"/>
          <w:sz w:val="18"/>
          <w:szCs w:val="18"/>
          <w:color w:val="auto"/>
        </w:rPr>
        <w:t>. In case Eliiy plans to discontinue the manufacturing of the Product or any components of the Product which is not backwards compatible with the Product, Eliiy shall provide a notice which sets out the date in which Eliiy will stop delivery of the Product (“</w:t>
      </w:r>
      <w:r>
        <w:rPr>
          <w:rFonts w:ascii="Arial" w:cs="Arial" w:eastAsia="Arial" w:hAnsi="Arial"/>
          <w:sz w:val="18"/>
          <w:szCs w:val="18"/>
          <w:b w:val="1"/>
          <w:bCs w:val="1"/>
          <w:color w:val="auto"/>
        </w:rPr>
        <w:t>EOL Date</w:t>
      </w:r>
      <w:r>
        <w:rPr>
          <w:rFonts w:ascii="Arial" w:cs="Arial" w:eastAsia="Arial" w:hAnsi="Arial"/>
          <w:sz w:val="18"/>
          <w:szCs w:val="18"/>
          <w:color w:val="auto"/>
        </w:rPr>
        <w:t>”). The EOL Date shall be at least [*] after the date of such notice. If Eliiy issues such notice, the parties shall negotiate in good faith the modification of Enphase’s obligations to purchase the Annual Volumes, as set forth in Section 3.e. Enphase shall submit the final Purchase Orders for the number of Product that Enphase shall require</w:t>
      </w:r>
    </w:p>
    <w:p>
      <w:pPr>
        <w:spacing w:after="0" w:line="1" w:lineRule="exact"/>
        <w:rPr>
          <w:rFonts w:ascii="Arial" w:cs="Arial" w:eastAsia="Arial" w:hAnsi="Arial"/>
          <w:sz w:val="19"/>
          <w:szCs w:val="19"/>
          <w:i w:val="1"/>
          <w:iCs w:val="1"/>
          <w:color w:val="auto"/>
        </w:rPr>
      </w:pPr>
    </w:p>
    <w:p>
      <w:pPr>
        <w:jc w:val="both"/>
        <w:ind w:left="1300" w:firstLine="5"/>
        <w:spacing w:after="0" w:line="278" w:lineRule="auto"/>
        <w:tabs>
          <w:tab w:leader="none" w:pos="1580" w:val="left"/>
        </w:tabs>
        <w:numPr>
          <w:ilvl w:val="2"/>
          <w:numId w:val="42"/>
        </w:numPr>
        <w:rPr>
          <w:rFonts w:ascii="Arial" w:cs="Arial" w:eastAsia="Arial" w:hAnsi="Arial"/>
          <w:sz w:val="20"/>
          <w:szCs w:val="20"/>
          <w:color w:val="auto"/>
        </w:rPr>
      </w:pPr>
      <w:r>
        <w:rPr>
          <w:rFonts w:ascii="Arial" w:cs="Arial" w:eastAsia="Arial" w:hAnsi="Arial"/>
          <w:sz w:val="20"/>
          <w:szCs w:val="20"/>
          <w:color w:val="auto"/>
        </w:rPr>
        <w:t>prior to the EOL Date, and the parties shall work in good faith to resolve any issues that Eliiy may have with accepting such Purchase Orders. If Eliiy has a LIB, BMU or cable, that are “backward compatible” (in form, fit and function) to the AC Battery, then Eliiy shall comply with the PCN process.</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1"/>
          <w:numId w:val="42"/>
        </w:numPr>
        <w:rPr>
          <w:rFonts w:ascii="Arial" w:cs="Arial" w:eastAsia="Arial" w:hAnsi="Arial"/>
          <w:sz w:val="22"/>
          <w:szCs w:val="22"/>
          <w:i w:val="1"/>
          <w:iCs w:val="1"/>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08" w:lineRule="exact"/>
        <w:rPr>
          <w:rFonts w:ascii="Arial" w:cs="Arial" w:eastAsia="Arial" w:hAnsi="Arial"/>
          <w:sz w:val="22"/>
          <w:szCs w:val="22"/>
          <w:i w:val="1"/>
          <w:iCs w:val="1"/>
          <w:color w:val="auto"/>
        </w:rPr>
      </w:pPr>
    </w:p>
    <w:p>
      <w:pPr>
        <w:jc w:val="both"/>
        <w:ind w:left="2600" w:hanging="809"/>
        <w:spacing w:after="0" w:line="270" w:lineRule="auto"/>
        <w:tabs>
          <w:tab w:leader="none" w:pos="2600" w:val="left"/>
        </w:tabs>
        <w:numPr>
          <w:ilvl w:val="3"/>
          <w:numId w:val="42"/>
        </w:numPr>
        <w:rPr>
          <w:rFonts w:ascii="Arial" w:cs="Arial" w:eastAsia="Arial" w:hAnsi="Arial"/>
          <w:sz w:val="18"/>
          <w:szCs w:val="18"/>
          <w:color w:val="auto"/>
        </w:rPr>
      </w:pPr>
      <w:r>
        <w:rPr>
          <w:rFonts w:ascii="Arial" w:cs="Arial" w:eastAsia="Arial" w:hAnsi="Arial"/>
          <w:sz w:val="18"/>
          <w:szCs w:val="18"/>
          <w:u w:val="single" w:color="auto"/>
          <w:color w:val="auto"/>
        </w:rPr>
        <w:t>Eliiy - General</w:t>
      </w:r>
      <w:r>
        <w:rPr>
          <w:rFonts w:ascii="Arial" w:cs="Arial" w:eastAsia="Arial" w:hAnsi="Arial"/>
          <w:sz w:val="18"/>
          <w:szCs w:val="18"/>
          <w:color w:val="auto"/>
        </w:rPr>
        <w:t>. Eliiy shall defend, indemnify and hold harmless Enphase and its Affiliates, along with each of their respective officers, directors, partners, members, shareholders, agents, employees, successors, and assigns (collectively, the “</w:t>
      </w:r>
      <w:r>
        <w:rPr>
          <w:rFonts w:ascii="Arial" w:cs="Arial" w:eastAsia="Arial" w:hAnsi="Arial"/>
          <w:sz w:val="18"/>
          <w:szCs w:val="18"/>
          <w:b w:val="1"/>
          <w:bCs w:val="1"/>
          <w:color w:val="auto"/>
        </w:rPr>
        <w:t>Enphase Indemnitees</w:t>
      </w:r>
      <w:r>
        <w:rPr>
          <w:rFonts w:ascii="Arial" w:cs="Arial" w:eastAsia="Arial" w:hAnsi="Arial"/>
          <w:sz w:val="18"/>
          <w:szCs w:val="18"/>
          <w:color w:val="auto"/>
        </w:rPr>
        <w:t>”), from any breach of any representation or warranty guaranteed to Enphase under this Agreement, from and against all third-party claims (including, without limitation, product liability claims), losses, damages, expenses and liability (including court costs and reasonable attorneys’ fees) (collectively, the “</w:t>
      </w:r>
      <w:r>
        <w:rPr>
          <w:rFonts w:ascii="Arial" w:cs="Arial" w:eastAsia="Arial" w:hAnsi="Arial"/>
          <w:sz w:val="18"/>
          <w:szCs w:val="18"/>
          <w:b w:val="1"/>
          <w:bCs w:val="1"/>
          <w:color w:val="auto"/>
        </w:rPr>
        <w:t>Losses</w:t>
      </w:r>
      <w:r>
        <w:rPr>
          <w:rFonts w:ascii="Arial" w:cs="Arial" w:eastAsia="Arial" w:hAnsi="Arial"/>
          <w:sz w:val="18"/>
          <w:szCs w:val="18"/>
          <w:color w:val="auto"/>
        </w:rPr>
        <w:t>”) brought against or incurred by any Enphase Indemnitee arising out of or relating to this Agreement or any Purchase Order to the extent such Losses are caused by or are the result of:(a) any breach of this Agreement by Eliiy or its successors and assigns (collectively, the “</w:t>
      </w:r>
      <w:r>
        <w:rPr>
          <w:rFonts w:ascii="Arial" w:cs="Arial" w:eastAsia="Arial" w:hAnsi="Arial"/>
          <w:sz w:val="18"/>
          <w:szCs w:val="18"/>
          <w:b w:val="1"/>
          <w:bCs w:val="1"/>
          <w:color w:val="auto"/>
        </w:rPr>
        <w:t>Eliiy-Related Persons</w:t>
      </w:r>
      <w:r>
        <w:rPr>
          <w:rFonts w:ascii="Arial" w:cs="Arial" w:eastAsia="Arial" w:hAnsi="Arial"/>
          <w:sz w:val="18"/>
          <w:szCs w:val="18"/>
          <w:color w:val="auto"/>
        </w:rPr>
        <w:t>”); (b) breach of the Warranties, including manufacturing defects and design defects; (c) the negligence or willful misconduct of the Eliiy-Related Persons; and (d) except as set forth in Section 3.p. (iv), any product liability claims or other claims relating to the Product, including, without limitation, Eliiy’s labeling on the Product or Eliiy’s failure to withdraw or recall Product in a timely fashion.</w:t>
      </w:r>
    </w:p>
    <w:p>
      <w:pPr>
        <w:spacing w:after="0" w:line="176" w:lineRule="exact"/>
        <w:rPr>
          <w:rFonts w:ascii="Arial" w:cs="Arial" w:eastAsia="Arial" w:hAnsi="Arial"/>
          <w:sz w:val="18"/>
          <w:szCs w:val="18"/>
          <w:color w:val="auto"/>
        </w:rPr>
      </w:pPr>
    </w:p>
    <w:p>
      <w:pPr>
        <w:jc w:val="both"/>
        <w:ind w:left="2600" w:hanging="809"/>
        <w:spacing w:after="0" w:line="256" w:lineRule="auto"/>
        <w:tabs>
          <w:tab w:leader="none" w:pos="2600" w:val="left"/>
        </w:tabs>
        <w:numPr>
          <w:ilvl w:val="3"/>
          <w:numId w:val="42"/>
        </w:numPr>
        <w:rPr>
          <w:rFonts w:ascii="Arial" w:cs="Arial" w:eastAsia="Arial" w:hAnsi="Arial"/>
          <w:sz w:val="19"/>
          <w:szCs w:val="19"/>
          <w:color w:val="auto"/>
        </w:rPr>
      </w:pPr>
      <w:r>
        <w:rPr>
          <w:rFonts w:ascii="Arial" w:cs="Arial" w:eastAsia="Arial" w:hAnsi="Arial"/>
          <w:sz w:val="19"/>
          <w:szCs w:val="19"/>
          <w:u w:val="single" w:color="auto"/>
          <w:color w:val="auto"/>
        </w:rPr>
        <w:t>Eliiy - Intellectual Property</w:t>
      </w:r>
      <w:r>
        <w:rPr>
          <w:rFonts w:ascii="Arial" w:cs="Arial" w:eastAsia="Arial" w:hAnsi="Arial"/>
          <w:sz w:val="19"/>
          <w:szCs w:val="19"/>
          <w:color w:val="auto"/>
        </w:rPr>
        <w:t>. Eliiy shall defend, indemnify and hold harmless the Enphase Indemnitees from any claim of any third party that any Product as furnished by Eliiy to Enphase under this Agreement infringes any Intellectual Property Rights of such third party; provided however, that this indemnity shall not apply in case the infringement of Intellectual Property Rights is attributable to Enphase IP. Without limiting the generality of the foregoing, Eliiy shall, at Eliiy’s option and Eliiy’s sole cost and expense, either (A) procure for Enphase the right to continue using the infringing Product or (B) modify or replace the infringing Product so that it becomes non-infringing, in either case in a manner and time period that does not unreasonably interfere with Enphase’s activities or operations. If in connection with any such claim the continued use of any Product is forbidden by</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right="740"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960"/>
        <w:spacing w:after="0" w:line="310" w:lineRule="auto"/>
        <w:rPr>
          <w:sz w:val="20"/>
          <w:szCs w:val="20"/>
          <w:color w:val="auto"/>
        </w:rPr>
      </w:pPr>
      <w:r>
        <w:rPr>
          <w:rFonts w:ascii="Arial" w:cs="Arial" w:eastAsia="Arial" w:hAnsi="Arial"/>
          <w:sz w:val="18"/>
          <w:szCs w:val="18"/>
          <w:color w:val="auto"/>
        </w:rPr>
        <w:t>any court of competent jurisdiction, and neither of the foregoing remedies under clauses (A) or (B) are available, and provided that in no event may Eliiy take any action which adversely affects Enphase’s continued use and enjoyment of the Product without the prior written consent of Enphase, Eliiy shall refund to Enphase the amounts paid by Enphase to Eliiy for the infringing Product, without reduction or offset, and shall provide any commercially reasonable assistance requested by Enphase in procuring a suitable replacement for the infringing Product.</w:t>
      </w:r>
    </w:p>
    <w:p>
      <w:pPr>
        <w:spacing w:after="0" w:line="149" w:lineRule="exact"/>
        <w:rPr>
          <w:sz w:val="20"/>
          <w:szCs w:val="20"/>
          <w:color w:val="auto"/>
        </w:rPr>
      </w:pPr>
    </w:p>
    <w:p>
      <w:pPr>
        <w:jc w:val="both"/>
        <w:ind w:left="2600" w:hanging="809"/>
        <w:spacing w:after="0" w:line="272" w:lineRule="auto"/>
        <w:tabs>
          <w:tab w:leader="none" w:pos="260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Eliiy - Hazardous Material</w:t>
      </w:r>
      <w:r>
        <w:rPr>
          <w:rFonts w:ascii="Arial" w:cs="Arial" w:eastAsia="Arial" w:hAnsi="Arial"/>
          <w:sz w:val="18"/>
          <w:szCs w:val="18"/>
          <w:color w:val="auto"/>
        </w:rPr>
        <w:t>. Eliiy shall defend, indemnify and hold harmless each Enphase Indemnitees from and against all claims, losses, fines, costs, penalties or expenses imposed upon any of them (including court costs and reasonable attorneys’ fees), regardless of whether or not such claims, losses, fines, costs, penalties or expenses arise from or are incurred by third parties, that they may incur or suffer by reason of: (a) the existence in or any release from a Product of any Hazardous Material; (b) any enforcement or compliance proceeding commenced by or in the name of any Governmental Authority arising from or related to the existence in or any release from a Product of any Hazardous Material; and (c) any action reasonably necessary to abate, remediate or prevent a violation or threatened violation of any Law by any Enphase Indemnity with respect to the existence in or any release from a Product of any Hazardous Material.</w:t>
      </w:r>
    </w:p>
    <w:p>
      <w:pPr>
        <w:spacing w:after="0" w:line="171" w:lineRule="exact"/>
        <w:rPr>
          <w:rFonts w:ascii="Arial" w:cs="Arial" w:eastAsia="Arial" w:hAnsi="Arial"/>
          <w:sz w:val="18"/>
          <w:szCs w:val="18"/>
          <w:color w:val="auto"/>
        </w:rPr>
      </w:pPr>
    </w:p>
    <w:p>
      <w:pPr>
        <w:jc w:val="both"/>
        <w:ind w:left="2600" w:hanging="809"/>
        <w:spacing w:after="0" w:line="268" w:lineRule="auto"/>
        <w:tabs>
          <w:tab w:leader="none" w:pos="260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Enphase - General</w:t>
      </w:r>
      <w:r>
        <w:rPr>
          <w:rFonts w:ascii="Arial" w:cs="Arial" w:eastAsia="Arial" w:hAnsi="Arial"/>
          <w:sz w:val="18"/>
          <w:szCs w:val="18"/>
          <w:color w:val="auto"/>
        </w:rPr>
        <w:t>. Enphase shall defend, indemnify and hold harmless Eliiy and its Affiliates, along with each of their respective officers, directors, partners, members, shareholders, agents, employees, successors, and assigns (collectively, the “</w:t>
      </w:r>
      <w:r>
        <w:rPr>
          <w:rFonts w:ascii="Arial" w:cs="Arial" w:eastAsia="Arial" w:hAnsi="Arial"/>
          <w:sz w:val="18"/>
          <w:szCs w:val="18"/>
          <w:b w:val="1"/>
          <w:bCs w:val="1"/>
          <w:color w:val="auto"/>
        </w:rPr>
        <w:t>Eliiy Indemnitees</w:t>
      </w:r>
      <w:r>
        <w:rPr>
          <w:rFonts w:ascii="Arial" w:cs="Arial" w:eastAsia="Arial" w:hAnsi="Arial"/>
          <w:sz w:val="18"/>
          <w:szCs w:val="18"/>
          <w:color w:val="auto"/>
        </w:rPr>
        <w:t>”), from any breach of any representation or warranty guaranteed to Eliiy under this Agreement, from and against all third-party Losses brought against or incurred by any Eliiy Indemnitee arising out of or relating to this Agreement or any Purchase Order to the extent such Losses are caused by: (a) any breach of this Agreement by Enphase or its successors and assigns (collectively, the “</w:t>
      </w:r>
      <w:r>
        <w:rPr>
          <w:rFonts w:ascii="Arial" w:cs="Arial" w:eastAsia="Arial" w:hAnsi="Arial"/>
          <w:sz w:val="18"/>
          <w:szCs w:val="18"/>
          <w:b w:val="1"/>
          <w:bCs w:val="1"/>
          <w:color w:val="auto"/>
        </w:rPr>
        <w:t>Enphase-Related Persons</w:t>
      </w:r>
      <w:r>
        <w:rPr>
          <w:rFonts w:ascii="Arial" w:cs="Arial" w:eastAsia="Arial" w:hAnsi="Arial"/>
          <w:sz w:val="18"/>
          <w:szCs w:val="18"/>
          <w:color w:val="auto"/>
        </w:rPr>
        <w:t>”); (b) the negligence or willful misconduct of the Enphase-Related Persons; and</w:t>
      </w:r>
    </w:p>
    <w:p>
      <w:pPr>
        <w:spacing w:after="0" w:line="5" w:lineRule="exact"/>
        <w:rPr>
          <w:rFonts w:ascii="Arial" w:cs="Arial" w:eastAsia="Arial" w:hAnsi="Arial"/>
          <w:sz w:val="18"/>
          <w:szCs w:val="18"/>
          <w:color w:val="auto"/>
        </w:rPr>
      </w:pPr>
    </w:p>
    <w:p>
      <w:pPr>
        <w:ind w:left="2600" w:right="20" w:firstLine="1"/>
        <w:spacing w:after="0" w:line="244" w:lineRule="auto"/>
        <w:tabs>
          <w:tab w:leader="none" w:pos="2912" w:val="left"/>
        </w:tabs>
        <w:numPr>
          <w:ilvl w:val="2"/>
          <w:numId w:val="43"/>
        </w:numPr>
        <w:rPr>
          <w:rFonts w:ascii="Arial" w:cs="Arial" w:eastAsia="Arial" w:hAnsi="Arial"/>
          <w:sz w:val="20"/>
          <w:szCs w:val="20"/>
          <w:color w:val="auto"/>
        </w:rPr>
      </w:pPr>
      <w:r>
        <w:rPr>
          <w:rFonts w:ascii="Arial" w:cs="Arial" w:eastAsia="Arial" w:hAnsi="Arial"/>
          <w:sz w:val="20"/>
          <w:szCs w:val="20"/>
          <w:color w:val="auto"/>
        </w:rPr>
        <w:t>any product liability claims or other claims relating to the AC Battery that were not the result of a deficiency of or primarily related to the issues with the Product.</w:t>
      </w:r>
    </w:p>
    <w:p>
      <w:pPr>
        <w:spacing w:after="0" w:line="185" w:lineRule="exact"/>
        <w:rPr>
          <w:rFonts w:ascii="Arial" w:cs="Arial" w:eastAsia="Arial" w:hAnsi="Arial"/>
          <w:sz w:val="20"/>
          <w:szCs w:val="20"/>
          <w:color w:val="auto"/>
        </w:rPr>
      </w:pPr>
    </w:p>
    <w:p>
      <w:pPr>
        <w:jc w:val="both"/>
        <w:ind w:left="2600" w:hanging="809"/>
        <w:spacing w:after="0" w:line="255" w:lineRule="auto"/>
        <w:tabs>
          <w:tab w:leader="none" w:pos="2600"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Notice of Claim</w:t>
      </w:r>
      <w:r>
        <w:rPr>
          <w:rFonts w:ascii="Arial" w:cs="Arial" w:eastAsia="Arial" w:hAnsi="Arial"/>
          <w:sz w:val="19"/>
          <w:szCs w:val="19"/>
          <w:color w:val="auto"/>
        </w:rPr>
        <w:t>. An Enphase Indemnitee or Eliiy Indemnitee (each, an “</w:t>
      </w:r>
      <w:r>
        <w:rPr>
          <w:rFonts w:ascii="Arial" w:cs="Arial" w:eastAsia="Arial" w:hAnsi="Arial"/>
          <w:sz w:val="19"/>
          <w:szCs w:val="19"/>
          <w:b w:val="1"/>
          <w:bCs w:val="1"/>
          <w:color w:val="auto"/>
        </w:rPr>
        <w:t>Indemnified Party</w:t>
      </w:r>
      <w:r>
        <w:rPr>
          <w:rFonts w:ascii="Arial" w:cs="Arial" w:eastAsia="Arial" w:hAnsi="Arial"/>
          <w:sz w:val="19"/>
          <w:szCs w:val="19"/>
          <w:color w:val="auto"/>
        </w:rPr>
        <w:t>”) shall, promptly after the receipt of notice of the commencement of any legal action or of any claims against such Indemnified Party in respect of which indemnification may be sought pursuant to the provisions of this Section l, notify Eliiy or Enphase, as the case may be (each, an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thereof, provided that the failure of an Indemnified Party promptly to provide any such notice shall only reduce the liability of the Indemnifying Party by the amount of any damages attributable to the failure of the Indemnified Party to give such notice in such manner. In case any such claim or legal action shall be made or brought against an Indemnified Party and such Indemnified Party shall notify the Indemnifying Party thereof, the Indemnifying Party may, or if so requested by the Indemnified Party shall, assume the defense thereof and after notice from the Indemnifying Party to the Indemnified Party of its election to assume the defense thereof with legal counsel reasonably satisfactory to the Indemnified Party, the Indemnifying Party will not be liable to the Indemnified</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right="74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59" w:name="page60"/>
    <w:bookmarkEnd w:id="59"/>
    <w:p>
      <w:pPr>
        <w:ind w:left="10392"/>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952"/>
        <w:spacing w:after="0" w:line="302" w:lineRule="auto"/>
        <w:rPr>
          <w:sz w:val="20"/>
          <w:szCs w:val="20"/>
          <w:color w:val="auto"/>
        </w:rPr>
      </w:pPr>
      <w:r>
        <w:rPr>
          <w:rFonts w:ascii="Arial" w:cs="Arial" w:eastAsia="Arial" w:hAnsi="Arial"/>
          <w:sz w:val="18"/>
          <w:szCs w:val="18"/>
          <w:color w:val="auto"/>
        </w:rPr>
        <w:t xml:space="preserve">Party under this Section for any legal fees and expenses subsequently incurred by such Indemnified Party in connection with the defense thereof. If the Indemnifying Party does not assume the defense of any such claim or legal action, then the Indemnifying Party shall remain liable to such Indemnified Party for any legal fees and expenses incurred by such Indemnified Party in connection with the defense thereof. No Indemnified Party shall settle any indemnified claim over which the Indemnifying Party has not been afforded the opportunity to assume the defense. The Indemnifying Party shall control the settlement of all claims over which it has assumed the defense; </w:t>
      </w:r>
      <w:r>
        <w:rPr>
          <w:rFonts w:ascii="Arial" w:cs="Arial" w:eastAsia="Arial" w:hAnsi="Arial"/>
          <w:sz w:val="18"/>
          <w:szCs w:val="18"/>
          <w:u w:val="single" w:color="auto"/>
          <w:color w:val="auto"/>
        </w:rPr>
        <w:t>provided</w:t>
      </w:r>
      <w:r>
        <w:rPr>
          <w:rFonts w:ascii="Arial" w:cs="Arial" w:eastAsia="Arial" w:hAnsi="Arial"/>
          <w:sz w:val="18"/>
          <w:szCs w:val="18"/>
          <w:color w:val="auto"/>
        </w:rPr>
        <w:t>, that the Indemnifying Party shall not conclude any settlement which requires any action or forbearance from action by an Indemnified Party, or any payment by an Indemnified Party, without the prior approval of the Indemnified Party. The Indemnified Party shall provide reasonable assistance to the Indemnifying Party as reasonably requested by the Indemnifying Party, at the Indemnifying Party’s sole cost and expense, in connection with such legal action or claim. For claims over which the Indemnifying Party has assumed the defense, the Indemnified Party shall have the right to participate in and be represented by counsel of its own choice and at its own expense.</w:t>
      </w:r>
    </w:p>
    <w:p>
      <w:pPr>
        <w:spacing w:after="0" w:line="167" w:lineRule="exact"/>
        <w:rPr>
          <w:sz w:val="20"/>
          <w:szCs w:val="20"/>
          <w:color w:val="auto"/>
        </w:rPr>
      </w:pPr>
    </w:p>
    <w:p>
      <w:pPr>
        <w:ind w:left="1292" w:hanging="644"/>
        <w:spacing w:after="0"/>
        <w:tabs>
          <w:tab w:leader="none" w:pos="1292" w:val="left"/>
        </w:tabs>
        <w:numPr>
          <w:ilvl w:val="1"/>
          <w:numId w:val="44"/>
        </w:numPr>
        <w:rPr>
          <w:rFonts w:ascii="Arial" w:cs="Arial" w:eastAsia="Arial" w:hAnsi="Arial"/>
          <w:sz w:val="22"/>
          <w:szCs w:val="22"/>
          <w:i w:val="1"/>
          <w:iCs w:val="1"/>
          <w:color w:val="auto"/>
        </w:rPr>
      </w:pPr>
      <w:r>
        <w:rPr>
          <w:rFonts w:ascii="Arial" w:cs="Arial" w:eastAsia="Arial" w:hAnsi="Arial"/>
          <w:sz w:val="20"/>
          <w:szCs w:val="20"/>
          <w:u w:val="single" w:color="auto"/>
          <w:color w:val="auto"/>
        </w:rPr>
        <w:t>Limitation of Liability and Disclaimer</w:t>
      </w:r>
      <w:r>
        <w:rPr>
          <w:rFonts w:ascii="Arial" w:cs="Arial" w:eastAsia="Arial" w:hAnsi="Arial"/>
          <w:sz w:val="20"/>
          <w:szCs w:val="20"/>
          <w:color w:val="auto"/>
        </w:rPr>
        <w:t>.</w:t>
      </w:r>
    </w:p>
    <w:p>
      <w:pPr>
        <w:spacing w:after="0" w:line="222" w:lineRule="exact"/>
        <w:rPr>
          <w:rFonts w:ascii="Arial" w:cs="Arial" w:eastAsia="Arial" w:hAnsi="Arial"/>
          <w:sz w:val="22"/>
          <w:szCs w:val="22"/>
          <w:i w:val="1"/>
          <w:iCs w:val="1"/>
          <w:color w:val="auto"/>
        </w:rPr>
      </w:pPr>
    </w:p>
    <w:p>
      <w:pPr>
        <w:jc w:val="both"/>
        <w:ind w:left="1952" w:hanging="655"/>
        <w:spacing w:after="0" w:line="283" w:lineRule="auto"/>
        <w:tabs>
          <w:tab w:leader="none" w:pos="1952" w:val="left"/>
        </w:tabs>
        <w:numPr>
          <w:ilvl w:val="2"/>
          <w:numId w:val="44"/>
        </w:numPr>
        <w:rPr>
          <w:rFonts w:ascii="Arial" w:cs="Arial" w:eastAsia="Arial" w:hAnsi="Arial"/>
          <w:sz w:val="21"/>
          <w:szCs w:val="21"/>
          <w:b w:val="1"/>
          <w:bCs w:val="1"/>
          <w:color w:val="auto"/>
        </w:rPr>
      </w:pPr>
      <w:r>
        <w:rPr>
          <w:rFonts w:ascii="Arial" w:cs="Arial" w:eastAsia="Arial" w:hAnsi="Arial"/>
          <w:sz w:val="19"/>
          <w:szCs w:val="19"/>
          <w:color w:val="auto"/>
        </w:rPr>
        <w:t>IN NO EVENT SHALL EITHER PARTY BE RESPONSIBLE UNDER ANY PROVISION OF THIS AGREEMENT OR OTHERWISE WITH RESPECT TO THE PRODUCT, FOR ANY CONSEQUENTIAL, INCIDENTAL, INDIRECT, SPECIAL OR PUNITIVE DAMAGES, ANTICIPATED OR LOST PROFITS, LOSS OF TIME, OR OTHER SIMILAR LOSSES OF ANY KIND INCURRED BY THE OTHER PARTY IN CONNECTION WITH SUCH PARTY’S PERFORMANCE OR NON-PERFORMANCE UNDER THIS AGREEMENT.</w:t>
      </w:r>
    </w:p>
    <w:p>
      <w:pPr>
        <w:spacing w:after="0" w:line="183" w:lineRule="exact"/>
        <w:rPr>
          <w:rFonts w:ascii="Arial" w:cs="Arial" w:eastAsia="Arial" w:hAnsi="Arial"/>
          <w:sz w:val="21"/>
          <w:szCs w:val="21"/>
          <w:b w:val="1"/>
          <w:bCs w:val="1"/>
          <w:color w:val="auto"/>
        </w:rPr>
      </w:pPr>
    </w:p>
    <w:p>
      <w:pPr>
        <w:jc w:val="both"/>
        <w:ind w:left="1952" w:hanging="655"/>
        <w:spacing w:after="0" w:line="282" w:lineRule="auto"/>
        <w:tabs>
          <w:tab w:leader="none" w:pos="1952" w:val="left"/>
        </w:tabs>
        <w:numPr>
          <w:ilvl w:val="2"/>
          <w:numId w:val="44"/>
        </w:numPr>
        <w:rPr>
          <w:rFonts w:ascii="Arial" w:cs="Arial" w:eastAsia="Arial" w:hAnsi="Arial"/>
          <w:sz w:val="21"/>
          <w:szCs w:val="21"/>
          <w:b w:val="1"/>
          <w:bCs w:val="1"/>
          <w:color w:val="auto"/>
        </w:rPr>
      </w:pPr>
      <w:r>
        <w:rPr>
          <w:rFonts w:ascii="Arial" w:cs="Arial" w:eastAsia="Arial" w:hAnsi="Arial"/>
          <w:sz w:val="19"/>
          <w:szCs w:val="19"/>
          <w:color w:val="auto"/>
        </w:rPr>
        <w:t>EACH PARTY’S ENTIRE AND AGGREGATE LIABILITY FOR ALL CLAIMS MADE BY ONE PARTY AGAINST THE OTHER PARTY ARISING FROM THIS AGREEMENT SHALL NOT EXCEED THE GREATER OF [*] OR [*] OF THE TOTAL AMOUNT OF SALES OF THE PRODUCT DURING THE EXCLUSIVITY PERIOD, AND THEN [*] FROM THE END OF THE EXCLUSIVITY PERIOD TO THE POINT THE INDEMNIFIED PARTY HAS NOTIFIED THE INDEMNIFYING PARTY FOR INDEMNIFICATION PURSUANT TO SECTION 3.P.(IV) ABOVE. NOTHING IN THIS SECTION 3.Q SHALL BE DEEMED OR CONSTRUED TO LIMIT (A) RECOVERY OF AMOUNTS OWED TO A THIRD PARTY THAT MAY BE RECOVERABLE FROM THE OTHER PARTY PURSUANT TO ANY INDEMNITY UNDER SECTION K, (B) LIABILITY ARISING FROM A PARTY’S GROSS NEGLIGENCE, WILLFUL MISCONDUCT, INTENTIONAL BREACH, FRAUD, OR ILLEGAL OR UNLAWFUL ACTS, (C) AMOUNTS DUE TO ELIIY FOR UNPAID INVOICES, OR (D) ELIIY’S WARRANTY OBLIGATIONS. THE LIMITS OF LIABILITY SET FORTH IN THIS AGREEMENT SHALL NOT BE REDUCED BY THE AMOUNT OF INSURANCE PROCEEDS AVAILABLE TO THE INDEMNIFIED PARTY.</w:t>
      </w:r>
    </w:p>
    <w:p>
      <w:pPr>
        <w:spacing w:after="0" w:line="187" w:lineRule="exact"/>
        <w:rPr>
          <w:rFonts w:ascii="Arial" w:cs="Arial" w:eastAsia="Arial" w:hAnsi="Arial"/>
          <w:sz w:val="21"/>
          <w:szCs w:val="21"/>
          <w:b w:val="1"/>
          <w:bCs w:val="1"/>
          <w:color w:val="auto"/>
        </w:rPr>
      </w:pPr>
    </w:p>
    <w:p>
      <w:pPr>
        <w:ind w:left="1292" w:hanging="644"/>
        <w:spacing w:after="0" w:line="265" w:lineRule="auto"/>
        <w:tabs>
          <w:tab w:leader="none" w:pos="1292" w:val="left"/>
        </w:tabs>
        <w:numPr>
          <w:ilvl w:val="1"/>
          <w:numId w:val="44"/>
        </w:numPr>
        <w:rPr>
          <w:rFonts w:ascii="Arial" w:cs="Arial" w:eastAsia="Arial" w:hAnsi="Arial"/>
          <w:sz w:val="22"/>
          <w:szCs w:val="22"/>
          <w:i w:val="1"/>
          <w:iCs w:val="1"/>
          <w:color w:val="auto"/>
        </w:rPr>
      </w:pPr>
      <w:r>
        <w:rPr>
          <w:rFonts w:ascii="Arial" w:cs="Arial" w:eastAsia="Arial" w:hAnsi="Arial"/>
          <w:sz w:val="20"/>
          <w:szCs w:val="20"/>
          <w:u w:val="single" w:color="auto"/>
          <w:color w:val="auto"/>
        </w:rPr>
        <w:t>No Limitation on Remedies.</w:t>
      </w:r>
      <w:r>
        <w:rPr>
          <w:rFonts w:ascii="Arial" w:cs="Arial" w:eastAsia="Arial" w:hAnsi="Arial"/>
          <w:sz w:val="20"/>
          <w:szCs w:val="20"/>
          <w:color w:val="auto"/>
        </w:rPr>
        <w:t xml:space="preserve"> Except where this Agreement states that the applicable remedy set forth herein is the sole or exclusive remedy (or words of similar import) for such event,</w:t>
      </w:r>
    </w:p>
    <w:p>
      <w:pPr>
        <w:spacing w:after="0" w:line="200" w:lineRule="exact"/>
        <w:rPr>
          <w:rFonts w:ascii="Arial" w:cs="Arial" w:eastAsia="Arial" w:hAnsi="Arial"/>
          <w:sz w:val="22"/>
          <w:szCs w:val="22"/>
          <w:i w:val="1"/>
          <w:iCs w:val="1"/>
          <w:color w:val="auto"/>
        </w:rPr>
      </w:pPr>
    </w:p>
    <w:p>
      <w:pPr>
        <w:spacing w:after="0" w:line="228" w:lineRule="exact"/>
        <w:rPr>
          <w:rFonts w:ascii="Arial" w:cs="Arial" w:eastAsia="Arial" w:hAnsi="Arial"/>
          <w:sz w:val="22"/>
          <w:szCs w:val="22"/>
          <w:i w:val="1"/>
          <w:iCs w:val="1"/>
          <w:color w:val="auto"/>
        </w:rPr>
      </w:pPr>
    </w:p>
    <w:p>
      <w:pPr>
        <w:ind w:left="-8" w:right="740" w:firstLine="8"/>
        <w:spacing w:after="0" w:line="277" w:lineRule="auto"/>
        <w:tabs>
          <w:tab w:leader="none" w:pos="2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11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300"/>
        <w:spacing w:after="0" w:line="347" w:lineRule="auto"/>
        <w:rPr>
          <w:sz w:val="20"/>
          <w:szCs w:val="20"/>
          <w:color w:val="auto"/>
        </w:rPr>
      </w:pPr>
      <w:r>
        <w:rPr>
          <w:rFonts w:ascii="Arial" w:cs="Arial" w:eastAsia="Arial" w:hAnsi="Arial"/>
          <w:sz w:val="18"/>
          <w:szCs w:val="18"/>
          <w:color w:val="auto"/>
        </w:rPr>
        <w:t>the rights and remedies of the Parties with respect to this Agreement in relation to such event are in addition to, and shall not be read or deemed a limitation on, those rights and remedies that may be available to a Party at law or in equity.</w:t>
      </w:r>
    </w:p>
    <w:p>
      <w:pPr>
        <w:spacing w:after="0" w:line="128" w:lineRule="exact"/>
        <w:rPr>
          <w:sz w:val="20"/>
          <w:szCs w:val="20"/>
          <w:color w:val="auto"/>
        </w:rPr>
      </w:pPr>
    </w:p>
    <w:p>
      <w:pPr>
        <w:ind w:left="1300" w:hanging="644"/>
        <w:spacing w:after="0"/>
        <w:tabs>
          <w:tab w:leader="none" w:pos="1300" w:val="left"/>
        </w:tabs>
        <w:numPr>
          <w:ilvl w:val="1"/>
          <w:numId w:val="45"/>
        </w:numPr>
        <w:rPr>
          <w:rFonts w:ascii="Arial" w:cs="Arial" w:eastAsia="Arial" w:hAnsi="Arial"/>
          <w:sz w:val="22"/>
          <w:szCs w:val="22"/>
          <w:i w:val="1"/>
          <w:iCs w:val="1"/>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202" w:lineRule="exact"/>
        <w:rPr>
          <w:rFonts w:ascii="Arial" w:cs="Arial" w:eastAsia="Arial" w:hAnsi="Arial"/>
          <w:sz w:val="22"/>
          <w:szCs w:val="22"/>
          <w:i w:val="1"/>
          <w:iCs w:val="1"/>
          <w:color w:val="auto"/>
        </w:rPr>
      </w:pPr>
    </w:p>
    <w:p>
      <w:pPr>
        <w:ind w:left="1960" w:hanging="655"/>
        <w:spacing w:after="0" w:line="267" w:lineRule="auto"/>
        <w:tabs>
          <w:tab w:leader="none" w:pos="1960" w:val="left"/>
        </w:tabs>
        <w:numPr>
          <w:ilvl w:val="2"/>
          <w:numId w:val="45"/>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w:t>
      </w:r>
      <w:r>
        <w:rPr>
          <w:rFonts w:ascii="Arial" w:cs="Arial" w:eastAsia="Arial" w:hAnsi="Arial"/>
          <w:sz w:val="20"/>
          <w:szCs w:val="20"/>
          <w:b w:val="1"/>
          <w:bCs w:val="1"/>
          <w:color w:val="auto"/>
        </w:rPr>
        <w:t>Term</w:t>
      </w:r>
      <w:r>
        <w:rPr>
          <w:rFonts w:ascii="Arial" w:cs="Arial" w:eastAsia="Arial" w:hAnsi="Arial"/>
          <w:sz w:val="20"/>
          <w:szCs w:val="20"/>
          <w:color w:val="auto"/>
        </w:rPr>
        <w:t>” of this Agreement shall be for a period of six (6) years from the Effective Date hereof or earlier, as provided elsewhere in this Agreement.</w:t>
      </w:r>
    </w:p>
    <w:p>
      <w:pPr>
        <w:spacing w:after="0" w:line="169" w:lineRule="exact"/>
        <w:rPr>
          <w:rFonts w:ascii="Arial" w:cs="Arial" w:eastAsia="Arial" w:hAnsi="Arial"/>
          <w:sz w:val="20"/>
          <w:szCs w:val="20"/>
          <w:color w:val="auto"/>
        </w:rPr>
      </w:pPr>
    </w:p>
    <w:p>
      <w:pPr>
        <w:jc w:val="both"/>
        <w:ind w:left="1960" w:hanging="655"/>
        <w:spacing w:after="0" w:line="246" w:lineRule="auto"/>
        <w:tabs>
          <w:tab w:leader="none" w:pos="1960" w:val="left"/>
        </w:tabs>
        <w:numPr>
          <w:ilvl w:val="2"/>
          <w:numId w:val="4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Expiration or termination of this Agreement for any reason shall not affect: (A) the obligations accrued and the rights secured prior to the effective date of expiration or termination; and (B) any obligations under Sections 3.f.(B-D), 3.i., 3.j., 3.n. (if there is a defect in the Product), 3.p., 3.q., 3.r., 3.s(ii-iii), 3.u (ii-xii) hereof, all of which shall survive termination or expiration of this Agreement.</w:t>
      </w:r>
    </w:p>
    <w:p>
      <w:pPr>
        <w:spacing w:after="0" w:line="191" w:lineRule="exact"/>
        <w:rPr>
          <w:rFonts w:ascii="Arial" w:cs="Arial" w:eastAsia="Arial" w:hAnsi="Arial"/>
          <w:sz w:val="20"/>
          <w:szCs w:val="20"/>
          <w:color w:val="auto"/>
        </w:rPr>
      </w:pPr>
    </w:p>
    <w:p>
      <w:pPr>
        <w:jc w:val="both"/>
        <w:ind w:left="1960" w:hanging="655"/>
        <w:spacing w:after="0" w:line="274" w:lineRule="auto"/>
        <w:tabs>
          <w:tab w:leader="none" w:pos="1960"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Rights to Intellectual Property</w:t>
      </w:r>
      <w:r>
        <w:rPr>
          <w:rFonts w:ascii="Arial" w:cs="Arial" w:eastAsia="Arial" w:hAnsi="Arial"/>
          <w:sz w:val="18"/>
          <w:szCs w:val="18"/>
          <w:color w:val="auto"/>
        </w:rPr>
        <w:t>. In the event of Eliiy’s termination of this Agreement for any reason other than a default by Enphase, or Eliiy’s inability, unwillingness or failure to fulfill its obligations under this Agreement and provided that Enphase fulfills all of its obligations under this Agreement, then Enphase shall have the rights, without the requirement of any additional payments to Eliiy or any successor in interest, to develop a similar battery cell storage system with a third party(ies), and further, Eliiy agrees that it shall not prosecute any claims, of any kind, against Enphase or the third party(ies) for any use of the BMU protocol, firmware and circuit modifications developed by both parties during the Term. This Section s.(iii) does not grant Enphase any rights to the Eliiy source code for the BMU.</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1"/>
          <w:numId w:val="45"/>
        </w:numPr>
        <w:rPr>
          <w:rFonts w:ascii="Arial" w:cs="Arial" w:eastAsia="Arial" w:hAnsi="Arial"/>
          <w:sz w:val="22"/>
          <w:szCs w:val="22"/>
          <w:i w:val="1"/>
          <w:iCs w:val="1"/>
          <w:color w:val="auto"/>
        </w:rPr>
      </w:pPr>
      <w:r>
        <w:rPr>
          <w:rFonts w:ascii="Arial" w:cs="Arial" w:eastAsia="Arial" w:hAnsi="Arial"/>
          <w:sz w:val="20"/>
          <w:szCs w:val="20"/>
          <w:u w:val="single" w:color="auto"/>
          <w:color w:val="auto"/>
        </w:rPr>
        <w:t>Default and Termination</w:t>
      </w:r>
      <w:r>
        <w:rPr>
          <w:rFonts w:ascii="Arial" w:cs="Arial" w:eastAsia="Arial" w:hAnsi="Arial"/>
          <w:sz w:val="20"/>
          <w:szCs w:val="20"/>
          <w:color w:val="auto"/>
        </w:rPr>
        <w:t>.</w:t>
      </w:r>
    </w:p>
    <w:p>
      <w:pPr>
        <w:spacing w:after="0" w:line="208" w:lineRule="exact"/>
        <w:rPr>
          <w:rFonts w:ascii="Arial" w:cs="Arial" w:eastAsia="Arial" w:hAnsi="Arial"/>
          <w:sz w:val="22"/>
          <w:szCs w:val="22"/>
          <w:i w:val="1"/>
          <w:iCs w:val="1"/>
          <w:color w:val="auto"/>
        </w:rPr>
      </w:pPr>
    </w:p>
    <w:p>
      <w:pPr>
        <w:ind w:left="3240" w:hanging="1935"/>
        <w:spacing w:after="0" w:line="291" w:lineRule="auto"/>
        <w:tabs>
          <w:tab w:leader="none" w:pos="1944"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Default by Enphase</w:t>
      </w:r>
      <w:r>
        <w:rPr>
          <w:rFonts w:ascii="Arial" w:cs="Arial" w:eastAsia="Arial" w:hAnsi="Arial"/>
          <w:sz w:val="18"/>
          <w:szCs w:val="18"/>
          <w:color w:val="auto"/>
        </w:rPr>
        <w:t>. This Agreement may be terminated by Eliiy prior to the end of the Term by written notice to Enphase, if Enphase, on at least [*] occasions in any [*] period, does not meet its undisputed payment obligations and does not cure or remedy such default in payment within [*] after receipt of the notice.</w:t>
      </w:r>
    </w:p>
    <w:p>
      <w:pPr>
        <w:spacing w:after="0" w:line="151" w:lineRule="exact"/>
        <w:rPr>
          <w:rFonts w:ascii="Arial" w:cs="Arial" w:eastAsia="Arial" w:hAnsi="Arial"/>
          <w:sz w:val="18"/>
          <w:szCs w:val="18"/>
          <w:color w:val="auto"/>
        </w:rPr>
      </w:pPr>
    </w:p>
    <w:p>
      <w:pPr>
        <w:jc w:val="both"/>
        <w:ind w:left="1960" w:hanging="655"/>
        <w:spacing w:after="0" w:line="246" w:lineRule="auto"/>
        <w:tabs>
          <w:tab w:leader="none" w:pos="1960" w:val="left"/>
        </w:tabs>
        <w:numPr>
          <w:ilvl w:val="2"/>
          <w:numId w:val="45"/>
        </w:numPr>
        <w:rPr>
          <w:rFonts w:ascii="Arial" w:cs="Arial" w:eastAsia="Arial" w:hAnsi="Arial"/>
          <w:sz w:val="20"/>
          <w:szCs w:val="20"/>
          <w:color w:val="auto"/>
        </w:rPr>
      </w:pPr>
      <w:r>
        <w:rPr>
          <w:rFonts w:ascii="Arial" w:cs="Arial" w:eastAsia="Arial" w:hAnsi="Arial"/>
          <w:sz w:val="20"/>
          <w:szCs w:val="20"/>
          <w:u w:val="single" w:color="auto"/>
          <w:color w:val="auto"/>
        </w:rPr>
        <w:t>Default by Eliiy</w:t>
      </w:r>
      <w:r>
        <w:rPr>
          <w:rFonts w:ascii="Arial" w:cs="Arial" w:eastAsia="Arial" w:hAnsi="Arial"/>
          <w:sz w:val="20"/>
          <w:szCs w:val="20"/>
          <w:color w:val="auto"/>
        </w:rPr>
        <w:t>. This Agreement may be terminated by Enphase prior to the end of the Term by written notice to Eliiy, if Eliiy, on at least [*] period, fails to deliver the quantities or Delivery Date set forth in an accepted Purchase Order, and does not cure or remedy such default within [*] after receipt of the notice. The Milestone Schedule shall set forth the cure dates and remedy for any failure to meet a Milestone.</w:t>
      </w:r>
    </w:p>
    <w:p>
      <w:pPr>
        <w:spacing w:after="0" w:line="191" w:lineRule="exact"/>
        <w:rPr>
          <w:rFonts w:ascii="Arial" w:cs="Arial" w:eastAsia="Arial" w:hAnsi="Arial"/>
          <w:sz w:val="20"/>
          <w:szCs w:val="20"/>
          <w:color w:val="auto"/>
        </w:rPr>
      </w:pPr>
    </w:p>
    <w:p>
      <w:pPr>
        <w:jc w:val="both"/>
        <w:ind w:left="1960" w:hanging="655"/>
        <w:spacing w:after="0" w:line="276" w:lineRule="auto"/>
        <w:tabs>
          <w:tab w:leader="none" w:pos="1960"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Default by Either Party</w:t>
      </w:r>
      <w:r>
        <w:rPr>
          <w:rFonts w:ascii="Arial" w:cs="Arial" w:eastAsia="Arial" w:hAnsi="Arial"/>
          <w:sz w:val="18"/>
          <w:szCs w:val="18"/>
          <w:color w:val="auto"/>
        </w:rPr>
        <w:t>. Except as set forth in Section t.(i) or t.(ii), this Agreement may be terminated earlier by either party by a written notice to the other party if the other party: (i) breaches any material provision of this Agreement and does not cure or remedy such breach within [*] after receipt of the notice of breach from the other party; or (ii) permanently ceases doing business, becomes the subject of a voluntary or involuntary petition in bankruptcy or any proceeding relating to insolvency, receivership, liquidation, reorganization, corporate rehabilitation, composition for the benefit of creditors, if such petition or proceeding is not dismissed with prejudice within [*] after filing.</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right="740"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61" w:name="page62"/>
    <w:bookmarkEnd w:id="61"/>
    <w:p>
      <w:pPr>
        <w:ind w:left="10392"/>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52" w:hanging="655"/>
        <w:spacing w:after="0" w:line="250" w:lineRule="auto"/>
        <w:tabs>
          <w:tab w:leader="none" w:pos="1952" w:val="left"/>
        </w:tabs>
        <w:numPr>
          <w:ilvl w:val="2"/>
          <w:numId w:val="46"/>
        </w:numPr>
        <w:rPr>
          <w:rFonts w:ascii="Arial" w:cs="Arial" w:eastAsia="Arial" w:hAnsi="Arial"/>
          <w:sz w:val="20"/>
          <w:szCs w:val="20"/>
          <w:color w:val="auto"/>
        </w:rPr>
      </w:pPr>
      <w:r>
        <w:rPr>
          <w:rFonts w:ascii="Arial" w:cs="Arial" w:eastAsia="Arial" w:hAnsi="Arial"/>
          <w:sz w:val="20"/>
          <w:szCs w:val="20"/>
          <w:u w:val="single" w:color="auto"/>
          <w:color w:val="auto"/>
        </w:rPr>
        <w:t>Failure to Agree to Terms for Section 3.i.(ii)</w:t>
      </w:r>
      <w:r>
        <w:rPr>
          <w:rFonts w:ascii="Arial" w:cs="Arial" w:eastAsia="Arial" w:hAnsi="Arial"/>
          <w:sz w:val="20"/>
          <w:szCs w:val="20"/>
          <w:color w:val="auto"/>
        </w:rPr>
        <w:t>. Either Party may terminate this Agreement without any penalty or liability if the Parties are unable agree to the reasonable warranty precautions and exclusions terms as provided for in Section 3.i.(ii) within in the [*] day time period referenced in the section.</w:t>
      </w:r>
    </w:p>
    <w:p>
      <w:pPr>
        <w:spacing w:after="0" w:line="197" w:lineRule="exact"/>
        <w:rPr>
          <w:rFonts w:ascii="Arial" w:cs="Arial" w:eastAsia="Arial" w:hAnsi="Arial"/>
          <w:sz w:val="20"/>
          <w:szCs w:val="20"/>
          <w:color w:val="auto"/>
        </w:rPr>
      </w:pPr>
    </w:p>
    <w:p>
      <w:pPr>
        <w:ind w:left="1292" w:hanging="644"/>
        <w:spacing w:after="0"/>
        <w:tabs>
          <w:tab w:leader="none" w:pos="1292" w:val="left"/>
        </w:tabs>
        <w:numPr>
          <w:ilvl w:val="1"/>
          <w:numId w:val="47"/>
        </w:numPr>
        <w:rPr>
          <w:rFonts w:ascii="Arial" w:cs="Arial" w:eastAsia="Arial" w:hAnsi="Arial"/>
          <w:sz w:val="22"/>
          <w:szCs w:val="22"/>
          <w:i w:val="1"/>
          <w:iCs w:val="1"/>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08" w:lineRule="exact"/>
        <w:rPr>
          <w:rFonts w:ascii="Arial" w:cs="Arial" w:eastAsia="Arial" w:hAnsi="Arial"/>
          <w:sz w:val="22"/>
          <w:szCs w:val="22"/>
          <w:i w:val="1"/>
          <w:iCs w:val="1"/>
          <w:color w:val="auto"/>
        </w:rPr>
      </w:pPr>
    </w:p>
    <w:p>
      <w:pPr>
        <w:ind w:left="1952" w:hanging="655"/>
        <w:spacing w:after="0" w:line="316" w:lineRule="auto"/>
        <w:tabs>
          <w:tab w:leader="none" w:pos="1952" w:val="left"/>
        </w:tabs>
        <w:numPr>
          <w:ilvl w:val="2"/>
          <w:numId w:val="47"/>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Starting with the [*] after Enphase has sold AC Batteries, Enphase shall deliver to Eliiy, on a [*] basis, a report that indicates how many AC Batteries have been delivered into “</w:t>
      </w:r>
      <w:r>
        <w:rPr>
          <w:rFonts w:ascii="Arial" w:cs="Arial" w:eastAsia="Arial" w:hAnsi="Arial"/>
          <w:sz w:val="18"/>
          <w:szCs w:val="18"/>
          <w:b w:val="1"/>
          <w:bCs w:val="1"/>
          <w:color w:val="auto"/>
        </w:rPr>
        <w:t>Condition 1</w:t>
      </w:r>
      <w:r>
        <w:rPr>
          <w:rFonts w:ascii="Arial" w:cs="Arial" w:eastAsia="Arial" w:hAnsi="Arial"/>
          <w:sz w:val="18"/>
          <w:szCs w:val="18"/>
          <w:color w:val="auto"/>
        </w:rPr>
        <w:t>” and “</w:t>
      </w:r>
      <w:r>
        <w:rPr>
          <w:rFonts w:ascii="Arial" w:cs="Arial" w:eastAsia="Arial" w:hAnsi="Arial"/>
          <w:sz w:val="18"/>
          <w:szCs w:val="18"/>
          <w:b w:val="1"/>
          <w:bCs w:val="1"/>
          <w:color w:val="auto"/>
        </w:rPr>
        <w:t>Condition 2</w:t>
      </w:r>
      <w:r>
        <w:rPr>
          <w:rFonts w:ascii="Arial" w:cs="Arial" w:eastAsia="Arial" w:hAnsi="Arial"/>
          <w:sz w:val="18"/>
          <w:szCs w:val="18"/>
          <w:color w:val="auto"/>
        </w:rPr>
        <w:t>” geographies.</w:t>
      </w:r>
    </w:p>
    <w:p>
      <w:pPr>
        <w:spacing w:after="0" w:line="130" w:lineRule="exact"/>
        <w:rPr>
          <w:rFonts w:ascii="Arial" w:cs="Arial" w:eastAsia="Arial" w:hAnsi="Arial"/>
          <w:sz w:val="18"/>
          <w:szCs w:val="18"/>
          <w:color w:val="auto"/>
        </w:rPr>
      </w:pPr>
    </w:p>
    <w:p>
      <w:pPr>
        <w:jc w:val="both"/>
        <w:ind w:left="1952" w:hanging="655"/>
        <w:spacing w:after="0" w:line="255" w:lineRule="auto"/>
        <w:tabs>
          <w:tab w:leader="none" w:pos="1952" w:val="left"/>
        </w:tabs>
        <w:numPr>
          <w:ilvl w:val="2"/>
          <w:numId w:val="47"/>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Each party acknowledges that it or its personnel may be exposed to or otherwise acquire Confidential Information of the other party. Each party agrees to hold the Confidential Information of the other party in strict confidence and to not disclose such Confidential Information or use such Confidential Information in any way other than as may be: (i) required by this Agreement, and then only to those employees with a need to know in furtherance of the transactions contemplated by this Agreement; or (ii) consented to in writing by the disclosing party. Within thirty (30) days of the written request of the disclosing party, the receiving party shall return all of the disclosing party’s Confidential Information, except that the receiving party may retain one copy of the Confidential Information to be held by its legal counsel. The receiving party shall promptly notify the disclosing party if the receiving party learns of any unauthorized use or disclosure of the disclosing party’s Confidential Information. Each party agrees that breach of this Section (Confidential Information) will result in irreparable injury to the disclosing party and that the disclosing party is entitled to injunctive relief, in addition to any other remedies that may be available at law or in equity. The receiving party will not use the disclosing party’s Confidential Information to the detriment of the disclosing party.</w:t>
      </w:r>
    </w:p>
    <w:p>
      <w:pPr>
        <w:spacing w:after="0" w:line="182" w:lineRule="exact"/>
        <w:rPr>
          <w:rFonts w:ascii="Arial" w:cs="Arial" w:eastAsia="Arial" w:hAnsi="Arial"/>
          <w:sz w:val="19"/>
          <w:szCs w:val="19"/>
          <w:color w:val="auto"/>
        </w:rPr>
      </w:pPr>
    </w:p>
    <w:p>
      <w:pPr>
        <w:jc w:val="both"/>
        <w:ind w:left="1952" w:hanging="655"/>
        <w:spacing w:after="0" w:line="250" w:lineRule="auto"/>
        <w:tabs>
          <w:tab w:leader="none" w:pos="1952" w:val="left"/>
        </w:tabs>
        <w:numPr>
          <w:ilvl w:val="2"/>
          <w:numId w:val="47"/>
        </w:numPr>
        <w:rPr>
          <w:rFonts w:ascii="Arial" w:cs="Arial" w:eastAsia="Arial" w:hAnsi="Arial"/>
          <w:sz w:val="20"/>
          <w:szCs w:val="20"/>
          <w:color w:val="auto"/>
        </w:rPr>
      </w:pPr>
      <w:r>
        <w:rPr>
          <w:rFonts w:ascii="Arial" w:cs="Arial" w:eastAsia="Arial" w:hAnsi="Arial"/>
          <w:sz w:val="20"/>
          <w:szCs w:val="20"/>
          <w:u w:val="single" w:color="auto"/>
          <w:color w:val="auto"/>
        </w:rPr>
        <w:t>No Authority</w:t>
      </w:r>
      <w:r>
        <w:rPr>
          <w:rFonts w:ascii="Arial" w:cs="Arial" w:eastAsia="Arial" w:hAnsi="Arial"/>
          <w:sz w:val="20"/>
          <w:szCs w:val="20"/>
          <w:color w:val="auto"/>
        </w:rPr>
        <w:t>. Neither party is authorized to act for or on the behalf of the other party under this Agreement. Without limiting the generality of the foregoing, each party is an independent contractor, and no principal</w:t>
      </w:r>
      <w:r>
        <w:rPr>
          <w:rFonts w:ascii="Arial" w:cs="Arial" w:eastAsia="Arial" w:hAnsi="Arial"/>
          <w:sz w:val="20"/>
          <w:szCs w:val="20"/>
          <w:b w:val="1"/>
          <w:bCs w:val="1"/>
          <w:color w:val="auto"/>
        </w:rPr>
        <w:t>/</w:t>
      </w:r>
      <w:r>
        <w:rPr>
          <w:rFonts w:ascii="Arial" w:cs="Arial" w:eastAsia="Arial" w:hAnsi="Arial"/>
          <w:sz w:val="20"/>
          <w:szCs w:val="20"/>
          <w:color w:val="auto"/>
        </w:rPr>
        <w:t>agent or partnership relationship is created between them by this Agreement.</w:t>
      </w:r>
    </w:p>
    <w:p>
      <w:pPr>
        <w:spacing w:after="0" w:line="186" w:lineRule="exact"/>
        <w:rPr>
          <w:rFonts w:ascii="Arial" w:cs="Arial" w:eastAsia="Arial" w:hAnsi="Arial"/>
          <w:sz w:val="20"/>
          <w:szCs w:val="20"/>
          <w:color w:val="auto"/>
        </w:rPr>
      </w:pPr>
    </w:p>
    <w:p>
      <w:pPr>
        <w:jc w:val="both"/>
        <w:ind w:left="1952" w:hanging="655"/>
        <w:spacing w:after="0" w:line="250" w:lineRule="auto"/>
        <w:tabs>
          <w:tab w:leader="none" w:pos="1952" w:val="left"/>
        </w:tabs>
        <w:numPr>
          <w:ilvl w:val="2"/>
          <w:numId w:val="47"/>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No failure or delay by either party to enforce or take advantage of any provision or right under this Agreement shall constitute a subsequent wavier of that provision or right, nor shall it be deemed to be a waiver of any other terms and conditions of this Agreement.</w:t>
      </w:r>
    </w:p>
    <w:p>
      <w:pPr>
        <w:spacing w:after="0" w:line="186" w:lineRule="exact"/>
        <w:rPr>
          <w:rFonts w:ascii="Arial" w:cs="Arial" w:eastAsia="Arial" w:hAnsi="Arial"/>
          <w:sz w:val="20"/>
          <w:szCs w:val="20"/>
          <w:color w:val="auto"/>
        </w:rPr>
      </w:pPr>
    </w:p>
    <w:p>
      <w:pPr>
        <w:ind w:left="1952" w:hanging="655"/>
        <w:spacing w:after="0" w:line="260" w:lineRule="auto"/>
        <w:tabs>
          <w:tab w:leader="none" w:pos="1952" w:val="left"/>
        </w:tabs>
        <w:numPr>
          <w:ilvl w:val="2"/>
          <w:numId w:val="47"/>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request, demand, instruction or other document (collectively, “Notice”) to be given hereunder to either party shall be addressed as follows:</w:t>
      </w:r>
    </w:p>
    <w:p>
      <w:pPr>
        <w:spacing w:after="0" w:line="200" w:lineRule="exact"/>
        <w:rPr>
          <w:rFonts w:ascii="Arial" w:cs="Arial" w:eastAsia="Arial" w:hAnsi="Arial"/>
          <w:sz w:val="20"/>
          <w:szCs w:val="20"/>
          <w:color w:val="auto"/>
        </w:rPr>
      </w:pPr>
    </w:p>
    <w:p>
      <w:pPr>
        <w:spacing w:after="0" w:line="222" w:lineRule="exact"/>
        <w:rPr>
          <w:rFonts w:ascii="Arial" w:cs="Arial" w:eastAsia="Arial" w:hAnsi="Arial"/>
          <w:sz w:val="20"/>
          <w:szCs w:val="20"/>
          <w:color w:val="auto"/>
        </w:rPr>
      </w:pPr>
    </w:p>
    <w:p>
      <w:pPr>
        <w:ind w:left="-8" w:right="740" w:firstLine="8"/>
        <w:spacing w:after="0" w:line="277" w:lineRule="auto"/>
        <w:tabs>
          <w:tab w:leader="none" w:pos="2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11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ectPr>
          <w:pgSz w:w="11900" w:h="16838" w:orient="portrait"/>
          <w:cols w:equalWidth="0" w:num="1">
            <w:col w:w="11412"/>
          </w:cols>
          <w:pgMar w:left="248"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72"/>
        <w:spacing w:after="0"/>
        <w:rPr>
          <w:sz w:val="20"/>
          <w:szCs w:val="20"/>
          <w:color w:val="auto"/>
        </w:rPr>
      </w:pPr>
      <w:r>
        <w:rPr>
          <w:rFonts w:ascii="Arial" w:cs="Arial" w:eastAsia="Arial" w:hAnsi="Arial"/>
          <w:sz w:val="20"/>
          <w:szCs w:val="20"/>
          <w:color w:val="auto"/>
        </w:rPr>
        <w:t>If to Eliiy: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Eliiy Power Co., Ltd.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Attention: Kyoichi Yamamoto</w:t>
      </w:r>
    </w:p>
    <w:p>
      <w:pPr>
        <w:spacing w:after="0" w:line="200" w:lineRule="exact"/>
        <w:rPr>
          <w:sz w:val="20"/>
          <w:szCs w:val="20"/>
          <w:color w:val="auto"/>
        </w:rPr>
      </w:pPr>
    </w:p>
    <w:p>
      <w:pPr>
        <w:sectPr>
          <w:pgSz w:w="11900" w:h="16838" w:orient="portrait"/>
          <w:cols w:equalWidth="0" w:num="2">
            <w:col w:w="3972" w:space="720"/>
            <w:col w:w="6720"/>
          </w:cols>
          <w:pgMar w:left="248" w:top="116" w:right="239" w:bottom="1440" w:gutter="0" w:footer="0" w:header="0"/>
          <w:type w:val="continuous"/>
        </w:sectPr>
      </w:pPr>
    </w:p>
    <w:p>
      <w:pPr>
        <w:spacing w:after="0" w:line="36" w:lineRule="exact"/>
        <w:rPr>
          <w:sz w:val="20"/>
          <w:szCs w:val="20"/>
          <w:color w:val="auto"/>
        </w:rPr>
      </w:pPr>
    </w:p>
    <w:p>
      <w:pPr>
        <w:ind w:left="4692"/>
        <w:spacing w:after="0"/>
        <w:rPr>
          <w:sz w:val="20"/>
          <w:szCs w:val="20"/>
          <w:color w:val="auto"/>
        </w:rPr>
      </w:pPr>
      <w:r>
        <w:rPr>
          <w:rFonts w:ascii="Arial" w:cs="Arial" w:eastAsia="Arial" w:hAnsi="Arial"/>
          <w:sz w:val="16"/>
          <w:szCs w:val="16"/>
          <w:color w:val="auto"/>
        </w:rPr>
        <w:t>1 Chome-6-4 Osaki, Shinagawa,</w:t>
      </w:r>
    </w:p>
    <w:p>
      <w:pPr>
        <w:spacing w:after="0" w:line="62" w:lineRule="exact"/>
        <w:rPr>
          <w:sz w:val="20"/>
          <w:szCs w:val="20"/>
          <w:color w:val="auto"/>
        </w:rPr>
      </w:pPr>
    </w:p>
    <w:p>
      <w:pPr>
        <w:ind w:left="4692"/>
        <w:spacing w:after="0"/>
        <w:rPr>
          <w:sz w:val="20"/>
          <w:szCs w:val="20"/>
          <w:color w:val="auto"/>
        </w:rPr>
      </w:pPr>
      <w:r>
        <w:rPr>
          <w:rFonts w:ascii="Arial" w:cs="Arial" w:eastAsia="Arial" w:hAnsi="Arial"/>
          <w:sz w:val="20"/>
          <w:szCs w:val="20"/>
          <w:color w:val="auto"/>
        </w:rPr>
        <w:t>Tokyo 141-0032, Japan</w:t>
      </w:r>
    </w:p>
    <w:p>
      <w:pPr>
        <w:sectPr>
          <w:pgSz w:w="11900" w:h="16838" w:orient="portrait"/>
          <w:cols w:equalWidth="0" w:num="1">
            <w:col w:w="11412"/>
          </w:cols>
          <w:pgMar w:left="248" w:top="116" w:right="239" w:bottom="1440" w:gutter="0" w:footer="0" w:header="0"/>
          <w:type w:val="continuous"/>
        </w:sectPr>
      </w:pPr>
    </w:p>
    <w:p>
      <w:pPr>
        <w:spacing w:after="0" w:line="254" w:lineRule="exact"/>
        <w:rPr>
          <w:sz w:val="20"/>
          <w:szCs w:val="20"/>
          <w:color w:val="auto"/>
        </w:rPr>
      </w:pPr>
    </w:p>
    <w:p>
      <w:pPr>
        <w:ind w:left="2272"/>
        <w:spacing w:after="0"/>
        <w:rPr>
          <w:sz w:val="20"/>
          <w:szCs w:val="20"/>
          <w:color w:val="auto"/>
        </w:rPr>
      </w:pPr>
      <w:r>
        <w:rPr>
          <w:rFonts w:ascii="Arial" w:cs="Arial" w:eastAsia="Arial" w:hAnsi="Arial"/>
          <w:sz w:val="18"/>
          <w:szCs w:val="18"/>
          <w:color w:val="auto"/>
        </w:rPr>
        <w:t>With a copy (which shall</w:t>
      </w:r>
    </w:p>
    <w:p>
      <w:pPr>
        <w:spacing w:after="0" w:line="39" w:lineRule="exact"/>
        <w:rPr>
          <w:sz w:val="20"/>
          <w:szCs w:val="20"/>
          <w:color w:val="auto"/>
        </w:rPr>
      </w:pPr>
    </w:p>
    <w:p>
      <w:pPr>
        <w:ind w:left="2272"/>
        <w:spacing w:after="0"/>
        <w:rPr>
          <w:sz w:val="20"/>
          <w:szCs w:val="20"/>
          <w:color w:val="auto"/>
        </w:rPr>
      </w:pPr>
      <w:r>
        <w:rPr>
          <w:rFonts w:ascii="Arial" w:cs="Arial" w:eastAsia="Arial" w:hAnsi="Arial"/>
          <w:sz w:val="18"/>
          <w:szCs w:val="18"/>
          <w:color w:val="auto"/>
        </w:rPr>
        <w:t>not constitute notice) 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Hitoshi Ishihara &amp; Takashi Akahane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Anderson Mori &amp; Tomotsune</w:t>
      </w:r>
    </w:p>
    <w:p>
      <w:pPr>
        <w:spacing w:after="0" w:line="200" w:lineRule="exact"/>
        <w:rPr>
          <w:sz w:val="20"/>
          <w:szCs w:val="20"/>
          <w:color w:val="auto"/>
        </w:rPr>
      </w:pPr>
    </w:p>
    <w:p>
      <w:pPr>
        <w:sectPr>
          <w:pgSz w:w="11900" w:h="16838" w:orient="portrait"/>
          <w:cols w:equalWidth="0" w:num="2">
            <w:col w:w="4252" w:space="440"/>
            <w:col w:w="6720"/>
          </w:cols>
          <w:pgMar w:left="248" w:top="116" w:right="239" w:bottom="1440" w:gutter="0" w:footer="0" w:header="0"/>
          <w:type w:val="continuous"/>
        </w:sectPr>
      </w:pPr>
    </w:p>
    <w:p>
      <w:pPr>
        <w:ind w:left="4692"/>
        <w:spacing w:after="0"/>
        <w:rPr>
          <w:sz w:val="20"/>
          <w:szCs w:val="20"/>
          <w:color w:val="auto"/>
        </w:rPr>
      </w:pPr>
      <w:r>
        <w:rPr>
          <w:rFonts w:ascii="Arial" w:cs="Arial" w:eastAsia="Arial" w:hAnsi="Arial"/>
          <w:sz w:val="20"/>
          <w:szCs w:val="20"/>
          <w:color w:val="auto"/>
        </w:rPr>
        <w:t>Akasaka K-Tower,</w:t>
      </w:r>
    </w:p>
    <w:p>
      <w:pPr>
        <w:spacing w:after="0" w:line="16" w:lineRule="exact"/>
        <w:rPr>
          <w:sz w:val="20"/>
          <w:szCs w:val="20"/>
          <w:color w:val="auto"/>
        </w:rPr>
      </w:pPr>
    </w:p>
    <w:p>
      <w:pPr>
        <w:ind w:left="4692"/>
        <w:spacing w:after="0"/>
        <w:rPr>
          <w:sz w:val="20"/>
          <w:szCs w:val="20"/>
          <w:color w:val="auto"/>
        </w:rPr>
      </w:pPr>
      <w:r>
        <w:rPr>
          <w:rFonts w:ascii="Arial" w:cs="Arial" w:eastAsia="Arial" w:hAnsi="Arial"/>
          <w:sz w:val="18"/>
          <w:szCs w:val="18"/>
          <w:color w:val="auto"/>
        </w:rPr>
        <w:t>2-7 Motoakasaka 1-chome</w:t>
      </w:r>
    </w:p>
    <w:p>
      <w:pPr>
        <w:spacing w:after="0" w:line="23" w:lineRule="exact"/>
        <w:rPr>
          <w:sz w:val="20"/>
          <w:szCs w:val="20"/>
          <w:color w:val="auto"/>
        </w:rPr>
      </w:pPr>
    </w:p>
    <w:p>
      <w:pPr>
        <w:ind w:left="4692"/>
        <w:spacing w:after="0"/>
        <w:rPr>
          <w:sz w:val="20"/>
          <w:szCs w:val="20"/>
          <w:color w:val="auto"/>
        </w:rPr>
      </w:pPr>
      <w:r>
        <w:rPr>
          <w:rFonts w:ascii="Arial" w:cs="Arial" w:eastAsia="Arial" w:hAnsi="Arial"/>
          <w:sz w:val="18"/>
          <w:szCs w:val="18"/>
          <w:color w:val="auto"/>
        </w:rPr>
        <w:t>Minato-ku, Tokyo 107-0051</w:t>
      </w:r>
    </w:p>
    <w:p>
      <w:pPr>
        <w:sectPr>
          <w:pgSz w:w="11900" w:h="16838" w:orient="portrait"/>
          <w:cols w:equalWidth="0" w:num="1">
            <w:col w:w="11412"/>
          </w:cols>
          <w:pgMar w:left="248" w:top="116" w:right="239" w:bottom="1440" w:gutter="0" w:footer="0" w:header="0"/>
          <w:type w:val="continuous"/>
        </w:sectPr>
      </w:pPr>
    </w:p>
    <w:p>
      <w:pPr>
        <w:spacing w:after="0" w:line="290" w:lineRule="exact"/>
        <w:rPr>
          <w:sz w:val="20"/>
          <w:szCs w:val="20"/>
          <w:color w:val="auto"/>
        </w:rPr>
      </w:pPr>
    </w:p>
    <w:p>
      <w:pPr>
        <w:ind w:left="2272"/>
        <w:spacing w:after="0"/>
        <w:rPr>
          <w:sz w:val="20"/>
          <w:szCs w:val="20"/>
          <w:color w:val="auto"/>
        </w:rPr>
      </w:pPr>
      <w:r>
        <w:rPr>
          <w:rFonts w:ascii="Arial" w:cs="Arial" w:eastAsia="Arial" w:hAnsi="Arial"/>
          <w:sz w:val="16"/>
          <w:szCs w:val="16"/>
          <w:color w:val="auto"/>
        </w:rPr>
        <w:t>If to Enphase: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Darien Spencer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Enphase Energy, Inc.</w:t>
      </w:r>
    </w:p>
    <w:p>
      <w:pPr>
        <w:spacing w:after="0"/>
        <w:rPr>
          <w:sz w:val="20"/>
          <w:szCs w:val="20"/>
          <w:color w:val="auto"/>
        </w:rPr>
      </w:pPr>
      <w:r>
        <w:rPr>
          <w:rFonts w:ascii="Arial" w:cs="Arial" w:eastAsia="Arial" w:hAnsi="Arial"/>
          <w:sz w:val="18"/>
          <w:szCs w:val="18"/>
          <w:color w:val="auto"/>
        </w:rPr>
        <w:t>1420 N. McDowell Blvd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Petaluma, CA 94954</w:t>
      </w:r>
    </w:p>
    <w:p>
      <w:pPr>
        <w:spacing w:after="0" w:line="200" w:lineRule="exact"/>
        <w:rPr>
          <w:sz w:val="20"/>
          <w:szCs w:val="20"/>
          <w:color w:val="auto"/>
        </w:rPr>
      </w:pPr>
    </w:p>
    <w:p>
      <w:pPr>
        <w:sectPr>
          <w:pgSz w:w="11900" w:h="16838" w:orient="portrait"/>
          <w:cols w:equalWidth="0" w:num="2">
            <w:col w:w="3972" w:space="720"/>
            <w:col w:w="6720"/>
          </w:cols>
          <w:pgMar w:left="248" w:top="116" w:right="239" w:bottom="1440" w:gutter="0" w:footer="0" w:header="0"/>
          <w:type w:val="continuous"/>
        </w:sectPr>
      </w:pPr>
    </w:p>
    <w:p>
      <w:pPr>
        <w:spacing w:after="0" w:line="67" w:lineRule="exact"/>
        <w:rPr>
          <w:sz w:val="20"/>
          <w:szCs w:val="20"/>
          <w:color w:val="auto"/>
        </w:rPr>
      </w:pPr>
    </w:p>
    <w:p>
      <w:pPr>
        <w:ind w:left="2272"/>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Enphase Energy Legal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Enphase Energy, Inc.</w:t>
      </w:r>
    </w:p>
    <w:p>
      <w:pPr>
        <w:spacing w:after="0"/>
        <w:rPr>
          <w:sz w:val="20"/>
          <w:szCs w:val="20"/>
          <w:color w:val="auto"/>
        </w:rPr>
      </w:pPr>
      <w:r>
        <w:rPr>
          <w:rFonts w:ascii="Arial" w:cs="Arial" w:eastAsia="Arial" w:hAnsi="Arial"/>
          <w:sz w:val="18"/>
          <w:szCs w:val="18"/>
          <w:color w:val="auto"/>
        </w:rPr>
        <w:t>1420 N. McDowell Blvd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Petaluma, CA 94954</w:t>
      </w:r>
    </w:p>
    <w:p>
      <w:pPr>
        <w:spacing w:after="0" w:line="200" w:lineRule="exact"/>
        <w:rPr>
          <w:sz w:val="20"/>
          <w:szCs w:val="20"/>
          <w:color w:val="auto"/>
        </w:rPr>
      </w:pPr>
    </w:p>
    <w:p>
      <w:pPr>
        <w:sectPr>
          <w:pgSz w:w="11900" w:h="16838" w:orient="portrait"/>
          <w:cols w:equalWidth="0" w:num="2">
            <w:col w:w="3972" w:space="720"/>
            <w:col w:w="6720"/>
          </w:cols>
          <w:pgMar w:left="248" w:top="116" w:right="239" w:bottom="1440" w:gutter="0" w:footer="0" w:header="0"/>
          <w:type w:val="continuous"/>
        </w:sectPr>
      </w:pPr>
    </w:p>
    <w:p>
      <w:pPr>
        <w:spacing w:after="0" w:line="40" w:lineRule="exact"/>
        <w:rPr>
          <w:sz w:val="20"/>
          <w:szCs w:val="20"/>
          <w:color w:val="auto"/>
        </w:rPr>
      </w:pPr>
    </w:p>
    <w:p>
      <w:pPr>
        <w:jc w:val="both"/>
        <w:ind w:left="1952" w:hanging="655"/>
        <w:spacing w:after="0" w:line="242" w:lineRule="auto"/>
        <w:tabs>
          <w:tab w:leader="none" w:pos="1952"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Force Majeure</w:t>
      </w:r>
      <w:r>
        <w:rPr>
          <w:rFonts w:ascii="Arial" w:cs="Arial" w:eastAsia="Arial" w:hAnsi="Arial"/>
          <w:sz w:val="20"/>
          <w:szCs w:val="20"/>
          <w:color w:val="auto"/>
        </w:rPr>
        <w:t>. Except for Enphase’s payment obligation, neither party to this Agreement shall be liable for its failure or delay to perform any of its obligations hereunder during any period in which such performance is prevented by the act of nature, acts of civil or military authority, fires, epidemics, floods, earthquakes, riots, war sabotage, power shortage or failure, line surges, labor shortages or disputes, and governmental control. In the event of any such delay the date of delivery or performance hereunder shall be extended by a period equal to the time lost by reason of such delay. In the event of such failure or delay, the party so affected shall immediately provide notice to the other party of such date the nature of such act of nature and the anticipated period of time during which such act of nature conditions are expected to persist.</w:t>
      </w:r>
    </w:p>
    <w:p>
      <w:pPr>
        <w:spacing w:after="0" w:line="197" w:lineRule="exact"/>
        <w:rPr>
          <w:rFonts w:ascii="Arial" w:cs="Arial" w:eastAsia="Arial" w:hAnsi="Arial"/>
          <w:sz w:val="20"/>
          <w:szCs w:val="20"/>
          <w:color w:val="auto"/>
        </w:rPr>
      </w:pPr>
    </w:p>
    <w:p>
      <w:pPr>
        <w:jc w:val="both"/>
        <w:ind w:left="1952" w:hanging="655"/>
        <w:spacing w:after="0" w:line="282" w:lineRule="auto"/>
        <w:tabs>
          <w:tab w:leader="none" w:pos="19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is prohibited by any law governing its construction, performance or enforcement, such provision shall be ineffective to the extent of such prohibition without invalidating thereby any of the remaining provisions of the Agreement. The captions of the sections in this Agreement are intended for convenience only, and shall not be interpretive of the content of an accompanying section.</w:t>
      </w:r>
    </w:p>
    <w:p>
      <w:pPr>
        <w:spacing w:after="0" w:line="161" w:lineRule="exact"/>
        <w:rPr>
          <w:rFonts w:ascii="Arial" w:cs="Arial" w:eastAsia="Arial" w:hAnsi="Arial"/>
          <w:sz w:val="18"/>
          <w:szCs w:val="18"/>
          <w:color w:val="auto"/>
        </w:rPr>
      </w:pPr>
    </w:p>
    <w:p>
      <w:pPr>
        <w:ind w:left="1952" w:hanging="655"/>
        <w:spacing w:after="0" w:line="316" w:lineRule="auto"/>
        <w:tabs>
          <w:tab w:leader="none" w:pos="19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terms and conditions of this Agreement may not be superseded, modified, or amended, except in a writing which both parties indicate a modification thereof, and is signed by authorized representatives of both parties.</w:t>
      </w:r>
    </w:p>
    <w:p>
      <w:pPr>
        <w:spacing w:after="0" w:line="130" w:lineRule="exact"/>
        <w:rPr>
          <w:rFonts w:ascii="Arial" w:cs="Arial" w:eastAsia="Arial" w:hAnsi="Arial"/>
          <w:sz w:val="18"/>
          <w:szCs w:val="18"/>
          <w:color w:val="auto"/>
        </w:rPr>
      </w:pPr>
    </w:p>
    <w:p>
      <w:pPr>
        <w:ind w:left="1952" w:hanging="655"/>
        <w:spacing w:after="0" w:line="260" w:lineRule="auto"/>
        <w:tabs>
          <w:tab w:leader="none" w:pos="1952"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Choice of Language</w:t>
      </w:r>
      <w:r>
        <w:rPr>
          <w:rFonts w:ascii="Arial" w:cs="Arial" w:eastAsia="Arial" w:hAnsi="Arial"/>
          <w:sz w:val="20"/>
          <w:szCs w:val="20"/>
          <w:color w:val="auto"/>
        </w:rPr>
        <w:t>. The Parties hereby acknowledge and agree that they have mutually required that this Agreement and all documentation, notices, judicial</w:t>
      </w:r>
    </w:p>
    <w:p>
      <w:pPr>
        <w:spacing w:after="0" w:line="200" w:lineRule="exact"/>
        <w:rPr>
          <w:rFonts w:ascii="Arial" w:cs="Arial" w:eastAsia="Arial" w:hAnsi="Arial"/>
          <w:sz w:val="20"/>
          <w:szCs w:val="20"/>
          <w:color w:val="auto"/>
        </w:rPr>
      </w:pPr>
    </w:p>
    <w:p>
      <w:pPr>
        <w:spacing w:after="0" w:line="222" w:lineRule="exact"/>
        <w:rPr>
          <w:rFonts w:ascii="Arial" w:cs="Arial" w:eastAsia="Arial" w:hAnsi="Arial"/>
          <w:sz w:val="20"/>
          <w:szCs w:val="20"/>
          <w:color w:val="auto"/>
        </w:rPr>
      </w:pPr>
    </w:p>
    <w:p>
      <w:pPr>
        <w:ind w:left="-8" w:right="740" w:firstLine="8"/>
        <w:spacing w:after="0" w:line="277" w:lineRule="auto"/>
        <w:tabs>
          <w:tab w:leader="none" w:pos="2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116" w:right="2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960"/>
        <w:spacing w:after="0" w:line="274" w:lineRule="auto"/>
        <w:rPr>
          <w:sz w:val="20"/>
          <w:szCs w:val="20"/>
          <w:color w:val="auto"/>
        </w:rPr>
      </w:pPr>
      <w:r>
        <w:rPr>
          <w:rFonts w:ascii="Arial" w:cs="Arial" w:eastAsia="Arial" w:hAnsi="Arial"/>
          <w:sz w:val="20"/>
          <w:szCs w:val="20"/>
          <w:color w:val="auto"/>
        </w:rPr>
        <w:t>proceedings, and dispute resolution and arbitration entered into, given, instituted pursuant to, or relating to, this Agreement be drawn up in the English language. Any translations of this Agreement or its attachments that are provided are done solely for the convenience of Seller and, in all cases, the English language version of such documents shall govern.</w:t>
      </w:r>
    </w:p>
    <w:p>
      <w:pPr>
        <w:spacing w:after="0" w:line="179" w:lineRule="exact"/>
        <w:rPr>
          <w:sz w:val="20"/>
          <w:szCs w:val="20"/>
          <w:color w:val="auto"/>
        </w:rPr>
      </w:pPr>
    </w:p>
    <w:p>
      <w:pPr>
        <w:jc w:val="both"/>
        <w:ind w:left="1960" w:hanging="655"/>
        <w:spacing w:after="0" w:line="274"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and agree that this Agreement is the product of arms-length negotiations between Buyer and Seller, both of whom are sophisticated commercial Parties of equal bargaining power, and that neither Party has in any manner relied on the other Party’s expertise and/or superior knowledge, if any, in entering into this Agreement. Both Parties acknowledge and agree that this Agreement shall be construed as if jointly prepared and drafted by both Parties and that under no circumstances will any provision hereof be construed for or against either Party due to that Party’s actual role in the preparation or drafting of this Agreement. Headings and subheadings used in this Agreement are for reference purposes only and shall not constitute any part of this Agreement.</w:t>
      </w:r>
    </w:p>
    <w:p>
      <w:pPr>
        <w:spacing w:after="0" w:line="169" w:lineRule="exact"/>
        <w:rPr>
          <w:rFonts w:ascii="Arial" w:cs="Arial" w:eastAsia="Arial" w:hAnsi="Arial"/>
          <w:sz w:val="18"/>
          <w:szCs w:val="18"/>
          <w:color w:val="auto"/>
        </w:rPr>
      </w:pPr>
    </w:p>
    <w:p>
      <w:pPr>
        <w:jc w:val="both"/>
        <w:ind w:left="1960" w:right="20" w:hanging="655"/>
        <w:spacing w:after="0" w:line="291"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Unless otherwise provided herein, all Exhibits signed by duly authorized representatives of Enphase and accepted by Eliiy shall be deemed merged into and become a part of this Agreement. This Agreement supersedes and replaces all prior or contemporaneous agreements, written or oral regarding the same subject matter.</w:t>
      </w:r>
    </w:p>
    <w:p>
      <w:pPr>
        <w:spacing w:after="0" w:line="151" w:lineRule="exact"/>
        <w:rPr>
          <w:rFonts w:ascii="Arial" w:cs="Arial" w:eastAsia="Arial" w:hAnsi="Arial"/>
          <w:sz w:val="18"/>
          <w:szCs w:val="18"/>
          <w:color w:val="auto"/>
        </w:rPr>
      </w:pPr>
    </w:p>
    <w:p>
      <w:pPr>
        <w:jc w:val="both"/>
        <w:ind w:left="1960" w:hanging="655"/>
        <w:spacing w:after="0" w:line="256" w:lineRule="auto"/>
        <w:tabs>
          <w:tab w:leader="none" w:pos="196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Except as set forth below, the validity, performance and construction of this Agreement shall be governed by the laws of the State of California, U.S.A. and the parties irrevocably submit to arbitration in Singapore pursuant to the Arbitration Rules of the Singapore International Arbitration Centre. If, for any reason, the parties cannot arbitrate in Singapore, and the party seeking arbitration is Enphase, then the parties irrevocably submit to arbitration in Japan, pursuant to the rules of the Japan Commercial Arbitration Association. On the other hand, if, for any reason, the parties cannot arbitrate in Singapore, and the party seeking arbitration is Eliiy, then the parties irrevocably submit to arbitration in Los Angeles, California, pursuant to the rules of JAMS. The language of the arbitration shall be English. Notwithstanding the foregoing, either party may use criminal, civil and administrative courts and laws in any jurisdiction worldwide necessary to protect its intellectual property and confidential information including any licenses set forth herein.</w:t>
      </w:r>
    </w:p>
    <w:p>
      <w:pPr>
        <w:spacing w:after="0" w:line="181" w:lineRule="exact"/>
        <w:rPr>
          <w:rFonts w:ascii="Arial" w:cs="Arial" w:eastAsia="Arial" w:hAnsi="Arial"/>
          <w:sz w:val="19"/>
          <w:szCs w:val="19"/>
          <w:color w:val="auto"/>
        </w:rPr>
      </w:pPr>
    </w:p>
    <w:p>
      <w:pPr>
        <w:ind w:left="3240" w:hanging="1935"/>
        <w:spacing w:after="0" w:line="256" w:lineRule="auto"/>
        <w:tabs>
          <w:tab w:leader="none" w:pos="1944"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FCPA</w:t>
      </w:r>
      <w:r>
        <w:rPr>
          <w:rFonts w:ascii="Arial" w:cs="Arial" w:eastAsia="Arial" w:hAnsi="Arial"/>
          <w:sz w:val="19"/>
          <w:szCs w:val="19"/>
          <w:color w:val="auto"/>
        </w:rPr>
        <w:t>. With respect to the matters covered by this Agreement, Eliiy represents, warrants, and covenants to Enphase, that neither Eliiy nor any owners, directors, officers, employees, agents, affiliates or other contractors and subcontractors (collectively, “</w:t>
      </w:r>
      <w:r>
        <w:rPr>
          <w:rFonts w:ascii="Arial" w:cs="Arial" w:eastAsia="Arial" w:hAnsi="Arial"/>
          <w:sz w:val="19"/>
          <w:szCs w:val="19"/>
          <w:b w:val="1"/>
          <w:bCs w:val="1"/>
          <w:color w:val="auto"/>
        </w:rPr>
        <w:t>Relevant Persons</w:t>
      </w:r>
      <w:r>
        <w:rPr>
          <w:rFonts w:ascii="Arial" w:cs="Arial" w:eastAsia="Arial" w:hAnsi="Arial"/>
          <w:sz w:val="19"/>
          <w:szCs w:val="19"/>
          <w:color w:val="auto"/>
        </w:rPr>
        <w:t>”) of Eliiy has or will: (i) violate or cause Enphase or its Relevant Persons to be in violation of the U.S. Foreign Corrupt Practices Act of 1977 as amended (15 U.S.C. §§78dd-1, et seq.) (the “</w:t>
      </w:r>
      <w:r>
        <w:rPr>
          <w:rFonts w:ascii="Arial" w:cs="Arial" w:eastAsia="Arial" w:hAnsi="Arial"/>
          <w:sz w:val="19"/>
          <w:szCs w:val="19"/>
          <w:b w:val="1"/>
          <w:bCs w:val="1"/>
          <w:color w:val="auto"/>
        </w:rPr>
        <w:t>FCPA</w:t>
      </w:r>
      <w:r>
        <w:rPr>
          <w:rFonts w:ascii="Arial" w:cs="Arial" w:eastAsia="Arial" w:hAnsi="Arial"/>
          <w:sz w:val="19"/>
          <w:szCs w:val="19"/>
          <w:color w:val="auto"/>
        </w:rPr>
        <w:t>”), the U.S. Travel Act, or any other applicable anti-corruption law or regulation (collectively “Anti-Corruption Laws”); (ii) with a corrupt, improper, or illegal intent directly or indirectly (through third parties) pay, provide, promise, offer, or authorize the payment or provision of any money or thing of value to (a) an official, employee, or agent of any government, military, political party, public international</w:t>
      </w:r>
    </w:p>
    <w:p>
      <w:pPr>
        <w:spacing w:after="0" w:line="214" w:lineRule="exact"/>
        <w:rPr>
          <w:rFonts w:ascii="Arial" w:cs="Arial" w:eastAsia="Arial" w:hAnsi="Arial"/>
          <w:sz w:val="19"/>
          <w:szCs w:val="19"/>
          <w:color w:val="auto"/>
        </w:rPr>
      </w:pPr>
    </w:p>
    <w:p>
      <w:pPr>
        <w:ind w:right="740" w:firstLine="8"/>
        <w:spacing w:after="0" w:line="277"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960"/>
        <w:spacing w:after="0" w:line="299" w:lineRule="auto"/>
        <w:rPr>
          <w:sz w:val="20"/>
          <w:szCs w:val="20"/>
          <w:color w:val="auto"/>
        </w:rPr>
      </w:pPr>
      <w:r>
        <w:rPr>
          <w:rFonts w:ascii="Arial" w:cs="Arial" w:eastAsia="Arial" w:hAnsi="Arial"/>
          <w:sz w:val="18"/>
          <w:szCs w:val="18"/>
          <w:color w:val="auto"/>
        </w:rPr>
        <w:t>organization, state-owned or affiliated entity, or instrumentality thereof (collectively “</w:t>
      </w:r>
      <w:r>
        <w:rPr>
          <w:rFonts w:ascii="Arial" w:cs="Arial" w:eastAsia="Arial" w:hAnsi="Arial"/>
          <w:sz w:val="18"/>
          <w:szCs w:val="18"/>
          <w:b w:val="1"/>
          <w:bCs w:val="1"/>
          <w:color w:val="auto"/>
        </w:rPr>
        <w:t>Government Officials</w:t>
      </w:r>
      <w:r>
        <w:rPr>
          <w:rFonts w:ascii="Arial" w:cs="Arial" w:eastAsia="Arial" w:hAnsi="Arial"/>
          <w:sz w:val="18"/>
          <w:szCs w:val="18"/>
          <w:color w:val="auto"/>
        </w:rPr>
        <w:t>”), (b) a political party or candidate for public office, (c) any person while “knowing” (as that term is interpreted by the U.S. government in relation to the FCPA) that all or a portion of that money or thing of value will be offered, promised, paid, or provided to the foregoing persons, or (d) any other individual, entity, or organization, in order to obtain, retain, or direct approvals, licenses, permits, business, sales, tax or duty assessments, import or export clearances, or other advantages; (iii) offer, promise, authorize, provide, or incur any bribe, kickback, or other corrupt or unlawful payment, expense, contribution, gift, entertainment, travel or other benefit, or advantage (collectively, “</w:t>
      </w:r>
      <w:r>
        <w:rPr>
          <w:rFonts w:ascii="Arial" w:cs="Arial" w:eastAsia="Arial" w:hAnsi="Arial"/>
          <w:sz w:val="18"/>
          <w:szCs w:val="18"/>
          <w:b w:val="1"/>
          <w:bCs w:val="1"/>
          <w:color w:val="auto"/>
        </w:rPr>
        <w:t>Restricted Benefits</w:t>
      </w:r>
      <w:r>
        <w:rPr>
          <w:rFonts w:ascii="Arial" w:cs="Arial" w:eastAsia="Arial" w:hAnsi="Arial"/>
          <w:sz w:val="18"/>
          <w:szCs w:val="18"/>
          <w:color w:val="auto"/>
        </w:rPr>
        <w:t>”) to or for the benefit of any Government Official, political party or candidate, or any other individual, entity, or organization; (iv) solicit, accept, or receive any Restricted Benefits; or (v) establish or maintain any unlawful or unrecorded funds (such as slush funds). Eliiy further represents, warrants, and covenants to Enphase that (i) Eliiy shall cause its Relevant Persons involved with performing obligations under this Agreement to comply with the representations, warranties, and covenants contained in this Section; (ii) to its knowledge, no Relevant Person of Eliiy or an immediate relative thereof (</w:t>
      </w:r>
      <w:r>
        <w:rPr>
          <w:rFonts w:ascii="Arial" w:cs="Arial" w:eastAsia="Arial" w:hAnsi="Arial"/>
          <w:sz w:val="18"/>
          <w:szCs w:val="18"/>
          <w:i w:val="1"/>
          <w:iCs w:val="1"/>
          <w:color w:val="auto"/>
        </w:rPr>
        <w:t>i.e.,</w:t>
      </w:r>
      <w:r>
        <w:rPr>
          <w:rFonts w:ascii="Arial" w:cs="Arial" w:eastAsia="Arial" w:hAnsi="Arial"/>
          <w:sz w:val="18"/>
          <w:szCs w:val="18"/>
          <w:color w:val="auto"/>
        </w:rPr>
        <w:t xml:space="preserve"> parent, child, sibling, spouse, or domestic partner) is a Government Official or a candidate for public office who is or may become responsible for regulating or otherwise overseeing activities contemplated by this Agreement; (iii) there have been no accusations, claims, investigations, informal inquiries, indictments, prosecutions, or other enforcement actions, judgments, or proclamations against Eliiy or, to its knowledge, its Relevant Persons relating to bribery, corruption, money laundering, fraud, obstruction of justice, racketeering or other illegal or unethical activities; (iv) Eliiy has in good faith provided to Enphase accurate and complete due diligence information and materials regarding itself and its Relevant Persons in response to requests by Enphase; (v) Eliiy shall not retain any subcontractor or subvendor to assist with any regulatory or other government interactions in the performance of this Agreement, unless such subcontractor or subvendor has satisfied Enphase’s due diligence standards, in the Enphase’s reasonable opinion, and has provided written assurances of its compliance with the foregoing representations, warranties, and covenants; and (vi) Eliiy shall notify Enphase if it learns that Eliiy or a Relevant Person of Eliiy has violated or will violate any of the representations, warranties, or covenants contained in this Section. Eliiy agrees that it will annually certify to Enphase that they are in compliance with Enphase’s FCPA Policy, a copy of which has been delivered to Eliiy.</w:t>
      </w:r>
    </w:p>
    <w:p>
      <w:pPr>
        <w:spacing w:after="0" w:line="189" w:lineRule="exact"/>
        <w:rPr>
          <w:sz w:val="20"/>
          <w:szCs w:val="20"/>
          <w:color w:val="auto"/>
        </w:rPr>
      </w:pPr>
    </w:p>
    <w:p>
      <w:pPr>
        <w:ind w:left="3240" w:hanging="1935"/>
        <w:spacing w:after="0" w:line="291" w:lineRule="auto"/>
        <w:tabs>
          <w:tab w:leader="none" w:pos="19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Prevailing Party</w:t>
      </w:r>
      <w:r>
        <w:rPr>
          <w:rFonts w:ascii="Arial" w:cs="Arial" w:eastAsia="Arial" w:hAnsi="Arial"/>
          <w:sz w:val="18"/>
          <w:szCs w:val="18"/>
          <w:color w:val="auto"/>
        </w:rPr>
        <w:t>. The prevailing party in any legal action arising out of, or related to this Agreement shall be entitled, in addition to any other rights and remedies it may have, to reimbursement for its expenses incurred in such action, including but not limited to, court costs and reasonable attorney’s fees.</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Executed in Petaluma, California, USA/Tokyo, Japan.</w:t>
      </w:r>
    </w:p>
    <w:p>
      <w:pPr>
        <w:spacing w:after="0" w:line="216" w:lineRule="exact"/>
        <w:rPr>
          <w:sz w:val="20"/>
          <w:szCs w:val="20"/>
          <w:color w:val="auto"/>
        </w:rPr>
      </w:pPr>
    </w:p>
    <w:p>
      <w:pPr>
        <w:spacing w:after="0"/>
        <w:tabs>
          <w:tab w:leader="none" w:pos="2040" w:val="left"/>
        </w:tabs>
        <w:rPr>
          <w:sz w:val="20"/>
          <w:szCs w:val="20"/>
          <w:color w:val="auto"/>
        </w:rPr>
      </w:pPr>
      <w:r>
        <w:rPr>
          <w:rFonts w:ascii="Arial" w:cs="Arial" w:eastAsia="Arial" w:hAnsi="Arial"/>
          <w:sz w:val="20"/>
          <w:szCs w:val="20"/>
          <w:b w:val="1"/>
          <w:bCs w:val="1"/>
          <w:color w:val="auto"/>
        </w:rPr>
        <w:t>Enphase Energy, Inc.</w:t>
      </w:r>
      <w:r>
        <w:rPr>
          <w:sz w:val="20"/>
          <w:szCs w:val="20"/>
          <w:color w:val="auto"/>
        </w:rPr>
        <w:tab/>
      </w:r>
      <w:r>
        <w:rPr>
          <w:rFonts w:ascii="Arial" w:cs="Arial" w:eastAsia="Arial" w:hAnsi="Arial"/>
          <w:sz w:val="18"/>
          <w:szCs w:val="18"/>
          <w:b w:val="1"/>
          <w:bCs w:val="1"/>
          <w:color w:val="auto"/>
        </w:rPr>
        <w:t>Eliiy Power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740" w:firstLine="8"/>
        <w:spacing w:after="0" w:line="277"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gridSpan w:val="2"/>
          </w:tcPr>
          <w:p>
            <w:pPr>
              <w:spacing w:after="0"/>
              <w:rPr>
                <w:sz w:val="20"/>
                <w:szCs w:val="20"/>
                <w:color w:val="auto"/>
              </w:rPr>
            </w:pPr>
            <w:r>
              <w:rPr>
                <w:rFonts w:ascii="Arial" w:cs="Arial" w:eastAsia="Arial" w:hAnsi="Arial"/>
                <w:sz w:val="20"/>
                <w:szCs w:val="20"/>
                <w:color w:val="auto"/>
              </w:rPr>
              <w:t>By: /s/ Paul B. Nahi</w:t>
            </w:r>
          </w:p>
        </w:tc>
        <w:tc>
          <w:tcPr>
            <w:tcW w:w="4120" w:type="dxa"/>
            <w:vAlign w:val="bottom"/>
            <w:gridSpan w:val="4"/>
          </w:tcPr>
          <w:p>
            <w:pPr>
              <w:ind w:left="600"/>
              <w:spacing w:after="0"/>
              <w:rPr>
                <w:sz w:val="20"/>
                <w:szCs w:val="20"/>
                <w:color w:val="auto"/>
              </w:rPr>
            </w:pPr>
            <w:r>
              <w:rPr>
                <w:rFonts w:ascii="Arial" w:cs="Arial" w:eastAsia="Arial" w:hAnsi="Arial"/>
                <w:sz w:val="20"/>
                <w:szCs w:val="20"/>
                <w:color w:val="auto"/>
              </w:rPr>
              <w:t>By: /s/ Hiroichi Yoshida</w:t>
            </w:r>
          </w:p>
        </w:tc>
      </w:tr>
      <w:tr>
        <w:trPr>
          <w:trHeight w:val="20"/>
        </w:trPr>
        <w:tc>
          <w:tcPr>
            <w:tcW w:w="3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4"/>
        </w:trPr>
        <w:tc>
          <w:tcPr>
            <w:tcW w:w="4200" w:type="dxa"/>
            <w:vAlign w:val="bottom"/>
            <w:gridSpan w:val="4"/>
          </w:tcPr>
          <w:p>
            <w:pPr>
              <w:spacing w:after="0"/>
              <w:rPr>
                <w:sz w:val="20"/>
                <w:szCs w:val="20"/>
                <w:color w:val="auto"/>
              </w:rPr>
            </w:pPr>
            <w:r>
              <w:rPr>
                <w:rFonts w:ascii="Arial" w:cs="Arial" w:eastAsia="Arial" w:hAnsi="Arial"/>
                <w:sz w:val="20"/>
                <w:szCs w:val="20"/>
                <w:color w:val="auto"/>
                <w:w w:val="97"/>
              </w:rPr>
              <w:t>Paul Nahi, President and Chief Executive Officer</w:t>
            </w:r>
          </w:p>
        </w:tc>
        <w:tc>
          <w:tcPr>
            <w:tcW w:w="2500" w:type="dxa"/>
            <w:vAlign w:val="bottom"/>
            <w:gridSpan w:val="2"/>
          </w:tcPr>
          <w:p>
            <w:pPr>
              <w:ind w:left="300"/>
              <w:spacing w:after="0"/>
              <w:rPr>
                <w:sz w:val="20"/>
                <w:szCs w:val="20"/>
                <w:color w:val="auto"/>
              </w:rPr>
            </w:pPr>
            <w:r>
              <w:rPr>
                <w:rFonts w:ascii="Arial" w:cs="Arial" w:eastAsia="Arial" w:hAnsi="Arial"/>
                <w:sz w:val="20"/>
                <w:szCs w:val="20"/>
                <w:color w:val="auto"/>
                <w:w w:val="90"/>
              </w:rPr>
              <w:t>Hiroichi Yoshida,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40" w:firstLine="8"/>
        <w:spacing w:after="0" w:line="277"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16" w:right="239" w:bottom="1440" w:gutter="0" w:footer="0" w:header="0"/>
        </w:sectPr>
      </w:pPr>
    </w:p>
    <w:bookmarkStart w:id="66" w:name="page67"/>
    <w:bookmarkEnd w:id="66"/>
    <w:p>
      <w:pPr>
        <w:jc w:val="center"/>
        <w:ind w:right="-11"/>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Specifications</w:t>
      </w:r>
    </w:p>
    <w:p>
      <w:pPr>
        <w:spacing w:after="0" w:line="222" w:lineRule="exact"/>
        <w:rPr>
          <w:sz w:val="20"/>
          <w:szCs w:val="20"/>
          <w:color w:val="auto"/>
        </w:rPr>
      </w:pPr>
    </w:p>
    <w:p>
      <w:pPr>
        <w:ind w:left="452"/>
        <w:spacing w:after="0"/>
        <w:rPr>
          <w:sz w:val="20"/>
          <w:szCs w:val="20"/>
          <w:color w:val="auto"/>
        </w:rPr>
      </w:pPr>
      <w:r>
        <w:rPr>
          <w:rFonts w:ascii="Arial" w:cs="Arial" w:eastAsia="Arial" w:hAnsi="Arial"/>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firstLine="8"/>
        <w:spacing w:after="0" w:line="277" w:lineRule="auto"/>
        <w:tabs>
          <w:tab w:leader="none" w:pos="2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535" w:right="2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20"/>
          <w:szCs w:val="20"/>
          <w:color w:val="auto"/>
        </w:rPr>
        <w:t>Exhibit B</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Milestone Schedule</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w w:val="99"/>
              </w:rPr>
              <w:t>Delivery Date</w:t>
            </w:r>
          </w:p>
        </w:tc>
        <w:tc>
          <w:tcPr>
            <w:tcW w:w="1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Item</w:t>
            </w:r>
          </w:p>
        </w:tc>
        <w:tc>
          <w:tcPr>
            <w:tcW w:w="8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w w:val="92"/>
              </w:rPr>
              <w:t>Quantity</w:t>
            </w:r>
          </w:p>
        </w:tc>
        <w:tc>
          <w:tcPr>
            <w:tcW w:w="230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Purpose</w:t>
            </w:r>
          </w:p>
        </w:tc>
        <w:tc>
          <w:tcPr>
            <w:tcW w:w="386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Functionality; Hardware; Deliverables</w:t>
            </w:r>
          </w:p>
        </w:tc>
        <w:tc>
          <w:tcPr>
            <w:tcW w:w="14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Enphase</w:t>
            </w:r>
          </w:p>
        </w:tc>
      </w:tr>
      <w:tr>
        <w:trPr>
          <w:trHeight w:val="285"/>
        </w:trPr>
        <w:tc>
          <w:tcPr>
            <w:tcW w:w="1400" w:type="dxa"/>
            <w:vAlign w:val="bottom"/>
            <w:tcBorders>
              <w:left w:val="single" w:sz="8" w:color="00000A"/>
              <w:bottom w:val="single" w:sz="8" w:color="00000A"/>
              <w:right w:val="single" w:sz="8" w:color="00000A"/>
            </w:tcBorders>
          </w:tcPr>
          <w:p>
            <w:pPr>
              <w:spacing w:after="0"/>
              <w:rPr>
                <w:sz w:val="24"/>
                <w:szCs w:val="24"/>
                <w:color w:val="auto"/>
              </w:rPr>
            </w:pPr>
          </w:p>
        </w:tc>
        <w:tc>
          <w:tcPr>
            <w:tcW w:w="1580" w:type="dxa"/>
            <w:vAlign w:val="bottom"/>
            <w:tcBorders>
              <w:bottom w:val="single" w:sz="8" w:color="00000A"/>
              <w:right w:val="single" w:sz="8" w:color="00000A"/>
            </w:tcBorders>
          </w:tcPr>
          <w:p>
            <w:pPr>
              <w:spacing w:after="0"/>
              <w:rPr>
                <w:sz w:val="24"/>
                <w:szCs w:val="24"/>
                <w:color w:val="auto"/>
              </w:rPr>
            </w:pPr>
          </w:p>
        </w:tc>
        <w:tc>
          <w:tcPr>
            <w:tcW w:w="82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Acceptance</w:t>
            </w:r>
          </w:p>
        </w:tc>
      </w:tr>
      <w:tr>
        <w:trPr>
          <w:trHeight w:val="230"/>
        </w:trPr>
        <w:tc>
          <w:tcPr>
            <w:tcW w:w="1400" w:type="dxa"/>
            <w:vAlign w:val="bottom"/>
            <w:tcBorders>
              <w:left w:val="single" w:sz="8" w:color="00000A"/>
              <w:right w:val="single" w:sz="8" w:color="00000A"/>
            </w:tcBorders>
          </w:tcPr>
          <w:p>
            <w:pPr>
              <w:ind w:left="40"/>
              <w:spacing w:after="0" w:line="229" w:lineRule="exact"/>
              <w:rPr>
                <w:sz w:val="20"/>
                <w:szCs w:val="20"/>
                <w:color w:val="auto"/>
              </w:rPr>
            </w:pPr>
            <w:r>
              <w:rPr>
                <w:rFonts w:ascii="Arial" w:cs="Arial" w:eastAsia="Arial" w:hAnsi="Arial"/>
                <w:sz w:val="22"/>
                <w:szCs w:val="22"/>
                <w:color w:val="auto"/>
              </w:rPr>
              <w:t>[*]</w:t>
            </w:r>
          </w:p>
        </w:tc>
        <w:tc>
          <w:tcPr>
            <w:tcW w:w="1580" w:type="dxa"/>
            <w:vAlign w:val="bottom"/>
            <w:tcBorders>
              <w:right w:val="single" w:sz="8" w:color="00000A"/>
            </w:tcBorders>
          </w:tcPr>
          <w:p>
            <w:pPr>
              <w:ind w:left="20"/>
              <w:spacing w:after="0" w:line="229" w:lineRule="exact"/>
              <w:rPr>
                <w:sz w:val="20"/>
                <w:szCs w:val="20"/>
                <w:color w:val="auto"/>
              </w:rPr>
            </w:pPr>
            <w:r>
              <w:rPr>
                <w:rFonts w:ascii="Arial" w:cs="Arial" w:eastAsia="Arial" w:hAnsi="Arial"/>
                <w:sz w:val="22"/>
                <w:szCs w:val="22"/>
                <w:color w:val="auto"/>
              </w:rPr>
              <w:t>[*]</w:t>
            </w:r>
          </w:p>
        </w:tc>
        <w:tc>
          <w:tcPr>
            <w:tcW w:w="820" w:type="dxa"/>
            <w:vAlign w:val="bottom"/>
            <w:tcBorders>
              <w:right w:val="single" w:sz="8" w:color="00000A"/>
            </w:tcBorders>
          </w:tcPr>
          <w:p>
            <w:pPr>
              <w:ind w:left="20"/>
              <w:spacing w:after="0" w:line="229" w:lineRule="exact"/>
              <w:rPr>
                <w:sz w:val="20"/>
                <w:szCs w:val="20"/>
                <w:color w:val="auto"/>
              </w:rPr>
            </w:pPr>
            <w:r>
              <w:rPr>
                <w:rFonts w:ascii="Arial" w:cs="Arial" w:eastAsia="Arial" w:hAnsi="Arial"/>
                <w:sz w:val="22"/>
                <w:szCs w:val="22"/>
                <w:color w:val="auto"/>
              </w:rPr>
              <w:t>[*]</w:t>
            </w:r>
          </w:p>
        </w:tc>
        <w:tc>
          <w:tcPr>
            <w:tcW w:w="2300" w:type="dxa"/>
            <w:vAlign w:val="bottom"/>
            <w:tcBorders>
              <w:right w:val="single" w:sz="8" w:color="00000A"/>
            </w:tcBorders>
          </w:tcPr>
          <w:p>
            <w:pPr>
              <w:ind w:left="40"/>
              <w:spacing w:after="0" w:line="229" w:lineRule="exact"/>
              <w:rPr>
                <w:sz w:val="20"/>
                <w:szCs w:val="20"/>
                <w:color w:val="auto"/>
              </w:rPr>
            </w:pPr>
            <w:r>
              <w:rPr>
                <w:rFonts w:ascii="Arial" w:cs="Arial" w:eastAsia="Arial" w:hAnsi="Arial"/>
                <w:sz w:val="22"/>
                <w:szCs w:val="22"/>
                <w:color w:val="auto"/>
              </w:rPr>
              <w:t>[*]</w:t>
            </w:r>
          </w:p>
        </w:tc>
        <w:tc>
          <w:tcPr>
            <w:tcW w:w="3860" w:type="dxa"/>
            <w:vAlign w:val="bottom"/>
            <w:tcBorders>
              <w:right w:val="single" w:sz="8" w:color="00000A"/>
            </w:tcBorders>
            <w:gridSpan w:val="3"/>
          </w:tcPr>
          <w:p>
            <w:pPr>
              <w:ind w:left="20"/>
              <w:spacing w:after="0" w:line="229" w:lineRule="exact"/>
              <w:rPr>
                <w:sz w:val="20"/>
                <w:szCs w:val="20"/>
                <w:color w:val="auto"/>
              </w:rPr>
            </w:pPr>
            <w:r>
              <w:rPr>
                <w:rFonts w:ascii="Arial" w:cs="Arial" w:eastAsia="Arial" w:hAnsi="Arial"/>
                <w:sz w:val="22"/>
                <w:szCs w:val="22"/>
                <w:color w:val="auto"/>
              </w:rPr>
              <w:t>[*]</w:t>
            </w:r>
          </w:p>
        </w:tc>
        <w:tc>
          <w:tcPr>
            <w:tcW w:w="1480" w:type="dxa"/>
            <w:vAlign w:val="bottom"/>
            <w:tcBorders>
              <w:right w:val="single" w:sz="8" w:color="00000A"/>
            </w:tcBorders>
          </w:tcPr>
          <w:p>
            <w:pPr>
              <w:ind w:left="20"/>
              <w:spacing w:after="0" w:line="229" w:lineRule="exact"/>
              <w:rPr>
                <w:sz w:val="20"/>
                <w:szCs w:val="20"/>
                <w:color w:val="auto"/>
              </w:rPr>
            </w:pPr>
            <w:r>
              <w:rPr>
                <w:rFonts w:ascii="Arial" w:cs="Arial" w:eastAsia="Arial" w:hAnsi="Arial"/>
                <w:sz w:val="22"/>
                <w:szCs w:val="22"/>
                <w:color w:val="auto"/>
              </w:rPr>
              <w:t>[*]</w:t>
            </w:r>
          </w:p>
        </w:tc>
      </w:tr>
      <w:tr>
        <w:trPr>
          <w:trHeight w:val="48"/>
        </w:trPr>
        <w:tc>
          <w:tcPr>
            <w:tcW w:w="1400" w:type="dxa"/>
            <w:vAlign w:val="bottom"/>
            <w:tcBorders>
              <w:left w:val="single" w:sz="8" w:color="00000A"/>
              <w:bottom w:val="single" w:sz="8" w:color="00000A"/>
              <w:right w:val="single" w:sz="8" w:color="00000A"/>
            </w:tcBorders>
          </w:tcPr>
          <w:p>
            <w:pPr>
              <w:spacing w:after="0"/>
              <w:rPr>
                <w:sz w:val="4"/>
                <w:szCs w:val="4"/>
                <w:color w:val="auto"/>
              </w:rPr>
            </w:pPr>
          </w:p>
        </w:tc>
        <w:tc>
          <w:tcPr>
            <w:tcW w:w="1580" w:type="dxa"/>
            <w:vAlign w:val="bottom"/>
            <w:tcBorders>
              <w:bottom w:val="single" w:sz="8" w:color="00000A"/>
              <w:right w:val="single" w:sz="8" w:color="00000A"/>
            </w:tcBorders>
          </w:tcPr>
          <w:p>
            <w:pPr>
              <w:spacing w:after="0"/>
              <w:rPr>
                <w:sz w:val="4"/>
                <w:szCs w:val="4"/>
                <w:color w:val="auto"/>
              </w:rPr>
            </w:pPr>
          </w:p>
        </w:tc>
        <w:tc>
          <w:tcPr>
            <w:tcW w:w="820" w:type="dxa"/>
            <w:vAlign w:val="bottom"/>
            <w:tcBorders>
              <w:bottom w:val="single" w:sz="8" w:color="00000A"/>
              <w:right w:val="single" w:sz="8" w:color="00000A"/>
            </w:tcBorders>
          </w:tcPr>
          <w:p>
            <w:pPr>
              <w:spacing w:after="0"/>
              <w:rPr>
                <w:sz w:val="4"/>
                <w:szCs w:val="4"/>
                <w:color w:val="auto"/>
              </w:rPr>
            </w:pPr>
          </w:p>
        </w:tc>
        <w:tc>
          <w:tcPr>
            <w:tcW w:w="230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40" w:type="dxa"/>
            <w:vAlign w:val="bottom"/>
            <w:tcBorders>
              <w:top w:val="single" w:sz="8" w:color="auto"/>
              <w:bottom w:val="single" w:sz="8" w:color="00000A"/>
            </w:tcBorders>
          </w:tcPr>
          <w:p>
            <w:pPr>
              <w:spacing w:after="0"/>
              <w:rPr>
                <w:sz w:val="4"/>
                <w:szCs w:val="4"/>
                <w:color w:val="auto"/>
              </w:rPr>
            </w:pPr>
          </w:p>
        </w:tc>
        <w:tc>
          <w:tcPr>
            <w:tcW w:w="3600" w:type="dxa"/>
            <w:vAlign w:val="bottom"/>
            <w:tcBorders>
              <w:bottom w:val="single" w:sz="8" w:color="00000A"/>
              <w:right w:val="single" w:sz="8" w:color="00000A"/>
            </w:tcBorders>
          </w:tcPr>
          <w:p>
            <w:pPr>
              <w:spacing w:after="0"/>
              <w:rPr>
                <w:sz w:val="4"/>
                <w:szCs w:val="4"/>
                <w:color w:val="auto"/>
              </w:rPr>
            </w:pPr>
          </w:p>
        </w:tc>
        <w:tc>
          <w:tcPr>
            <w:tcW w:w="148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8"/>
        <w:spacing w:after="0" w:line="277" w:lineRule="auto"/>
        <w:tabs>
          <w:tab w:leader="none" w:pos="2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0"/>
          </w:cols>
          <w:pgMar w:left="240" w:top="541" w:right="2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Project Coordinators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Enphase: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Eliiy: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8"/>
        <w:spacing w:after="0" w:line="277" w:lineRule="auto"/>
        <w:tabs>
          <w:tab w:leader="none" w:pos="2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53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Warranty</w:t>
      </w:r>
    </w:p>
    <w:p>
      <w:pPr>
        <w:spacing w:after="0" w:line="200" w:lineRule="exact"/>
        <w:rPr>
          <w:sz w:val="20"/>
          <w:szCs w:val="20"/>
          <w:color w:val="auto"/>
        </w:rPr>
      </w:pPr>
    </w:p>
    <w:p>
      <w:pPr>
        <w:spacing w:after="0" w:line="2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Product shall maintain the ability to store and discharge energy [*] at the minimum percentages set forth below, depending on the Average Annual Ambient temperatures in the location in which the AC Battery is located. The Parties agree that </w:t>
      </w:r>
      <w:r>
        <w:rPr>
          <w:rFonts w:ascii="Arial" w:cs="Arial" w:eastAsia="Arial" w:hAnsi="Arial"/>
          <w:sz w:val="20"/>
          <w:szCs w:val="20"/>
          <w:b w:val="1"/>
          <w:bCs w:val="1"/>
          <w:color w:val="auto"/>
        </w:rPr>
        <w:t>Average Annual Ambient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Temperature </w:t>
      </w:r>
      <w:r>
        <w:rPr>
          <w:rFonts w:ascii="Arial" w:cs="Arial" w:eastAsia="Arial" w:hAnsi="Arial"/>
          <w:sz w:val="20"/>
          <w:szCs w:val="20"/>
          <w:color w:val="auto"/>
        </w:rPr>
        <w:t>shall be determined by a mutually agreed upon respective national weather service servicing the respective geographical location</w:t>
      </w:r>
      <w:r>
        <w:rPr>
          <w:rFonts w:ascii="Arial" w:cs="Arial" w:eastAsia="Arial" w:hAnsi="Arial"/>
          <w:sz w:val="20"/>
          <w:szCs w:val="20"/>
          <w:b w:val="1"/>
          <w:bCs w:val="1"/>
          <w:color w:val="auto"/>
        </w:rPr>
        <w:t xml:space="preserve"> </w:t>
      </w:r>
      <w:r>
        <w:rPr>
          <w:rFonts w:ascii="Arial" w:cs="Arial" w:eastAsia="Arial" w:hAnsi="Arial"/>
          <w:sz w:val="20"/>
          <w:szCs w:val="20"/>
          <w:color w:val="auto"/>
        </w:rPr>
        <w:t>where the AC Battery has been installed.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Condition 1: Average Annual Ambient temperature does not exceed [*] degrees Celsius: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Year 1</w:t>
            </w:r>
          </w:p>
        </w:tc>
        <w:tc>
          <w:tcPr>
            <w:tcW w:w="520" w:type="dxa"/>
            <w:vAlign w:val="bottom"/>
          </w:tcPr>
          <w:p>
            <w:pPr>
              <w:spacing w:after="0"/>
              <w:rPr>
                <w:sz w:val="19"/>
                <w:szCs w:val="19"/>
                <w:color w:val="auto"/>
              </w:rPr>
            </w:pPr>
          </w:p>
        </w:tc>
        <w:tc>
          <w:tcPr>
            <w:tcW w:w="2080" w:type="dxa"/>
            <w:vAlign w:val="bottom"/>
          </w:tcPr>
          <w:p>
            <w:pPr>
              <w:ind w:left="160"/>
              <w:spacing w:after="0"/>
              <w:rPr>
                <w:sz w:val="20"/>
                <w:szCs w:val="20"/>
                <w:color w:val="auto"/>
              </w:rPr>
            </w:pPr>
            <w:r>
              <w:rPr>
                <w:rFonts w:ascii="Arial" w:cs="Arial" w:eastAsia="Arial" w:hAnsi="Arial"/>
                <w:sz w:val="20"/>
                <w:szCs w:val="20"/>
                <w:color w:val="auto"/>
              </w:rPr>
              <w:t>[*] of rated capacity</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w w:val="89"/>
              </w:rPr>
              <w:t>Years 2</w:t>
            </w:r>
          </w:p>
        </w:tc>
        <w:tc>
          <w:tcPr>
            <w:tcW w:w="520" w:type="dxa"/>
            <w:vAlign w:val="bottom"/>
          </w:tcPr>
          <w:p>
            <w:pPr>
              <w:spacing w:after="0"/>
              <w:rPr>
                <w:sz w:val="20"/>
                <w:szCs w:val="20"/>
                <w:color w:val="auto"/>
              </w:rPr>
            </w:pPr>
            <w:r>
              <w:rPr>
                <w:rFonts w:ascii="Arial" w:cs="Arial" w:eastAsia="Arial" w:hAnsi="Arial"/>
                <w:sz w:val="20"/>
                <w:szCs w:val="20"/>
                <w:color w:val="auto"/>
              </w:rPr>
              <w:t>– 5</w:t>
            </w:r>
          </w:p>
        </w:tc>
        <w:tc>
          <w:tcPr>
            <w:tcW w:w="2080" w:type="dxa"/>
            <w:vAlign w:val="bottom"/>
          </w:tcPr>
          <w:p>
            <w:pPr>
              <w:ind w:left="320"/>
              <w:spacing w:after="0"/>
              <w:rPr>
                <w:sz w:val="20"/>
                <w:szCs w:val="20"/>
                <w:color w:val="auto"/>
              </w:rPr>
            </w:pPr>
            <w:r>
              <w:rPr>
                <w:rFonts w:ascii="Arial" w:cs="Arial" w:eastAsia="Arial" w:hAnsi="Arial"/>
                <w:sz w:val="20"/>
                <w:szCs w:val="20"/>
                <w:color w:val="auto"/>
              </w:rPr>
              <w:t>[*] of rated capacity</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w w:val="89"/>
              </w:rPr>
              <w:t>Years 6</w:t>
            </w:r>
          </w:p>
        </w:tc>
        <w:tc>
          <w:tcPr>
            <w:tcW w:w="520" w:type="dxa"/>
            <w:vAlign w:val="bottom"/>
          </w:tcPr>
          <w:p>
            <w:pPr>
              <w:spacing w:after="0"/>
              <w:rPr>
                <w:sz w:val="20"/>
                <w:szCs w:val="20"/>
                <w:color w:val="auto"/>
              </w:rPr>
            </w:pPr>
            <w:r>
              <w:rPr>
                <w:rFonts w:ascii="Arial" w:cs="Arial" w:eastAsia="Arial" w:hAnsi="Arial"/>
                <w:sz w:val="20"/>
                <w:szCs w:val="20"/>
                <w:color w:val="auto"/>
              </w:rPr>
              <w:t>– 10</w:t>
            </w:r>
          </w:p>
        </w:tc>
        <w:tc>
          <w:tcPr>
            <w:tcW w:w="2080" w:type="dxa"/>
            <w:vAlign w:val="bottom"/>
          </w:tcPr>
          <w:p>
            <w:pPr>
              <w:ind w:left="480"/>
              <w:spacing w:after="0"/>
              <w:rPr>
                <w:sz w:val="20"/>
                <w:szCs w:val="20"/>
                <w:color w:val="auto"/>
              </w:rPr>
            </w:pPr>
            <w:r>
              <w:rPr>
                <w:rFonts w:ascii="Arial" w:cs="Arial" w:eastAsia="Arial" w:hAnsi="Arial"/>
                <w:sz w:val="20"/>
                <w:szCs w:val="20"/>
                <w:color w:val="auto"/>
                <w:w w:val="92"/>
              </w:rPr>
              <w:t>[*] of rated capacity</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w w:val="88"/>
              </w:rPr>
              <w:t>Year 11</w:t>
            </w:r>
          </w:p>
        </w:tc>
        <w:tc>
          <w:tcPr>
            <w:tcW w:w="520" w:type="dxa"/>
            <w:vAlign w:val="bottom"/>
          </w:tcPr>
          <w:p>
            <w:pPr>
              <w:spacing w:after="0"/>
              <w:rPr>
                <w:sz w:val="21"/>
                <w:szCs w:val="21"/>
                <w:color w:val="auto"/>
              </w:rPr>
            </w:pPr>
          </w:p>
        </w:tc>
        <w:tc>
          <w:tcPr>
            <w:tcW w:w="2080" w:type="dxa"/>
            <w:vAlign w:val="bottom"/>
          </w:tcPr>
          <w:p>
            <w:pPr>
              <w:ind w:left="240"/>
              <w:spacing w:after="0"/>
              <w:rPr>
                <w:sz w:val="20"/>
                <w:szCs w:val="20"/>
                <w:color w:val="auto"/>
              </w:rPr>
            </w:pPr>
            <w:r>
              <w:rPr>
                <w:rFonts w:ascii="Arial" w:cs="Arial" w:eastAsia="Arial" w:hAnsi="Arial"/>
                <w:sz w:val="20"/>
                <w:szCs w:val="20"/>
                <w:color w:val="auto"/>
              </w:rPr>
              <w:t>[*] of rated capacity</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Condition 2: Average Annual Ambient temperature does not exceed [*] degrees Celsius: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Year 1</w:t>
            </w:r>
          </w:p>
        </w:tc>
        <w:tc>
          <w:tcPr>
            <w:tcW w:w="540" w:type="dxa"/>
            <w:vAlign w:val="bottom"/>
          </w:tcPr>
          <w:p>
            <w:pPr>
              <w:spacing w:after="0"/>
              <w:rPr>
                <w:sz w:val="19"/>
                <w:szCs w:val="19"/>
                <w:color w:val="auto"/>
              </w:rPr>
            </w:pPr>
          </w:p>
        </w:tc>
        <w:tc>
          <w:tcPr>
            <w:tcW w:w="2060" w:type="dxa"/>
            <w:vAlign w:val="bottom"/>
          </w:tcPr>
          <w:p>
            <w:pPr>
              <w:ind w:left="180"/>
              <w:spacing w:after="0"/>
              <w:rPr>
                <w:sz w:val="20"/>
                <w:szCs w:val="20"/>
                <w:color w:val="auto"/>
              </w:rPr>
            </w:pPr>
            <w:r>
              <w:rPr>
                <w:rFonts w:ascii="Arial" w:cs="Arial" w:eastAsia="Arial" w:hAnsi="Arial"/>
                <w:sz w:val="20"/>
                <w:szCs w:val="20"/>
                <w:color w:val="auto"/>
              </w:rPr>
              <w:t>[*] of rated capacity</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w w:val="89"/>
              </w:rPr>
              <w:t>Years 2</w:t>
            </w:r>
          </w:p>
        </w:tc>
        <w:tc>
          <w:tcPr>
            <w:tcW w:w="540" w:type="dxa"/>
            <w:vAlign w:val="bottom"/>
          </w:tcPr>
          <w:p>
            <w:pPr>
              <w:spacing w:after="0"/>
              <w:rPr>
                <w:sz w:val="20"/>
                <w:szCs w:val="20"/>
                <w:color w:val="auto"/>
              </w:rPr>
            </w:pPr>
            <w:r>
              <w:rPr>
                <w:rFonts w:ascii="Arial" w:cs="Arial" w:eastAsia="Arial" w:hAnsi="Arial"/>
                <w:sz w:val="20"/>
                <w:szCs w:val="20"/>
                <w:color w:val="auto"/>
              </w:rPr>
              <w:t>– 5</w:t>
            </w:r>
          </w:p>
        </w:tc>
        <w:tc>
          <w:tcPr>
            <w:tcW w:w="2060" w:type="dxa"/>
            <w:vAlign w:val="bottom"/>
          </w:tcPr>
          <w:p>
            <w:pPr>
              <w:ind w:left="300"/>
              <w:spacing w:after="0"/>
              <w:rPr>
                <w:sz w:val="20"/>
                <w:szCs w:val="20"/>
                <w:color w:val="auto"/>
              </w:rPr>
            </w:pPr>
            <w:r>
              <w:rPr>
                <w:rFonts w:ascii="Arial" w:cs="Arial" w:eastAsia="Arial" w:hAnsi="Arial"/>
                <w:sz w:val="20"/>
                <w:szCs w:val="20"/>
                <w:color w:val="auto"/>
              </w:rPr>
              <w:t>[*] of rated capacity</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w w:val="89"/>
              </w:rPr>
              <w:t>Years 6</w:t>
            </w:r>
          </w:p>
        </w:tc>
        <w:tc>
          <w:tcPr>
            <w:tcW w:w="540" w:type="dxa"/>
            <w:vAlign w:val="bottom"/>
          </w:tcPr>
          <w:p>
            <w:pPr>
              <w:spacing w:after="0"/>
              <w:rPr>
                <w:sz w:val="20"/>
                <w:szCs w:val="20"/>
                <w:color w:val="auto"/>
              </w:rPr>
            </w:pPr>
            <w:r>
              <w:rPr>
                <w:rFonts w:ascii="Arial" w:cs="Arial" w:eastAsia="Arial" w:hAnsi="Arial"/>
                <w:sz w:val="20"/>
                <w:szCs w:val="20"/>
                <w:color w:val="auto"/>
              </w:rPr>
              <w:t>– 10</w:t>
            </w:r>
          </w:p>
        </w:tc>
        <w:tc>
          <w:tcPr>
            <w:tcW w:w="2060" w:type="dxa"/>
            <w:vAlign w:val="bottom"/>
          </w:tcPr>
          <w:p>
            <w:pPr>
              <w:ind w:left="460"/>
              <w:spacing w:after="0"/>
              <w:rPr>
                <w:sz w:val="20"/>
                <w:szCs w:val="20"/>
                <w:color w:val="auto"/>
              </w:rPr>
            </w:pPr>
            <w:r>
              <w:rPr>
                <w:rFonts w:ascii="Arial" w:cs="Arial" w:eastAsia="Arial" w:hAnsi="Arial"/>
                <w:sz w:val="20"/>
                <w:szCs w:val="20"/>
                <w:color w:val="auto"/>
                <w:w w:val="92"/>
              </w:rPr>
              <w:t>[*] of rated capacity</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w w:val="88"/>
              </w:rPr>
              <w:t>Year 11</w:t>
            </w:r>
          </w:p>
        </w:tc>
        <w:tc>
          <w:tcPr>
            <w:tcW w:w="540" w:type="dxa"/>
            <w:vAlign w:val="bottom"/>
          </w:tcPr>
          <w:p>
            <w:pPr>
              <w:spacing w:after="0"/>
              <w:rPr>
                <w:sz w:val="21"/>
                <w:szCs w:val="21"/>
                <w:color w:val="auto"/>
              </w:rPr>
            </w:pPr>
          </w:p>
        </w:tc>
        <w:tc>
          <w:tcPr>
            <w:tcW w:w="2060" w:type="dxa"/>
            <w:vAlign w:val="bottom"/>
          </w:tcPr>
          <w:p>
            <w:pPr>
              <w:ind w:left="220"/>
              <w:spacing w:after="0"/>
              <w:rPr>
                <w:sz w:val="20"/>
                <w:szCs w:val="20"/>
                <w:color w:val="auto"/>
              </w:rPr>
            </w:pPr>
            <w:r>
              <w:rPr>
                <w:rFonts w:ascii="Arial" w:cs="Arial" w:eastAsia="Arial" w:hAnsi="Arial"/>
                <w:sz w:val="20"/>
                <w:szCs w:val="20"/>
                <w:color w:val="auto"/>
              </w:rPr>
              <w:t>[*] of rated capacity</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determining a “</w:t>
      </w:r>
      <w:r>
        <w:rPr>
          <w:rFonts w:ascii="Arial" w:cs="Arial" w:eastAsia="Arial" w:hAnsi="Arial"/>
          <w:sz w:val="20"/>
          <w:szCs w:val="20"/>
          <w:b w:val="1"/>
          <w:bCs w:val="1"/>
          <w:color w:val="auto"/>
        </w:rPr>
        <w:t>Year,</w:t>
      </w:r>
      <w:r>
        <w:rPr>
          <w:rFonts w:ascii="Arial" w:cs="Arial" w:eastAsia="Arial" w:hAnsi="Arial"/>
          <w:sz w:val="20"/>
          <w:szCs w:val="20"/>
          <w:color w:val="auto"/>
        </w:rPr>
        <w:t>” the Year begins on the Delivery date of the Product.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rated capacity of the Product will be based on a [*] charge capacity.</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During the Warranty Period, the round trip energy efficiency of the Product (including power loss in the BMU) shall be as set forth in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Round trip efficiency is measured at a charge / discharge current of [*] at an ambient temperature of [*] degrees Celsius.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This Warranty shall not cover Product that have:</w:t>
      </w:r>
    </w:p>
    <w:p>
      <w:pPr>
        <w:spacing w:after="0" w:line="229" w:lineRule="exact"/>
        <w:rPr>
          <w:sz w:val="20"/>
          <w:szCs w:val="20"/>
          <w:color w:val="auto"/>
        </w:rPr>
      </w:pPr>
    </w:p>
    <w:p>
      <w:pPr>
        <w:ind w:left="5200" w:right="20" w:hanging="2923"/>
        <w:spacing w:after="0" w:line="260" w:lineRule="auto"/>
        <w:tabs>
          <w:tab w:leader="none" w:pos="2931" w:val="left"/>
        </w:tabs>
        <w:numPr>
          <w:ilvl w:val="0"/>
          <w:numId w:val="56"/>
        </w:numPr>
        <w:rPr>
          <w:rFonts w:ascii="Arial" w:cs="Arial" w:eastAsia="Arial" w:hAnsi="Arial"/>
          <w:sz w:val="20"/>
          <w:szCs w:val="20"/>
          <w:color w:val="auto"/>
        </w:rPr>
      </w:pPr>
      <w:r>
        <w:rPr>
          <w:rFonts w:ascii="Arial" w:cs="Arial" w:eastAsia="Arial" w:hAnsi="Arial"/>
          <w:sz w:val="20"/>
          <w:szCs w:val="20"/>
          <w:color w:val="auto"/>
        </w:rPr>
        <w:t>experienced conditions exceeding the Specifications after leaving Eliiy’s factory (Eliiy needs to put Shock and Vibration Specification in Exhibit A);</w:t>
      </w:r>
    </w:p>
    <w:p>
      <w:pPr>
        <w:spacing w:after="0" w:line="176" w:lineRule="exact"/>
        <w:rPr>
          <w:rFonts w:ascii="Arial" w:cs="Arial" w:eastAsia="Arial" w:hAnsi="Arial"/>
          <w:sz w:val="20"/>
          <w:szCs w:val="20"/>
          <w:color w:val="auto"/>
        </w:rPr>
      </w:pPr>
    </w:p>
    <w:p>
      <w:pPr>
        <w:ind w:left="5200" w:right="20" w:hanging="2923"/>
        <w:spacing w:after="0" w:line="260" w:lineRule="auto"/>
        <w:tabs>
          <w:tab w:leader="none" w:pos="2931" w:val="left"/>
        </w:tabs>
        <w:numPr>
          <w:ilvl w:val="0"/>
          <w:numId w:val="56"/>
        </w:numPr>
        <w:rPr>
          <w:rFonts w:ascii="Arial" w:cs="Arial" w:eastAsia="Arial" w:hAnsi="Arial"/>
          <w:sz w:val="20"/>
          <w:szCs w:val="20"/>
          <w:color w:val="auto"/>
        </w:rPr>
      </w:pPr>
      <w:r>
        <w:rPr>
          <w:rFonts w:ascii="Arial" w:cs="Arial" w:eastAsia="Arial" w:hAnsi="Arial"/>
          <w:sz w:val="20"/>
          <w:szCs w:val="20"/>
          <w:color w:val="auto"/>
        </w:rPr>
        <w:t>visible signs of water damage or has experienced an electrical short due to improper handling after leaving Eliiy’s factory; and</w:t>
      </w:r>
    </w:p>
    <w:p>
      <w:pPr>
        <w:spacing w:after="0" w:line="176" w:lineRule="exact"/>
        <w:rPr>
          <w:rFonts w:ascii="Arial" w:cs="Arial" w:eastAsia="Arial" w:hAnsi="Arial"/>
          <w:sz w:val="20"/>
          <w:szCs w:val="20"/>
          <w:color w:val="auto"/>
        </w:rPr>
      </w:pPr>
    </w:p>
    <w:p>
      <w:pPr>
        <w:ind w:left="5200" w:right="20" w:hanging="2923"/>
        <w:spacing w:after="0" w:line="260" w:lineRule="auto"/>
        <w:tabs>
          <w:tab w:leader="none" w:pos="2931" w:val="left"/>
        </w:tabs>
        <w:numPr>
          <w:ilvl w:val="0"/>
          <w:numId w:val="56"/>
        </w:numPr>
        <w:rPr>
          <w:rFonts w:ascii="Arial" w:cs="Arial" w:eastAsia="Arial" w:hAnsi="Arial"/>
          <w:sz w:val="20"/>
          <w:szCs w:val="20"/>
          <w:color w:val="auto"/>
        </w:rPr>
      </w:pPr>
      <w:r>
        <w:rPr>
          <w:rFonts w:ascii="Arial" w:cs="Arial" w:eastAsia="Arial" w:hAnsi="Arial"/>
          <w:sz w:val="20"/>
          <w:szCs w:val="20"/>
          <w:color w:val="auto"/>
        </w:rPr>
        <w:t>experienced temperatures over [*] for a continuous period exceeding [*] as measured at the thermistor at or closest to any battery cell.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Enphase agrees to retain the data necessary to support Warranty claims, such as [*]. [*] shall be retained for a period not exceeding [*].</w:t>
      </w:r>
    </w:p>
    <w:p>
      <w:pPr>
        <w:spacing w:after="0" w:line="200" w:lineRule="exact"/>
        <w:rPr>
          <w:sz w:val="20"/>
          <w:szCs w:val="20"/>
          <w:color w:val="auto"/>
        </w:rPr>
      </w:pPr>
    </w:p>
    <w:p>
      <w:pPr>
        <w:spacing w:after="0" w:line="273" w:lineRule="exact"/>
        <w:rPr>
          <w:sz w:val="20"/>
          <w:szCs w:val="20"/>
          <w:color w:val="auto"/>
        </w:rPr>
      </w:pPr>
    </w:p>
    <w:p>
      <w:pPr>
        <w:ind w:firstLine="8"/>
        <w:spacing w:after="0" w:line="277" w:lineRule="auto"/>
        <w:tabs>
          <w:tab w:leader="none" w:pos="2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535" w:right="239" w:bottom="1440" w:gutter="0" w:footer="0" w:header="0"/>
        </w:sectPr>
      </w:pPr>
    </w:p>
    <w:bookmarkStart w:id="70" w:name="page71"/>
    <w:bookmarkEnd w:id="70"/>
    <w:p>
      <w:pPr>
        <w:jc w:val="center"/>
        <w:ind w:right="-11"/>
        <w:spacing w:after="0"/>
        <w:rPr>
          <w:sz w:val="20"/>
          <w:szCs w:val="20"/>
          <w:color w:val="auto"/>
        </w:rPr>
      </w:pPr>
      <w:r>
        <w:rPr>
          <w:rFonts w:ascii="Arial" w:cs="Arial" w:eastAsia="Arial" w:hAnsi="Arial"/>
          <w:sz w:val="20"/>
          <w:szCs w:val="20"/>
          <w:b w:val="1"/>
          <w:bCs w:val="1"/>
          <w:color w:val="auto"/>
        </w:rPr>
        <w:t>Exhibit E</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Technical Support</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To be agreed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 w:firstLine="8"/>
        <w:spacing w:after="0" w:line="277" w:lineRule="auto"/>
        <w:tabs>
          <w:tab w:leader="none" w:pos="2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751" w:right="239" w:bottom="1440" w:gutter="0" w:footer="0" w:header="0"/>
        </w:sectPr>
      </w:pPr>
    </w:p>
    <w:bookmarkStart w:id="71" w:name="page72"/>
    <w:bookmarkEnd w:id="71"/>
    <w:p>
      <w:pPr>
        <w:jc w:val="center"/>
        <w:ind w:right="-11"/>
        <w:spacing w:after="0"/>
        <w:rPr>
          <w:sz w:val="20"/>
          <w:szCs w:val="20"/>
          <w:color w:val="auto"/>
        </w:rPr>
      </w:pPr>
      <w:r>
        <w:rPr>
          <w:rFonts w:ascii="Arial" w:cs="Arial" w:eastAsia="Arial" w:hAnsi="Arial"/>
          <w:sz w:val="20"/>
          <w:szCs w:val="20"/>
          <w:b w:val="1"/>
          <w:bCs w:val="1"/>
          <w:color w:val="auto"/>
        </w:rPr>
        <w:t>Exhibit F</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Eliiy Insurance Requirements</w:t>
      </w:r>
    </w:p>
    <w:p>
      <w:pPr>
        <w:spacing w:after="0" w:line="200" w:lineRule="exact"/>
        <w:rPr>
          <w:sz w:val="20"/>
          <w:szCs w:val="20"/>
          <w:color w:val="auto"/>
        </w:rPr>
      </w:pPr>
    </w:p>
    <w:p>
      <w:pPr>
        <w:spacing w:after="0" w:line="251" w:lineRule="exact"/>
        <w:rPr>
          <w:sz w:val="20"/>
          <w:szCs w:val="20"/>
          <w:color w:val="auto"/>
        </w:rPr>
      </w:pPr>
    </w:p>
    <w:p>
      <w:pPr>
        <w:ind w:left="652" w:hanging="328"/>
        <w:spacing w:after="0"/>
        <w:tabs>
          <w:tab w:leader="none" w:pos="652" w:val="left"/>
        </w:tabs>
        <w:numPr>
          <w:ilvl w:val="1"/>
          <w:numId w:val="59"/>
        </w:numPr>
        <w:rPr>
          <w:rFonts w:ascii="Arial" w:cs="Arial" w:eastAsia="Arial" w:hAnsi="Arial"/>
          <w:sz w:val="20"/>
          <w:szCs w:val="20"/>
          <w:color w:val="auto"/>
        </w:rPr>
      </w:pPr>
      <w:r>
        <w:rPr>
          <w:rFonts w:ascii="Arial" w:cs="Arial" w:eastAsia="Arial" w:hAnsi="Arial"/>
          <w:sz w:val="20"/>
          <w:szCs w:val="20"/>
          <w:color w:val="auto"/>
        </w:rPr>
        <w:t>(US) $[*] limit of liability.</w:t>
      </w:r>
    </w:p>
    <w:p>
      <w:pPr>
        <w:spacing w:after="0" w:line="215" w:lineRule="exact"/>
        <w:rPr>
          <w:rFonts w:ascii="Arial" w:cs="Arial" w:eastAsia="Arial" w:hAnsi="Arial"/>
          <w:sz w:val="20"/>
          <w:szCs w:val="20"/>
          <w:color w:val="auto"/>
        </w:rPr>
      </w:pPr>
    </w:p>
    <w:p>
      <w:pPr>
        <w:ind w:left="652" w:hanging="328"/>
        <w:spacing w:after="0"/>
        <w:tabs>
          <w:tab w:leader="none" w:pos="652" w:val="left"/>
        </w:tabs>
        <w:numPr>
          <w:ilvl w:val="1"/>
          <w:numId w:val="59"/>
        </w:numPr>
        <w:rPr>
          <w:rFonts w:ascii="Arial" w:cs="Arial" w:eastAsia="Arial" w:hAnsi="Arial"/>
          <w:sz w:val="20"/>
          <w:szCs w:val="20"/>
          <w:color w:val="auto"/>
        </w:rPr>
      </w:pPr>
      <w:r>
        <w:rPr>
          <w:rFonts w:ascii="Arial" w:cs="Arial" w:eastAsia="Arial" w:hAnsi="Arial"/>
          <w:sz w:val="20"/>
          <w:szCs w:val="20"/>
          <w:color w:val="auto"/>
        </w:rPr>
        <w:t>Coverage for Bodily Injury or Property damage caused by Eliiy’s product.</w:t>
      </w:r>
    </w:p>
    <w:p>
      <w:pPr>
        <w:spacing w:after="0" w:line="215" w:lineRule="exact"/>
        <w:rPr>
          <w:rFonts w:ascii="Arial" w:cs="Arial" w:eastAsia="Arial" w:hAnsi="Arial"/>
          <w:sz w:val="20"/>
          <w:szCs w:val="20"/>
          <w:color w:val="auto"/>
        </w:rPr>
      </w:pPr>
    </w:p>
    <w:p>
      <w:pPr>
        <w:ind w:left="652" w:right="120" w:hanging="328"/>
        <w:spacing w:after="0" w:line="275" w:lineRule="auto"/>
        <w:tabs>
          <w:tab w:leader="none" w:pos="6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coverage territory of Eliiy’s insurance will respond to lawsuits that occur in the country/state where the person is injured or where the property is damaged as well as to actions and disputes contested in Singapore, the venue for disputes between the parties.</w:t>
      </w:r>
    </w:p>
    <w:p>
      <w:pPr>
        <w:ind w:left="652" w:right="400" w:hanging="328"/>
        <w:spacing w:after="0" w:line="244" w:lineRule="auto"/>
        <w:tabs>
          <w:tab w:leader="none" w:pos="652" w:val="left"/>
        </w:tabs>
        <w:numPr>
          <w:ilvl w:val="1"/>
          <w:numId w:val="59"/>
        </w:numPr>
        <w:rPr>
          <w:rFonts w:ascii="Arial" w:cs="Arial" w:eastAsia="Arial" w:hAnsi="Arial"/>
          <w:sz w:val="20"/>
          <w:szCs w:val="20"/>
          <w:color w:val="auto"/>
        </w:rPr>
      </w:pPr>
      <w:r>
        <w:rPr>
          <w:rFonts w:ascii="Arial" w:cs="Arial" w:eastAsia="Arial" w:hAnsi="Arial"/>
          <w:sz w:val="20"/>
          <w:szCs w:val="20"/>
          <w:color w:val="auto"/>
        </w:rPr>
        <w:t>Additional Insured to include Enphase, and, to the extent reasonably available in the Japanese market, its officers, directors, agents (excluding agents who are design professionals), and employees.</w:t>
      </w:r>
    </w:p>
    <w:p>
      <w:pPr>
        <w:spacing w:after="0" w:line="191" w:lineRule="exact"/>
        <w:rPr>
          <w:rFonts w:ascii="Arial" w:cs="Arial" w:eastAsia="Arial" w:hAnsi="Arial"/>
          <w:sz w:val="20"/>
          <w:szCs w:val="20"/>
          <w:color w:val="auto"/>
        </w:rPr>
      </w:pPr>
    </w:p>
    <w:p>
      <w:pPr>
        <w:ind w:left="652" w:hanging="328"/>
        <w:spacing w:after="0"/>
        <w:tabs>
          <w:tab w:leader="none" w:pos="652" w:val="left"/>
        </w:tabs>
        <w:numPr>
          <w:ilvl w:val="1"/>
          <w:numId w:val="59"/>
        </w:numPr>
        <w:rPr>
          <w:rFonts w:ascii="Arial" w:cs="Arial" w:eastAsia="Arial" w:hAnsi="Arial"/>
          <w:sz w:val="20"/>
          <w:szCs w:val="20"/>
          <w:color w:val="auto"/>
        </w:rPr>
      </w:pPr>
      <w:r>
        <w:rPr>
          <w:rFonts w:ascii="Arial" w:cs="Arial" w:eastAsia="Arial" w:hAnsi="Arial"/>
          <w:sz w:val="20"/>
          <w:szCs w:val="20"/>
          <w:color w:val="auto"/>
        </w:rPr>
        <w:t>A Waiver of Subrogation in favor of Enphase will be provided by Eliiy’s insurance policy.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7" w:lineRule="exact"/>
        <w:rPr>
          <w:rFonts w:ascii="Arial" w:cs="Arial" w:eastAsia="Arial" w:hAnsi="Arial"/>
          <w:sz w:val="20"/>
          <w:szCs w:val="20"/>
          <w:color w:val="auto"/>
        </w:rPr>
      </w:pPr>
    </w:p>
    <w:p>
      <w:pPr>
        <w:ind w:left="-8" w:firstLine="8"/>
        <w:spacing w:after="0" w:line="277" w:lineRule="auto"/>
        <w:tabs>
          <w:tab w:leader="none" w:pos="2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765" w:right="239" w:bottom="1440" w:gutter="0" w:footer="0" w:header="0"/>
        </w:sectPr>
      </w:pPr>
    </w:p>
    <w:bookmarkStart w:id="72" w:name="page73"/>
    <w:bookmarkEnd w:id="72"/>
    <w:p>
      <w:pPr>
        <w:jc w:val="center"/>
        <w:ind w:right="-11"/>
        <w:spacing w:after="0"/>
        <w:rPr>
          <w:sz w:val="20"/>
          <w:szCs w:val="20"/>
          <w:color w:val="auto"/>
        </w:rPr>
      </w:pPr>
      <w:r>
        <w:rPr>
          <w:rFonts w:ascii="Arial" w:cs="Arial" w:eastAsia="Arial" w:hAnsi="Arial"/>
          <w:sz w:val="20"/>
          <w:szCs w:val="20"/>
          <w:b w:val="1"/>
          <w:bCs w:val="1"/>
          <w:color w:val="auto"/>
        </w:rPr>
        <w:t>Exhibit G</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Enphase Insurance Requirements</w:t>
      </w:r>
    </w:p>
    <w:p>
      <w:pPr>
        <w:spacing w:after="0" w:line="222" w:lineRule="exact"/>
        <w:rPr>
          <w:sz w:val="20"/>
          <w:szCs w:val="20"/>
          <w:color w:val="auto"/>
        </w:rPr>
      </w:pPr>
    </w:p>
    <w:p>
      <w:pPr>
        <w:ind w:left="652" w:hanging="328"/>
        <w:spacing w:after="0"/>
        <w:tabs>
          <w:tab w:leader="none" w:pos="652" w:val="left"/>
        </w:tabs>
        <w:numPr>
          <w:ilvl w:val="1"/>
          <w:numId w:val="60"/>
        </w:numPr>
        <w:rPr>
          <w:rFonts w:ascii="Arial" w:cs="Arial" w:eastAsia="Arial" w:hAnsi="Arial"/>
          <w:sz w:val="20"/>
          <w:szCs w:val="20"/>
          <w:color w:val="auto"/>
        </w:rPr>
      </w:pPr>
      <w:r>
        <w:rPr>
          <w:rFonts w:ascii="Arial" w:cs="Arial" w:eastAsia="Arial" w:hAnsi="Arial"/>
          <w:sz w:val="20"/>
          <w:szCs w:val="20"/>
          <w:color w:val="auto"/>
        </w:rPr>
        <w:t>(US) $[*] limit of liability.</w:t>
      </w:r>
    </w:p>
    <w:p>
      <w:pPr>
        <w:spacing w:after="0" w:line="215" w:lineRule="exact"/>
        <w:rPr>
          <w:rFonts w:ascii="Arial" w:cs="Arial" w:eastAsia="Arial" w:hAnsi="Arial"/>
          <w:sz w:val="20"/>
          <w:szCs w:val="20"/>
          <w:color w:val="auto"/>
        </w:rPr>
      </w:pPr>
    </w:p>
    <w:p>
      <w:pPr>
        <w:ind w:left="652" w:hanging="328"/>
        <w:spacing w:after="0"/>
        <w:tabs>
          <w:tab w:leader="none" w:pos="652" w:val="left"/>
        </w:tabs>
        <w:numPr>
          <w:ilvl w:val="1"/>
          <w:numId w:val="60"/>
        </w:numPr>
        <w:rPr>
          <w:rFonts w:ascii="Arial" w:cs="Arial" w:eastAsia="Arial" w:hAnsi="Arial"/>
          <w:sz w:val="20"/>
          <w:szCs w:val="20"/>
          <w:color w:val="auto"/>
        </w:rPr>
      </w:pPr>
      <w:r>
        <w:rPr>
          <w:rFonts w:ascii="Arial" w:cs="Arial" w:eastAsia="Arial" w:hAnsi="Arial"/>
          <w:sz w:val="20"/>
          <w:szCs w:val="20"/>
          <w:color w:val="auto"/>
        </w:rPr>
        <w:t>Coverage for Bodily Injury or Property damage caused by Enphase’s product.</w:t>
      </w:r>
    </w:p>
    <w:p>
      <w:pPr>
        <w:spacing w:after="0" w:line="215" w:lineRule="exact"/>
        <w:rPr>
          <w:rFonts w:ascii="Arial" w:cs="Arial" w:eastAsia="Arial" w:hAnsi="Arial"/>
          <w:sz w:val="20"/>
          <w:szCs w:val="20"/>
          <w:color w:val="auto"/>
        </w:rPr>
      </w:pPr>
    </w:p>
    <w:p>
      <w:pPr>
        <w:ind w:left="652" w:right="280" w:hanging="328"/>
        <w:spacing w:after="0" w:line="309" w:lineRule="auto"/>
        <w:tabs>
          <w:tab w:leader="none" w:pos="652"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coverage territory of Enphase’s insurance will respond to lawsuits that occur in the country/state where the person is injured or where the property is damaged as well as to actions and disputes contested in Singapore, the venue for disputes between the parties .</w:t>
      </w:r>
    </w:p>
    <w:p>
      <w:pPr>
        <w:spacing w:after="0" w:line="1" w:lineRule="exact"/>
        <w:rPr>
          <w:rFonts w:ascii="Arial" w:cs="Arial" w:eastAsia="Arial" w:hAnsi="Arial"/>
          <w:sz w:val="16"/>
          <w:szCs w:val="16"/>
          <w:color w:val="auto"/>
        </w:rPr>
      </w:pPr>
    </w:p>
    <w:p>
      <w:pPr>
        <w:ind w:left="652" w:right="320" w:hanging="328"/>
        <w:spacing w:after="0" w:line="241" w:lineRule="auto"/>
        <w:tabs>
          <w:tab w:leader="none" w:pos="652" w:val="left"/>
        </w:tabs>
        <w:numPr>
          <w:ilvl w:val="1"/>
          <w:numId w:val="60"/>
        </w:numPr>
        <w:rPr>
          <w:rFonts w:ascii="Arial" w:cs="Arial" w:eastAsia="Arial" w:hAnsi="Arial"/>
          <w:sz w:val="20"/>
          <w:szCs w:val="20"/>
          <w:color w:val="auto"/>
        </w:rPr>
      </w:pPr>
      <w:r>
        <w:rPr>
          <w:rFonts w:ascii="Arial" w:cs="Arial" w:eastAsia="Arial" w:hAnsi="Arial"/>
          <w:sz w:val="20"/>
          <w:szCs w:val="20"/>
          <w:color w:val="auto"/>
        </w:rPr>
        <w:t>Additional Insured to include Eliiy, its officers, directors, agents (excluding agents who are design professionals), and employees; provided however, that if Eliiy’s insurance does not include Enphase’s officers, directors, agents (excluding agents who are design professionals), and employees, then Enphase shall not provide such coverage for Eliiy’s officers, directors, agents (excluding agents who are design professionals), and employees.</w:t>
      </w:r>
    </w:p>
    <w:p>
      <w:pPr>
        <w:spacing w:after="0" w:line="194" w:lineRule="exact"/>
        <w:rPr>
          <w:rFonts w:ascii="Arial" w:cs="Arial" w:eastAsia="Arial" w:hAnsi="Arial"/>
          <w:sz w:val="20"/>
          <w:szCs w:val="20"/>
          <w:color w:val="auto"/>
        </w:rPr>
      </w:pPr>
    </w:p>
    <w:p>
      <w:pPr>
        <w:ind w:left="652" w:hanging="328"/>
        <w:spacing w:after="0"/>
        <w:tabs>
          <w:tab w:leader="none" w:pos="652" w:val="left"/>
        </w:tabs>
        <w:numPr>
          <w:ilvl w:val="1"/>
          <w:numId w:val="60"/>
        </w:numPr>
        <w:rPr>
          <w:rFonts w:ascii="Arial" w:cs="Arial" w:eastAsia="Arial" w:hAnsi="Arial"/>
          <w:sz w:val="20"/>
          <w:szCs w:val="20"/>
          <w:color w:val="auto"/>
        </w:rPr>
      </w:pPr>
      <w:r>
        <w:rPr>
          <w:rFonts w:ascii="Arial" w:cs="Arial" w:eastAsia="Arial" w:hAnsi="Arial"/>
          <w:sz w:val="20"/>
          <w:szCs w:val="20"/>
          <w:color w:val="auto"/>
        </w:rPr>
        <w:t>A Waiver of Subrogation in favor of Eliiy will be provided by Enphase’s insurance policy.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3" w:lineRule="exact"/>
        <w:rPr>
          <w:rFonts w:ascii="Arial" w:cs="Arial" w:eastAsia="Arial" w:hAnsi="Arial"/>
          <w:sz w:val="20"/>
          <w:szCs w:val="20"/>
          <w:color w:val="auto"/>
        </w:rPr>
      </w:pPr>
    </w:p>
    <w:p>
      <w:pPr>
        <w:ind w:left="-8" w:firstLine="8"/>
        <w:spacing w:after="0" w:line="277" w:lineRule="auto"/>
        <w:tabs>
          <w:tab w:leader="none" w:pos="2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76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31.01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322"/>
        <w:spacing w:after="0" w:line="334" w:lineRule="auto"/>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480" w:hanging="322"/>
        <w:spacing w:after="0" w:line="277"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98"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322"/>
        <w:spacing w:after="0" w:line="334" w:lineRule="auto"/>
        <w:tabs>
          <w:tab w:leader="none" w:pos="11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480" w:hanging="322"/>
        <w:spacing w:after="0" w:line="277"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20" w:lineRule="exact"/>
        <w:rPr>
          <w:sz w:val="20"/>
          <w:szCs w:val="20"/>
          <w:color w:val="auto"/>
        </w:rPr>
      </w:pPr>
    </w:p>
    <w:p>
      <w:pPr>
        <w:ind w:right="520" w:firstLine="8"/>
        <w:spacing w:after="0" w:line="277" w:lineRule="auto"/>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2015, to which this Certification is attached as Exhibit 32.1 (the “Periodic Report”), fully complies with the requirements of Section 13(a) or Section 15(d) of the Exchange Act; and</w:t>
      </w:r>
    </w:p>
    <w:p>
      <w:pPr>
        <w:spacing w:after="0" w:line="143" w:lineRule="exact"/>
        <w:rPr>
          <w:rFonts w:ascii="Arial" w:cs="Arial" w:eastAsia="Arial" w:hAnsi="Arial"/>
          <w:sz w:val="18"/>
          <w:szCs w:val="18"/>
          <w:b w:val="1"/>
          <w:bCs w:val="1"/>
          <w:color w:val="auto"/>
        </w:rPr>
      </w:pPr>
    </w:p>
    <w:p>
      <w:pPr>
        <w:ind w:left="180" w:hanging="172"/>
        <w:spacing w:after="0"/>
        <w:tabs>
          <w:tab w:leader="none" w:pos="18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4th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/s/ 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3">
    <w:nsid w:val="1D4ED43B"/>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24">
    <w:nsid w:val="725A06F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5">
    <w:nsid w:val="2CD89A32"/>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6">
    <w:nsid w:val="57E4CCAF"/>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7">
    <w:nsid w:val="7A6D8D3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28">
    <w:nsid w:val="4B588F5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
    <w:nsid w:val="542289EC"/>
    <w:multiLevelType w:val="hybridMultilevel"/>
    <w:lvl w:ilvl="0">
      <w:lvlJc w:val="left"/>
      <w:lvlText w:val="%1."/>
      <w:numFmt w:val="lowerLetter"/>
      <w:start w:val="3"/>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lowerLetter"/>
      <w:start w:val="6"/>
    </w:lvl>
    <w:lvl w:ilvl="1">
      <w:lvlJc w:val="left"/>
      <w:lvlText w:val="(%2)"/>
      <w:numFmt w:val="lowerRoman"/>
      <w:start w:val="1"/>
    </w:lvl>
  </w:abstractNum>
  <w:abstractNum w:abstractNumId="32">
    <w:nsid w:val="7644A45C"/>
    <w:multiLevelType w:val="hybridMultilevel"/>
    <w:lvl w:ilvl="0">
      <w:lvlJc w:val="left"/>
      <w:lvlText w:val="[*]"/>
      <w:numFmt w:val="bullet"/>
      <w:start w:val="1"/>
    </w:lvl>
    <w:lvl w:ilvl="1">
      <w:lvlJc w:val="left"/>
      <w:lvlText w:val="(%2)"/>
      <w:numFmt w:val="upperLetter"/>
      <w:start w:val="1"/>
    </w:lvl>
  </w:abstractNum>
  <w:abstractNum w:abstractNumId="33">
    <w:nsid w:val="32FFF90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34">
    <w:nsid w:val="684A481A"/>
    <w:multiLevelType w:val="hybridMultilevel"/>
    <w:lvl w:ilvl="0">
      <w:lvlJc w:val="left"/>
      <w:lvlText w:val="[*]"/>
      <w:numFmt w:val="bullet"/>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35">
    <w:nsid w:val="579478FE"/>
    <w:multiLevelType w:val="hybridMultilevel"/>
    <w:lvl w:ilvl="0">
      <w:lvlJc w:val="left"/>
      <w:lvlText w:val="[*]"/>
      <w:numFmt w:val="bullet"/>
      <w:start w:val="1"/>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36">
    <w:nsid w:val="749ABB43"/>
    <w:multiLevelType w:val="hybridMultilevel"/>
    <w:lvl w:ilvl="0">
      <w:lvlJc w:val="left"/>
      <w:lvlText w:val="(%1)"/>
      <w:numFmt w:val="upperLetter"/>
      <w:start w:val="6"/>
    </w:lvl>
  </w:abstractNum>
  <w:abstractNum w:abstractNumId="37">
    <w:nsid w:val="3DC240FB"/>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abstractNum>
  <w:abstractNum w:abstractNumId="38">
    <w:nsid w:val="1BA026FA"/>
    <w:multiLevelType w:val="hybridMultilevel"/>
    <w:lvl w:ilvl="0">
      <w:lvlJc w:val="left"/>
      <w:lvlText w:val="(%1)"/>
      <w:numFmt w:val="upperLetter"/>
      <w:start w:val="7"/>
    </w:lvl>
    <w:lvl w:ilvl="1">
      <w:lvlJc w:val="left"/>
      <w:lvlText w:val="(%2)"/>
      <w:numFmt w:val="upperLetter"/>
      <w:start w:val="9"/>
    </w:lvl>
  </w:abstractNum>
  <w:abstractNum w:abstractNumId="39">
    <w:nsid w:val="79A1DEAA"/>
    <w:multiLevelType w:val="hybridMultilevel"/>
    <w:lvl w:ilvl="0">
      <w:lvlJc w:val="left"/>
      <w:lvlText w:val="[*]"/>
      <w:numFmt w:val="bullet"/>
      <w:start w:val="1"/>
    </w:lvl>
    <w:lvl w:ilvl="1">
      <w:lvlJc w:val="left"/>
      <w:lvlText w:val="(%2)"/>
      <w:numFmt w:val="lowerRoman"/>
      <w:start w:val="3"/>
    </w:lvl>
  </w:abstractNum>
  <w:abstractNum w:abstractNumId="40">
    <w:nsid w:val="75C6C33A"/>
    <w:multiLevelType w:val="hybridMultilevel"/>
    <w:lvl w:ilvl="0">
      <w:lvlJc w:val="left"/>
      <w:lvlText w:val="[*]"/>
      <w:numFmt w:val="bullet"/>
      <w:start w:val="1"/>
    </w:lvl>
    <w:lvl w:ilvl="1">
      <w:lvlJc w:val="left"/>
      <w:lvlText w:val="%2."/>
      <w:numFmt w:val="lowerLetter"/>
      <w:start w:val="12"/>
    </w:lvl>
    <w:lvl w:ilvl="2">
      <w:lvlJc w:val="left"/>
      <w:lvlText w:val="(%3)"/>
      <w:numFmt w:val="lowerRoman"/>
      <w:start w:val="1"/>
    </w:lvl>
  </w:abstractNum>
  <w:abstractNum w:abstractNumId="41">
    <w:nsid w:val="12E685FB"/>
    <w:multiLevelType w:val="hybridMultilevel"/>
    <w:lvl w:ilvl="0">
      <w:lvlJc w:val="left"/>
      <w:lvlText w:val="[*]"/>
      <w:numFmt w:val="bullet"/>
      <w:start w:val="1"/>
    </w:lvl>
    <w:lvl w:ilvl="1">
      <w:lvlJc w:val="left"/>
      <w:lvlText w:val="%2."/>
      <w:numFmt w:val="lowerLetter"/>
      <w:start w:val="14"/>
    </w:lvl>
    <w:lvl w:ilvl="2">
      <w:lvlJc w:val="left"/>
      <w:lvlText w:val="[*]"/>
      <w:numFmt w:val="bullet"/>
      <w:start w:val="1"/>
    </w:lvl>
    <w:lvl w:ilvl="3">
      <w:lvlJc w:val="left"/>
      <w:lvlText w:val="(%4)"/>
      <w:numFmt w:val="lowerRoman"/>
      <w:start w:val="1"/>
    </w:lvl>
  </w:abstractNum>
  <w:abstractNum w:abstractNumId="42">
    <w:nsid w:val="70C6A529"/>
    <w:multiLevelType w:val="hybridMultilevel"/>
    <w:lvl w:ilvl="0">
      <w:lvlJc w:val="left"/>
      <w:lvlText w:val="[*]"/>
      <w:numFmt w:val="bullet"/>
      <w:start w:val="1"/>
    </w:lvl>
    <w:lvl w:ilvl="1">
      <w:lvlJc w:val="left"/>
      <w:lvlText w:val="(%2)"/>
      <w:numFmt w:val="lowerRoman"/>
      <w:start w:val="3"/>
    </w:lvl>
    <w:lvl w:ilvl="2">
      <w:lvlJc w:val="left"/>
      <w:lvlText w:val="(%3)"/>
      <w:numFmt w:val="lowerLetter"/>
      <w:start w:val="3"/>
    </w:lvl>
  </w:abstractNum>
  <w:abstractNum w:abstractNumId="43">
    <w:nsid w:val="520EEDD1"/>
    <w:multiLevelType w:val="hybridMultilevel"/>
    <w:lvl w:ilvl="0">
      <w:lvlJc w:val="left"/>
      <w:lvlText w:val="[*]"/>
      <w:numFmt w:val="bullet"/>
      <w:start w:val="1"/>
    </w:lvl>
    <w:lvl w:ilvl="1">
      <w:lvlJc w:val="left"/>
      <w:lvlText w:val="%2."/>
      <w:numFmt w:val="lowerLetter"/>
      <w:start w:val="17"/>
    </w:lvl>
    <w:lvl w:ilvl="2">
      <w:lvlJc w:val="left"/>
      <w:lvlText w:val="(%3)"/>
      <w:numFmt w:val="lowerRoman"/>
      <w:start w:val="1"/>
    </w:lvl>
  </w:abstractNum>
  <w:abstractNum w:abstractNumId="44">
    <w:nsid w:val="374A3FE6"/>
    <w:multiLevelType w:val="hybridMultilevel"/>
    <w:lvl w:ilvl="0">
      <w:lvlJc w:val="left"/>
      <w:lvlText w:val="[*]"/>
      <w:numFmt w:val="bullet"/>
      <w:start w:val="1"/>
    </w:lvl>
    <w:lvl w:ilvl="1">
      <w:lvlJc w:val="left"/>
      <w:lvlText w:val="%2."/>
      <w:numFmt w:val="lowerLetter"/>
      <w:start w:val="19"/>
    </w:lvl>
    <w:lvl w:ilvl="2">
      <w:lvlJc w:val="left"/>
      <w:lvlText w:val="(%3)"/>
      <w:numFmt w:val="lowerRoman"/>
      <w:start w:val="1"/>
    </w:lvl>
  </w:abstractNum>
  <w:abstractNum w:abstractNumId="45">
    <w:nsid w:val="4F4EF00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46">
    <w:nsid w:val="23F9C13C"/>
    <w:multiLevelType w:val="hybridMultilevel"/>
    <w:lvl w:ilvl="0">
      <w:lvlJc w:val="left"/>
      <w:lvlText w:val="[*]"/>
      <w:numFmt w:val="bullet"/>
      <w:start w:val="1"/>
    </w:lvl>
    <w:lvl w:ilvl="1">
      <w:lvlJc w:val="left"/>
      <w:lvlText w:val="%2."/>
      <w:numFmt w:val="lowerLetter"/>
      <w:start w:val="21"/>
    </w:lvl>
    <w:lvl w:ilvl="2">
      <w:lvlJc w:val="left"/>
      <w:lvlText w:val="(%3)"/>
      <w:numFmt w:val="lowerRoman"/>
      <w:start w:val="1"/>
    </w:lvl>
  </w:abstractNum>
  <w:abstractNum w:abstractNumId="47">
    <w:nsid w:val="649BB77C"/>
    <w:multiLevelType w:val="hybridMultilevel"/>
    <w:lvl w:ilvl="0">
      <w:lvlJc w:val="left"/>
      <w:lvlText w:val="[*]"/>
      <w:numFmt w:val="bullet"/>
      <w:start w:val="1"/>
    </w:lvl>
    <w:lvl w:ilvl="1">
      <w:lvlJc w:val="left"/>
      <w:lvlText w:val="(%2)"/>
      <w:numFmt w:val="lowerRoman"/>
      <w:start w:val="6"/>
    </w:lvl>
  </w:abstractNum>
  <w:abstractNum w:abstractNumId="48">
    <w:nsid w:val="275AC794"/>
    <w:multiLevelType w:val="hybridMultilevel"/>
    <w:lvl w:ilvl="0">
      <w:lvlJc w:val="left"/>
      <w:lvlText w:val="[*]"/>
      <w:numFmt w:val="bullet"/>
      <w:start w:val="1"/>
    </w:lvl>
    <w:lvl w:ilvl="1">
      <w:lvlJc w:val="left"/>
      <w:lvlText w:val="(%2)"/>
      <w:numFmt w:val="lowerRoman"/>
      <w:start w:val="10"/>
    </w:lvl>
  </w:abstractNum>
  <w:abstractNum w:abstractNumId="49">
    <w:nsid w:val="39386575"/>
    <w:multiLevelType w:val="hybridMultilevel"/>
    <w:lvl w:ilvl="0">
      <w:lvlJc w:val="left"/>
      <w:lvlText w:val="(%1)"/>
      <w:numFmt w:val="lowerRoman"/>
      <w:start w:val="14"/>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lvl w:ilvl="1">
      <w:lvlJc w:val="left"/>
      <w:lvlText w:val="%2."/>
      <w:numFmt w:val="decimal"/>
      <w:start w:val="1"/>
    </w:lvl>
  </w:abstractNum>
  <w:abstractNum w:abstractNumId="59">
    <w:nsid w:val="3F6AB60F"/>
    <w:multiLevelType w:val="hybridMultilevel"/>
    <w:lvl w:ilvl="0">
      <w:lvlJc w:val="left"/>
      <w:lvlText w:val="[*]"/>
      <w:numFmt w:val="bullet"/>
      <w:start w:val="1"/>
    </w:lvl>
    <w:lvl w:ilvl="1">
      <w:lvlJc w:val="left"/>
      <w:lvlText w:val="%2."/>
      <w:numFmt w:val="decimal"/>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2019-12-29T15:18:40Z</dcterms:created>
  <dcterms:modified xsi:type="dcterms:W3CDTF">2019-12-29T15:18:40Z</dcterms:modified>
</cp:coreProperties>
</file>