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81915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186690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5" w:lineRule="exact"/>
        <w:rPr>
          <w:sz w:val="24"/>
          <w:szCs w:val="24"/>
          <w:color w:val="auto"/>
        </w:rPr>
      </w:pPr>
    </w:p>
    <w:p>
      <w:pPr>
        <w:ind w:left="460" w:hanging="43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00" w:lineRule="exact"/>
        <w:rPr>
          <w:sz w:val="24"/>
          <w:szCs w:val="24"/>
          <w:color w:val="auto"/>
        </w:rPr>
      </w:pPr>
    </w:p>
    <w:p>
      <w:pPr>
        <w:spacing w:after="0" w:line="273" w:lineRule="exact"/>
        <w:rPr>
          <w:sz w:val="24"/>
          <w:szCs w:val="24"/>
          <w:color w:val="auto"/>
        </w:rPr>
      </w:pPr>
    </w:p>
    <w:p>
      <w:pPr>
        <w:ind w:left="460" w:right="460" w:hanging="452"/>
        <w:spacing w:after="0" w:line="269" w:lineRule="auto"/>
        <w:tabs>
          <w:tab w:leader="none" w:pos="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248920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Enphase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167640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940" w:type="dxa"/>
            <w:vAlign w:val="bottom"/>
            <w:gridSpan w:val="2"/>
          </w:tcPr>
          <w:p>
            <w:pPr>
              <w:jc w:val="center"/>
              <w:ind w:right="3819"/>
              <w:spacing w:after="0"/>
              <w:rPr>
                <w:sz w:val="20"/>
                <w:szCs w:val="20"/>
                <w:color w:val="auto"/>
              </w:rPr>
            </w:pPr>
            <w:r>
              <w:rPr>
                <w:rFonts w:ascii="Arial" w:cs="Arial" w:eastAsia="Arial" w:hAnsi="Arial"/>
                <w:sz w:val="18"/>
                <w:szCs w:val="18"/>
                <w:b w:val="1"/>
                <w:bCs w:val="1"/>
                <w:color w:val="auto"/>
                <w:w w:val="91"/>
              </w:rPr>
              <w:t>Delaware</w:t>
            </w: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20-4645388</w:t>
            </w:r>
          </w:p>
        </w:tc>
      </w:tr>
      <w:tr>
        <w:trPr>
          <w:trHeight w:val="19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7"/>
              </w:rPr>
              <w:t>(State or other jurisdiction of</w:t>
            </w:r>
          </w:p>
        </w:tc>
        <w:tc>
          <w:tcPr>
            <w:tcW w:w="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8"/>
              </w:rPr>
              <w:t>incorporation or organization)</w:t>
            </w:r>
          </w:p>
        </w:tc>
        <w:tc>
          <w:tcPr>
            <w:tcW w:w="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3"/>
              </w:rPr>
              <w:t>1420 N. McDowell Blvd</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2"/>
              </w:rPr>
              <w:t>Petaluma, CA 94954</w:t>
            </w: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4"/>
        </w:trPr>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379"/>
        </w:trPr>
        <w:tc>
          <w:tcPr>
            <w:tcW w:w="6060" w:type="dxa"/>
            <w:vAlign w:val="bottom"/>
            <w:gridSpan w:val="3"/>
          </w:tcPr>
          <w:p>
            <w:pPr>
              <w:jc w:val="center"/>
              <w:ind w:left="2861"/>
              <w:spacing w:after="0"/>
              <w:rPr>
                <w:sz w:val="20"/>
                <w:szCs w:val="20"/>
                <w:color w:val="auto"/>
              </w:rPr>
            </w:pPr>
            <w:r>
              <w:rPr>
                <w:rFonts w:ascii="Arial" w:cs="Arial" w:eastAsia="Arial" w:hAnsi="Arial"/>
                <w:sz w:val="18"/>
                <w:szCs w:val="18"/>
                <w:b w:val="1"/>
                <w:bCs w:val="1"/>
                <w:color w:val="auto"/>
                <w:w w:val="90"/>
              </w:rPr>
              <w:t>(707) 774-7000</w:t>
            </w: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71"/>
        </w:trPr>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20" w:type="dxa"/>
            <w:vAlign w:val="bottom"/>
            <w:gridSpan w:val="3"/>
          </w:tcPr>
          <w:p>
            <w:pPr>
              <w:jc w:val="center"/>
              <w:ind w:right="1705"/>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1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64"/>
        </w:trPr>
        <w:tc>
          <w:tcPr>
            <w:tcW w:w="6060" w:type="dxa"/>
            <w:vAlign w:val="bottom"/>
            <w:gridSpan w:val="3"/>
          </w:tcPr>
          <w:p>
            <w:pPr>
              <w:jc w:val="center"/>
              <w:ind w:right="2679"/>
              <w:spacing w:after="0"/>
              <w:rPr>
                <w:sz w:val="20"/>
                <w:szCs w:val="20"/>
                <w:color w:val="auto"/>
              </w:rPr>
            </w:pPr>
            <w:r>
              <w:rPr>
                <w:rFonts w:ascii="Arial" w:cs="Arial" w:eastAsia="Arial" w:hAnsi="Arial"/>
                <w:sz w:val="18"/>
                <w:szCs w:val="18"/>
                <w:color w:val="auto"/>
                <w:w w:val="89"/>
              </w:rPr>
              <w:t>Common Stock, par value $0.00001 per share</w:t>
            </w:r>
          </w:p>
        </w:tc>
        <w:tc>
          <w:tcPr>
            <w:tcW w:w="4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180340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1" w:lineRule="exact"/>
        <w:rPr>
          <w:sz w:val="24"/>
          <w:szCs w:val="24"/>
          <w:color w:val="auto"/>
        </w:rPr>
      </w:pPr>
    </w:p>
    <w:p>
      <w:pPr>
        <w:ind w:right="1920"/>
        <w:spacing w:after="0" w:line="397"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ind w:right="480"/>
        <w:spacing w:after="0" w:line="29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jc w:val="both"/>
        <w:spacing w:after="0" w:line="29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ind w:right="60"/>
        <w:spacing w:after="0" w:line="29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21"/>
          <w:szCs w:val="21"/>
          <w:color w:val="auto"/>
        </w:rPr>
        <w:t>x</w:t>
      </w:r>
    </w:p>
    <w:p>
      <w:pPr>
        <w:spacing w:after="0" w:line="61"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91" w:orient="portrait"/>
          <w:cols w:equalWidth="0" w:num="1">
            <w:col w:w="11420"/>
          </w:cols>
          <w:pgMar w:left="240" w:top="229" w:right="239" w:bottom="0" w:gutter="0" w:footer="0" w:header="0"/>
        </w:sectPr>
      </w:pPr>
    </w:p>
    <w:p>
      <w:pPr>
        <w:spacing w:after="0" w:line="154" w:lineRule="exact"/>
        <w:rPr>
          <w:sz w:val="24"/>
          <w:szCs w:val="24"/>
          <w:color w:val="auto"/>
        </w:rPr>
      </w:pPr>
    </w:p>
    <w:p>
      <w:pPr>
        <w:ind w:left="40" w:right="620"/>
        <w:spacing w:after="0" w:line="435"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o</w:t>
      </w:r>
    </w:p>
    <w:p>
      <w:pPr>
        <w:spacing w:after="0" w:line="76"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o </w:t>
      </w: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63" w:lineRule="exact"/>
        <w:rPr>
          <w:sz w:val="24"/>
          <w:szCs w:val="24"/>
          <w:color w:val="auto"/>
        </w:rPr>
      </w:pPr>
    </w:p>
    <w:p>
      <w:pPr>
        <w:sectPr>
          <w:pgSz w:w="11900" w:h="16891" w:orient="portrait"/>
          <w:cols w:equalWidth="0" w:num="4">
            <w:col w:w="2280" w:space="720"/>
            <w:col w:w="5000" w:space="720"/>
            <w:col w:w="1960" w:space="420"/>
            <w:col w:w="320"/>
          </w:cols>
          <w:pgMar w:left="240" w:top="229" w:right="239" w:bottom="0" w:gutter="0" w:footer="0" w:header="0"/>
          <w:type w:val="continuous"/>
        </w:sectPr>
      </w:pPr>
    </w:p>
    <w:p>
      <w:pPr>
        <w:spacing w:after="0"/>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34" w:lineRule="exact"/>
        <w:rPr>
          <w:sz w:val="24"/>
          <w:szCs w:val="24"/>
          <w:color w:val="auto"/>
        </w:rPr>
      </w:pPr>
    </w:p>
    <w:p>
      <w:pPr>
        <w:ind w:right="120"/>
        <w:spacing w:after="0" w:line="302" w:lineRule="auto"/>
        <w:rPr>
          <w:sz w:val="20"/>
          <w:szCs w:val="20"/>
          <w:color w:val="auto"/>
        </w:rPr>
      </w:pPr>
      <w:r>
        <w:rPr>
          <w:rFonts w:ascii="Arial" w:cs="Arial" w:eastAsia="Arial" w:hAnsi="Arial"/>
          <w:sz w:val="16"/>
          <w:szCs w:val="16"/>
          <w:color w:val="auto"/>
        </w:rPr>
        <w:t>The aggregate market value of the voting stock held by non-affiliates of the registrant on June 30, 2013, based upon the closing price of $7.73 of the registrant’s common stock as reported on the NASDAQ Global Market, was approximately 113.1 million. Excludes approximately 27.1 million shares of the registrant’s common stock held by current executive officers, directors, and holders of five percent or more of the outstanding common stock in that such persons may be deemed to be affiliates. This determination of affiliate status is not necessarily a conclusive determination for other purposes.</w:t>
      </w:r>
    </w:p>
    <w:p>
      <w:pPr>
        <w:sectPr>
          <w:pgSz w:w="11900" w:h="16891" w:orient="portrait"/>
          <w:cols w:equalWidth="0" w:num="1">
            <w:col w:w="1142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February 28, 2014, there were 42,236,859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246380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called for by Part III of this Form 10-K is incorporated by reference to the Proxy Statement for the registrant’s 2014 Annual Meeting of Stockholders, which will be filed with the Securities and Exchange Commission not later than 120 days after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06" w:right="4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520" w:type="dxa"/>
            <w:vAlign w:val="bottom"/>
            <w:gridSpan w:val="20"/>
          </w:tcPr>
          <w:p>
            <w:pPr>
              <w:jc w:val="center"/>
              <w:ind w:right="3780"/>
              <w:spacing w:after="0"/>
              <w:rPr>
                <w:sz w:val="20"/>
                <w:szCs w:val="20"/>
                <w:color w:val="auto"/>
              </w:rPr>
            </w:pPr>
            <w:r>
              <w:rPr>
                <w:rFonts w:ascii="Arial" w:cs="Arial" w:eastAsia="Arial" w:hAnsi="Arial"/>
                <w:sz w:val="22"/>
                <w:szCs w:val="22"/>
                <w:b w:val="1"/>
                <w:bCs w:val="1"/>
                <w:color w:val="auto"/>
                <w:w w:val="97"/>
              </w:rPr>
              <w:t>ENPHASE ENERGY, INC.</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19"/>
          </w:tcPr>
          <w:p>
            <w:pPr>
              <w:jc w:val="center"/>
              <w:ind w:right="3940"/>
              <w:spacing w:after="0"/>
              <w:rPr>
                <w:sz w:val="20"/>
                <w:szCs w:val="20"/>
                <w:color w:val="auto"/>
              </w:rPr>
            </w:pPr>
            <w:r>
              <w:rPr>
                <w:rFonts w:ascii="Arial" w:cs="Arial" w:eastAsia="Arial" w:hAnsi="Arial"/>
                <w:sz w:val="22"/>
                <w:szCs w:val="22"/>
                <w:b w:val="1"/>
                <w:bCs w:val="1"/>
                <w:color w:val="auto"/>
                <w:w w:val="97"/>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180" w:type="dxa"/>
            <w:vAlign w:val="bottom"/>
            <w:gridSpan w:val="11"/>
            <w:vMerge w:val="restart"/>
          </w:tcPr>
          <w:p>
            <w:pPr>
              <w:jc w:val="center"/>
              <w:ind w:right="45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1"/>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45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1"/>
                <w:szCs w:val="21"/>
                <w:color w:val="auto"/>
              </w:rPr>
            </w:pPr>
          </w:p>
        </w:tc>
        <w:tc>
          <w:tcPr>
            <w:tcW w:w="456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3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1300" w:type="dxa"/>
            <w:vAlign w:val="bottom"/>
            <w:gridSpan w:val="5"/>
          </w:tcPr>
          <w:p>
            <w:pPr>
              <w:spacing w:after="0"/>
              <w:rPr>
                <w:sz w:val="21"/>
                <w:szCs w:val="21"/>
                <w:color w:val="auto"/>
              </w:rPr>
            </w:pPr>
          </w:p>
        </w:tc>
        <w:tc>
          <w:tcPr>
            <w:tcW w:w="7640" w:type="dxa"/>
            <w:vAlign w:val="bottom"/>
            <w:gridSpan w:val="2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Legal Proceedings</w:t>
              </w:r>
            </w:hyperlink>
          </w:p>
        </w:tc>
        <w:tc>
          <w:tcPr>
            <w:tcW w:w="8340" w:type="dxa"/>
            <w:vAlign w:val="bottom"/>
            <w:gridSpan w:val="3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4520" w:type="dxa"/>
            <w:vAlign w:val="bottom"/>
            <w:gridSpan w:val="8"/>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the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3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Consolidated Financial Data</w:t>
              </w:r>
            </w:hyperlink>
          </w:p>
        </w:tc>
        <w:tc>
          <w:tcPr>
            <w:tcW w:w="13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3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32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5"/>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20" w:type="dxa"/>
            <w:vAlign w:val="bottom"/>
            <w:gridSpan w:val="5"/>
          </w:tcPr>
          <w:p>
            <w:pPr>
              <w:spacing w:after="0"/>
              <w:rPr>
                <w:sz w:val="21"/>
                <w:szCs w:val="21"/>
                <w:color w:val="auto"/>
              </w:rPr>
            </w:pPr>
          </w:p>
        </w:tc>
        <w:tc>
          <w:tcPr>
            <w:tcW w:w="532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100" w:type="dxa"/>
            <w:vAlign w:val="bottom"/>
            <w:gridSpan w:val="8"/>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w:t>
              </w:r>
            </w:hyperlink>
          </w:p>
        </w:tc>
        <w:tc>
          <w:tcPr>
            <w:tcW w:w="2120" w:type="dxa"/>
            <w:vAlign w:val="bottom"/>
            <w:gridSpan w:val="11"/>
          </w:tcPr>
          <w:p>
            <w:pPr>
              <w:spacing w:after="0"/>
              <w:rPr>
                <w:sz w:val="21"/>
                <w:szCs w:val="21"/>
                <w:color w:val="auto"/>
              </w:rPr>
            </w:pPr>
          </w:p>
        </w:tc>
        <w:tc>
          <w:tcPr>
            <w:tcW w:w="5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20" w:type="dxa"/>
            <w:vAlign w:val="bottom"/>
            <w:gridSpan w:val="11"/>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Operations</w:t>
              </w:r>
            </w:hyperlink>
          </w:p>
        </w:tc>
        <w:tc>
          <w:tcPr>
            <w:tcW w:w="6860" w:type="dxa"/>
            <w:vAlign w:val="bottom"/>
            <w:gridSpan w:val="2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Comprehensive Loss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560" w:type="dxa"/>
            <w:vAlign w:val="bottom"/>
            <w:gridSpan w:val="17"/>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Consolidated Statements of Stockholders’ Equity</w:t>
              </w:r>
            </w:hyperlink>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80" w:type="dxa"/>
            <w:vAlign w:val="bottom"/>
            <w:gridSpan w:val="12"/>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Cash Flows</w:t>
              </w:r>
            </w:hyperlink>
          </w:p>
        </w:tc>
        <w:tc>
          <w:tcPr>
            <w:tcW w:w="680" w:type="dxa"/>
            <w:vAlign w:val="bottom"/>
            <w:gridSpan w:val="5"/>
          </w:tcPr>
          <w:p>
            <w:pPr>
              <w:spacing w:after="0"/>
              <w:rPr>
                <w:sz w:val="21"/>
                <w:szCs w:val="21"/>
                <w:color w:val="auto"/>
              </w:rPr>
            </w:pPr>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160" w:type="dxa"/>
            <w:vAlign w:val="bottom"/>
            <w:gridSpan w:val="14"/>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Quarterly Financial Information</w:t>
              </w:r>
            </w:hyperlink>
          </w:p>
        </w:tc>
        <w:tc>
          <w:tcPr>
            <w:tcW w:w="840" w:type="dxa"/>
            <w:vAlign w:val="bottom"/>
            <w:gridSpan w:val="5"/>
          </w:tcPr>
          <w:p>
            <w:pPr>
              <w:spacing w:after="0"/>
              <w:rPr>
                <w:sz w:val="21"/>
                <w:szCs w:val="21"/>
                <w:color w:val="auto"/>
              </w:rPr>
            </w:pPr>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3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5"/>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Controls and Procedures</w:t>
              </w:r>
            </w:hyperlink>
          </w:p>
        </w:tc>
        <w:tc>
          <w:tcPr>
            <w:tcW w:w="4700" w:type="dxa"/>
            <w:vAlign w:val="bottom"/>
            <w:gridSpan w:val="26"/>
          </w:tcPr>
          <w:p>
            <w:pPr>
              <w:spacing w:after="0"/>
              <w:rPr>
                <w:sz w:val="21"/>
                <w:szCs w:val="21"/>
                <w:color w:val="auto"/>
              </w:rPr>
            </w:pPr>
          </w:p>
        </w:tc>
        <w:tc>
          <w:tcPr>
            <w:tcW w:w="320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900" w:type="dxa"/>
            <w:vAlign w:val="bottom"/>
            <w:gridSpan w:val="2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448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8"/>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Directors, Executive Officers and Corporate Governance</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32"/>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Security Ownership of Certain Beneficial Owners and Management and Related Stockholder Matters</w:t>
              </w:r>
            </w:hyperlink>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29"/>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2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422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20" w:type="dxa"/>
            <w:vAlign w:val="bottom"/>
            <w:gridSpan w:val="13"/>
          </w:tcPr>
          <w:p>
            <w:pPr>
              <w:jc w:val="center"/>
              <w:ind w:right="450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48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1"/>
                <w:szCs w:val="21"/>
                <w:color w:val="auto"/>
              </w:rPr>
            </w:pPr>
          </w:p>
        </w:tc>
        <w:tc>
          <w:tcPr>
            <w:tcW w:w="450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507"/>
        </w:trPr>
        <w:tc>
          <w:tcPr>
            <w:tcW w:w="1140" w:type="dxa"/>
            <w:vAlign w:val="bottom"/>
          </w:tcPr>
          <w:p>
            <w:pPr>
              <w:spacing w:after="0"/>
              <w:rPr>
                <w:sz w:val="24"/>
                <w:szCs w:val="24"/>
                <w:color w:val="auto"/>
              </w:rPr>
            </w:pPr>
          </w:p>
        </w:tc>
        <w:tc>
          <w:tcPr>
            <w:tcW w:w="2900" w:type="dxa"/>
            <w:vAlign w:val="bottom"/>
            <w:tcBorders>
              <w:top w:val="single" w:sz="8" w:color="0000EE"/>
            </w:tcBorders>
            <w:gridSpan w:val="13"/>
          </w:tcPr>
          <w:p>
            <w:pPr>
              <w:spacing w:after="0"/>
              <w:rPr>
                <w:sz w:val="24"/>
                <w:szCs w:val="24"/>
                <w:color w:val="auto"/>
              </w:rPr>
            </w:pPr>
          </w:p>
        </w:tc>
        <w:tc>
          <w:tcPr>
            <w:tcW w:w="2220" w:type="dxa"/>
            <w:vAlign w:val="bottom"/>
            <w:gridSpan w:val="12"/>
          </w:tcPr>
          <w:p>
            <w:pPr>
              <w:jc w:val="center"/>
              <w:ind w:left="95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95"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5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In this report, unless otherwise indicated or the context otherwise requires, “Enphase Energy,” “Enphase,” “the Company,” “we,” “us,” and “our” refer to Enphase Energy, Inc., a Delaware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We deliver microinverter technology for the solar industry that increases energy production, simplifies design and installation, improves system uptime and reliability, reduces fire safety risk and provides a platform for intelligent energy management.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embedded and web-based software technologies. We are the market leader in the microinverter category and have grown rapidly. Since our first commercial shipment in mid-2008, we have sold approximately 4.7 million microinverters as of December 31, 2013, which represents over 1.2 gigawatt (DC). We were the first company to commercially ship microinverter systems in volume. We currently offer microinverter systems targeting the residential and commercial markets in the United States, Canada, the United Kingdom, France, the Benelux region, certain other European markets and Australia.</w:t>
      </w:r>
    </w:p>
    <w:p>
      <w:pPr>
        <w:spacing w:after="0" w:line="44" w:lineRule="exact"/>
        <w:rPr>
          <w:sz w:val="20"/>
          <w:szCs w:val="20"/>
          <w:color w:val="auto"/>
        </w:rPr>
      </w:pPr>
    </w:p>
    <w:p>
      <w:pPr>
        <w:ind w:right="460" w:firstLine="446"/>
        <w:spacing w:after="0" w:line="344" w:lineRule="auto"/>
        <w:rPr>
          <w:sz w:val="20"/>
          <w:szCs w:val="20"/>
          <w:color w:val="auto"/>
        </w:rPr>
      </w:pPr>
      <w:r>
        <w:rPr>
          <w:rFonts w:ascii="Arial" w:cs="Arial" w:eastAsia="Arial" w:hAnsi="Arial"/>
          <w:sz w:val="18"/>
          <w:szCs w:val="18"/>
          <w:color w:val="auto"/>
        </w:rPr>
        <w:t xml:space="preserve">We were incorporated as PVI Solutions, Inc. in March 2006 in the State of Delaware and changed our name to Enphase Energy, Inc. in July 2007. </w:t>
      </w:r>
      <w:r>
        <w:rPr>
          <w:rFonts w:ascii="Arial" w:cs="Arial" w:eastAsia="Arial" w:hAnsi="Arial"/>
          <w:sz w:val="18"/>
          <w:szCs w:val="18"/>
          <w:b w:val="1"/>
          <w:bCs w:val="1"/>
          <w:color w:val="auto"/>
        </w:rPr>
        <w:t>Industry Background</w:t>
      </w:r>
    </w:p>
    <w:p>
      <w:pPr>
        <w:spacing w:after="0" w:line="1"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Historically, traditional central inverters have been the only inverter technology used for solar photovoltaic, or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As compared to microinverter systems, we believe that traditional central inverters have a number of design and performance challenges limiting innovation and their ability to reduce the cost of solar systems, including the following:</w:t>
      </w:r>
    </w:p>
    <w:p>
      <w:pPr>
        <w:spacing w:after="0" w:line="53" w:lineRule="exact"/>
        <w:rPr>
          <w:sz w:val="20"/>
          <w:szCs w:val="20"/>
          <w:color w:val="auto"/>
        </w:rPr>
      </w:pPr>
    </w:p>
    <w:p>
      <w:pPr>
        <w:jc w:val="both"/>
        <w:ind w:left="980" w:right="18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Productivity limits</w:t>
      </w:r>
      <w:r>
        <w:rPr>
          <w:rFonts w:ascii="Arial" w:cs="Arial" w:eastAsia="Arial" w:hAnsi="Arial"/>
          <w:sz w:val="18"/>
          <w:szCs w:val="18"/>
          <w:color w:val="auto"/>
        </w:rPr>
        <w:t>. If solar modules are wired using a traditional central inverter—group or “string” of modules are wired in series—an entire</w:t>
      </w:r>
      <w:r>
        <w:rPr>
          <w:rFonts w:ascii="Arial" w:cs="Arial" w:eastAsia="Arial" w:hAnsi="Arial"/>
          <w:sz w:val="18"/>
          <w:szCs w:val="18"/>
          <w:i w:val="1"/>
          <w:iCs w:val="1"/>
          <w:color w:val="auto"/>
        </w:rPr>
        <w:t xml:space="preserve"> </w:t>
      </w:r>
      <w:r>
        <w:rPr>
          <w:rFonts w:ascii="Arial" w:cs="Arial" w:eastAsia="Arial" w:hAnsi="Arial"/>
          <w:sz w:val="18"/>
          <w:szCs w:val="18"/>
          <w:color w:val="auto"/>
        </w:rPr>
        <w:t>string's output is limited by the output of the lowest-performing module. Because of its string design, there is a single point of failure risk with the traditional central inverter approach.</w:t>
      </w:r>
    </w:p>
    <w:p>
      <w:pPr>
        <w:spacing w:after="0" w:line="46" w:lineRule="exact"/>
        <w:rPr>
          <w:rFonts w:ascii="Arial" w:cs="Arial" w:eastAsia="Arial" w:hAnsi="Arial"/>
          <w:sz w:val="18"/>
          <w:szCs w:val="18"/>
          <w:color w:val="auto"/>
        </w:rPr>
      </w:pPr>
    </w:p>
    <w:p>
      <w:pPr>
        <w:ind w:left="980" w:right="20" w:hanging="486"/>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Reliability issues</w:t>
      </w:r>
      <w:r>
        <w:rPr>
          <w:rFonts w:ascii="Arial" w:cs="Arial" w:eastAsia="Arial" w:hAnsi="Arial"/>
          <w:sz w:val="17"/>
          <w:szCs w:val="17"/>
          <w:color w:val="auto"/>
        </w:rPr>
        <w:t>. Traditional central inverters are the single most common component of solar installations to fail, resulting in system downtime</w:t>
      </w:r>
      <w:r>
        <w:rPr>
          <w:rFonts w:ascii="Arial" w:cs="Arial" w:eastAsia="Arial" w:hAnsi="Arial"/>
          <w:sz w:val="17"/>
          <w:szCs w:val="17"/>
          <w:i w:val="1"/>
          <w:iCs w:val="1"/>
          <w:color w:val="auto"/>
        </w:rPr>
        <w:t xml:space="preserve"> </w:t>
      </w:r>
      <w:r>
        <w:rPr>
          <w:rFonts w:ascii="Arial" w:cs="Arial" w:eastAsia="Arial" w:hAnsi="Arial"/>
          <w:sz w:val="17"/>
          <w:szCs w:val="17"/>
          <w:color w:val="auto"/>
        </w:rPr>
        <w:t>and adversely impacting total energy output. As a result, central inverters typically carry warranties of only 5 to 10 years.</w:t>
      </w:r>
    </w:p>
    <w:p>
      <w:pPr>
        <w:spacing w:after="0" w:line="11" w:lineRule="exact"/>
        <w:rPr>
          <w:rFonts w:ascii="Arial" w:cs="Arial" w:eastAsia="Arial" w:hAnsi="Arial"/>
          <w:sz w:val="17"/>
          <w:szCs w:val="17"/>
          <w:color w:val="auto"/>
        </w:rPr>
      </w:pPr>
    </w:p>
    <w:p>
      <w:pPr>
        <w:ind w:left="980" w:right="80" w:hanging="486"/>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Complex design and installation requirements</w:t>
      </w:r>
      <w:r>
        <w:rPr>
          <w:rFonts w:ascii="Arial" w:cs="Arial" w:eastAsia="Arial" w:hAnsi="Arial"/>
          <w:sz w:val="18"/>
          <w:szCs w:val="18"/>
          <w:color w:val="auto"/>
        </w:rPr>
        <w:t>. The central inverter-based solar PV installation requires greater effort on the part of the installer,</w:t>
      </w:r>
      <w:r>
        <w:rPr>
          <w:rFonts w:ascii="Arial" w:cs="Arial" w:eastAsia="Arial" w:hAnsi="Arial"/>
          <w:sz w:val="18"/>
          <w:szCs w:val="18"/>
          <w:i w:val="1"/>
          <w:iCs w:val="1"/>
          <w:color w:val="auto"/>
        </w:rPr>
        <w:t xml:space="preserve"> </w:t>
      </w:r>
      <w:r>
        <w:rPr>
          <w:rFonts w:ascii="Arial" w:cs="Arial" w:eastAsia="Arial" w:hAnsi="Arial"/>
          <w:sz w:val="18"/>
          <w:szCs w:val="18"/>
          <w:color w:val="auto"/>
        </w:rPr>
        <w:t>both in terms of design and on-site labor. Central inverter installations require string design and calculations for safe and reliable operation, as well as specialized equipment such as DC combiners, conduits and disconnects. In addition, the use of high-voltage DC requires specialized knowledge and training and safety precautions to install central inverter technology.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980" w:right="34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monitoring</w:t>
      </w:r>
      <w:r>
        <w:rPr>
          <w:rFonts w:ascii="Arial" w:cs="Arial" w:eastAsia="Arial" w:hAnsi="Arial"/>
          <w:sz w:val="18"/>
          <w:szCs w:val="18"/>
          <w:color w:val="auto"/>
        </w:rPr>
        <w:t>. The majority of solar installations with central inverter technology offer limited monitoring capabilities. A failure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inverter will often go unnoticed for days or even weeks. If a module fails or is not performing to specification, the resulting loss of energy can go unnoticed for an extended period of time.</w:t>
      </w:r>
    </w:p>
    <w:p>
      <w:pPr>
        <w:spacing w:after="0" w:line="46" w:lineRule="exact"/>
        <w:rPr>
          <w:rFonts w:ascii="Arial" w:cs="Arial" w:eastAsia="Arial" w:hAnsi="Arial"/>
          <w:sz w:val="18"/>
          <w:szCs w:val="18"/>
          <w:color w:val="auto"/>
        </w:rPr>
      </w:pPr>
    </w:p>
    <w:p>
      <w:pPr>
        <w:ind w:left="980" w:right="14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Safety issues</w:t>
      </w:r>
      <w:r>
        <w:rPr>
          <w:rFonts w:ascii="Arial" w:cs="Arial" w:eastAsia="Arial" w:hAnsi="Arial"/>
          <w:sz w:val="18"/>
          <w:szCs w:val="18"/>
          <w:color w:val="auto"/>
        </w:rPr>
        <w:t>. Central inverter solar PV installations have a wide distribution of high-voltage (600 volts in the United States and 1,000 volts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DC wiring. If damaged, DC wires can generate sustained electrical arcs, reaching temperatures of more than 5,000 °F. This creates the risk of fire for solar PV installation owners and injury for installers and maintenance personnel.</w:t>
      </w:r>
    </w:p>
    <w:p>
      <w:pPr>
        <w:spacing w:after="0" w:line="46"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These challenges of traditional central inverters have a direct impact on the cost and expected return on investment of solar installations to both installers and system owners:</w:t>
      </w:r>
    </w:p>
    <w:p>
      <w:pPr>
        <w:spacing w:after="0" w:line="35" w:lineRule="exact"/>
        <w:rPr>
          <w:sz w:val="20"/>
          <w:szCs w:val="20"/>
          <w:color w:val="auto"/>
        </w:rPr>
      </w:pPr>
    </w:p>
    <w:p>
      <w:pPr>
        <w:ind w:left="980" w:hanging="486"/>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Installer</w:t>
      </w:r>
      <w:r>
        <w:rPr>
          <w:rFonts w:ascii="Arial" w:cs="Arial" w:eastAsia="Arial" w:hAnsi="Arial"/>
          <w:sz w:val="17"/>
          <w:szCs w:val="17"/>
          <w:color w:val="auto"/>
        </w:rPr>
        <w:t>. Solar PV installers aim for simple installation design, fast installation times and maximum system performance and predictability.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installation of high-voltage 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36" w:lineRule="exact"/>
        <w:rPr>
          <w:rFonts w:ascii="Arial" w:cs="Arial" w:eastAsia="Arial" w:hAnsi="Arial"/>
          <w:sz w:val="17"/>
          <w:szCs w:val="17"/>
          <w:color w:val="auto"/>
        </w:rPr>
      </w:pPr>
    </w:p>
    <w:p>
      <w:pPr>
        <w:ind w:left="980" w:right="120" w:hanging="486"/>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System owner</w:t>
      </w:r>
      <w:r>
        <w:rPr>
          <w:rFonts w:ascii="Arial" w:cs="Arial" w:eastAsia="Arial" w:hAnsi="Arial"/>
          <w:sz w:val="18"/>
          <w:szCs w:val="18"/>
          <w:color w:val="auto"/>
        </w:rPr>
        <w:t>. Solar system owners aim for high energy production, low cost, high reliability and low maintenance requirements,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fire risks. With 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We design, develop, manufacture and sell a microinverter system for the solar PV industry. We have built from the ground up a semiconductor-based microinverter system that converts energy at the individual solar module level and, combined with our proprietary networking and software technologies, provides advanced energy monitoring and control. This is vastly different than the central inverter approach that can only convert energy of the entire array of solar modules from a single high voltage electrical unit, and lacks intelligence about the energy producing capacity of the solar array.</w:t>
      </w:r>
    </w:p>
    <w:p>
      <w:pPr>
        <w:spacing w:after="0" w:line="19"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Our microinverter solution brings a system-based, high technology approach to solar energy generation leveraging our design expertise across power electronics, semiconductors, networking, and embedded and web-based software technologies. Our microinverter system consists of three key components: our Enphase microinverter, Envoy communications gateway and Enlighten web-based software:</w:t>
      </w:r>
    </w:p>
    <w:p>
      <w:pPr>
        <w:spacing w:after="0" w:line="46" w:lineRule="exact"/>
        <w:rPr>
          <w:sz w:val="20"/>
          <w:szCs w:val="20"/>
          <w:color w:val="auto"/>
        </w:rPr>
      </w:pPr>
    </w:p>
    <w:p>
      <w:pPr>
        <w:ind w:left="980" w:hanging="486"/>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Enphase microinverter delivers efficient and reliable power conversion at the individual solar module level by introducing a digital architecture that incorporates custom application specific integrated circuits, or ASICs, specialized power electronics devices and an embedded software subsystem that optimizes energy production from each module and manages the core ASIC functions. A residential solar installation typically consists of 5 to 50 microinverters; a small commercial solar installation typically consists of 50 to 500 microinverters; and a medium or larger commercial solar installation typically consists of 500 to 10,000 microinverters, or more.</w:t>
      </w:r>
    </w:p>
    <w:p>
      <w:pPr>
        <w:spacing w:after="0" w:line="37" w:lineRule="exact"/>
        <w:rPr>
          <w:rFonts w:ascii="Arial" w:cs="Arial" w:eastAsia="Arial" w:hAnsi="Arial"/>
          <w:sz w:val="17"/>
          <w:szCs w:val="17"/>
          <w:color w:val="auto"/>
        </w:rPr>
      </w:pPr>
    </w:p>
    <w:p>
      <w:pPr>
        <w:ind w:left="980" w:right="100" w:hanging="486"/>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Envoy communications gateway is installed in the system owner's home or business and serves as a networking hub that collects data from the microinverter array and sends the information to our hosted data center. One Envoy is typically sold with each solar installation and can support up to 500 Enphase microinverters.</w:t>
      </w:r>
    </w:p>
    <w:p>
      <w:pPr>
        <w:spacing w:after="0" w:line="46" w:lineRule="exact"/>
        <w:rPr>
          <w:rFonts w:ascii="Arial" w:cs="Arial" w:eastAsia="Arial" w:hAnsi="Arial"/>
          <w:sz w:val="18"/>
          <w:szCs w:val="18"/>
          <w:color w:val="auto"/>
        </w:rPr>
      </w:pPr>
    </w:p>
    <w:p>
      <w:pPr>
        <w:ind w:left="980" w:right="100" w:hanging="486"/>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Enlighten web-based software collects and analyzes this information to enable system owners to monitor and realize the highest performance of their solar PV system. In addition, Enlighten also provides an online portal specifically designed for installers to enable them to track and manage all of their Enphase enabled projects and monitor and analyze the performance of their installed systems.</w:t>
      </w:r>
    </w:p>
    <w:p>
      <w:pPr>
        <w:spacing w:after="0" w:line="3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Together, our Enphase microinverter, Envoy communications gateway and Enlighten web-based software function as a single unified system that enhances energy production, simplifies design and installation, reduces costs, increases system uptime and reliability, reduces fire safety risk and provides the ability to monitor performance in real-time. With an Enphase microinverter system, we believe solar system owners can achieve a higher return on investment over the lifetime of the solar system than would be achieved using a traditional central inverter approach.</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solution include:</w:t>
      </w:r>
    </w:p>
    <w:p>
      <w:pPr>
        <w:spacing w:after="0" w:line="158" w:lineRule="exact"/>
        <w:rPr>
          <w:sz w:val="20"/>
          <w:szCs w:val="20"/>
          <w:color w:val="auto"/>
        </w:rPr>
      </w:pPr>
    </w:p>
    <w:p>
      <w:pPr>
        <w:ind w:left="880" w:right="20" w:firstLine="648"/>
        <w:spacing w:after="0" w:line="259" w:lineRule="auto"/>
        <w:rPr>
          <w:sz w:val="20"/>
          <w:szCs w:val="20"/>
          <w:color w:val="auto"/>
        </w:rPr>
      </w:pPr>
      <w:r>
        <w:rPr>
          <w:rFonts w:ascii="Arial" w:cs="Arial" w:eastAsia="Arial" w:hAnsi="Arial"/>
          <w:sz w:val="18"/>
          <w:szCs w:val="18"/>
          <w:i w:val="1"/>
          <w:iCs w:val="1"/>
          <w:color w:val="auto"/>
        </w:rPr>
        <w:t xml:space="preserve">Productive-Superior Energy Production. </w:t>
      </w:r>
      <w:r>
        <w:rPr>
          <w:rFonts w:ascii="Arial" w:cs="Arial" w:eastAsia="Arial" w:hAnsi="Arial"/>
          <w:sz w:val="18"/>
          <w:szCs w:val="18"/>
          <w:color w:val="auto"/>
        </w:rPr>
        <w:t>Our microinverter system enables the maximum possible energy production from each module,</w:t>
      </w:r>
      <w:r>
        <w:rPr>
          <w:rFonts w:ascii="Arial" w:cs="Arial" w:eastAsia="Arial" w:hAnsi="Arial"/>
          <w:sz w:val="18"/>
          <w:szCs w:val="18"/>
          <w:i w:val="1"/>
          <w:iCs w:val="1"/>
          <w:color w:val="auto"/>
        </w:rPr>
        <w:t xml:space="preserve"> </w:t>
      </w:r>
      <w:r>
        <w:rPr>
          <w:rFonts w:ascii="Arial" w:cs="Arial" w:eastAsia="Arial" w:hAnsi="Arial"/>
          <w:sz w:val="18"/>
          <w:szCs w:val="18"/>
          <w:color w:val="auto"/>
        </w:rPr>
        <w:t>overcoming a fundamental design limitation of central inverters which are limited by the lowest performing module. We believe that our microinverter systems achieve higher energy production and can generate superior returns on investment relative to central inverter solutions for system owners.</w:t>
      </w:r>
    </w:p>
    <w:p>
      <w:pPr>
        <w:spacing w:after="0" w:line="119" w:lineRule="exact"/>
        <w:rPr>
          <w:sz w:val="20"/>
          <w:szCs w:val="20"/>
          <w:color w:val="auto"/>
        </w:rPr>
      </w:pPr>
    </w:p>
    <w:p>
      <w:pPr>
        <w:ind w:left="880" w:right="20" w:firstLine="648"/>
        <w:spacing w:after="0" w:line="297" w:lineRule="auto"/>
        <w:rPr>
          <w:sz w:val="20"/>
          <w:szCs w:val="20"/>
          <w:color w:val="auto"/>
        </w:rPr>
      </w:pPr>
      <w:r>
        <w:rPr>
          <w:rFonts w:ascii="Arial" w:cs="Arial" w:eastAsia="Arial" w:hAnsi="Arial"/>
          <w:sz w:val="16"/>
          <w:szCs w:val="16"/>
          <w:i w:val="1"/>
          <w:iCs w:val="1"/>
          <w:color w:val="auto"/>
        </w:rPr>
        <w:t xml:space="preserve">Reliable-Longer Life and No Single Point of Failure. </w:t>
      </w:r>
      <w:r>
        <w:rPr>
          <w:rFonts w:ascii="Arial" w:cs="Arial" w:eastAsia="Arial" w:hAnsi="Arial"/>
          <w:sz w:val="16"/>
          <w:szCs w:val="16"/>
          <w:color w:val="auto"/>
        </w:rPr>
        <w:t>Reduction of component count, primarily through semiconductor integration in our</w:t>
      </w:r>
      <w:r>
        <w:rPr>
          <w:rFonts w:ascii="Arial" w:cs="Arial" w:eastAsia="Arial" w:hAnsi="Arial"/>
          <w:sz w:val="16"/>
          <w:szCs w:val="16"/>
          <w:i w:val="1"/>
          <w:iCs w:val="1"/>
          <w:color w:val="auto"/>
        </w:rPr>
        <w:t xml:space="preserve"> </w:t>
      </w:r>
      <w:r>
        <w:rPr>
          <w:rFonts w:ascii="Arial" w:cs="Arial" w:eastAsia="Arial" w:hAnsi="Arial"/>
          <w:sz w:val="16"/>
          <w:szCs w:val="16"/>
          <w:color w:val="auto"/>
        </w:rPr>
        <w:t>microinverter, allows us to design a reliable system that can withstand harsh environmental conditions. In addition, because we process low voltages and power levels, our components experience less stress and last longer than traditional central inverters. Furthermore, the distributed architecture of our microinverter system translates into greater system uptime. If a microinverter unit fails, it results in lost energy production from a single solar module only and not the entire array. In addition, we offer a limited warranty of up to 25 years on our microinverters.</w:t>
      </w:r>
    </w:p>
    <w:p>
      <w:pPr>
        <w:spacing w:after="0" w:line="91" w:lineRule="exact"/>
        <w:rPr>
          <w:sz w:val="20"/>
          <w:szCs w:val="20"/>
          <w:color w:val="auto"/>
        </w:rPr>
      </w:pPr>
    </w:p>
    <w:p>
      <w:pPr>
        <w:ind w:left="880" w:right="60" w:firstLine="648"/>
        <w:spacing w:after="0" w:line="293" w:lineRule="auto"/>
        <w:rPr>
          <w:sz w:val="20"/>
          <w:szCs w:val="20"/>
          <w:color w:val="auto"/>
        </w:rPr>
      </w:pPr>
      <w:r>
        <w:rPr>
          <w:rFonts w:ascii="Arial" w:cs="Arial" w:eastAsia="Arial" w:hAnsi="Arial"/>
          <w:sz w:val="16"/>
          <w:szCs w:val="16"/>
          <w:i w:val="1"/>
          <w:iCs w:val="1"/>
          <w:color w:val="auto"/>
        </w:rPr>
        <w:t xml:space="preserve">Simple-Ease of Design and Installation. </w:t>
      </w:r>
      <w:r>
        <w:rPr>
          <w:rFonts w:ascii="Arial" w:cs="Arial" w:eastAsia="Arial" w:hAnsi="Arial"/>
          <w:sz w:val="16"/>
          <w:szCs w:val="16"/>
          <w:color w:val="auto"/>
        </w:rPr>
        <w:t>Using microinverter technology, an installer can design a system of any size and any roof</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with a simple modular approach. After initial installation, the system can be easily expanded by even a single module. Our single inverter per module approach converts directly to AC and enables a simpler, all AC design, eliminating the extra cost, training and complexity associated with typical high voltage DC implementation. Without these complexities, installation of microinverter technology is greatly simplified, improving installers' productivity. This also enables a new class of solar installer, such as electricians and general contractors. Finally, our microinverters are installed on the roof and hidden from view, with minimal impact to the aesthetics of a home or building.</w:t>
      </w:r>
    </w:p>
    <w:p>
      <w:pPr>
        <w:spacing w:after="0" w:line="43" w:lineRule="exact"/>
        <w:rPr>
          <w:sz w:val="20"/>
          <w:szCs w:val="20"/>
          <w:color w:val="auto"/>
        </w:rPr>
      </w:pPr>
    </w:p>
    <w:p>
      <w:pPr>
        <w:ind w:left="880" w:firstLine="648"/>
        <w:spacing w:after="0" w:line="302" w:lineRule="auto"/>
        <w:rPr>
          <w:sz w:val="20"/>
          <w:szCs w:val="20"/>
          <w:color w:val="auto"/>
        </w:rPr>
      </w:pPr>
      <w:r>
        <w:rPr>
          <w:rFonts w:ascii="Arial" w:cs="Arial" w:eastAsia="Arial" w:hAnsi="Arial"/>
          <w:sz w:val="16"/>
          <w:szCs w:val="16"/>
          <w:i w:val="1"/>
          <w:iCs w:val="1"/>
          <w:color w:val="auto"/>
        </w:rPr>
        <w:t xml:space="preserve">Smart-Module-Level Monitoring and Analytics. </w:t>
      </w:r>
      <w:r>
        <w:rPr>
          <w:rFonts w:ascii="Arial" w:cs="Arial" w:eastAsia="Arial" w:hAnsi="Arial"/>
          <w:sz w:val="16"/>
          <w:szCs w:val="16"/>
          <w:color w:val="auto"/>
        </w:rPr>
        <w:t>Our microinverter system allows us to collect energy production information in real time</w:t>
      </w:r>
      <w:r>
        <w:rPr>
          <w:rFonts w:ascii="Arial" w:cs="Arial" w:eastAsia="Arial" w:hAnsi="Arial"/>
          <w:sz w:val="16"/>
          <w:szCs w:val="16"/>
          <w:i w:val="1"/>
          <w:iCs w:val="1"/>
          <w:color w:val="auto"/>
        </w:rPr>
        <w:t xml:space="preserve"> </w:t>
      </w:r>
      <w:r>
        <w:rPr>
          <w:rFonts w:ascii="Arial" w:cs="Arial" w:eastAsia="Arial" w:hAnsi="Arial"/>
          <w:sz w:val="16"/>
          <w:szCs w:val="16"/>
          <w:color w:val="auto"/>
        </w:rPr>
        <w:t>on a per solar module basis. This enables powerful system analytics and allows Enphase to offer installers visibility into how systems are performing and the ability to continuously optimize energy production-which is particularly important when operating commercial solar installations. Such services include system performance and diagnostics, benchmarking, as well as system and module alerts and fault statistics.</w:t>
      </w:r>
    </w:p>
    <w:p>
      <w:pPr>
        <w:spacing w:after="0" w:line="87" w:lineRule="exact"/>
        <w:rPr>
          <w:sz w:val="20"/>
          <w:szCs w:val="20"/>
          <w:color w:val="auto"/>
        </w:rPr>
      </w:pPr>
    </w:p>
    <w:p>
      <w:pPr>
        <w:jc w:val="both"/>
        <w:ind w:left="880" w:right="200" w:firstLine="648"/>
        <w:spacing w:after="0" w:line="264" w:lineRule="auto"/>
        <w:rPr>
          <w:sz w:val="20"/>
          <w:szCs w:val="20"/>
          <w:color w:val="auto"/>
        </w:rPr>
      </w:pPr>
      <w:r>
        <w:rPr>
          <w:rFonts w:ascii="Arial" w:cs="Arial" w:eastAsia="Arial" w:hAnsi="Arial"/>
          <w:sz w:val="18"/>
          <w:szCs w:val="18"/>
          <w:i w:val="1"/>
          <w:iCs w:val="1"/>
          <w:color w:val="auto"/>
        </w:rPr>
        <w:t xml:space="preserve">Safe-“All AC” Solution. </w:t>
      </w:r>
      <w:r>
        <w:rPr>
          <w:rFonts w:ascii="Arial" w:cs="Arial" w:eastAsia="Arial" w:hAnsi="Arial"/>
          <w:sz w:val="18"/>
          <w:szCs w:val="18"/>
          <w:color w:val="auto"/>
        </w:rPr>
        <w:t>Microinverters are safer because they process low DC voltages relative to central inverters. High voltage arc</w:t>
      </w:r>
      <w:r>
        <w:rPr>
          <w:rFonts w:ascii="Arial" w:cs="Arial" w:eastAsia="Arial" w:hAnsi="Arial"/>
          <w:sz w:val="18"/>
          <w:szCs w:val="18"/>
          <w:i w:val="1"/>
          <w:iCs w:val="1"/>
          <w:color w:val="auto"/>
        </w:rPr>
        <w:t xml:space="preserve"> </w:t>
      </w:r>
      <w:r>
        <w:rPr>
          <w:rFonts w:ascii="Arial" w:cs="Arial" w:eastAsia="Arial" w:hAnsi="Arial"/>
          <w:sz w:val="18"/>
          <w:szCs w:val="18"/>
          <w:color w:val="auto"/>
        </w:rPr>
        <w:t>faults associated with traditional central inverter are the leading cause of fires of solar PV installations. Microinverter technology mitigates this safety risk.</w:t>
      </w:r>
    </w:p>
    <w:p>
      <w:pPr>
        <w:spacing w:after="0" w:line="11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Due to the benefits of our solution, we believe solar installers achieve greater productivity and competitive differentiation over installers of traditional central inverter solar PV installations, and the solar system owner achieves a higher return on investment with an Enphase microinverter system over the life of the solar system.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4"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Our objective is to continue to be the leading provider of microinverter systems for the solar industry worldwide and to accelerate the shift from traditional central inverters to microinverter technology. Key elements of our strategy include:</w:t>
      </w:r>
    </w:p>
    <w:p>
      <w:pPr>
        <w:spacing w:after="0" w:line="35" w:lineRule="exact"/>
        <w:rPr>
          <w:sz w:val="20"/>
          <w:szCs w:val="20"/>
          <w:color w:val="auto"/>
        </w:rPr>
      </w:pPr>
    </w:p>
    <w:p>
      <w:pPr>
        <w:ind w:left="980" w:right="2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Continue to Penetrate Our Core Markets. </w:t>
      </w:r>
      <w:r>
        <w:rPr>
          <w:rFonts w:ascii="Arial" w:cs="Arial" w:eastAsia="Arial" w:hAnsi="Arial"/>
          <w:sz w:val="18"/>
          <w:szCs w:val="18"/>
          <w:color w:val="auto"/>
        </w:rPr>
        <w:t>We intend to capitalize on our market leadership in the microinverter category and our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with installers and owners to expand our market share position in our core U.S. market.</w:t>
      </w:r>
    </w:p>
    <w:p>
      <w:pPr>
        <w:spacing w:after="0" w:line="35"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Enter New Geographic Markets. </w:t>
      </w:r>
      <w:r>
        <w:rPr>
          <w:rFonts w:ascii="Arial" w:cs="Arial" w:eastAsia="Arial" w:hAnsi="Arial"/>
          <w:sz w:val="18"/>
          <w:szCs w:val="18"/>
          <w:color w:val="auto"/>
        </w:rPr>
        <w:t>We intend to further increase our market share in Europe and Australia. In addition, we intend to expand into</w:t>
      </w:r>
      <w:r>
        <w:rPr>
          <w:rFonts w:ascii="Arial" w:cs="Arial" w:eastAsia="Arial" w:hAnsi="Arial"/>
          <w:sz w:val="18"/>
          <w:szCs w:val="18"/>
          <w:i w:val="1"/>
          <w:iCs w:val="1"/>
          <w:color w:val="auto"/>
        </w:rPr>
        <w:t xml:space="preserve"> </w:t>
      </w:r>
      <w:r>
        <w:rPr>
          <w:rFonts w:ascii="Arial" w:cs="Arial" w:eastAsia="Arial" w:hAnsi="Arial"/>
          <w:sz w:val="18"/>
          <w:szCs w:val="18"/>
          <w:color w:val="auto"/>
        </w:rPr>
        <w:t>new markets with new and existing products and local go-to-market capabilities.</w:t>
      </w:r>
    </w:p>
    <w:p>
      <w:pPr>
        <w:spacing w:after="0" w:line="35" w:lineRule="exact"/>
        <w:rPr>
          <w:rFonts w:ascii="Arial" w:cs="Arial" w:eastAsia="Arial" w:hAnsi="Arial"/>
          <w:sz w:val="18"/>
          <w:szCs w:val="18"/>
          <w:color w:val="auto"/>
        </w:rPr>
      </w:pPr>
    </w:p>
    <w:p>
      <w:pPr>
        <w:ind w:left="980" w:right="6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Increase Power and Efficiency and Reduce Cost per Watt. </w:t>
      </w:r>
      <w:r>
        <w:rPr>
          <w:rFonts w:ascii="Arial" w:cs="Arial" w:eastAsia="Arial" w:hAnsi="Arial"/>
          <w:sz w:val="18"/>
          <w:szCs w:val="18"/>
          <w:color w:val="auto"/>
        </w:rPr>
        <w:t>Our engineering team is focused on continuing to increase average power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above 96.5% and AC output power beyond 250 watts. We intend to continue to leverage our semiconductor integration, power electronics expertise and manufacturing economies of scale to further reduce cost per watt.</w:t>
      </w:r>
    </w:p>
    <w:p>
      <w:pPr>
        <w:spacing w:after="0" w:line="46" w:lineRule="exact"/>
        <w:rPr>
          <w:rFonts w:ascii="Arial" w:cs="Arial" w:eastAsia="Arial" w:hAnsi="Arial"/>
          <w:sz w:val="18"/>
          <w:szCs w:val="18"/>
          <w:color w:val="auto"/>
        </w:rPr>
      </w:pPr>
    </w:p>
    <w:p>
      <w:pPr>
        <w:ind w:left="980" w:right="80" w:hanging="486"/>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Extend Our Technological Innovation. </w:t>
      </w:r>
      <w:r>
        <w:rPr>
          <w:rFonts w:ascii="Arial" w:cs="Arial" w:eastAsia="Arial" w:hAnsi="Arial"/>
          <w:sz w:val="17"/>
          <w:szCs w:val="17"/>
          <w:color w:val="auto"/>
        </w:rPr>
        <w:t>We distinguish ourselves from other inverter companies with our system- based and high-tech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ability to leverage strong research and development capabilities. As of December 31, 2013, we had 36 issued U.S. patents, 11 issued non-U.S. patents, 80 pending U.S. patent applications and 139 pending non-U.S. counterpart patent applications.</w:t>
      </w:r>
    </w:p>
    <w:p>
      <w:pPr>
        <w:spacing w:after="0" w:line="30" w:lineRule="exact"/>
        <w:rPr>
          <w:rFonts w:ascii="Arial" w:cs="Arial" w:eastAsia="Arial" w:hAnsi="Arial"/>
          <w:sz w:val="17"/>
          <w:szCs w:val="17"/>
          <w:color w:val="auto"/>
        </w:rPr>
      </w:pPr>
    </w:p>
    <w:p>
      <w:pPr>
        <w:ind w:left="980" w:right="60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Expand Our Product Offering for Commercial Installations and Utility-Scale Installations. </w:t>
      </w:r>
      <w:r>
        <w:rPr>
          <w:rFonts w:ascii="Arial" w:cs="Arial" w:eastAsia="Arial" w:hAnsi="Arial"/>
          <w:sz w:val="18"/>
          <w:szCs w:val="18"/>
          <w:color w:val="auto"/>
        </w:rPr>
        <w:t>We intend to expand our product offering by</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introducing new microinverter systems targeted at larger commercial installations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utility-scale installations. We expect these market segments to become a significant revenue opportunity for us in the future.</w:t>
      </w:r>
    </w:p>
    <w:p>
      <w:pPr>
        <w:spacing w:after="0" w:line="104" w:lineRule="exact"/>
        <w:rPr>
          <w:sz w:val="20"/>
          <w:szCs w:val="20"/>
          <w:color w:val="auto"/>
        </w:rPr>
      </w:pPr>
    </w:p>
    <w:p>
      <w:pPr>
        <w:ind w:left="980" w:right="440" w:hanging="486"/>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Develop a Software Management Platform. </w:t>
      </w:r>
      <w:r>
        <w:rPr>
          <w:rFonts w:ascii="Arial" w:cs="Arial" w:eastAsia="Arial" w:hAnsi="Arial"/>
          <w:sz w:val="17"/>
          <w:szCs w:val="17"/>
          <w:color w:val="auto"/>
        </w:rPr>
        <w:t>We intend to build upon our strong position as the leading supplier of microinverter systems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additional energy management services for our growing network of solar installers worldwide.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94"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currently offer microinverter systems targeting the residential and commercial markets in the United States, Canada, the United Kingdom, France, the Benelux region, certain other European markets and Australia. We sell our microinverter systems primarily to solar distributors who resell to installers and integrators, who in turn integrate our products into complete solar PV installations for residential and commercial system owners. We work with many of the leading solar distributors. In 2013, Vivint Solar, Inc., CED Greentech and Focused Energy, Inc. accounted for 15%, 14% and 11% of total net revenues, respectively. In addition to our distributors, we sell directly to large installers, OEMs and strategic partners. Our OEM customers include solar module manufacturers who bundle our products and solutions with their solar module products and resell to both distributors and installers. Strategic partners include a variety of companies and arrangements, including industrial equipment suppliers and providers of solar financing solutions. We also sell the Enphase-branded product directly to electrical contractor distributors in North America. Historically, revenues generated from the U.S. market have represented more than 80% of our business, with the remainder from Canada, Europe and Australia.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Quality Control and Key Suppliers</w:t>
      </w:r>
    </w:p>
    <w:p>
      <w:pPr>
        <w:spacing w:after="0" w:line="94"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outsource the manufacturing of our products to two key manufacturing partners, Flextronics International Ltd. and Phoenix Contact GmbH &amp; Co. KG. Flextronics assembles and tests our microinverter pursuant to a manufacturing services agreement. Prices for such services are mutually agreed to by the parties on a quarterly basis and we are obligated to purchase manufactured products and raw materials that cannot be resold upon the termination of the agreement. Flextronics' assembly and test plants for our products are located in Fuyong, China, and New Market, Ontario, Canada. Flextronics also provides receiving, kitting, storage, transportation, inventory visibility and other value-added logistics services at locations managed by Flextronics pursuant to a logistics services agreement. Phoenix manufactures our custom AC cable pursuant to a cooperation agreement. Phoenix's facilities are located in Poland and China. In addition, we rely on several unaffiliated companies to supply certain components used in the fabrication of our microinverter system.</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9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maintain high levels of customer engagement through our customer support group and the Enlighten web-based software portal, and have cultivated an organizational focus on customer satisfaction. Our dedicated customer support group focuses on responding to inbound inquiries regarding any of our products and services. As of December 31, 2013, our customer support staff consisted of 55 employees in the United States and 10 employees in Europe.</w:t>
      </w:r>
    </w:p>
    <w:p>
      <w:pPr>
        <w:spacing w:after="0" w:line="5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In addition, customized support programs are being developed for selected OEM partners, large direct installers and distributors to help prioritize and track support issues for key partners and to provide a single point of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devote substantial resources to research and development with the objective of developing new products and systems, adding new features to existing products and systems and reducing unit costs of our Enphase microinverter system. Our development strategy is to identify features, products and systems for both software and hardware that reduce the cost and optimize the effectiveness of our microinverter solutions for our customers. We measure the effectiveness of our research and development against metrics, including product unit cost, efficiency, reliability, power output and ease-of-use. As of December 31, 2013, our research and development staff consisted of 162 employees, of whom 140 were located in the United States and the remainder primarily located in New Zealand.</w:t>
      </w:r>
    </w:p>
    <w:p>
      <w:pPr>
        <w:spacing w:after="0" w:line="5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Our research and development expenses were $34.5 million, $35.6 million and $25.1 million for the years ended December 31, 2013, 2012 and 2011,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Our success depends, in part, on our ability to maintain and protect our proprietary technologies. We rely primarily on patent, trademark, copyright and trade secrets laws in the United States and similar laws in other countries, confidentiality agreements and procedures and other contractual arrangements to protect our technology. As of December 31, 2013, we had 36 issued U.S. patents, 11 issued non-U.S. patents, 80 pending U.S. patent applications and 139 pending non-U.S. counterpart patent applications. Our issued patents are scheduled to expire between years 2027 and 2032.</w:t>
      </w:r>
    </w:p>
    <w:p>
      <w:pPr>
        <w:spacing w:after="0" w:line="19"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We license certain power line communications technology and software for integration into our ASICs pursuant to a fully-paid, royalty-free license, which includes the right for us to source directly from the licensor’s suppliers or manufacture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ASIC hardware should the licensor fail, under certain conditions, to deliver such technology in the future. This license includes a limited exclusivity period during which the licensor has agreed not to license the licensed technology to any third party manufacturer of electronic components or systems for use in the solar energy market. The license carries a seventy-five year term, subject to earlier termination upon mutual agreement of the parties, or by us in connection with the insolvency of the licensor.</w:t>
      </w:r>
    </w:p>
    <w:p>
      <w:pPr>
        <w:spacing w:after="0" w:line="52" w:lineRule="exact"/>
        <w:rPr>
          <w:sz w:val="20"/>
          <w:szCs w:val="20"/>
          <w:color w:val="auto"/>
        </w:rPr>
      </w:pPr>
    </w:p>
    <w:p>
      <w:pPr>
        <w:ind w:right="160" w:firstLine="446"/>
        <w:spacing w:after="0" w:line="290" w:lineRule="auto"/>
        <w:rPr>
          <w:sz w:val="20"/>
          <w:szCs w:val="20"/>
          <w:color w:val="auto"/>
        </w:rPr>
      </w:pPr>
      <w:r>
        <w:rPr>
          <w:rFonts w:ascii="Arial" w:cs="Arial" w:eastAsia="Arial" w:hAnsi="Arial"/>
          <w:sz w:val="16"/>
          <w:szCs w:val="16"/>
          <w:color w:val="auto"/>
        </w:rPr>
        <w:t>We also license digital intellectual property cores, or IP blocks, for integration into and distribution with certain electronic components built into our products, including our ASICs, complex programmable logic devices, or CPLDs, and field-programmable gate arrays, or FPGAs. This is a fully-paid, non-exclusive, non-transferrable,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3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We continually assess appropriate occasions for seeking patent protection for those aspects of our technology, designs and methodologies and processes that we believe provide significant competitive advantages. A majority of our patents relate to DC to AC power conversion for alternative energy power systems, as well as power system monitoring, control and management systems.</w:t>
      </w:r>
    </w:p>
    <w:p>
      <w:pPr>
        <w:spacing w:after="0" w:line="46"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With respect to, among other things,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133"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127" w:lineRule="exact"/>
        <w:rPr>
          <w:sz w:val="20"/>
          <w:szCs w:val="20"/>
          <w:color w:val="auto"/>
        </w:rPr>
      </w:pPr>
    </w:p>
    <w:p>
      <w:pPr>
        <w:ind w:right="920" w:firstLine="446"/>
        <w:spacing w:after="0" w:line="277"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microinverter, technology or business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Historically, sales of our products in the second, third and fourth quarters have been positively affected by seasonal customer demand trends, including solar economic incentives, weather patterns and construction cycles, followed by a seasonally softer first quarter. Although these seasonal factors are common in the solar sector, historical patterns should not be considered a reliable indicator of our future sales activity or performance.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markets for our products are highly competitive, and we compete both with well-established traditional central inverter manufacturers and new technology start-ups. The principal areas in which we compete with other companies include:</w:t>
      </w:r>
    </w:p>
    <w:p>
      <w:pPr>
        <w:spacing w:after="0" w:line="35"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ownership (usually measured by levelized cost of electricity, or LCOE);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sales and distribution capabilities;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Module compatibility and interoperability;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Reliability and duration of product warranty;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recognition and customer service and support;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 and local electrical code;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Size and financial stability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Size of installed base;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manufacturing and product content.</w:t>
      </w:r>
    </w:p>
    <w:p>
      <w:pPr>
        <w:spacing w:after="0" w:line="171"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Currently, competitors in the inverter market range from large, international companies such as SMA Solar Technology AG, Fronius International GmbH and Power-One, Inc. to emerging companies offering alternative microinverter or other solar electronics products.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inverter technology, even when traditional central inverter technology is supplemented by DC-to-DC optimizers. SMA Solar Technology AG and Power-One Inc. have recently introduced or announced plans to introduce microinverter products. In addition, several new entrants to the microinverter market have recently announced plans to ship or have already shipped products, including some of our OEM customers and partners.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20" w:firstLine="446"/>
        <w:spacing w:after="0" w:line="264" w:lineRule="auto"/>
        <w:rPr>
          <w:sz w:val="20"/>
          <w:szCs w:val="20"/>
          <w:color w:val="auto"/>
        </w:rPr>
      </w:pPr>
      <w:r>
        <w:rPr>
          <w:rFonts w:ascii="Arial" w:cs="Arial" w:eastAsia="Arial" w:hAnsi="Arial"/>
          <w:sz w:val="18"/>
          <w:szCs w:val="18"/>
          <w:color w:val="auto"/>
        </w:rPr>
        <w:t>As of December 31, 2013, we had 398 employees. Of the full-time employees, 161 were engaged in research and development, 156 in sales and marketing, 50 in a general and administrative capacity and 31 in manufacturing and operations. Of these employees, 338 were in the United States, 34 in Europe, 19 in New Zealand, four in Australia, two in Canada and one employee in China.</w:t>
      </w:r>
    </w:p>
    <w:p>
      <w:pPr>
        <w:spacing w:after="0" w:line="127"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None of our U.S., New Zealand, U.K. and Australia employees are represented by a labor union with respect to his or her employment with us; however, our employees in France and Italy are represented by a collective bargaining agreement. We have not experienced any employment-related work stoppages, and we consider our relations with our employees to be good.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 xml:space="preserve">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or the Exchange Act. We make available on our website at </w:t>
      </w:r>
      <w:r>
        <w:rPr>
          <w:rFonts w:ascii="Arial" w:cs="Arial" w:eastAsia="Arial" w:hAnsi="Arial"/>
          <w:sz w:val="17"/>
          <w:szCs w:val="17"/>
          <w:u w:val="single" w:color="auto"/>
          <w:color w:val="0000FF"/>
        </w:rPr>
        <w:t>www.enphase.com</w:t>
      </w:r>
      <w:r>
        <w:rPr>
          <w:rFonts w:ascii="Arial" w:cs="Arial" w:eastAsia="Arial" w:hAnsi="Arial"/>
          <w:sz w:val="17"/>
          <w:szCs w:val="17"/>
          <w:color w:val="auto"/>
        </w:rPr>
        <w:t xml:space="preserve"> (under “Investors-Financial Information-SEC Filings”), free of charge, copies of these reports as soon as reasonably practicable after filing these reports with, or furnishing them to, the SEC.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446"/>
        <w:spacing w:after="0" w:line="276"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incurred net losses in each quarter since inception, and we may continue to incur additional net losses in the future. We incurred net losses of $25.9 million, $38.2 million and $32.3 million for 2013, 2012 and 2011, respectively. As of December 31, 2013, we had an accumulated deficit of $152.9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have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7"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70"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03" w:lineRule="exact"/>
        <w:rPr>
          <w:rFonts w:ascii="Arial" w:cs="Arial" w:eastAsia="Arial" w:hAnsi="Arial"/>
          <w:sz w:val="18"/>
          <w:szCs w:val="18"/>
          <w:color w:val="auto"/>
        </w:rPr>
      </w:pPr>
    </w:p>
    <w:p>
      <w:pPr>
        <w:ind w:left="980" w:right="2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28" w:lineRule="exact"/>
        <w:rPr>
          <w:rFonts w:ascii="Arial" w:cs="Arial" w:eastAsia="Arial" w:hAnsi="Arial"/>
          <w:sz w:val="17"/>
          <w:szCs w:val="17"/>
          <w:color w:val="auto"/>
        </w:rPr>
      </w:pPr>
    </w:p>
    <w:p>
      <w:pPr>
        <w:ind w:left="980" w:right="4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elimination or expiration of governmental subsidies and economic incentives for on-grid solar electricity applications.</w:t>
      </w:r>
    </w:p>
    <w:p>
      <w:pPr>
        <w:spacing w:after="0" w:line="11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which expire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However, unless the tax credit program is further extended, the eventual phase-out of this program could adversely affect sales of our products in the future.</w:t>
      </w:r>
    </w:p>
    <w:p>
      <w:pPr>
        <w:spacing w:after="0" w:line="194"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California is the largest single solar market in the United States, based on analysis from SEIA data and GTM Research,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4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recently suspended while they underwent a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5"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have negatively affected and may continue to negatively affect our business, financial condition and results of operations as we seek to increase our sales in Europe.</w:t>
      </w:r>
    </w:p>
    <w:p>
      <w:pPr>
        <w:spacing w:after="0" w:line="12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In the first quarter of 2013, we began selling our products in Australia. In 2012, Australia enacted a national price on carbon emissions intended to increase the cost of traditional energy sources, thereby making renewable energy sources more attractive. Beginning in 2012, several states in Australia also began to gradually reduce their FiTs. As of October 2013, all FiT programs in Australia have expired. Australia recently elected a new national Government. The new leadership has pledged to revise national energy policy, including the carbon price, Renewable Energy Target, and certain renewable energy financing mechanisms. The reductions in incentives and uncertainty around future energy policy may negatively affect our business financial condition, and results of operations as we seek to increase our business in Australia.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73"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62"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62"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62" w:lineRule="exact"/>
        <w:rPr>
          <w:rFonts w:ascii="Arial" w:cs="Arial" w:eastAsia="Arial" w:hAnsi="Arial"/>
          <w:sz w:val="18"/>
          <w:szCs w:val="18"/>
          <w:color w:val="auto"/>
        </w:rPr>
      </w:pPr>
    </w:p>
    <w:p>
      <w:pPr>
        <w:ind w:left="980" w:right="6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62"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8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systems.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 ability to reduce and control product costs;</w:t>
      </w:r>
    </w:p>
    <w:p>
      <w:pPr>
        <w:spacing w:after="0" w:line="117"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74" w:lineRule="exact"/>
        <w:rPr>
          <w:rFonts w:ascii="Arial" w:cs="Arial" w:eastAsia="Arial" w:hAnsi="Arial"/>
          <w:sz w:val="17"/>
          <w:szCs w:val="17"/>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To date, we have competed primarily against central inverter manufacturers and until recently have faced little direct competition in selling our microinverter systems. Marketing and selling our microinverter systems against traditional inverter solutions is highly competitive. Currently, competitors in the inverter market range from large companies such as SMA Solar Technology AG, Fronius International GmbH and Power-One Inc. to emerging companies offering alternative microinverter or other solar electronics products.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expect competition to intensify as new and existing competitors enter the microinverter market and additional add-on components like DC-to-DC optimizers that can be used with central inverters gain traction. We believe that a number of companies have developed or are developing microinverters and other products that will compete directly with our microinverter systems. SMA Solar Technology AG and Power-One Inc. have recently introduced microinverter products. In addition, several new entrants to the microinverter market have recently announced plans to ship or have already shipped products, including some of our OEM customers and partners.</w:t>
      </w:r>
    </w:p>
    <w:p>
      <w:pPr>
        <w:spacing w:after="0" w:line="13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93"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71" w:lineRule="exact"/>
        <w:rPr>
          <w:sz w:val="20"/>
          <w:szCs w:val="20"/>
          <w:color w:val="auto"/>
        </w:rPr>
      </w:pPr>
    </w:p>
    <w:p>
      <w:pPr>
        <w:jc w:val="both"/>
        <w:ind w:right="220" w:firstLine="432"/>
        <w:spacing w:after="0" w:line="34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6"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90"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the United Kingdom, France, the Benelux region, certain other European markets and Australia.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79"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6" w:lineRule="exact"/>
        <w:rPr>
          <w:sz w:val="20"/>
          <w:szCs w:val="20"/>
          <w:color w:val="auto"/>
        </w:rPr>
      </w:pPr>
    </w:p>
    <w:p>
      <w:pPr>
        <w:ind w:left="980" w:right="4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and consumer protection regulations, tariffs, export quotas, customs duties or other trade restrictions;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2" w:right="29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1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6"/>
          <w:szCs w:val="16"/>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420"/>
        <w:spacing w:after="0" w:line="302" w:lineRule="auto"/>
        <w:rPr>
          <w:sz w:val="20"/>
          <w:szCs w:val="20"/>
          <w:color w:val="auto"/>
        </w:rPr>
      </w:pPr>
      <w:r>
        <w:rPr>
          <w:rFonts w:ascii="Arial" w:cs="Arial" w:eastAsia="Arial" w:hAnsi="Arial"/>
          <w:sz w:val="16"/>
          <w:szCs w:val="16"/>
          <w:color w:val="auto"/>
        </w:rPr>
        <w:t>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Australia,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several states, including Louisiana and California, have either implemented or are considering implementing new restrictions on incentives or rule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which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would reduce our revenues, harm our relationships with our customers and damage our relationships with our distributors and end customers and cause us to forgo potential revenue opportunities.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2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and large installers to assist in selling our products, and the failure of these customers to perform as expected could reduce our future revenue.</w:t>
      </w:r>
    </w:p>
    <w:p>
      <w:pPr>
        <w:spacing w:after="0" w:line="116"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In 2013, Vivint Solar, Inc., CED Greentech and Focused Energy, Inc. accounted for 15%, 14% and 11% of total net revenues, respectively. We do not have exclusive arrangements with these third parties and, as a result, many of our customers also market and sell products from our competitors, which may reduce our sales. Our customers may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3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70" w:lineRule="exact"/>
        <w:rPr>
          <w:sz w:val="20"/>
          <w:szCs w:val="20"/>
          <w:color w:val="auto"/>
        </w:rPr>
      </w:pPr>
    </w:p>
    <w:p>
      <w:pPr>
        <w:ind w:left="980" w:right="6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customers pursuant to indemnification obligations under some of our customer contracts; or expend significant resources to redesign the products that use the infringing technology and to develop or acquire non-infringing technology.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products in the second, third and fourth quarters have been positively affected by seasonal customer demand trends, including solar economic incentives, weather patterns and construction cycles, followed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while our agreement with Hercules includes a condition precedent to borrowing that is subject to us achieving certain financial objectives.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2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In addition, Section 404 of the Sarbanes-Oxley Act of 2002, or the Sarbanes-Oxley Act, requires us to establish and maintain internal control over financial reporting and disclosure controls procedures. The process of implementing our internal controls and complying with Section 404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of 2002, this exemption will no longer be available to us beginning with our first Annual Report on 10-K for the year in which we cease to be an “emerging growth company,” as defined in the Jumpstart Our Business Startups Act enacted in April 2012, or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3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 from other aspects of our business.</w:t>
      </w:r>
    </w:p>
    <w:p>
      <w:pPr>
        <w:spacing w:after="0" w:line="1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a wide variety of rules and regulations as a public reporting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are required to devote a substantial amount of time to these compliance initiatives. Moreover, these rules and regulations increase our legal and financial compliance costs and make some activities more time-consuming and costly. As a public company, being subject to these rules and regulations makes it more difficult and more expensive for us to obtain director and officer liability insurance, and in the future,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12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may require us to obtain an annual audit of our sourcing and the chain of custody of these minerals, will be time-consuming and costly.</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73"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7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this section of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8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73"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76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2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116" w:lineRule="exact"/>
        <w:rPr>
          <w:sz w:val="20"/>
          <w:szCs w:val="20"/>
          <w:color w:val="auto"/>
        </w:rPr>
      </w:pPr>
    </w:p>
    <w:p>
      <w:pPr>
        <w:ind w:right="280" w:firstLine="432"/>
        <w:spacing w:after="0" w:line="271" w:lineRule="auto"/>
        <w:rPr>
          <w:sz w:val="20"/>
          <w:szCs w:val="20"/>
          <w:color w:val="auto"/>
        </w:rPr>
      </w:pPr>
      <w:r>
        <w:rPr>
          <w:rFonts w:ascii="Arial" w:cs="Arial" w:eastAsia="Arial" w:hAnsi="Arial"/>
          <w:sz w:val="17"/>
          <w:szCs w:val="17"/>
          <w:color w:val="auto"/>
        </w:rPr>
        <w:t>As of February 28, 2014, our executive officers, directors, greater than 5% stockholders and entities that are affiliated with them, beneficially owned approximately 61% of our outstanding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As of February 28, 2014, we had approximately 42.2 million shares of common stock outstanding, all of which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an investor's only opportunity to achieve a return on its investment in our company will be if the market price of our common stock appreciates and the investor sells its shares at a profit.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1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73" w:lineRule="exact"/>
        <w:rPr>
          <w:sz w:val="20"/>
          <w:szCs w:val="20"/>
          <w:color w:val="auto"/>
        </w:rPr>
      </w:pPr>
    </w:p>
    <w:p>
      <w:pPr>
        <w:ind w:left="980" w:right="60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directory candidates;</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62"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80"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91"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Our corporate headquarters occupy approximately 96,000 square feet in Petaluma, California under a lease that expires in April 2022 and accommodates our principal engineering, sales, marketing, operations and finance and administrative activities. In addition to our corporate headquarters in Petaluma, as of December 31, 2013, we leased office space in Boise, Idaho, Santa Clara, California, the United Kingdom, France and New Zealand. These regional facilities total approximately 136,000 square feet. At this time, we believe our facilities are adequate for our near term operational and business needs.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91" w:lineRule="exact"/>
        <w:rPr>
          <w:sz w:val="20"/>
          <w:szCs w:val="20"/>
          <w:color w:val="auto"/>
        </w:rPr>
      </w:pPr>
    </w:p>
    <w:p>
      <w:pPr>
        <w:jc w:val="both"/>
        <w:ind w:right="80"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121" w:right="1440"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0" w:lineRule="exact"/>
        <w:rPr>
          <w:sz w:val="20"/>
          <w:szCs w:val="20"/>
          <w:color w:val="auto"/>
        </w:rPr>
      </w:pPr>
    </w:p>
    <w:p>
      <w:pPr>
        <w:ind w:right="180" w:firstLine="446"/>
        <w:spacing w:after="0" w:line="308" w:lineRule="auto"/>
        <w:rPr>
          <w:sz w:val="20"/>
          <w:szCs w:val="20"/>
          <w:color w:val="auto"/>
        </w:rPr>
      </w:pPr>
      <w:r>
        <w:rPr>
          <w:rFonts w:ascii="Arial" w:cs="Arial" w:eastAsia="Arial" w:hAnsi="Arial"/>
          <w:sz w:val="17"/>
          <w:szCs w:val="17"/>
          <w:color w:val="auto"/>
        </w:rPr>
        <w:t>Our common stock has been traded on The NASDAQ Global Market under the symbol “ENPH” since March 30, 2012. The following table sets forth the range of high and low sales prices per share of our common stock as reported on the NASDAQ Global Market for the periods indicated.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Price Range</w:t>
            </w:r>
          </w:p>
        </w:tc>
      </w:tr>
      <w:tr>
        <w:trPr>
          <w:trHeight w:val="264"/>
        </w:trPr>
        <w:tc>
          <w:tcPr>
            <w:tcW w:w="100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10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Low</w:t>
            </w:r>
          </w:p>
        </w:tc>
      </w:tr>
      <w:tr>
        <w:trPr>
          <w:trHeight w:val="142"/>
        </w:trPr>
        <w:tc>
          <w:tcPr>
            <w:tcW w:w="8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Fiscal Year 2013</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3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2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3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3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2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3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Fiscal Year 2012</w:t>
            </w:r>
          </w:p>
        </w:tc>
        <w:tc>
          <w:tcPr>
            <w:tcW w:w="3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8"/>
        </w:trPr>
        <w:tc>
          <w:tcPr>
            <w:tcW w:w="2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5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 (from March 30, 2012)</w:t>
            </w:r>
          </w:p>
        </w:tc>
        <w:tc>
          <w:tcPr>
            <w:tcW w:w="3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43"/>
        </w:trPr>
        <w:tc>
          <w:tcPr>
            <w:tcW w:w="2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3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3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2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3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2014, there were approximately 57 holders of record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We have never paid any cash dividends on our common stock. We currently anticipate that we will retain any available funds to finance the growth and operation of our business and we do not anticipate paying any cash dividends in the foreseeable future. Certain present or future agreements may limit or prevent the payment of dividends on our common stock. For example, our loan and security agreement and credit agreement with Hercules and Wells Fargo, respectively, prohibit the payment of dividends.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section is not "soliciting material" and is not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graph depicted below shows a comparison of cumulative total stockholder returns for our common stock, the Russell 2000 and the Guggenheim Solar Index for the period from March 29, 2012 (the date before our common stock began trading on the NASDAQ Global Market) to December 31, 2013. An investment of $100 is assumed to have been made in our common stock and in each index on March 29, 2012 and its relative performance is tracked through December 31, 2013. The information shown is historical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118110</wp:posOffset>
            </wp:positionV>
            <wp:extent cx="5763260" cy="3395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3/29/12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6/30/12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9/30/12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12/31/12</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3/31/13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6/30/13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9/30/13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12/31/13</w:t>
            </w: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Enphase Energy,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Russell 2000 Index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Guggenheim Solar Index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675"/>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 xml:space="preserve">The information set forth below for the five years ended December 31, 2013 is not necessarily indicative of results of future operations, and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the consolidated financial statements and related notes thereto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of this Annual Report on Form 10-K to fully understand the factors that may affect the comparability of the information presented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6"/>
          </w:tcPr>
          <w:p>
            <w:pPr>
              <w:jc w:val="center"/>
              <w:ind w:left="433"/>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216,678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165,430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161,390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120,454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55,159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23,223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31,080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25,973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17,454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86,449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57,781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27,219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13,665</w:t>
            </w:r>
          </w:p>
        </w:tc>
        <w:tc>
          <w:tcPr>
            <w:tcW w:w="0" w:type="dxa"/>
            <w:vAlign w:val="bottom"/>
          </w:tcPr>
          <w:p>
            <w:pPr>
              <w:spacing w:after="0"/>
              <w:rPr>
                <w:sz w:val="1"/>
                <w:szCs w:val="1"/>
                <w:color w:val="auto"/>
              </w:rPr>
            </w:pPr>
          </w:p>
        </w:tc>
      </w:tr>
      <w:tr>
        <w:trPr>
          <w:trHeight w:val="27"/>
        </w:trPr>
        <w:tc>
          <w:tcPr>
            <w:tcW w:w="10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10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and 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Shares used in computing net loss per share attributable to</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41,647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8"/>
                <w:szCs w:val="18"/>
                <w:color w:val="auto"/>
              </w:rPr>
              <w:t>30,740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common stockholders, basic and diluted</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40" w:type="dxa"/>
            <w:vAlign w:val="bottom"/>
            <w:tcBorders>
              <w:bottom w:val="single" w:sz="8" w:color="auto"/>
            </w:tcBorders>
          </w:tcPr>
          <w:p>
            <w:pPr>
              <w:spacing w:after="0"/>
              <w:rPr>
                <w:sz w:val="21"/>
                <w:szCs w:val="21"/>
                <w:color w:val="auto"/>
              </w:rPr>
            </w:pPr>
          </w:p>
        </w:tc>
        <w:tc>
          <w:tcPr>
            <w:tcW w:w="3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80" w:right="240" w:hanging="269"/>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5 to the Consolidated Financial Statements for a description of changes in estimates related to warranty expense in 2013, 2012 and 2011.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3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r>
      <w:tr>
        <w:trPr>
          <w:trHeight w:val="250"/>
        </w:trPr>
        <w:tc>
          <w:tcPr>
            <w:tcW w:w="3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38,190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45,294</w:t>
            </w:r>
          </w:p>
        </w:tc>
        <w:tc>
          <w:tcPr>
            <w:tcW w:w="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51,524</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39,993</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8,642</w:t>
            </w: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116,669</w:t>
            </w: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122,291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106,242</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59,504</w:t>
            </w:r>
          </w:p>
        </w:tc>
        <w:tc>
          <w:tcPr>
            <w:tcW w:w="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20,947</w:t>
            </w: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Term loans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8,677</w:t>
            </w:r>
          </w:p>
        </w:tc>
        <w:tc>
          <w:tcPr>
            <w:tcW w:w="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11,061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14,677</w:t>
            </w:r>
          </w:p>
        </w:tc>
        <w:tc>
          <w:tcPr>
            <w:tcW w:w="7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6,903</w:t>
            </w:r>
          </w:p>
        </w:tc>
        <w:tc>
          <w:tcPr>
            <w:tcW w:w="7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411</w:t>
            </w: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56,655</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13,974</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13,627</w:t>
            </w:r>
          </w:p>
        </w:tc>
      </w:tr>
      <w:tr>
        <w:trPr>
          <w:trHeight w:val="176"/>
        </w:trPr>
        <w:tc>
          <w:tcPr>
            <w:tcW w:w="3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Data:</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57,144</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61,143</w:t>
            </w:r>
          </w:p>
        </w:tc>
        <w:tc>
          <w:tcPr>
            <w:tcW w:w="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29,417</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39,753</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11,004</w:t>
            </w: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percentage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7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r>
      <w:tr>
        <w:trPr>
          <w:trHeight w:val="459"/>
        </w:trPr>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592"/>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and elsewhere in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approximately 4.7 million microinverters as of December 31, 2013, which represents over 1.2 gigawatt (DC). We sell our products in the We currently offer microinverter systems targeting the residential and commercial markets in the United States, Canada, the United Kingdom, France, the Benelux region, certain other European markets and Australia.</w:t>
      </w:r>
    </w:p>
    <w:p>
      <w:pPr>
        <w:spacing w:after="0" w:line="58"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 Historically, revenues generated from the U.S. market have represented more than 80% of our business, with the remainder from Canada, Europe and Australia.</w:t>
      </w:r>
    </w:p>
    <w:p>
      <w:pPr>
        <w:spacing w:after="0" w:line="46"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have experienced significant revenue growth since our first commercial shipment in mid-2008. Our net revenues were $232.8 million, $216.7 million and $149.5 million for 2013, 2012 and 2011, respectively, which reflects deeper market penetration and broader acceptance of microinverter technology. We incurred net losses of $25.9 million, $38.2 million and $32.3 million for 2013, 2012 and 2011, respectively, as we invested significant resources to develop new product offerings and focused on critical research and development activities required to reduce product costs, increase performance and foster innovation. We also expanded our operations into new product markets and geographies and invested in our operational infrastructure to support anticipated growth.</w:t>
      </w:r>
    </w:p>
    <w:p>
      <w:pPr>
        <w:spacing w:after="0" w:line="58" w:lineRule="exact"/>
        <w:rPr>
          <w:sz w:val="20"/>
          <w:szCs w:val="20"/>
          <w:color w:val="auto"/>
        </w:rPr>
      </w:pPr>
    </w:p>
    <w:p>
      <w:pPr>
        <w:jc w:val="both"/>
        <w:ind w:right="200" w:firstLine="446"/>
        <w:spacing w:after="0" w:line="286" w:lineRule="auto"/>
        <w:rPr>
          <w:sz w:val="20"/>
          <w:szCs w:val="20"/>
          <w:color w:val="auto"/>
        </w:rPr>
      </w:pPr>
      <w:r>
        <w:rPr>
          <w:rFonts w:ascii="Arial" w:cs="Arial" w:eastAsia="Arial" w:hAnsi="Arial"/>
          <w:sz w:val="17"/>
          <w:szCs w:val="17"/>
          <w:color w:val="auto"/>
        </w:rPr>
        <w:t>Our full-time employee headcount has grown from 298 at December 31, 2011 to 398 at December 31, 2013. We do not expect similar growth rates in headcount in the near term.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device, and our Enlighten web-based monitoring service. We sell to distributors, large installers, OEMs and strategic partners.</w:t>
      </w:r>
    </w:p>
    <w:p>
      <w:pPr>
        <w:spacing w:after="0" w:line="62"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Our revenue is affected by changes in the volume and average selling prices of our microinverter systems, driven by supply and demand, sales incentives, and competitive product offerings. Our revenue growth is dependent on our continual development and introduction of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depreciation and amortization of test equipment and hosting services costs. Our product costs are impacted by technological innovations, such as advances in semiconductor integration and new product introductions, economies of scale resulting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lower component costs, and improvements in production processes and automation. Certain costs, primarily personnel and depreciation and amortization of test equipment, are not directly affected by sales volume.</w:t>
      </w:r>
    </w:p>
    <w:p>
      <w:pPr>
        <w:spacing w:after="0" w:line="62" w:lineRule="exact"/>
        <w:rPr>
          <w:sz w:val="20"/>
          <w:szCs w:val="20"/>
          <w:color w:val="auto"/>
        </w:rPr>
      </w:pPr>
    </w:p>
    <w:p>
      <w:pPr>
        <w:jc w:val="both"/>
        <w:ind w:right="460" w:firstLine="446"/>
        <w:spacing w:after="0" w:line="312" w:lineRule="auto"/>
        <w:rPr>
          <w:sz w:val="20"/>
          <w:szCs w:val="20"/>
          <w:color w:val="auto"/>
        </w:rPr>
      </w:pPr>
      <w:r>
        <w:rPr>
          <w:rFonts w:ascii="Arial" w:cs="Arial" w:eastAsia="Arial" w:hAnsi="Arial"/>
          <w:sz w:val="16"/>
          <w:szCs w:val="16"/>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39"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In addition, third parties, including one of our contract manufacturers, serve as our logistics providers by warehousing and delivering our products in North America, Europe and Australia.</w:t>
      </w:r>
    </w:p>
    <w:p>
      <w:pPr>
        <w:spacing w:after="0" w:line="62"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(including changes in estimates) and sales volume fluctuations resulting from seasonality.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46"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substantial resources in our research and development efforts because we believe they are critical to maintaining our competitive position.</w:t>
      </w:r>
    </w:p>
    <w:p>
      <w:pPr>
        <w:spacing w:after="0" w:line="70" w:lineRule="exact"/>
        <w:rPr>
          <w:sz w:val="20"/>
          <w:szCs w:val="20"/>
          <w:color w:val="auto"/>
        </w:rPr>
      </w:pPr>
    </w:p>
    <w:p>
      <w:pPr>
        <w:ind w:right="100" w:firstLine="446"/>
        <w:spacing w:after="0" w:line="270" w:lineRule="auto"/>
        <w:rPr>
          <w:sz w:val="20"/>
          <w:szCs w:val="20"/>
          <w:color w:val="auto"/>
        </w:rPr>
      </w:pPr>
      <w:r>
        <w:rPr>
          <w:rFonts w:ascii="Arial" w:cs="Arial" w:eastAsia="Arial" w:hAnsi="Arial"/>
          <w:sz w:val="17"/>
          <w:szCs w:val="17"/>
          <w:color w:val="auto"/>
        </w:rPr>
        <w:t>Sales and marketing expense consists primarily of personnel-related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Historically, substantially all of our sales have been in the United States and Canada. We began selling into France, Italy and the Benelux region in the fourth quarter of 2011 and commenced volume shipments to such regions in the second quarter of 2012. In addition, we opened a sales office in the United Kingdom during the second quarter of 2012 and began shipping products to the United Kingdom in the third quarter of 2012. In late 2013, we opened a sales office and began shipping products in Australia. We believe the investments we have made in sales and marketing to date will enable us to deliver higher levels of net revenues without proportionate increases from current levels of sales and marketing expenses. However, we expect to continue to expand the geographic reach of our product offerings and explore new sales channels in addressable markets in the future.</w:t>
      </w:r>
    </w:p>
    <w:p>
      <w:pPr>
        <w:spacing w:after="0" w:line="83"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General and administrative expense consists primarily of salaries,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 We believe the investments we have made in our corporate infrastructure to date will enable us to deliver higher levels of net revenues without proportionate increases from current levels of general and administrative expenses.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prior to our initial public offering of our common stock, or IPO, which were issued in conjunction with credit facilities, as well as losses or gains on conversion of non-U.S. dollar transactions into U.S. dollars and foreign currency forward contracts.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have not recorded any U.S. federal or state income tax provision for any of the periods presented because we have experienced operating losses since inception. A provision for income taxes of $0.9 million and $0.7 million has been recognized for 2013 and 2012, respectively, related to our foreign operations. Due to the history of losses we have generated since inception, we have recorded a full valuation allowance on our net deferred tax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Statements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232,846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165,430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120,454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17,454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15,228</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57,781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2013, 2012 and 2011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60" w:type="dxa"/>
            <w:vAlign w:val="bottom"/>
          </w:tcPr>
          <w:p>
            <w:pPr>
              <w:spacing w:after="0"/>
              <w:rPr>
                <w:sz w:val="20"/>
                <w:szCs w:val="20"/>
                <w:color w:val="auto"/>
              </w:rPr>
            </w:pPr>
          </w:p>
        </w:tc>
        <w:tc>
          <w:tcPr>
            <w:tcW w:w="2360" w:type="dxa"/>
            <w:vAlign w:val="bottom"/>
            <w:gridSpan w:val="4"/>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46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percentages)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0" w:type="dxa"/>
            <w:vAlign w:val="bottom"/>
            <w:gridSpan w:val="5"/>
          </w:tcPr>
          <w:p>
            <w:pPr>
              <w:jc w:val="right"/>
              <w:ind w:right="522"/>
              <w:spacing w:after="0"/>
              <w:rPr>
                <w:sz w:val="20"/>
                <w:szCs w:val="20"/>
                <w:color w:val="auto"/>
              </w:rPr>
            </w:pPr>
            <w:r>
              <w:rPr>
                <w:rFonts w:ascii="Arial" w:cs="Arial" w:eastAsia="Arial" w:hAnsi="Arial"/>
                <w:sz w:val="14"/>
                <w:szCs w:val="14"/>
                <w:b w:val="1"/>
                <w:bCs w:val="1"/>
                <w:color w:val="auto"/>
                <w:w w:val="92"/>
              </w:rPr>
              <w:t>(In thousands, except percentages)</w:t>
            </w:r>
          </w:p>
        </w:tc>
        <w:tc>
          <w:tcPr>
            <w:tcW w:w="580" w:type="dxa"/>
            <w:vAlign w:val="bottom"/>
          </w:tcPr>
          <w:p>
            <w:pPr>
              <w:spacing w:after="0"/>
              <w:rPr>
                <w:sz w:val="21"/>
                <w:szCs w:val="21"/>
                <w:color w:val="auto"/>
              </w:rPr>
            </w:pPr>
          </w:p>
        </w:tc>
      </w:tr>
      <w:tr>
        <w:trPr>
          <w:trHeight w:val="24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   232,846</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216,678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16,168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  $</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216,678</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149,523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67,155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2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Net revenues increased by 7% to $232.8 million in 2013 compared to 2012. The increase in net revenues was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microinverter units shipped as well as a larger mix of microinverter accessories. The number of microinverter units sold increased by 8% from approximately 1,510,000 units in 2012, to approximately 1,625,000 units in 2013. Substantially all units shipped in both years consisted of our third generation product. During 2013, we continued to experience a decline in the average selling price of our microinverters. The decline in average selling price reflected, and was consistent with, recent trends in the solar industry.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b w:val="1"/>
          <w:bCs w:val="1"/>
          <w:i w:val="1"/>
          <w:iCs w:val="1"/>
          <w:color w:val="auto"/>
        </w:rPr>
        <w:t xml:space="preserve">2012 Compared to 2011. </w:t>
      </w:r>
      <w:r>
        <w:rPr>
          <w:rFonts w:ascii="Arial" w:cs="Arial" w:eastAsia="Arial" w:hAnsi="Arial"/>
          <w:sz w:val="18"/>
          <w:szCs w:val="18"/>
          <w:color w:val="auto"/>
        </w:rPr>
        <w:t>Net revenues increased by 45% to $216.7 million in 2012 compared to 2011. The increase in net revenues was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increase in microinverter units shipped. The number of microinverter units sold increased by 51% from approximately 1,002,000 units in 2011, to approximately 1,510,000 units in 2012.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 During 2012, we continued to experience a decline in the average selling price of our microinverters. The decline in average selling price reflected, and was consistent with, recent trends in the solar industry.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60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6"/>
                <w:szCs w:val="16"/>
                <w:color w:val="auto"/>
              </w:rPr>
            </w:pPr>
          </w:p>
        </w:tc>
      </w:tr>
      <w:tr>
        <w:trPr>
          <w:trHeight w:val="264"/>
        </w:trPr>
        <w:tc>
          <w:tcPr>
            <w:tcW w:w="23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250"/>
        </w:trPr>
        <w:tc>
          <w:tcPr>
            <w:tcW w:w="2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2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w w:val="90"/>
              </w:rPr>
              <w:t>(In thousands, except percentages)</w:t>
            </w:r>
          </w:p>
        </w:tc>
        <w:tc>
          <w:tcPr>
            <w:tcW w:w="580" w:type="dxa"/>
            <w:vAlign w:val="bottom"/>
          </w:tcPr>
          <w:p>
            <w:pPr>
              <w:spacing w:after="0"/>
              <w:rPr>
                <w:sz w:val="21"/>
                <w:szCs w:val="21"/>
                <w:color w:val="auto"/>
              </w:rPr>
            </w:pPr>
          </w:p>
        </w:tc>
      </w:tr>
      <w:tr>
        <w:trPr>
          <w:trHeight w:val="25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  165,430</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161,390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4,040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161,390</w:t>
            </w: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  120,454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40,936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67,416</w:t>
            </w:r>
          </w:p>
        </w:tc>
        <w:tc>
          <w:tcPr>
            <w:tcW w:w="380" w:type="dxa"/>
            <w:vAlign w:val="bottom"/>
          </w:tcPr>
          <w:p>
            <w:pPr>
              <w:spacing w:after="0"/>
              <w:rPr>
                <w:sz w:val="21"/>
                <w:szCs w:val="21"/>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55,288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99"/>
              <w:spacing w:after="0"/>
              <w:rPr>
                <w:sz w:val="20"/>
                <w:szCs w:val="20"/>
                <w:color w:val="auto"/>
              </w:rPr>
            </w:pPr>
            <w:r>
              <w:rPr>
                <w:rFonts w:ascii="Arial" w:cs="Arial" w:eastAsia="Arial" w:hAnsi="Arial"/>
                <w:sz w:val="18"/>
                <w:szCs w:val="18"/>
                <w:color w:val="auto"/>
              </w:rPr>
              <w:t>12,128</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55,288</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99"/>
              <w:spacing w:after="0"/>
              <w:rPr>
                <w:sz w:val="20"/>
                <w:szCs w:val="20"/>
                <w:color w:val="auto"/>
              </w:rPr>
            </w:pPr>
            <w:r>
              <w:rPr>
                <w:rFonts w:ascii="Arial" w:cs="Arial" w:eastAsia="Arial" w:hAnsi="Arial"/>
                <w:sz w:val="18"/>
                <w:szCs w:val="18"/>
                <w:color w:val="auto"/>
              </w:rPr>
              <w:t>26,219</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2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7"/>
        </w:trPr>
        <w:tc>
          <w:tcPr>
            <w:tcW w:w="2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b w:val="1"/>
          <w:bCs w:val="1"/>
          <w:i w:val="1"/>
          <w:iCs w:val="1"/>
          <w:color w:val="auto"/>
        </w:rPr>
        <w:t xml:space="preserve">2013 Compared to 2012. </w:t>
      </w:r>
      <w:r>
        <w:rPr>
          <w:rFonts w:ascii="Arial" w:cs="Arial" w:eastAsia="Arial" w:hAnsi="Arial"/>
          <w:sz w:val="17"/>
          <w:szCs w:val="17"/>
          <w:color w:val="auto"/>
        </w:rPr>
        <w:t>Cost of revenues increased by 3% in 2013, as compared to 2012, while net revenues increased by 7%. The increase in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was primarily due to an increase in the number of microinverter units sold to customers, consistent with the overall increase in net revenues as described above. Gross margin increased by 3.5 percentage points to 29.0% in 2013, as compared to 25.5% in 2012, primarily due to a lower cost per microinverter unit and larger mix of sales from microinverter accessories. While our third generation product represented substantially all of 2013 and 2012 sales, we were able to achieve lower per unit costs in 2013, as compared to 2012, due to production efficiencies gained through experience with the manufacturing process, which had a favorable impact on gross margin. Costs of revenues in 2013 and 2012 included warranty expense of $10.3 million and $7.6 million, respectively, resulting from net changes in estimates, which reduced gross margin by approximately 4.4 and 3.5 percentage points, respectively. See Note 5 to the Consolidated Financial Statements.</w:t>
      </w:r>
    </w:p>
    <w:p>
      <w:pPr>
        <w:spacing w:after="0" w:line="179"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b w:val="1"/>
          <w:bCs w:val="1"/>
          <w:i w:val="1"/>
          <w:iCs w:val="1"/>
          <w:color w:val="auto"/>
        </w:rPr>
        <w:t xml:space="preserve">2012 Compared to 2011. </w:t>
      </w:r>
      <w:r>
        <w:rPr>
          <w:rFonts w:ascii="Arial" w:cs="Arial" w:eastAsia="Arial" w:hAnsi="Arial"/>
          <w:sz w:val="17"/>
          <w:szCs w:val="17"/>
          <w:color w:val="auto"/>
        </w:rPr>
        <w:t>Cost of revenues increased by 34% in 2012, as compared to 2011. The increase in cost of revenues was primarily due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the number of microinverter units sold to customers, consistent with the overall increase in net revenues as described above. Gross margin increased by 6.1 percentage points to 25.5% in 2012, as compared to 19.4% in 2011. The increase was primarily driven by a 8 percentage point increase from a larger mix of our higher-margin third generation microinverter, which has a lower per unit manufacturing cost than our second generation microinverter. The lower per unit cost was achieved primarily through design enhancements, which resulted in a higher level of semiconductor integration, and improved efficiencies on increased production volume. In addition, gross margin improved by 2 percentage points in 2012 as a result of a reduction in usage of expedited air-freight for finished goods due to improvements in delivery scheduling. These increases were partially offset by a 4 percentage point reduction to gross margin due to a net increase in warranty expense primarily attributable to changes in estimates to warranty obligations associated with our previous generation products. See Note 5 to the Consolidated Financial Statements.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80" w:type="dxa"/>
            <w:vAlign w:val="bottom"/>
            <w:gridSpan w:val="5"/>
          </w:tcPr>
          <w:p>
            <w:pPr>
              <w:jc w:val="right"/>
              <w:ind w:right="462"/>
              <w:spacing w:after="0"/>
              <w:rPr>
                <w:sz w:val="20"/>
                <w:szCs w:val="20"/>
                <w:color w:val="auto"/>
              </w:rPr>
            </w:pPr>
            <w:r>
              <w:rPr>
                <w:rFonts w:ascii="Arial" w:cs="Arial" w:eastAsia="Arial" w:hAnsi="Arial"/>
                <w:sz w:val="14"/>
                <w:szCs w:val="14"/>
                <w:b w:val="1"/>
                <w:bCs w:val="1"/>
                <w:color w:val="auto"/>
                <w:w w:val="90"/>
              </w:rPr>
              <w:t>(In thousands, except percentages)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60" w:type="dxa"/>
            <w:vAlign w:val="bottom"/>
            <w:gridSpan w:val="5"/>
          </w:tcPr>
          <w:p>
            <w:pPr>
              <w:jc w:val="right"/>
              <w:ind w:right="462"/>
              <w:spacing w:after="0"/>
              <w:rPr>
                <w:sz w:val="20"/>
                <w:szCs w:val="20"/>
                <w:color w:val="auto"/>
              </w:rPr>
            </w:pPr>
            <w:r>
              <w:rPr>
                <w:rFonts w:ascii="Arial" w:cs="Arial" w:eastAsia="Arial" w:hAnsi="Arial"/>
                <w:sz w:val="14"/>
                <w:szCs w:val="14"/>
                <w:b w:val="1"/>
                <w:bCs w:val="1"/>
                <w:color w:val="auto"/>
                <w:w w:val="89"/>
              </w:rPr>
              <w:t>(In thousands, except percentages)</w:t>
            </w:r>
          </w:p>
        </w:tc>
        <w:tc>
          <w:tcPr>
            <w:tcW w:w="560" w:type="dxa"/>
            <w:vAlign w:val="bottom"/>
          </w:tcPr>
          <w:p>
            <w:pPr>
              <w:spacing w:after="0"/>
              <w:rPr>
                <w:sz w:val="21"/>
                <w:szCs w:val="21"/>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34,524</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35,601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(1,077)</w:t>
            </w: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35,601</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25,099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10,502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Research and development expenses decreased by $1.1 million in 2013 as compared to 2012, primarily due to a $1.6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outside contract services, offset by a $0.3 million increase in depreciation and amortization related to research and development equipment and a $0.2 million increase in personnel-related costs.</w:t>
      </w:r>
    </w:p>
    <w:p>
      <w:pPr>
        <w:spacing w:after="0" w:line="12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b w:val="1"/>
          <w:bCs w:val="1"/>
          <w:i w:val="1"/>
          <w:iCs w:val="1"/>
          <w:color w:val="auto"/>
        </w:rPr>
        <w:t xml:space="preserve">2012 Compared to 2011. </w:t>
      </w:r>
      <w:r>
        <w:rPr>
          <w:rFonts w:ascii="Arial" w:cs="Arial" w:eastAsia="Arial" w:hAnsi="Arial"/>
          <w:sz w:val="18"/>
          <w:szCs w:val="18"/>
          <w:color w:val="auto"/>
        </w:rPr>
        <w:t>Research and development expenses increased by $10.5 million in 2012 as compared to 2011, primarily due to a $7.8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personnel-related costs as a result of increases in research and development headcount. The increase in headcount reflects our continuing investment in enhancements of existing products, as well as efforts to bring new products to market. In addition, the use of outside services for the development of new products and depreciation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amortization related to research and development equipment increased by $1.6 million and $1.0 million, respectively, as compared to 2011.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8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31,080</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25,973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5,107</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25,973</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17,454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8,519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Sales and marketing expenses increased by $5.1 million in 2013 as compared to 2012, primarily due to increases in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headcount and operations in domestic and international markets. Personnel-related costs increased by $4.0 million, which included a $0.6 million increase in non-cash stock-based compensation. Costs associated with establishing our presence in Australia contributed an additional $1.8 million to the increase in 2013. The increase was partially offset by a decrease in marketing expenses primarily attributable to lower expenditures on trade shows of $0.6 million.</w:t>
      </w:r>
    </w:p>
    <w:p>
      <w:pPr>
        <w:spacing w:after="0" w:line="134"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2012 Compared to 2011. </w:t>
      </w:r>
      <w:r>
        <w:rPr>
          <w:rFonts w:ascii="Arial" w:cs="Arial" w:eastAsia="Arial" w:hAnsi="Arial"/>
          <w:sz w:val="18"/>
          <w:szCs w:val="18"/>
          <w:color w:val="auto"/>
        </w:rPr>
        <w:t>Sales and marketing expenses increased by $8.5 million in 2012 as compared to 2011, primarily due to increases in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headcount to support higher sales volumes and international expansion. Personnel-related costs increased by $6.5 million, which included a $2.4 million increase due to additions in sales and marketing headcount for international locations. Costs related to trade shows, the use of outside services and facilities related costs contributed an additional $1.0 million to the increase in 2012. In addition, bad debt expense increased by $0.9 million in 2012 as compared to 2011.</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80" w:type="dxa"/>
            <w:vAlign w:val="bottom"/>
            <w:gridSpan w:val="5"/>
          </w:tcPr>
          <w:p>
            <w:pPr>
              <w:jc w:val="right"/>
              <w:ind w:right="462"/>
              <w:spacing w:after="0"/>
              <w:rPr>
                <w:sz w:val="20"/>
                <w:szCs w:val="20"/>
                <w:color w:val="auto"/>
              </w:rPr>
            </w:pPr>
            <w:r>
              <w:rPr>
                <w:rFonts w:ascii="Arial" w:cs="Arial" w:eastAsia="Arial" w:hAnsi="Arial"/>
                <w:sz w:val="14"/>
                <w:szCs w:val="14"/>
                <w:b w:val="1"/>
                <w:bCs w:val="1"/>
                <w:color w:val="auto"/>
                <w:w w:val="90"/>
              </w:rPr>
              <w:t>(In thousands, except percentages)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23,970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24,875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(905)</w:t>
            </w: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24,875</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15,228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9,647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520" w:firstLine="446"/>
        <w:spacing w:after="0" w:line="264"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General and administrative expenses decreased by $0.9 million in 2013 as compared to 2012,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use of outside consultants and professional services. The decrease in general and administrative expenditures reflected our ongoing expense management measures.</w:t>
      </w:r>
    </w:p>
    <w:p>
      <w:pPr>
        <w:spacing w:after="0" w:line="12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b w:val="1"/>
          <w:bCs w:val="1"/>
          <w:i w:val="1"/>
          <w:iCs w:val="1"/>
          <w:color w:val="auto"/>
        </w:rPr>
        <w:t xml:space="preserve">2012 Compared to 2011. </w:t>
      </w:r>
      <w:r>
        <w:rPr>
          <w:rFonts w:ascii="Arial" w:cs="Arial" w:eastAsia="Arial" w:hAnsi="Arial"/>
          <w:sz w:val="16"/>
          <w:szCs w:val="16"/>
          <w:color w:val="auto"/>
        </w:rPr>
        <w:t>General and administrative expenses increased by $9.6 million in 2012 as compared to 2011, primarily due to a $3.6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personnel-related costs as a result of increases in general and administrative headcount and a $2.8 million increase in accounting, legal and other professional services incurred to assist us with building an infrastructure to support operating as a public company. In addition, depreciation and amortization and facilities costs contributed $2.4 million to the increase due to increased capital expenditures and facilities costs incurred to support our increased headcount and growth of our business. The remaining $0.8 million of the increase was attributable to insurance and other corporate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6"/>
                <w:szCs w:val="16"/>
                <w:color w:val="auto"/>
              </w:rPr>
            </w:pPr>
          </w:p>
        </w:tc>
      </w:tr>
      <w:tr>
        <w:trPr>
          <w:trHeight w:val="264"/>
        </w:trPr>
        <w:tc>
          <w:tcPr>
            <w:tcW w:w="27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0" w:type="dxa"/>
            <w:vAlign w:val="bottom"/>
            <w:gridSpan w:val="5"/>
          </w:tcPr>
          <w:p>
            <w:pPr>
              <w:jc w:val="right"/>
              <w:ind w:right="362"/>
              <w:spacing w:after="0"/>
              <w:rPr>
                <w:sz w:val="20"/>
                <w:szCs w:val="20"/>
                <w:color w:val="auto"/>
              </w:rPr>
            </w:pPr>
            <w:r>
              <w:rPr>
                <w:rFonts w:ascii="Arial" w:cs="Arial" w:eastAsia="Arial" w:hAnsi="Arial"/>
                <w:sz w:val="14"/>
                <w:szCs w:val="14"/>
                <w:b w:val="1"/>
                <w:bCs w:val="1"/>
                <w:color w:val="auto"/>
                <w:w w:val="91"/>
              </w:rPr>
              <w:t>(In thousands, except percentages)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0" w:type="dxa"/>
            <w:vAlign w:val="bottom"/>
            <w:gridSpan w:val="5"/>
          </w:tcPr>
          <w:p>
            <w:pPr>
              <w:jc w:val="right"/>
              <w:ind w:right="36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r>
      <w:tr>
        <w:trPr>
          <w:trHeight w:val="24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3,514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(2,828)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2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500" w:firstLine="446"/>
        <w:spacing w:after="0" w:line="286" w:lineRule="auto"/>
        <w:rPr>
          <w:sz w:val="20"/>
          <w:szCs w:val="20"/>
          <w:color w:val="auto"/>
        </w:rPr>
      </w:pPr>
      <w:r>
        <w:rPr>
          <w:rFonts w:ascii="Arial" w:cs="Arial" w:eastAsia="Arial" w:hAnsi="Arial"/>
          <w:sz w:val="17"/>
          <w:szCs w:val="17"/>
          <w:b w:val="1"/>
          <w:bCs w:val="1"/>
          <w:i w:val="1"/>
          <w:iCs w:val="1"/>
          <w:color w:val="auto"/>
        </w:rPr>
        <w:t xml:space="preserve">2013 Compared to 2012. </w:t>
      </w:r>
      <w:r>
        <w:rPr>
          <w:rFonts w:ascii="Arial" w:cs="Arial" w:eastAsia="Arial" w:hAnsi="Arial"/>
          <w:sz w:val="17"/>
          <w:szCs w:val="17"/>
          <w:color w:val="auto"/>
        </w:rPr>
        <w:t>Other expense decreased by $3.5 million in 2013 as compared to 2012. The decrease was primarily attributable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 million charge recorded as interest expense in 2012 upon conversion of our convertible facility at our IPO. In addition, interest expense related to outstanding debt balances was lower in 2013, as compared to 2012, due to lower average debt levels.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1" w:right="3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20" w:firstLine="446"/>
        <w:spacing w:after="0" w:line="288" w:lineRule="auto"/>
        <w:rPr>
          <w:sz w:val="20"/>
          <w:szCs w:val="20"/>
          <w:color w:val="auto"/>
        </w:rPr>
      </w:pPr>
      <w:r>
        <w:rPr>
          <w:rFonts w:ascii="Arial" w:cs="Arial" w:eastAsia="Arial" w:hAnsi="Arial"/>
          <w:sz w:val="16"/>
          <w:szCs w:val="16"/>
          <w:b w:val="1"/>
          <w:bCs w:val="1"/>
          <w:i w:val="1"/>
          <w:iCs w:val="1"/>
          <w:color w:val="auto"/>
        </w:rPr>
        <w:t xml:space="preserve">2012 Compared to 2011. </w:t>
      </w:r>
      <w:r>
        <w:rPr>
          <w:rFonts w:ascii="Arial" w:cs="Arial" w:eastAsia="Arial" w:hAnsi="Arial"/>
          <w:sz w:val="16"/>
          <w:szCs w:val="16"/>
          <w:color w:val="auto"/>
        </w:rPr>
        <w:t>Other expense increased by $2.8 million in 2012 as compared to 2011. The increase was attributable to a $3.4 million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interest expense, of which $2.8 million was from write-offs of unamortized debt issuance costs and debt discount as a result of the early extinguishment of convertible debt and term loans and the termination of a revolving line of credit. In addition, foreign currency losses contributed $0.4 million to the increase.</w:t>
      </w:r>
    </w:p>
    <w:p>
      <w:pPr>
        <w:spacing w:after="0" w:line="261" w:lineRule="auto"/>
        <w:rPr>
          <w:sz w:val="20"/>
          <w:szCs w:val="20"/>
          <w:color w:val="auto"/>
        </w:rPr>
      </w:pPr>
      <w:r>
        <w:rPr>
          <w:rFonts w:ascii="Arial" w:cs="Arial" w:eastAsia="Arial" w:hAnsi="Arial"/>
          <w:sz w:val="18"/>
          <w:szCs w:val="18"/>
          <w:color w:val="auto"/>
        </w:rPr>
        <w:t>The increases were partially offset by a $0.8 million decrease in the fair value of our convertible preferred stock warrant prior to the liability being reclassified as equity upon our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Prior to our IPO in April 2012, we funded our operations primarily through private placements of convertible preferred stock and convertible notes, and proceeds from term loans. On April 4, 2012, we completed our IPO, in which we issued and sold 10,315,151 shares of our common stock and received net proceeds of approximately $53.8 million. As of December 31, 2013, we had $38.2 million in cash and cash equivalents, which are held primarily in general checking accounts, and $57.1 million in working capital. Substantially all of our cash and cash equivalents are held in the United States, with the remainder held in various foreign subsidiaries.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(6,257)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(14,662)</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51,436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26,482</w:t>
            </w:r>
          </w:p>
        </w:tc>
      </w:tr>
      <w:tr>
        <w:trPr>
          <w:trHeight w:val="27"/>
        </w:trPr>
        <w:tc>
          <w:tcPr>
            <w:tcW w:w="6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320" w:firstLine="446"/>
        <w:spacing w:after="0" w:line="312" w:lineRule="auto"/>
        <w:rPr>
          <w:sz w:val="20"/>
          <w:szCs w:val="20"/>
          <w:color w:val="auto"/>
        </w:rPr>
      </w:pPr>
      <w:r>
        <w:rPr>
          <w:rFonts w:ascii="Arial" w:cs="Arial" w:eastAsia="Arial" w:hAnsi="Arial"/>
          <w:sz w:val="16"/>
          <w:szCs w:val="16"/>
          <w:color w:val="auto"/>
        </w:rPr>
        <w:t>We have experienced negative operating cash flows as we invested significant resources to develop new product offerings and focused on critical research and development activities required to reduce product costs, increase performance and foster innovation. In addition, we used cash to expand our operations into new product markets and geographies and invested in our operational infrastructure to support the growth of our business.</w:t>
      </w:r>
    </w:p>
    <w:p>
      <w:pPr>
        <w:spacing w:after="0" w:line="12"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For 2013, net cash used in operating activities was $0.9 million. Our net loss of $25.9 million was substantially offset by non-cash charges and net changes in operating assets and liabilities. Non-cash items included $7.0 million of depreciation and amortization, $6.9 million of stock-based compensation, a provision for doubtful accounts of $0.7 million and $0.4 million of non-cash interest expense. In addition, cash provided by net changes in operating assets and liabilities was 10.0 million.</w:t>
      </w:r>
    </w:p>
    <w:p>
      <w:pPr>
        <w:spacing w:after="0" w:line="52"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Sources of cash totaled $16.4 million resulting from an increase of $7.6 million in accounts payable, accrued liabilities and warranty obligations, an increase of $5.6 million in deferred revenues and a $3.2 million decrease from lower inventory levels. The $7.6 million increase in accounts payable, accrued liabilities and warranty obligations was primarily attributable to a $9.1 million increase in warranty obligations, partially offset by a reduction in accounts payable and accrued liabilities corresponding with reduced inventory purchases. The increase in deferred revenue of $5.6 million relates to our Enlighten web-based monitoring service revenues. The decrease in inventories was the result of improved working capital management. Uses of cash included a $5.0 million increase in accounts receivable and a $1.4 million increase in prepaid expenses and other assets. The increase in accounts receivable was primarily due to higher sales in the fourth quarter of 2013 as compared to the same period in 2012.</w:t>
      </w:r>
    </w:p>
    <w:p>
      <w:pPr>
        <w:spacing w:after="0" w:line="43"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For 2012, net cash used in operating activities was $44.6 million primarily resulting from a net loss of $38.2 million. The net loss was partially offset by non-cash items including, depreciation and amortization of $5.6 million, stock-based compensation of $4.8 million and interest expense of $4.8 million. In addition, the effect of changes in net operating assets and liabilities resulted in the use of cash totaling $22.2 million.</w:t>
      </w:r>
    </w:p>
    <w:p>
      <w:pPr>
        <w:spacing w:after="0" w:line="46" w:lineRule="exact"/>
        <w:rPr>
          <w:sz w:val="20"/>
          <w:szCs w:val="20"/>
          <w:color w:val="auto"/>
        </w:rPr>
      </w:pPr>
    </w:p>
    <w:p>
      <w:pPr>
        <w:ind w:right="120" w:firstLine="446"/>
        <w:spacing w:after="0" w:line="297" w:lineRule="auto"/>
        <w:rPr>
          <w:sz w:val="20"/>
          <w:szCs w:val="20"/>
          <w:color w:val="auto"/>
        </w:rPr>
      </w:pPr>
      <w:r>
        <w:rPr>
          <w:rFonts w:ascii="Arial" w:cs="Arial" w:eastAsia="Arial" w:hAnsi="Arial"/>
          <w:sz w:val="16"/>
          <w:szCs w:val="16"/>
          <w:color w:val="auto"/>
        </w:rPr>
        <w:t>The primary use of cash from changes in net operating assets and liabilities in 2012 was attributable to an $18.6 million decrease in deferred revenues, which was primarily due to shipments of products during 2012 for which upfront payments of $23.0 million were received from customers in December 2011, as discussed below. In addition, other uses of cash from changes in net operating assets and liabilities included an $11.0 million increase in accounts receivable and an $8.6 million increase in inventory-related purchases, both consistent with the overall growth of our business in 2012 as compared to 2011. Offsetting these uses of cash was an increase in accounts payable of $16.8 million, which was also driven by the growth of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For 2011, notwithstanding a net loss of $32.3 million, net cash used in operating activities was $0.4 million, primarily due to a $25.4 million increase in deferred revenues. In December 2011, we entered into several agreements to sell microinverters to customers, with product delivery in 2012. These agreements were due, in part, to the anticipated expiration of certain government incentives for investments in renewable energy projects on December 31, 2011. Prior to December 31, 2011, we received $29.4 million in cash in advance from these customers, of which $6.4 million and $23.0 million were recorded as revenues and deferred revenues, respectively. Our net loss included non-cash charges in the form of depreciation and amortization of $3.0 million, stock-based compensation of $2.1 million and non-cash interest expense of $1.8 million related to the amortization of debt discounts and deferred financing costs. Changes in working capital items other than deferred revenues used $1.0 million of operating cash flow and consisted of increases in accounts receivable, inventory and prepaid and other assets offset by increases in accounts payable, accrued liabilities and warranty obligations.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primarily relates to capital expenditures to support our growth.</w:t>
      </w:r>
    </w:p>
    <w:p>
      <w:pPr>
        <w:spacing w:after="0" w:line="171"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For 2013, net cash used in investing activities of $6.3 million included purchases of test and assembly equipment and the development of software for internal use.</w:t>
      </w:r>
    </w:p>
    <w:p>
      <w:pPr>
        <w:spacing w:after="0" w:line="116"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For 2012, net cash used in investing activities of $13.0 million included purchases of test equipment and expenditures on leasehold improvements and furniture and fixtures in connection with our relocation to a new headquarter facility.</w:t>
      </w:r>
    </w:p>
    <w:p>
      <w:pPr>
        <w:spacing w:after="0" w:line="116" w:lineRule="exact"/>
        <w:rPr>
          <w:sz w:val="20"/>
          <w:szCs w:val="20"/>
          <w:color w:val="auto"/>
        </w:rPr>
      </w:pPr>
    </w:p>
    <w:p>
      <w:pPr>
        <w:ind w:left="440" w:right="180" w:firstLine="14"/>
        <w:spacing w:after="0" w:line="438" w:lineRule="auto"/>
        <w:rPr>
          <w:sz w:val="20"/>
          <w:szCs w:val="20"/>
          <w:color w:val="auto"/>
        </w:rPr>
      </w:pPr>
      <w:r>
        <w:rPr>
          <w:rFonts w:ascii="Arial" w:cs="Arial" w:eastAsia="Arial" w:hAnsi="Arial"/>
          <w:sz w:val="18"/>
          <w:szCs w:val="18"/>
          <w:color w:val="auto"/>
        </w:rPr>
        <w:t xml:space="preserve">For 2011, net cash used in investing activities of $14.7 million included purchases of test equipment and the development of software for internal use. </w:t>
      </w:r>
      <w:r>
        <w:rPr>
          <w:rFonts w:ascii="Arial" w:cs="Arial" w:eastAsia="Arial" w:hAnsi="Arial"/>
          <w:sz w:val="18"/>
          <w:szCs w:val="18"/>
          <w:b w:val="1"/>
          <w:bCs w:val="1"/>
          <w:i w:val="1"/>
          <w:iCs w:val="1"/>
          <w:color w:val="auto"/>
        </w:rPr>
        <w:t>Net Cash Provided by Financing Activities</w:t>
      </w:r>
    </w:p>
    <w:p>
      <w:pPr>
        <w:spacing w:after="0" w:line="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For 2013, net cash used by financing activities was insignificant. Cash received from common stock issuance pursuant to our equity incentive plans was $2.4 million. These inflows of cash were offset by principal repayments of term loans of $2.4 million.</w:t>
      </w:r>
    </w:p>
    <w:p>
      <w:pPr>
        <w:spacing w:after="0" w:line="116"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For 2012, net cash provided by financing activities primarily consisted of net proceeds of $56.4 million received from our IPO, after deducting underwriting discounts and commissions and other offering costs paid during 2012. Cash used in financing activities consisted of $14.1 million in principal repayments of term loans and $1.0 million in financing costs associated with entering into new credit facilities in November 2012. This was partially offset by $10.0 million in proceeds from term loan borrowings.</w:t>
      </w:r>
    </w:p>
    <w:p>
      <w:pPr>
        <w:spacing w:after="0" w:line="119"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For 2011, net cash provided by financing activities consisted of $19.7 million in net proceeds received from the issuance of our convertible notes, $9.3 million in net proceeds from an equipment financing facility and term loans, and $1.9 million from the sale of common stock partially offset by $2.6 million in direct costs incurred in connection with the preparation of our registration statement and $2.0 million related to payments on our term loans and capital lease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5" w:lineRule="exact"/>
        <w:rPr>
          <w:sz w:val="20"/>
          <w:szCs w:val="20"/>
          <w:color w:val="auto"/>
        </w:rPr>
      </w:pPr>
    </w:p>
    <w:p>
      <w:pPr>
        <w:ind w:right="620" w:firstLine="446"/>
        <w:spacing w:after="0" w:line="277" w:lineRule="auto"/>
        <w:rPr>
          <w:sz w:val="20"/>
          <w:szCs w:val="20"/>
          <w:color w:val="auto"/>
        </w:rPr>
      </w:pPr>
      <w:r>
        <w:rPr>
          <w:rFonts w:ascii="Arial" w:cs="Arial" w:eastAsia="Arial" w:hAnsi="Arial"/>
          <w:sz w:val="18"/>
          <w:szCs w:val="18"/>
          <w:color w:val="auto"/>
        </w:rPr>
        <w:t>Our debt obligations are summarized below. As of December 31, 2013, we were in compliance with all required financial covenants of our debt facilities.</w:t>
      </w:r>
    </w:p>
    <w:p>
      <w:pPr>
        <w:spacing w:after="0" w:line="112" w:lineRule="exact"/>
        <w:rPr>
          <w:sz w:val="20"/>
          <w:szCs w:val="20"/>
          <w:color w:val="auto"/>
        </w:rPr>
      </w:pPr>
    </w:p>
    <w:p>
      <w:pPr>
        <w:ind w:right="80" w:firstLine="446"/>
        <w:spacing w:after="0" w:line="269" w:lineRule="auto"/>
        <w:rPr>
          <w:sz w:val="20"/>
          <w:szCs w:val="20"/>
          <w:color w:val="auto"/>
        </w:rPr>
      </w:pPr>
      <w:r>
        <w:rPr>
          <w:rFonts w:ascii="Arial" w:cs="Arial" w:eastAsia="Arial" w:hAnsi="Arial"/>
          <w:sz w:val="17"/>
          <w:szCs w:val="17"/>
          <w:b w:val="1"/>
          <w:bCs w:val="1"/>
          <w:color w:val="auto"/>
        </w:rPr>
        <w:t>Revolving Credit Facility—</w:t>
      </w:r>
      <w:r>
        <w:rPr>
          <w:rFonts w:ascii="Arial" w:cs="Arial" w:eastAsia="Arial" w:hAnsi="Arial"/>
          <w:sz w:val="17"/>
          <w:szCs w:val="17"/>
          <w:color w:val="auto"/>
        </w:rPr>
        <w:t>We have a $50.0 million revolving credit facility (the “Revolver”) with Wells Fargo Bank, N.A. (“Wells Fargo”), which</w:t>
      </w:r>
      <w:r>
        <w:rPr>
          <w:rFonts w:ascii="Arial" w:cs="Arial" w:eastAsia="Arial" w:hAnsi="Arial"/>
          <w:sz w:val="17"/>
          <w:szCs w:val="17"/>
          <w:b w:val="1"/>
          <w:bCs w:val="1"/>
          <w:color w:val="auto"/>
        </w:rPr>
        <w:t xml:space="preserve"> </w:t>
      </w:r>
      <w:r>
        <w:rPr>
          <w:rFonts w:ascii="Arial" w:cs="Arial" w:eastAsia="Arial" w:hAnsi="Arial"/>
          <w:sz w:val="17"/>
          <w:szCs w:val="17"/>
          <w:color w:val="auto"/>
        </w:rPr>
        <w:t>had a maturity date of November 7, 2015. On February 14, 2014, we entered into an amendment which granted an automatic extension of the maturity date from November 7, 2015 to November 7, 2016, provided we have not borrowed any amounts under the Additional Term Loans made available by Hercules Technology Growth Capital, Inc. ("Hercules") as described below, or otherwise restructure the Additional Term Loans to the satisfaction of Wells Fargo. The amount of loans available to be drawn under the Revolver is subject to a borrowing base calculation that limits availability to a percentage of eligible domestic accounts receivable plus a percentage of the value of eligible domestic inventory, less certain reserves. Wells Fargo and Hercules are parties to an intercreditor agreement, pursuant to which Hercules has a first lien on certain of our assets and a second priority on our other assets. Subject to the intercreditor agreement, loans under the Revolver are secured by a pledge of substantially all of our assets other than intellectual property. Loans under the Revolver bear interest in cash at an annual rate equal to, at our option, either LIBOR or a “base rate” that is comprised of, among other things, the prime rate, plus a margin that is between 1.5% and 4.25% depending on the currency borrowed and the specific term of repayment. The Revolver contains customary affirmative and negative covenants and events of default, and requires us to maintain at least $15.0 million of liquidity at all times, of which at least $8.0 million ($5.0 million in the case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maturity date is November 7, 2016) must be undrawn availability. To date, we have not drawn on the Revolver and approximately $22.4 million was available for borrowing as of December 31, 2013 based on eligible accounts receivable and inventory balances pursuant to the agreement.</w:t>
      </w:r>
    </w:p>
    <w:p>
      <w:pPr>
        <w:spacing w:after="0" w:line="89"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b w:val="1"/>
          <w:bCs w:val="1"/>
          <w:color w:val="auto"/>
        </w:rPr>
        <w:t>Term Loans</w:t>
      </w:r>
      <w:r>
        <w:rPr>
          <w:rFonts w:ascii="Arial" w:cs="Arial" w:eastAsia="Arial" w:hAnsi="Arial"/>
          <w:sz w:val="17"/>
          <w:szCs w:val="17"/>
          <w:color w:val="auto"/>
        </w:rPr>
        <w:t>—We have a loan and security agreement with Hercules, pursuant to which we borrowed $7.4 million (the "Initial Term Loan").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we may borrow an additional $15.6 million in term loans (the "Additional Term Loans"), which must be drawn, if at all, not later than March 31, 2014. To date, we have not, and do not intend to borrow any Additional Term Loans prior to its impending expiration on March 31, 2014 as we believe the amounts available under the Revolver expiring in November 2015 (or November 2016 provided we do not borrow any amounts under the Additional Term Loans) will be sufficient to meet our liquidity needs through fiscal 2014. We used the proceeds of the Initial Term Loan to replenish cash on hand, which had previously been used to repay the approximately $7.5 million in other outstanding term loans. Loans under the Hercules facility bear interest at an annual rate equal to the higher of (i) the prime rate plus 8.25% or (b) 11.5%. All loans under the Hercules facility will mature on August 1, 2016. Interest is payable in cash on a monthly basis, and the loans will amortize in equal monthly installments commencing on March 1, 2014 for the Initial Term Loan. In addition, the facility includes a $0.6 million end of term charge due on August 1, 2016. Prepayments of loans under the facility are subject to early payment penalties. Loans under the Hercules facility are secured by a pledge of substantially all of our assets other than intellectual property. The Hercules facility does not include any financial covenants. As of December 31, 2013, the outstanding principal balance under the Term Loans was $7.4 million, which solely relates to borrowings under the Initial Term Loan.</w:t>
      </w:r>
    </w:p>
    <w:p>
      <w:pPr>
        <w:spacing w:after="0" w:line="58" w:lineRule="exact"/>
        <w:rPr>
          <w:sz w:val="20"/>
          <w:szCs w:val="20"/>
          <w:color w:val="auto"/>
        </w:rPr>
      </w:pPr>
    </w:p>
    <w:p>
      <w:pPr>
        <w:ind w:right="120" w:firstLine="446"/>
        <w:spacing w:after="0" w:line="261" w:lineRule="auto"/>
        <w:rPr>
          <w:sz w:val="20"/>
          <w:szCs w:val="20"/>
          <w:color w:val="auto"/>
        </w:rPr>
      </w:pPr>
      <w:r>
        <w:rPr>
          <w:rFonts w:ascii="Arial" w:cs="Arial" w:eastAsia="Arial" w:hAnsi="Arial"/>
          <w:sz w:val="18"/>
          <w:szCs w:val="18"/>
          <w:b w:val="1"/>
          <w:bCs w:val="1"/>
          <w:color w:val="auto"/>
        </w:rPr>
        <w:t>Equipment Financing Facility—</w:t>
      </w:r>
      <w:r>
        <w:rPr>
          <w:rFonts w:ascii="Arial" w:cs="Arial" w:eastAsia="Arial" w:hAnsi="Arial"/>
          <w:sz w:val="18"/>
          <w:szCs w:val="18"/>
          <w:color w:val="auto"/>
        </w:rPr>
        <w:t>The Company has an equipment financing facility with Hercules. The equipment financing facility has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set at the higher of 5.75% above the prime lending rate and 9.0% annually and expires July 1, 2014. This facility is secured by the financed equipment and restricts our ability to pay dividends and take on certain types of additional liens. As of December 31, 2013, the outstanding principal balance under the equipment financing facility was $1.3 million.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71"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Our future capital requirements may vary materially in the future and will depend on many factors, including, but not limited to, our rate of revenue growth, the expansion of our sales and marketing activities and the timing and extent of spending to support product development efforts and other costs necessary to support our strategy.</w:t>
      </w:r>
    </w:p>
    <w:p>
      <w:pPr>
        <w:spacing w:after="0" w:line="46"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We believe our current cash and cash equivalents of $38.2 million as of December 31, 2013, together with borrowings expected to be available under our Revolver with Wells Fargo, will be adequate to fund our debt obligations as well as our planned capital expenditures and working capital requirements over the next 12 months.</w:t>
      </w:r>
    </w:p>
    <w:p>
      <w:pPr>
        <w:spacing w:after="0" w:line="46"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If additional sources of liquidity were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outstanding contractual obligations as of December 31,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6"/>
        </w:trPr>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Less Than 1 Year</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1-3 Years</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4-5 Years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More Than 5 Years</w:t>
            </w:r>
          </w:p>
        </w:tc>
      </w:tr>
      <w:tr>
        <w:trPr>
          <w:trHeight w:val="250"/>
        </w:trPr>
        <w:tc>
          <w:tcPr>
            <w:tcW w:w="2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Interest payments on term loans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5,756</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w w:val="95"/>
              </w:rPr>
              <w:t>Purchase commitments under agreements (1)</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87,551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34,622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112,268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44,418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5,756</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2" w:lineRule="exact"/>
        <w:rPr>
          <w:sz w:val="20"/>
          <w:szCs w:val="20"/>
          <w:color w:val="auto"/>
        </w:rPr>
      </w:pPr>
    </w:p>
    <w:p>
      <w:pPr>
        <w:ind w:left="500" w:right="46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amounts associated with our contract manufacturers that are non-cancelable. Such purchase commitments are based on our forecasted manufacturing requirements and typically provide for fulfillment within agreed upon lead-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500" w:right="160"/>
        <w:spacing w:after="0" w:line="329" w:lineRule="auto"/>
        <w:rPr>
          <w:sz w:val="20"/>
          <w:szCs w:val="20"/>
          <w:color w:val="auto"/>
        </w:rPr>
      </w:pPr>
      <w:r>
        <w:rPr>
          <w:rFonts w:ascii="Arial" w:cs="Arial" w:eastAsia="Arial" w:hAnsi="Arial"/>
          <w:sz w:val="17"/>
          <w:szCs w:val="17"/>
          <w:color w:val="auto"/>
        </w:rPr>
        <w:t>times and/or commercially standard lead-times for the particular part or product. The timing and amount of payments represent our best estimate and may change due to changing business needs and other factors. Certain agreements specify future quantities and pricing of products to be supplied by our contract manufacturers for periods up to seven years. Of the $87.6 million included in purchase commitments, $72.5 million are cancelable; however if canceled, the agreement requires us to pay cancellation penalties of up to $5.6 million.</w:t>
      </w:r>
    </w:p>
    <w:p>
      <w:pPr>
        <w:spacing w:after="0" w:line="90"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As of December 31, 2013, the liability recorded for uncertain tax positions, including associated interest and penalties, was approximately $0.4 million. Since the ultimate amount and timing of cash settlements cannot be predicted due to the high degree of uncertainty, liabilities for uncertain tax positions are excluded from the contractual obligations table (see Note 11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4"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U.S., or GAAP. Note 2 to our consolidated financial statements describes the significant accounting policies and methods used in the preparation of our consolidated financial statements, which requires management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materially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47" w:lineRule="exact"/>
        <w:rPr>
          <w:sz w:val="20"/>
          <w:szCs w:val="20"/>
          <w:color w:val="auto"/>
        </w:rPr>
      </w:pPr>
    </w:p>
    <w:p>
      <w:pPr>
        <w:jc w:val="both"/>
        <w:ind w:right="680" w:firstLine="446"/>
        <w:spacing w:after="0" w:line="342"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We generate revenue from sales of our microinverter systems, which include microinverter units and related accessories, an Envoy communications gateway device, and an Enlighten web-based monitoring service, to distributors, large installers, OEMs and strategic partners. Enlighten service revenue represented less than 1% of our total revenues for all periods presented.</w:t>
      </w:r>
    </w:p>
    <w:p>
      <w:pPr>
        <w:spacing w:after="0" w:line="127"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Revenues from sales of microinverters and related accessories, and communication gateways are recognized when: (i) persuasive evidence of an arrangement exists; (ii) delivery of the products has occurred in accordance with the terms of the sales agreement and title of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71"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Sales of an Envoy communications gateway device include our Enlighten web-based monitoring service. The allocation of revenue between the two deliverables is based on the best estimate of selling price determined by considering multiple factors, including internal costs, gross margin and historical pricing practices. After allocating the overall consideration from such sale to each deliverable using the best estimate of the selling price, (i) revenue from the sale of Envoy devices is recognized upon shipment, assuming all other revenue recognition criteria have been met and (ii) revenue from the web-based monitoring service is recognized ratably over the estimated economic life of the related Envoy devices of 10 years.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71"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Inventories are valued at the lower of cost or market, on a first-in, first-out basis. Certain factors could affect the realizable value of our inventories including market and economic conditions, technological changes, new product introductions and changes in strategic direction. We consider historic usage, expected demand, anticipated sales price, effect of new product introductions, product obsolescence, customer concentrations, product merchantability and other factors when evaluating the value of inventories. Inventory write-downs are equal to the difference between the cost of inventories and their estimated fair market value.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that we use to record inventory at the lower of cost or market. However, if estimates regarding customer demand are inaccurate or changes in technology affect demand for certain products in an unforeseen manner, we may be exposed to losses that could be material.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75"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Our warranty accrual provides for the replacement of microinverter units that fail during the product’s warranty term (15 years for first and second generation microinverters and up to 25 years for third and fourth generation microinverters). On a quarterly basis, we employ a consistent, systematic and rational methodology to assess the adequacy of our warranty obligations. This assessment includes updating all key estimates and assumptions for each generation of product, based on historical results, trends and the most current data available as of the filing date. The key estimates and assumptions used in the warranty obligations are thoroughly reviewed by management on a quarterly basis. The key estimates used to estimate warranty obligations are: (1) the number of units expected to fail over time (i.e. failure rate); (2) the number of failed units expected to result in warranty claims over time (i.e. claim rate); and</w:t>
      </w:r>
    </w:p>
    <w:p>
      <w:pPr>
        <w:spacing w:after="0" w:line="5" w:lineRule="exact"/>
        <w:rPr>
          <w:sz w:val="20"/>
          <w:szCs w:val="20"/>
          <w:color w:val="auto"/>
        </w:rPr>
      </w:pPr>
    </w:p>
    <w:p>
      <w:pPr>
        <w:ind w:right="220"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 unit cost of replacement units, including outbound shipping and limited labor costs, expected to be incurred to replace failed units over time (i.e. replacement cost).</w:t>
      </w:r>
    </w:p>
    <w:p>
      <w:pPr>
        <w:spacing w:after="0" w:line="13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b w:val="1"/>
          <w:bCs w:val="1"/>
          <w:i w:val="1"/>
          <w:iCs w:val="1"/>
          <w:color w:val="auto"/>
        </w:rPr>
        <w:t>Estimated Failure Rates—</w:t>
      </w:r>
      <w:r>
        <w:rPr>
          <w:rFonts w:ascii="Arial" w:cs="Arial" w:eastAsia="Arial" w:hAnsi="Arial"/>
          <w:sz w:val="16"/>
          <w:szCs w:val="16"/>
          <w:color w:val="auto"/>
        </w:rPr>
        <w:t>Our Quality and Reliability department has primary responsibility to determine the estimated failure rates for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microinverter. To establish initial failure rate estimates for each generation of microinverter, our quality engineers use a combination of industry standard MTBF (Mean Time Between Failure) estimates for individual components contained in our microinverters, third party data collected on similar equipment deployed in outdoor environments similar to those in which our microinverters are installed, and rigorous long term reliability and accelerated life cycle testing which simulates the service life of the microinverter in a short period of time. As units are deployed into production environments, we continue to monitor product performance via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15"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 the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As the vast majority of our microinverters have been sold to end users for residential applications, we believe that warranty claim rates will be affected over time by changes in residential home ownership because we expect that subsequent homeowners are less likely to file claims than the homeowners who originally purchase the microinverters.</w:t>
      </w:r>
    </w:p>
    <w:p>
      <w:pPr>
        <w:spacing w:after="0" w:line="13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b w:val="1"/>
          <w:bCs w:val="1"/>
          <w:i w:val="1"/>
          <w:iCs w:val="1"/>
          <w:color w:val="auto"/>
        </w:rPr>
        <w:t>Estimated Replacement Costs—</w:t>
      </w:r>
      <w:r>
        <w:rPr>
          <w:rFonts w:ascii="Arial" w:cs="Arial" w:eastAsia="Arial" w:hAnsi="Arial"/>
          <w:sz w:val="16"/>
          <w:szCs w:val="16"/>
          <w:color w:val="auto"/>
        </w:rPr>
        <w:t>Three factors are considered in our analysis of estimated replacement cost: (1) the estimated cost of replacement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microinverters; (2) the estimated cost to ship replacement microinverters to end users; and (3) the estimated labor reimbursement expected to be paid to third party installers performing replacement services for the end user. Because our warranty provides for the replacement of defective microinverters over long periods of time (either 15 or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112"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If actual failure rates, claim rates, or replacement costs differ from our estimates in future periods, changes to these estimates would be required, resulting in increases or decreases in our warranty obligations. Such increases or decreases could be material.</w:t>
      </w:r>
    </w:p>
    <w:p>
      <w:pPr>
        <w:spacing w:after="0" w:line="11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Changes in estimates related to warranty obligations resulted in net increases in warranty expense of $10.3 million, $7.6 million and $1.8 million in 2013, 2012 and 2011, respectively. See Note 5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175" w:lineRule="exact"/>
        <w:rPr>
          <w:sz w:val="20"/>
          <w:szCs w:val="20"/>
          <w:color w:val="auto"/>
        </w:rPr>
      </w:pPr>
    </w:p>
    <w:p>
      <w:pPr>
        <w:ind w:right="260" w:firstLine="446"/>
        <w:spacing w:after="0" w:line="259" w:lineRule="auto"/>
        <w:rPr>
          <w:sz w:val="20"/>
          <w:szCs w:val="20"/>
          <w:color w:val="auto"/>
        </w:rPr>
      </w:pPr>
      <w:r>
        <w:rPr>
          <w:rFonts w:ascii="Arial" w:cs="Arial" w:eastAsia="Arial" w:hAnsi="Arial"/>
          <w:sz w:val="18"/>
          <w:szCs w:val="18"/>
          <w:color w:val="auto"/>
        </w:rPr>
        <w:t xml:space="preserve">Our warranty obligations related to microinverters sold since January 1, 2014 provides us the right, but not the requirement, to assign our warranty obligations to a third-party. Pursuant to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such warranties are eligible to be accounted for at fair value. We expect to elect the fair value option to measure all eligible warranties associated with microinverters sold subsequent to January 1, 2014.</w:t>
      </w:r>
    </w:p>
    <w:p>
      <w:pPr>
        <w:spacing w:after="0" w:line="13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addition to the key estimates of failure rates, claim rates and replacement costs described above, the fair value of warranty obligations will require the use of certain Level 3 inputs which are unobservable and significant to the overall fair value measurement. Such additional assumptions will include a discount rate based upon our credit-adjusted risk-free rate and a hypothetical profit margin and risk premium required of a hypothetical market participant to assume the obligation. Warranty obligations initially recorded at fair value (computed using an expected present value technique) at the time of sale will be subsequently re-measured to fair value at each reporting date. In addition, the fair value of the liability will be accreted over the corresponding term of the warranty of up to 25 years using the effective interest method. Any changes in fair value of the liability from period-to-period, including accretion expense, will be recognized in cost of revenues. Warranty obligations recorded at fair value are expected to be lower, as compared to our previous accounting at estimated costs, primarily due to the effects of discounting to net present value.</w:t>
      </w:r>
    </w:p>
    <w:p>
      <w:pPr>
        <w:spacing w:after="0" w:line="179"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color w:val="auto"/>
        </w:rPr>
        <w:t>As of December 31, 2013, warranty obligations were $30.4 million. Periodic adjustments necessitated by actual experience of claims and any future changes in estimates to this liability associated with sales prior to December 31, 2013 will continue to be accounted for on an undiscounted basis.</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122" w:right="3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Concentrations of Credit Risk and Major Customers</w:t>
      </w:r>
    </w:p>
    <w:p>
      <w:pPr>
        <w:spacing w:after="0" w:line="239"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We are potentially subject to financial instrument concentration of credit risk through our cash equivalents and accounts receivables. We place our cash and cash equivalents with high quality institutions and perform periodic evaluations of their relative credit standing. Accounts receivables can be potentially exposed to a concentration of credit risk with our major customers. As of December 31, 2013, we had amounts due from two customers that represented 16% and 10% of the total accounts receivable balance. As of December 31, 2012, our two largest accounts receivable balances represented 21% and 16% of the total accounts receivable balance. In 2013, 3 customers accounted for 15%, 14% and 11% of total net revenues. In 2012, two customers accounted for 16%, and 11% of total net revenues. In 2011, three customers accounted for 17%, 11% and 10% of total net revenues.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British Pounds and Australian and New Zealand Dollars. These payables and receivables primarily arise from sales to customers and intercompany transactions. We also face currency exposure that arises from translating the results of our European, Australian and New Zealand operations, including sales and marketing and research and development expenses, to the U.S. dollar at exchange rates that have fluctuated from the beginning of a reporting period.</w:t>
      </w:r>
    </w:p>
    <w:p>
      <w:pPr>
        <w:spacing w:after="0" w:line="43" w:lineRule="exact"/>
        <w:rPr>
          <w:sz w:val="20"/>
          <w:szCs w:val="20"/>
          <w:color w:val="auto"/>
        </w:rPr>
      </w:pPr>
    </w:p>
    <w:p>
      <w:pPr>
        <w:ind w:right="180" w:firstLine="446"/>
        <w:spacing w:after="0" w:line="255" w:lineRule="auto"/>
        <w:rPr>
          <w:sz w:val="20"/>
          <w:szCs w:val="20"/>
          <w:color w:val="auto"/>
        </w:rPr>
      </w:pPr>
      <w:r>
        <w:rPr>
          <w:rFonts w:ascii="Arial" w:cs="Arial" w:eastAsia="Arial" w:hAnsi="Arial"/>
          <w:sz w:val="18"/>
          <w:szCs w:val="18"/>
          <w:color w:val="auto"/>
        </w:rPr>
        <w:t>In June 2012, we began to utilize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139"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at December 31, 2013 and 2012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Liability Derivatives</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36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3"/>
                <w:szCs w:val="13"/>
                <w:color w:val="auto"/>
              </w:rPr>
            </w:pPr>
          </w:p>
        </w:tc>
        <w:tc>
          <w:tcPr>
            <w:tcW w:w="110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 (Level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268</w:t>
            </w: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80" w:firstLine="446"/>
        <w:spacing w:after="0" w:line="342" w:lineRule="auto"/>
        <w:rPr>
          <w:sz w:val="20"/>
          <w:szCs w:val="20"/>
          <w:color w:val="auto"/>
        </w:rPr>
      </w:pPr>
      <w:r>
        <w:rPr>
          <w:rFonts w:ascii="Arial" w:cs="Arial" w:eastAsia="Arial" w:hAnsi="Arial"/>
          <w:sz w:val="16"/>
          <w:szCs w:val="16"/>
          <w:color w:val="auto"/>
        </w:rPr>
        <w:t>The foreign currency exchange rate risk associated with our forward currency exchange contracts is limited as the exposure is substantially offset by exchange rate changes of the underlying hedged amounts. All outstanding open forward contracts at December 31, 2013 matured in January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INDEX TO CONSOLIDATED FINANCIAL STATEMENTS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2012, AND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2012 AND 2011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49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48"/>
        </w:trPr>
        <w:tc>
          <w:tcPr>
            <w:tcW w:w="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gridSpan w:val="3"/>
          </w:tcPr>
          <w:p>
            <w:pPr>
              <w:ind w:lef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Quarterly Financial Information</w:t>
              </w:r>
            </w:hyperlink>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507"/>
        </w:trPr>
        <w:tc>
          <w:tcPr>
            <w:tcW w:w="40" w:type="dxa"/>
            <w:vAlign w:val="bottom"/>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5920" w:type="dxa"/>
            <w:vAlign w:val="bottom"/>
          </w:tcPr>
          <w:p>
            <w:pPr>
              <w:jc w:val="right"/>
              <w:ind w:right="497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260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Enphase Energy, Inc.:</w:t>
      </w:r>
    </w:p>
    <w:p>
      <w:pPr>
        <w:spacing w:after="0" w:line="1" w:lineRule="exact"/>
        <w:rPr>
          <w:sz w:val="20"/>
          <w:szCs w:val="20"/>
          <w:color w:val="auto"/>
        </w:rPr>
      </w:pPr>
    </w:p>
    <w:p>
      <w:pPr>
        <w:ind w:right="260" w:firstLine="446"/>
        <w:spacing w:after="0" w:line="259" w:lineRule="auto"/>
        <w:rPr>
          <w:sz w:val="20"/>
          <w:szCs w:val="20"/>
          <w:color w:val="auto"/>
        </w:rPr>
      </w:pPr>
      <w:r>
        <w:rPr>
          <w:rFonts w:ascii="Arial" w:cs="Arial" w:eastAsia="Arial" w:hAnsi="Arial"/>
          <w:sz w:val="18"/>
          <w:szCs w:val="18"/>
          <w:color w:val="auto"/>
        </w:rPr>
        <w:t>We have audited the accompanying consolidated balance sheets of Enphase Energy, Inc. and subsidiaries (the “Company”) as of December 31, 2013 and 2012, and the related consolidated statements of operations, comprehensive loss, stockholders’ equity, and cash flows for each of the three years in the period ended December 31, 2013. These consolidated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jc w:val="both"/>
        <w:ind w:right="660" w:firstLine="446"/>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Enphase Energy, Inc. and subsidiaries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45,294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$2,000 and $1,177</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32,084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27,743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2,118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90,509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94,998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24,853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25,541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1,752</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116,669</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122,291</w:t>
            </w:r>
          </w:p>
        </w:tc>
      </w:tr>
      <w:tr>
        <w:trPr>
          <w:trHeight w:val="237"/>
        </w:trPr>
        <w:tc>
          <w:tcPr>
            <w:tcW w:w="834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19,722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19,266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Current portion of term loans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2,384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33,855</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Warranty obligations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25,490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15,260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Term loans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8,677</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43,098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31,781</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76,463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65,636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$0.00001 par value, 10,000 shares authorized; none issued and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w w:val="96"/>
              </w:rPr>
              <w:t>Common stock, $0.00001 par value, 100,000 shares authorized; 42,123 and 40,856 shares issued and outstanding at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8340" w:type="dxa"/>
            <w:vAlign w:val="bottom"/>
          </w:tcPr>
          <w:p>
            <w:pPr>
              <w:ind w:left="360"/>
              <w:spacing w:after="0"/>
              <w:rPr>
                <w:sz w:val="20"/>
                <w:szCs w:val="20"/>
                <w:color w:val="auto"/>
              </w:rPr>
            </w:pPr>
            <w:r>
              <w:rPr>
                <w:rFonts w:ascii="Arial" w:cs="Arial" w:eastAsia="Arial" w:hAnsi="Arial"/>
                <w:sz w:val="16"/>
                <w:szCs w:val="16"/>
                <w:color w:val="auto"/>
              </w:rPr>
              <w:t>December 31, 2013 and 2012, respectively</w:t>
            </w:r>
          </w:p>
        </w:tc>
        <w:tc>
          <w:tcPr>
            <w:tcW w:w="3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192,916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183,629</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(152,939)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(127,026)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40,206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56,655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116,669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122,291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232,846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165,430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120,454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57,781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0"/>
              </w:rPr>
              <w:t>Shares used in computing net loss per share attributable to common stockholders, basic and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41,647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30,740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7"/>
        </w:trPr>
        <w:tc>
          <w:tcPr>
            <w:tcW w:w="67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00" w:type="dxa"/>
            <w:vAlign w:val="bottom"/>
            <w:gridSpan w:val="4"/>
            <w:vMerge w:val="restart"/>
          </w:tcPr>
          <w:p>
            <w:pPr>
              <w:jc w:val="right"/>
              <w:ind w:right="48"/>
              <w:spacing w:after="0"/>
              <w:rPr>
                <w:sz w:val="20"/>
                <w:szCs w:val="20"/>
                <w:color w:val="auto"/>
              </w:rPr>
            </w:pPr>
            <w:r>
              <w:rPr>
                <w:rFonts w:ascii="Arial" w:cs="Arial" w:eastAsia="Arial" w:hAnsi="Arial"/>
                <w:sz w:val="14"/>
                <w:szCs w:val="14"/>
                <w:b w:val="1"/>
                <w:bCs w:val="1"/>
                <w:color w:val="auto"/>
              </w:rPr>
              <w:t>Convertible Preferred Stock</w:t>
            </w:r>
          </w:p>
        </w:tc>
        <w:tc>
          <w:tcPr>
            <w:tcW w:w="120" w:type="dxa"/>
            <w:vAlign w:val="bottom"/>
            <w:vMerge w:val="restart"/>
          </w:tcPr>
          <w:p>
            <w:pPr>
              <w:spacing w:after="0"/>
              <w:rPr>
                <w:sz w:val="14"/>
                <w:szCs w:val="14"/>
                <w:color w:val="auto"/>
              </w:rPr>
            </w:pPr>
          </w:p>
        </w:tc>
        <w:tc>
          <w:tcPr>
            <w:tcW w:w="19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2010</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93,596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38,481</w:t>
            </w:r>
          </w:p>
        </w:tc>
        <w:tc>
          <w:tcPr>
            <w:tcW w:w="0" w:type="dxa"/>
            <w:vAlign w:val="bottom"/>
          </w:tcPr>
          <w:p>
            <w:pPr>
              <w:spacing w:after="0"/>
              <w:rPr>
                <w:sz w:val="1"/>
                <w:szCs w:val="1"/>
                <w:color w:val="auto"/>
              </w:rPr>
            </w:pPr>
          </w:p>
        </w:tc>
      </w:tr>
      <w:tr>
        <w:trPr>
          <w:trHeight w:val="157"/>
        </w:trPr>
        <w:tc>
          <w:tcPr>
            <w:tcW w:w="3200" w:type="dxa"/>
            <w:vAlign w:val="bottom"/>
          </w:tcPr>
          <w:p>
            <w:pPr>
              <w:ind w:left="280"/>
              <w:spacing w:after="0" w:line="157" w:lineRule="exact"/>
              <w:rPr>
                <w:sz w:val="20"/>
                <w:szCs w:val="20"/>
                <w:color w:val="auto"/>
              </w:rPr>
            </w:pPr>
            <w:r>
              <w:rPr>
                <w:rFonts w:ascii="Arial" w:cs="Arial" w:eastAsia="Arial" w:hAnsi="Arial"/>
                <w:sz w:val="14"/>
                <w:szCs w:val="14"/>
                <w:color w:val="auto"/>
                <w:w w:val="96"/>
              </w:rPr>
              <w:t>Private placement of common stock at $5.27 per</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360"/>
              <w:spacing w:after="0"/>
              <w:rPr>
                <w:sz w:val="20"/>
                <w:szCs w:val="20"/>
                <w:color w:val="auto"/>
              </w:rPr>
            </w:pPr>
            <w:r>
              <w:rPr>
                <w:rFonts w:ascii="Arial" w:cs="Arial" w:eastAsia="Arial" w:hAnsi="Arial"/>
                <w:sz w:val="14"/>
                <w:szCs w:val="14"/>
                <w:color w:val="auto"/>
              </w:rPr>
              <w:t>share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32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6"/>
              </w:rPr>
              <w:t>Fair value of warrants and common stock issued</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 connection with convertible notes</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57"/>
        </w:trPr>
        <w:tc>
          <w:tcPr>
            <w:tcW w:w="3200" w:type="dxa"/>
            <w:vAlign w:val="bottom"/>
          </w:tcPr>
          <w:p>
            <w:pPr>
              <w:ind w:left="280"/>
              <w:spacing w:after="0" w:line="157" w:lineRule="exact"/>
              <w:rPr>
                <w:sz w:val="20"/>
                <w:szCs w:val="20"/>
                <w:color w:val="auto"/>
              </w:rPr>
            </w:pPr>
            <w:r>
              <w:rPr>
                <w:rFonts w:ascii="Arial" w:cs="Arial" w:eastAsia="Arial" w:hAnsi="Arial"/>
                <w:sz w:val="14"/>
                <w:szCs w:val="14"/>
                <w:color w:val="auto"/>
                <w:w w:val="98"/>
              </w:rPr>
              <w:t>Fair value of beneficial conversion feature upon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360"/>
              <w:spacing w:after="0"/>
              <w:rPr>
                <w:sz w:val="20"/>
                <w:szCs w:val="20"/>
                <w:color w:val="auto"/>
              </w:rPr>
            </w:pPr>
            <w:r>
              <w:rPr>
                <w:rFonts w:ascii="Arial" w:cs="Arial" w:eastAsia="Arial" w:hAnsi="Arial"/>
                <w:sz w:val="14"/>
                <w:szCs w:val="14"/>
                <w:color w:val="auto"/>
              </w:rPr>
              <w:t>issuance of convertible notes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9"/>
              </w:rPr>
              <w:t>Fair value of beneficial conversion feature from</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accrued paid-in-kind interest of convertible</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notes</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32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(32,290)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(32,290)</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BALANCE—December 31, 2011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93,596</w:t>
            </w:r>
          </w:p>
        </w:tc>
        <w:tc>
          <w:tcPr>
            <w:tcW w:w="12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(88,808)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13,974</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4"/>
              </w:rPr>
              <w:t>Issuance of common stock under employee stock</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plans</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64"/>
        </w:trPr>
        <w:tc>
          <w:tcPr>
            <w:tcW w:w="32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4,766</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6"/>
              </w:rPr>
              <w:t>Common stock issued upon initial public offering</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(“IPO”), net of offering costs</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53,826</w:t>
            </w:r>
          </w:p>
        </w:tc>
        <w:tc>
          <w:tcPr>
            <w:tcW w:w="0" w:type="dxa"/>
            <w:vAlign w:val="bottom"/>
          </w:tcPr>
          <w:p>
            <w:pPr>
              <w:spacing w:after="0"/>
              <w:rPr>
                <w:sz w:val="1"/>
                <w:szCs w:val="1"/>
                <w:color w:val="auto"/>
              </w:rPr>
            </w:pPr>
          </w:p>
        </w:tc>
      </w:tr>
      <w:tr>
        <w:trPr>
          <w:trHeight w:val="157"/>
        </w:trPr>
        <w:tc>
          <w:tcPr>
            <w:tcW w:w="3200" w:type="dxa"/>
            <w:vAlign w:val="bottom"/>
          </w:tcPr>
          <w:p>
            <w:pPr>
              <w:ind w:left="280"/>
              <w:spacing w:after="0" w:line="157" w:lineRule="exact"/>
              <w:rPr>
                <w:sz w:val="20"/>
                <w:szCs w:val="20"/>
                <w:color w:val="auto"/>
              </w:rPr>
            </w:pPr>
            <w:r>
              <w:rPr>
                <w:rFonts w:ascii="Arial" w:cs="Arial" w:eastAsia="Arial" w:hAnsi="Arial"/>
                <w:sz w:val="14"/>
                <w:szCs w:val="14"/>
                <w:color w:val="auto"/>
              </w:rPr>
              <w:t>Conversion of convertible preferred stock into</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360"/>
              <w:spacing w:after="0"/>
              <w:rPr>
                <w:sz w:val="20"/>
                <w:szCs w:val="20"/>
                <w:color w:val="auto"/>
              </w:rPr>
            </w:pPr>
            <w:r>
              <w:rPr>
                <w:rFonts w:ascii="Arial" w:cs="Arial" w:eastAsia="Arial" w:hAnsi="Arial"/>
                <w:sz w:val="14"/>
                <w:szCs w:val="14"/>
                <w:color w:val="auto"/>
              </w:rPr>
              <w:t>common stock upon IPO</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(22,221)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(93,596)</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25,171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93,596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6"/>
              </w:rPr>
              <w:t>Conversion of convertible notes and paid-in-kind</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into common stock upon IPO</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21,204</w:t>
            </w:r>
          </w:p>
        </w:tc>
        <w:tc>
          <w:tcPr>
            <w:tcW w:w="0" w:type="dxa"/>
            <w:vAlign w:val="bottom"/>
          </w:tcPr>
          <w:p>
            <w:pPr>
              <w:spacing w:after="0"/>
              <w:rPr>
                <w:sz w:val="1"/>
                <w:szCs w:val="1"/>
                <w:color w:val="auto"/>
              </w:rPr>
            </w:pPr>
          </w:p>
        </w:tc>
      </w:tr>
      <w:tr>
        <w:trPr>
          <w:trHeight w:val="157"/>
        </w:trPr>
        <w:tc>
          <w:tcPr>
            <w:tcW w:w="320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preferred stock warrant</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360"/>
              <w:spacing w:after="0"/>
              <w:rPr>
                <w:sz w:val="20"/>
                <w:szCs w:val="20"/>
                <w:color w:val="auto"/>
              </w:rPr>
            </w:pPr>
            <w:r>
              <w:rPr>
                <w:rFonts w:ascii="Arial" w:cs="Arial" w:eastAsia="Arial" w:hAnsi="Arial"/>
                <w:sz w:val="14"/>
                <w:szCs w:val="14"/>
                <w:color w:val="auto"/>
              </w:rPr>
              <w:t>liability to APIC upon IPO</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(38,218)</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183,629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(127,026)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56,655</w:t>
            </w:r>
          </w:p>
        </w:tc>
        <w:tc>
          <w:tcPr>
            <w:tcW w:w="0" w:type="dxa"/>
            <w:vAlign w:val="bottom"/>
          </w:tcPr>
          <w:p>
            <w:pPr>
              <w:spacing w:after="0"/>
              <w:rPr>
                <w:sz w:val="1"/>
                <w:szCs w:val="1"/>
                <w:color w:val="auto"/>
              </w:rPr>
            </w:pPr>
          </w:p>
        </w:tc>
      </w:tr>
      <w:tr>
        <w:trPr>
          <w:trHeight w:val="157"/>
        </w:trPr>
        <w:tc>
          <w:tcPr>
            <w:tcW w:w="3200" w:type="dxa"/>
            <w:vAlign w:val="bottom"/>
          </w:tcPr>
          <w:p>
            <w:pPr>
              <w:ind w:left="280"/>
              <w:spacing w:after="0" w:line="157" w:lineRule="exact"/>
              <w:rPr>
                <w:sz w:val="20"/>
                <w:szCs w:val="20"/>
                <w:color w:val="auto"/>
              </w:rPr>
            </w:pPr>
            <w:r>
              <w:rPr>
                <w:rFonts w:ascii="Arial" w:cs="Arial" w:eastAsia="Arial" w:hAnsi="Arial"/>
                <w:sz w:val="14"/>
                <w:szCs w:val="14"/>
                <w:color w:val="auto"/>
                <w:w w:val="94"/>
              </w:rPr>
              <w:t>Issuance of common stock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360"/>
              <w:spacing w:after="0"/>
              <w:rPr>
                <w:sz w:val="20"/>
                <w:szCs w:val="20"/>
                <w:color w:val="auto"/>
              </w:rPr>
            </w:pPr>
            <w:r>
              <w:rPr>
                <w:rFonts w:ascii="Arial" w:cs="Arial" w:eastAsia="Arial" w:hAnsi="Arial"/>
                <w:sz w:val="14"/>
                <w:szCs w:val="14"/>
                <w:color w:val="auto"/>
              </w:rPr>
              <w:t>plans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6,849</w:t>
            </w:r>
          </w:p>
        </w:tc>
        <w:tc>
          <w:tcPr>
            <w:tcW w:w="0" w:type="dxa"/>
            <w:vAlign w:val="bottom"/>
          </w:tcPr>
          <w:p>
            <w:pPr>
              <w:spacing w:after="0"/>
              <w:rPr>
                <w:sz w:val="1"/>
                <w:szCs w:val="1"/>
                <w:color w:val="auto"/>
              </w:rPr>
            </w:pPr>
          </w:p>
        </w:tc>
      </w:tr>
      <w:tr>
        <w:trPr>
          <w:trHeight w:val="157"/>
        </w:trPr>
        <w:tc>
          <w:tcPr>
            <w:tcW w:w="320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upon exercise of</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360"/>
              <w:spacing w:after="0"/>
              <w:rPr>
                <w:sz w:val="20"/>
                <w:szCs w:val="20"/>
                <w:color w:val="auto"/>
              </w:rPr>
            </w:pPr>
            <w:r>
              <w:rPr>
                <w:rFonts w:ascii="Arial" w:cs="Arial" w:eastAsia="Arial" w:hAnsi="Arial"/>
                <w:sz w:val="14"/>
                <w:szCs w:val="14"/>
                <w:color w:val="auto"/>
              </w:rPr>
              <w:t>warrants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(25,913)</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192,916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(152,939)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40,206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(25,913)</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(38,218)</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(32,290)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3,032</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doubtful accounts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Net loss on disposal of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convertible preferred stock warrants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(9,874)</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3,263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(6,708)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Accounts payable, accrued liabilities and warranty obligations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16,774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17,275</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25,443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(44,645)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(14,662)</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(6,257)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(14,662)</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convertible notes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Costs related to issuance of convertible notes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private placement of common stock</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Principal payments under capital leases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borrowings under term loans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9,898</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Payments of financing costs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Repayments of term loans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common stock in IPO, net of underwriting discounts and commissions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 of offering costs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51,436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26,482</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 Beginning of period</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45,294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51,524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39,993</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51,524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financing and investing activities:</w:t>
            </w:r>
          </w:p>
        </w:tc>
        <w:tc>
          <w:tcPr>
            <w:tcW w:w="2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780" w:type="dxa"/>
            <w:vAlign w:val="bottom"/>
          </w:tcPr>
          <w:p>
            <w:pPr>
              <w:ind w:left="280"/>
              <w:spacing w:after="0"/>
              <w:rPr>
                <w:sz w:val="20"/>
                <w:szCs w:val="20"/>
                <w:color w:val="auto"/>
              </w:rPr>
            </w:pPr>
            <w:r>
              <w:rPr>
                <w:rFonts w:ascii="Arial" w:cs="Arial" w:eastAsia="Arial" w:hAnsi="Arial"/>
                <w:sz w:val="14"/>
                <w:szCs w:val="14"/>
                <w:color w:val="auto"/>
              </w:rPr>
              <w:t>Assets acquired under capital lease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included in accounts payable</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Offering costs not yet paid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Conversion of convertible notes into common stock upon IPO</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Pr>
          <w:p>
            <w:pPr>
              <w:ind w:left="280"/>
              <w:spacing w:after="0"/>
              <w:rPr>
                <w:sz w:val="20"/>
                <w:szCs w:val="20"/>
                <w:color w:val="auto"/>
              </w:rPr>
            </w:pPr>
            <w:r>
              <w:rPr>
                <w:rFonts w:ascii="Arial" w:cs="Arial" w:eastAsia="Arial" w:hAnsi="Arial"/>
                <w:sz w:val="14"/>
                <w:szCs w:val="14"/>
                <w:color w:val="auto"/>
              </w:rPr>
              <w:t>Reclassification of convertible preferred stock warrant liability to additional paid-in capital upon IPO</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Enphase Energy, Inc. and subsidiaries (the “Company”) designs, develops, and sells microinverter systems for the solar photovoltaic industry. The Company was incorporated in 2006 and began selling its products in 2008.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580" w:firstLine="44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intercompany balances and transactions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preparation of the Company’s consolidated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materially from management’s estimates using different assumptions or under different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The Company is subject to risks inherent in a business with a limited operating history, including, but not limited to, new and rapidly evolving markets, advances and trends in the development of new technology and services, unfavorable economic and market conditions, competition from larger and more established companies, limited management resources and dependence on a limited number of contract manufacturers and suppliers. The inability to anticipate or to respond adequately to technological developments in the Company's industry, changes in customer or supplier requirements, or changes in regulatory requirements or industry standards could have a material adverse effect on the Company's business and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340" w:firstLine="446"/>
        <w:spacing w:after="0" w:line="264" w:lineRule="auto"/>
        <w:rPr>
          <w:sz w:val="20"/>
          <w:szCs w:val="20"/>
          <w:color w:val="auto"/>
        </w:rPr>
      </w:pPr>
      <w:r>
        <w:rPr>
          <w:rFonts w:ascii="Arial" w:cs="Arial" w:eastAsia="Arial" w:hAnsi="Arial"/>
          <w:sz w:val="18"/>
          <w:szCs w:val="18"/>
          <w:color w:val="auto"/>
        </w:rPr>
        <w:t>The Company generates revenue from sales of its microinverter systems, which include microinverter units and related accessories, an Envoy communications gateway device, and an Enlighten web-based monitoring service, to distributors, large installers, OEMs and strategic partners. Enlighten service revenue represented less than 1% of the total revenues for all periods presented.</w:t>
      </w:r>
    </w:p>
    <w:p>
      <w:pPr>
        <w:spacing w:after="0" w:line="127"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Revenues from sales of microinverters and related accessories, and communication gateways are recognized when: (i) persuasive evidence of an arrangement exists; (ii) delivery of the products has occurred in accordance with the terms of the sales agreement and title of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17"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Sales of an Envoy communications gateway device include the Enlighten web-based monitoring service. The allocation of revenue between the two deliverables is based on the Company's best estimate of selling price determined by considering multiple factors including, internal costs, gross margin and historical pricing practices. After allocating the overall consideration from such sale to each deliverable using a best estimate of the selling price, (i) revenue from the sale of Envoy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devices is recognized upon shipment, assuming all other revenue recognition criteria have been met and (ii) revenue from the web-based monitoring service is recognized ratably over the estimated economic life of the related Envoy devices of 10 years.</w:t>
      </w:r>
    </w:p>
    <w:p>
      <w:pPr>
        <w:spacing w:after="0" w:line="116" w:lineRule="exact"/>
        <w:rPr>
          <w:sz w:val="20"/>
          <w:szCs w:val="20"/>
          <w:color w:val="auto"/>
        </w:rPr>
      </w:pPr>
    </w:p>
    <w:p>
      <w:pPr>
        <w:jc w:val="both"/>
        <w:ind w:right="120" w:firstLine="446"/>
        <w:spacing w:after="0" w:line="277" w:lineRule="auto"/>
        <w:rPr>
          <w:sz w:val="20"/>
          <w:szCs w:val="20"/>
          <w:color w:val="auto"/>
        </w:rPr>
      </w:pPr>
      <w:r>
        <w:rPr>
          <w:rFonts w:ascii="Arial" w:cs="Arial" w:eastAsia="Arial" w:hAnsi="Arial"/>
          <w:sz w:val="18"/>
          <w:szCs w:val="18"/>
          <w:color w:val="auto"/>
        </w:rPr>
        <w:t>Deferred revenues consist of payments received from customers in advance of revenue recognition for the Company’s products and services described above. As of December 31, 2013 and 2012, deferred revenues consist entirely of service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The Company includes the following in cost of revenues: product costs, warranty, manufacturing personnel and logistics costs, inventory write-downs, hosting services costs related to the Company’s Enlighten service offering, and depreciation and amortization of manufacturing test equipment.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color w:val="auto"/>
        </w:rPr>
        <w:t>The Company considers all highly liquid investments, such as certificates of deposit and money market instruments with maturities of three months or less at the time of acquisition to be cash equivalents. For all periods presented, its cash balances consist of amounts held in non-interest-bearing deposits and money market accounts.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right="120" w:firstLine="446"/>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due to their relatively short-term nature. The carrying values of the Company's variable rate term loans approximate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The Company operates and conducts business in foreign countries where its foreign entities use the local currency as their respective functional currency. As a result, the Company is exposed to movements in foreign currency exchange rates. The Company utilizes foreign currency forward contracts to reduce the impact of foreign currency fluctuations related to anticipated cash receipts from expected future revenues denominated in Euros and intercompany transaction gains or losses.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171"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days past due, collection history and the financial health of customers. The allowance for doubtful accounts was $2.0 million and $1.2 million at December 31, 2013 and 2012, respectively. The following table sets forth activities in the allowance for doubtful accounts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Charged to expenses</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127</w:t>
            </w:r>
          </w:p>
        </w:tc>
      </w:tr>
      <w:tr>
        <w:trPr>
          <w:trHeight w:val="27"/>
        </w:trPr>
        <w:tc>
          <w:tcPr>
            <w:tcW w:w="6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Charged to Other Accounts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144</w:t>
            </w:r>
          </w:p>
        </w:tc>
      </w:tr>
      <w:tr>
        <w:trPr>
          <w:trHeight w:val="20"/>
        </w:trPr>
        <w:tc>
          <w:tcPr>
            <w:tcW w:w="6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Inventory is valued at the lower of cost or market. The Company determines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their estimated net realizable market value.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Property and equipment are stated at cost less accumulated depreciation. Cost includes the price paid to acquire or construct the asset as well as any expenditure that substantially adds to the value of or significantly extends the useful life of an existing asset. Repair and maintenance costs are expensed as incurred. Depreciation and amortization is computed using the straight-line method over the estimated useful lives of the assets, which range from three to ten years. Leasehold improvements are amortized over the shorter of the lease term or expected useful life of the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71" w:lineRule="exact"/>
        <w:rPr>
          <w:sz w:val="20"/>
          <w:szCs w:val="20"/>
          <w:color w:val="auto"/>
        </w:rPr>
      </w:pPr>
    </w:p>
    <w:p>
      <w:pPr>
        <w:ind w:right="200" w:firstLine="446"/>
        <w:spacing w:after="0" w:line="297" w:lineRule="auto"/>
        <w:rPr>
          <w:sz w:val="20"/>
          <w:szCs w:val="20"/>
          <w:color w:val="auto"/>
        </w:rPr>
      </w:pPr>
      <w:r>
        <w:rPr>
          <w:rFonts w:ascii="Arial" w:cs="Arial" w:eastAsia="Arial" w:hAnsi="Arial"/>
          <w:sz w:val="16"/>
          <w:szCs w:val="16"/>
          <w:color w:val="auto"/>
        </w:rPr>
        <w:t>Internally used software, whether purchased or developed, is capitalized and amortized on a straight-line basis over their estimated useful lives.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Management evaluates long-lived assets for impairment whenever events or changes in circumstances indicate that the carrying amount of such assets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Company’s warranty accrual provides for the replacement of microinverter units that fail during the product’s warranty term (15 years for first and second generation microinverters and up to 25 years for third and fourth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17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b w:val="1"/>
          <w:bCs w:val="1"/>
          <w:i w:val="1"/>
          <w:iCs w:val="1"/>
          <w:color w:val="auto"/>
        </w:rPr>
        <w:t>Estimated Failure Rates—</w:t>
      </w:r>
      <w:r>
        <w:rPr>
          <w:rFonts w:ascii="Arial" w:cs="Arial" w:eastAsia="Arial" w:hAnsi="Arial"/>
          <w:sz w:val="17"/>
          <w:szCs w:val="17"/>
          <w:color w:val="auto"/>
        </w:rPr>
        <w:t>The Company’s Quality and Reliability department has primary responsibility to determine the estimated failure rates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generation of microinverter. To establish initial failure rate estimates for each generation of microinverter, the Company’s quality engineers use a combination of industry standard MTBF (Mean Time Between Failure)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production environments, the Company continues to monitor product performance via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8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 the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As the vast majority of the Company’s microinverters have been sold to end users for residential applications, the Company believes that warranty claim rates will be affected by changes over time in residential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home ownership because the Company expects that subsequent homeowners are less likely to file claims than the homeowners who originally purchase the microinverters.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b w:val="1"/>
          <w:bCs w:val="1"/>
          <w:i w:val="1"/>
          <w:iCs w:val="1"/>
          <w:color w:val="auto"/>
        </w:rPr>
        <w:t>Estimated Replacement Costs—</w:t>
      </w:r>
      <w:r>
        <w:rPr>
          <w:rFonts w:ascii="Arial" w:cs="Arial" w:eastAsia="Arial" w:hAnsi="Arial"/>
          <w:sz w:val="17"/>
          <w:szCs w:val="17"/>
          <w:color w:val="auto"/>
        </w:rPr>
        <w:t>Three factors are considered in the Company’s analysis of estimated replacement cost: (1) the estimated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replacement microinverters; (2) the estimated cost to ship 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(either 15 or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 Company’s estimated replacement cost is an analysis of the number of fixed-dollar labor reimbursements expected to be claimed by third party installers over the limited offering period.</w:t>
      </w:r>
    </w:p>
    <w:p>
      <w:pPr>
        <w:spacing w:after="0" w:line="182"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If actual failure rates, claim rates, or replacement costs differ from the Company’s estimates in future periods, changes to these estimates would be required, resulting in increases or decreases in the Company’s warranty obligations. Such increases or decreases could be material.</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175"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Pursuant to Accounting Standards Codification ("ASC") 820, Fair Value Measurement, such warranties are eligible to be accounted for at fair value. The Company expects to elect the fair value option to measure all eligible microinverter warranties for microinverters sold subsequent to January 1, 2014.</w:t>
      </w:r>
    </w:p>
    <w:p>
      <w:pPr>
        <w:spacing w:after="0" w:line="133"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In addition to the key estimates of failure rates, claim rates and replacement costs described above, the fair value of warranty obligations will require the use of certain Level 3 inputs which are unobservable and significant to the overall fair value measurement. Such additional assumptions will include a discount rate based upon the Company's credit-adjusted risk-free rate and a hypothetical profit margin and risk premium required of a hypothetical market participant to assume the obligation. Warranty obligations initially recorded at fair value (computed using an expected present value technique) at the time of sale will be subsequently re-measured to fair value at each reporting date. In addition, the fair value of the liability will be accreted over the corresponding term of the warranty of up to 25 years using the effective interest method. Any changes in fair value of the liability from period-to-period, including accretion expense, will be recognized in cost of revenues.</w:t>
      </w:r>
    </w:p>
    <w:p>
      <w:pPr>
        <w:spacing w:after="0" w:line="135"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If actual failure rates, claim rates, replacement costs, discount rate or the other additional assumptions differ from the Company’s estimates in future periods, changes to these estimates would be required, resulting in increases or decreases in the Company’s warranty obligations. Such increases or decreases could be material.</w:t>
      </w:r>
    </w:p>
    <w:p>
      <w:pPr>
        <w:spacing w:after="0" w:line="127" w:lineRule="exact"/>
        <w:rPr>
          <w:sz w:val="20"/>
          <w:szCs w:val="20"/>
          <w:color w:val="auto"/>
        </w:rPr>
      </w:pPr>
    </w:p>
    <w:p>
      <w:pPr>
        <w:ind w:right="280" w:firstLine="446"/>
        <w:spacing w:after="0" w:line="342" w:lineRule="auto"/>
        <w:rPr>
          <w:sz w:val="20"/>
          <w:szCs w:val="20"/>
          <w:color w:val="auto"/>
        </w:rPr>
      </w:pPr>
      <w:r>
        <w:rPr>
          <w:rFonts w:ascii="Arial" w:cs="Arial" w:eastAsia="Arial" w:hAnsi="Arial"/>
          <w:sz w:val="16"/>
          <w:szCs w:val="16"/>
          <w:color w:val="auto"/>
        </w:rPr>
        <w:t>As of December 31, 2013, warranty obligations were $30.4 million. Periodic adjustments necessitated by actual experience of claims and any future changes in estimates to this liability associated with sales prior to December 31, 2013 will continue to be accounted for on an undiscounted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The Company expenses research and development costs as incurred. Research and development costs totaled $34.5 million, $35.6 million and $25.1 million in 2013, 2012 and 2011,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Stock-based compensation, net of estimated forfeitures, is recognized on a straight-line basis over the requisite service period, which is typically four years.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Comprehensive loss consists of two components, net loss and other comprehensive income (loss). Other comprehensive income (loss) refers to gains and losses that are recorded as an element of stockholders’ equity but are excluded from net income. The Company’s other comprehensive income (loss) consists of foreign currency translation adjustments for all periods presented.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80" w:firstLine="446"/>
        <w:spacing w:after="0" w:line="302" w:lineRule="auto"/>
        <w:rPr>
          <w:sz w:val="20"/>
          <w:szCs w:val="20"/>
          <w:color w:val="auto"/>
        </w:rPr>
      </w:pPr>
      <w:r>
        <w:rPr>
          <w:rFonts w:ascii="Arial" w:cs="Arial" w:eastAsia="Arial" w:hAnsi="Arial"/>
          <w:sz w:val="16"/>
          <w:szCs w:val="16"/>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00"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December 31, 2013 and 2012,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9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15,152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17,620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16,580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19,843</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In 2013, no significant write-downs of inventories were made. In 2012 and 2011, the Company recorded write-downs of inventories of $0.8 million and $2.7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property and equipment, net consists of the following (in thousands):</w:t>
      </w:r>
    </w:p>
    <w:p>
      <w:pPr>
        <w:spacing w:after="0" w:line="38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5720" w:type="dxa"/>
            <w:vAlign w:val="bottom"/>
          </w:tcPr>
          <w:p>
            <w:pPr>
              <w:spacing w:after="0"/>
              <w:rPr>
                <w:sz w:val="4"/>
                <w:szCs w:val="4"/>
                <w:color w:val="auto"/>
              </w:rPr>
            </w:pPr>
          </w:p>
        </w:tc>
        <w:tc>
          <w:tcPr>
            <w:tcW w:w="2640" w:type="dxa"/>
            <w:vAlign w:val="bottom"/>
            <w:gridSpan w:val="2"/>
            <w:vMerge w:val="restart"/>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and machinery</w:t>
            </w:r>
          </w:p>
        </w:tc>
        <w:tc>
          <w:tcPr>
            <w:tcW w:w="2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5–7</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3–5</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3–10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36,020</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$5.5 million, $4.4 million and $2.3 million for 2013, 2012 and 2011, respectively.</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60" w:firstLine="446"/>
        <w:spacing w:after="0" w:line="347" w:lineRule="auto"/>
        <w:rPr>
          <w:sz w:val="20"/>
          <w:szCs w:val="20"/>
          <w:color w:val="auto"/>
        </w:rPr>
      </w:pPr>
      <w:r>
        <w:rPr>
          <w:rFonts w:ascii="Arial" w:cs="Arial" w:eastAsia="Arial" w:hAnsi="Arial"/>
          <w:sz w:val="16"/>
          <w:szCs w:val="16"/>
          <w:b w:val="1"/>
          <w:bCs w:val="1"/>
          <w:color w:val="auto"/>
        </w:rPr>
        <w:t>Capitalized Developed or Purchased Internal-Use Software</w:t>
      </w:r>
      <w:r>
        <w:rPr>
          <w:rFonts w:ascii="Arial" w:cs="Arial" w:eastAsia="Arial" w:hAnsi="Arial"/>
          <w:sz w:val="16"/>
          <w:szCs w:val="16"/>
          <w:color w:val="auto"/>
        </w:rPr>
        <w:t>—Capitalized software costs are being amortized ratably over the estimated useful lives</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included within amortization expense in the amount of $1.5 million, $1.2 million and $0.7 million for 2013, 2012 and 2011, respectively.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capitalized internal-use software costs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Net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 Cost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 Cost</w:t>
            </w:r>
          </w:p>
        </w:tc>
        <w:tc>
          <w:tcPr>
            <w:tcW w:w="160" w:type="dxa"/>
            <w:vAlign w:val="bottom"/>
          </w:tcPr>
          <w:p>
            <w:pPr>
              <w:spacing w:after="0"/>
              <w:rPr>
                <w:sz w:val="12"/>
                <w:szCs w:val="12"/>
                <w:color w:val="auto"/>
              </w:rPr>
            </w:pPr>
          </w:p>
        </w:tc>
        <w:tc>
          <w:tcPr>
            <w:tcW w:w="10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internal-use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Purchased software for internal use</w:t>
            </w:r>
          </w:p>
        </w:tc>
        <w:tc>
          <w:tcPr>
            <w:tcW w:w="180" w:type="dxa"/>
            <w:vAlign w:val="bottom"/>
          </w:tcPr>
          <w:p>
            <w:pPr>
              <w:spacing w:after="0"/>
              <w:rPr>
                <w:sz w:val="21"/>
                <w:szCs w:val="21"/>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software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7,343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5,760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estimated future aggregate amortization expense for existing internal-use software as of December 31, 2013 is expected to be $1.7 million in 2014, $1.2 million in 2015 and $0.7 million in 2016.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WARRANTY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warranty activities during 2013, 2012 and 2011 were as follows (in thousands):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2,668</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Accruals for warranties issued during the year</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5,279</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in estimates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7"/>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8,738</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Less current portion included in accrued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7"/>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25,490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6,733</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The Company sold approximately 1.0 million second generation microinverters from 2009 through mid-2012. The Company has sold approximately 3.5 million third generation microinverters since mid-2012 and continues to sell such third generation microinverters. The Company has sold 150,000 fourth generation microinverters since mid-2013.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w:t>
      </w:r>
    </w:p>
    <w:p>
      <w:pPr>
        <w:spacing w:after="0" w:line="171" w:lineRule="exact"/>
        <w:rPr>
          <w:sz w:val="20"/>
          <w:szCs w:val="20"/>
          <w:color w:val="auto"/>
        </w:rPr>
      </w:pPr>
    </w:p>
    <w:p>
      <w:pPr>
        <w:ind w:right="220" w:firstLine="446"/>
        <w:spacing w:after="0" w:line="257" w:lineRule="auto"/>
        <w:rPr>
          <w:sz w:val="20"/>
          <w:szCs w:val="20"/>
          <w:color w:val="auto"/>
        </w:rPr>
      </w:pPr>
      <w:r>
        <w:rPr>
          <w:rFonts w:ascii="Arial" w:cs="Arial" w:eastAsia="Arial" w:hAnsi="Arial"/>
          <w:sz w:val="18"/>
          <w:szCs w:val="18"/>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arose from new information available to management and subsequent developments, and accordingly, from better insight and improved judgment. Changes in estimates included in the table above were comprised of the following: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7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2013, primarily in the second, third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of $19.5 million in 2013 (including $3.5 million in the three months ended December 31, 2013). During the third quarter of 2013, the Company recorded a reduction to warranty expense of $3.1 million related to a decrease in the expected failure rate of the Company's third generation product. The Company concluded that there was sufficient historical data of actual field performance of previously sold third generation products to support a lower estimated failure rate.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2" w:right="27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In addition, the Company updated its estimated claim rates for its second and third generation products resulting in a decrease to warranty expense of $4.2 million. The revision to estimated claim rates was based on the Company’s observed historical end user behavior and assumptions with respect to expected customer behavior over the 15 or 25 year warranty term.</w:t>
      </w:r>
    </w:p>
    <w:p>
      <w:pPr>
        <w:spacing w:after="0" w:line="127" w:lineRule="exact"/>
        <w:rPr>
          <w:sz w:val="20"/>
          <w:szCs w:val="20"/>
          <w:color w:val="auto"/>
        </w:rPr>
      </w:pPr>
    </w:p>
    <w:p>
      <w:pPr>
        <w:ind w:right="180" w:firstLine="446"/>
        <w:spacing w:after="0" w:line="342" w:lineRule="auto"/>
        <w:rPr>
          <w:sz w:val="20"/>
          <w:szCs w:val="20"/>
          <w:color w:val="auto"/>
        </w:rPr>
      </w:pPr>
      <w:r>
        <w:rPr>
          <w:rFonts w:ascii="Arial" w:cs="Arial" w:eastAsia="Arial" w:hAnsi="Arial"/>
          <w:sz w:val="16"/>
          <w:szCs w:val="16"/>
          <w:color w:val="auto"/>
        </w:rPr>
        <w:t>Also, the Company decreased warranty expense by $1.9 million (including $1.7 million in the three months ended December 31, 2013), primarily to reflect estimated lower costs to produce fourth generation microinverters to fulfill warranty obligations for second and third generation microinverters.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189"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In 2012, primarily in the third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of $10.2 million in 2012 (including $2.4 million in the three months ended December 31, 2012).</w:t>
      </w:r>
    </w:p>
    <w:p>
      <w:pPr>
        <w:spacing w:after="0" w:line="117" w:lineRule="exact"/>
        <w:rPr>
          <w:sz w:val="20"/>
          <w:szCs w:val="20"/>
          <w:color w:val="auto"/>
        </w:rPr>
      </w:pPr>
    </w:p>
    <w:p>
      <w:pPr>
        <w:jc w:val="both"/>
        <w:ind w:right="200" w:firstLine="446"/>
        <w:spacing w:after="0" w:line="297" w:lineRule="auto"/>
        <w:rPr>
          <w:sz w:val="20"/>
          <w:szCs w:val="20"/>
          <w:color w:val="auto"/>
        </w:rPr>
      </w:pPr>
      <w:r>
        <w:rPr>
          <w:rFonts w:ascii="Arial" w:cs="Arial" w:eastAsia="Arial" w:hAnsi="Arial"/>
          <w:sz w:val="16"/>
          <w:szCs w:val="16"/>
          <w:color w:val="auto"/>
        </w:rPr>
        <w:t>In the fourth quarter of 2012, the Company revised its claim rate estimate to reflect a decrease in the percentage of end users who are able to access their system’s performance data using the Enlighten monitoring service. Approximately 80 to 90 percent of end users have purchased systems that include Enlighten. End users who have not purchased Enlighten do not have access to the same inverter-level performance data as end users using Enlighten and, consequently are less likely to make warranty claims. In 2012, based on observation of historical results, the Company confirmed that non-Enlighten end users had a lower claim rate than originally estimated. As a result, warranty expense decreased by $0.5 million to reflect this information.</w:t>
      </w:r>
    </w:p>
    <w:p>
      <w:pPr>
        <w:spacing w:after="0" w:line="104"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In addition, the Company recorded a reduction to warranty expense of $2.1 million related to replacement costs, primarily comprised of a $1.9 million reduction in shipping costs. Beginning in the third quarter of 2012, the Company revised its business practice to utilize non-expedited shipping terms for future replacement units, resulting in the reduction in estimated future replacement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75"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In 2011, warranty expense included $1.8 million resulting from changes in estimates to reflect increased estimated replacement costs for second generation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0"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200" w:hanging="486"/>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1" w:lineRule="exact"/>
        <w:rPr>
          <w:sz w:val="20"/>
          <w:szCs w:val="20"/>
          <w:color w:val="auto"/>
        </w:rPr>
      </w:pPr>
    </w:p>
    <w:p>
      <w:pPr>
        <w:ind w:firstLine="446"/>
        <w:spacing w:after="0" w:line="282"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The Company utilizes foreign currency forward contracts to reduce the impact of foreign currency fluctuations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both sales and purchases denominated in Euros and the British Pound Sterling. As of</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122" w:right="3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December 31, 2013 and 2012, the aggregate gross notional amounts of outstanding foreign currency forward contracts were $12.5 million and $6.1 million, respectively. All outstanding open forward contracts at December 31, 2013 matured in January 2014.</w:t>
      </w:r>
    </w:p>
    <w:p>
      <w:pPr>
        <w:spacing w:after="0" w:line="116"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at December 31, 2013 and 2012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Liability Derivatives</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36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3"/>
                <w:szCs w:val="13"/>
                <w:color w:val="auto"/>
              </w:rPr>
            </w:pPr>
          </w:p>
        </w:tc>
        <w:tc>
          <w:tcPr>
            <w:tcW w:w="110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 (Level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268</w:t>
            </w: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2013 and 2012, the Company recognized net losses of $0.4 million and $0.5 million related to foreign currency forward contracts,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long-term debt was comprised of the following at December 31, 2013 and 2012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 financing facility, net of unamortized discount of $31 and $94, respectively</w:t>
            </w:r>
          </w:p>
        </w:tc>
        <w:tc>
          <w:tcPr>
            <w:tcW w:w="92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3,661</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(3,507)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8,677</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amount of future principal repayments due on the total debt is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2,973</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8,708</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firstLine="446"/>
        <w:spacing w:after="0" w:line="286" w:lineRule="auto"/>
        <w:rPr>
          <w:sz w:val="20"/>
          <w:szCs w:val="20"/>
          <w:color w:val="auto"/>
        </w:rPr>
      </w:pPr>
      <w:r>
        <w:rPr>
          <w:rFonts w:ascii="Arial" w:cs="Arial" w:eastAsia="Arial" w:hAnsi="Arial"/>
          <w:sz w:val="16"/>
          <w:szCs w:val="16"/>
          <w:b w:val="1"/>
          <w:bCs w:val="1"/>
          <w:color w:val="auto"/>
        </w:rPr>
        <w:t>Revolving Credit Facility</w:t>
      </w:r>
      <w:r>
        <w:rPr>
          <w:rFonts w:ascii="Arial" w:cs="Arial" w:eastAsia="Arial" w:hAnsi="Arial"/>
          <w:sz w:val="16"/>
          <w:szCs w:val="16"/>
          <w:color w:val="auto"/>
        </w:rPr>
        <w:t>—The Company has a $50.0 million revolving credit facility (the “Revolver”) with Wells Fargo Bank, N.A. (“Wells Fargo”),</w:t>
      </w:r>
      <w:r>
        <w:rPr>
          <w:rFonts w:ascii="Arial" w:cs="Arial" w:eastAsia="Arial" w:hAnsi="Arial"/>
          <w:sz w:val="16"/>
          <w:szCs w:val="16"/>
          <w:b w:val="1"/>
          <w:bCs w:val="1"/>
          <w:color w:val="auto"/>
        </w:rPr>
        <w:t xml:space="preserve"> </w:t>
      </w:r>
      <w:r>
        <w:rPr>
          <w:rFonts w:ascii="Arial" w:cs="Arial" w:eastAsia="Arial" w:hAnsi="Arial"/>
          <w:sz w:val="16"/>
          <w:szCs w:val="16"/>
          <w:color w:val="auto"/>
        </w:rPr>
        <w:t>which had a maturity date of November 7, 2015. On February 14, 2014, the Company entered into an amendment which granted an automatic extension of the maturity date from November 7, 2015 to November 7, 2016, provided the Company has not borrowed any amounts under the Additional Term Loans made available by Hercules Technology Growth Capital, Inc. ("Hercules") as described below, or otherwise restructure the Additional Term Loans to the satisfaction of Wells Fargo. The amount of loans available to be drawn under the Revolver is subject to a borrowing base calculation that limits availability to a percentage of eligible domestic accounts receivable plus a percentage of the value of eligible domestic inventory, less certain reserves. Wells Fargo and Hercules are parties to an intercreditor agreement, pursuant to which Hercules has a first lien on certain of the Company's assets and a second priority on its other assets. Subject to the intercreditor agreement, loans under the Revolver are secured by a pledge of substantially all of the Company's assets other than intellectual property. Loans under the Revolver bear interest in cash at an annual rate equal to, at the Company's option, either LIBOR or a “base rate” that is comprised of, among other things, the prime rate, plus a margin that is between 1.5% and 4.25% depending on the currency borrowed and the specific term of repayment. The Revolver contains customary affirmative and negative covenants and events of default, and requires the Company to maintain at least $15.0 million of liquidity at all times, of which at least $8.0 million ($5.0 million in the case the maturity date is November 7, 2016) must be undrawn availability. To date, the Company has not drawn on the Revolver and approximately $22.4 million was available for borrowing as of December 31, 2013 based on eligible accounts receivable and inventory balances pursuant to the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ind w:right="40" w:firstLine="446"/>
        <w:spacing w:after="0" w:line="286" w:lineRule="auto"/>
        <w:rPr>
          <w:sz w:val="20"/>
          <w:szCs w:val="20"/>
          <w:color w:val="auto"/>
        </w:rPr>
      </w:pPr>
      <w:r>
        <w:rPr>
          <w:rFonts w:ascii="Arial" w:cs="Arial" w:eastAsia="Arial" w:hAnsi="Arial"/>
          <w:sz w:val="16"/>
          <w:szCs w:val="16"/>
          <w:b w:val="1"/>
          <w:bCs w:val="1"/>
          <w:color w:val="auto"/>
        </w:rPr>
        <w:t>Term Loans</w:t>
      </w:r>
      <w:r>
        <w:rPr>
          <w:rFonts w:ascii="Arial" w:cs="Arial" w:eastAsia="Arial" w:hAnsi="Arial"/>
          <w:sz w:val="16"/>
          <w:szCs w:val="16"/>
          <w:color w:val="auto"/>
        </w:rPr>
        <w:t>—The Company has a loan and security agreement with Hercules, pursuant to which it borrowed $7.4 million (the "Initial Term Loan").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the Company may borrow an additional $15.6 million in term loans (the "Additional Term Loans"), which must be drawn, if at all, not later than March 31, 2014. To date, the Company has not, and does not intend to borrow any Additional Term Loans prior to its impending expiration on March 31, 2014. The Company used the proceeds of the Initial Term Loan to replenish cash on hand, which had previously been used to repay the approximately $7.5 million in other outstanding term loans. Loans under the Hercules facility bear interest at an annual rate equal to the higher of (i) the prime rate plus 8.25% or</w:t>
      </w:r>
    </w:p>
    <w:p>
      <w:pPr>
        <w:spacing w:after="0" w:line="2" w:lineRule="exact"/>
        <w:rPr>
          <w:sz w:val="20"/>
          <w:szCs w:val="20"/>
          <w:color w:val="auto"/>
        </w:rPr>
      </w:pPr>
    </w:p>
    <w:p>
      <w:pPr>
        <w:ind w:right="180" w:firstLine="8"/>
        <w:spacing w:after="0" w:line="252"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11.5%. All loans under the Hercules facility will mature on August 1, 2016. Interest is payable in cash on a monthly basis, and the loans will amortize in equal monthly installments commencing on March 1, 2014 for the Initial Term Loan. In addition, the facility includes a $0.6 million end of term charge due on August 1, 2016. Prepayments of loans under the facility are subject to early payment penalties. Loans under the Hercules facility are secured by a pledge of substantially all of the Company's assets other than intellectual property. The Hercules facility does not include any financial covenants. As of December 31, 2013, the outstanding principal balance under the Term Loans was $7.4 million, which solely relates to borrowings under the Initial Term Loan.</w:t>
      </w:r>
    </w:p>
    <w:p>
      <w:pPr>
        <w:spacing w:after="0" w:line="69" w:lineRule="exact"/>
        <w:rPr>
          <w:sz w:val="20"/>
          <w:szCs w:val="20"/>
          <w:color w:val="auto"/>
        </w:rPr>
      </w:pPr>
    </w:p>
    <w:p>
      <w:pPr>
        <w:ind w:right="340" w:firstLine="446"/>
        <w:spacing w:after="0" w:line="261" w:lineRule="auto"/>
        <w:rPr>
          <w:sz w:val="20"/>
          <w:szCs w:val="20"/>
          <w:color w:val="auto"/>
        </w:rPr>
      </w:pPr>
      <w:r>
        <w:rPr>
          <w:rFonts w:ascii="Arial" w:cs="Arial" w:eastAsia="Arial" w:hAnsi="Arial"/>
          <w:sz w:val="18"/>
          <w:szCs w:val="18"/>
          <w:b w:val="1"/>
          <w:bCs w:val="1"/>
          <w:color w:val="auto"/>
        </w:rPr>
        <w:t>Equipment Financing Facility—</w:t>
      </w:r>
      <w:r>
        <w:rPr>
          <w:rFonts w:ascii="Arial" w:cs="Arial" w:eastAsia="Arial" w:hAnsi="Arial"/>
          <w:sz w:val="18"/>
          <w:szCs w:val="18"/>
          <w:color w:val="auto"/>
        </w:rPr>
        <w:t>The Company has an equipment financing facility with Hercules. The equipment financing facility has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set at the higher of 5.75% above the prime lending rate and 9.0% annually and expires July 1, 2014. This facility is secured by the financed equipment and restricts the Company’s ability to pay dividends and take on certain types of additional liens. As of December 31, 2013, the outstanding principal balance under the equipment financing facility was $1.3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31" w:lineRule="exact"/>
        <w:rPr>
          <w:sz w:val="20"/>
          <w:szCs w:val="20"/>
          <w:color w:val="auto"/>
        </w:rPr>
      </w:pPr>
    </w:p>
    <w:p>
      <w:pPr>
        <w:jc w:val="both"/>
        <w:ind w:right="40" w:firstLine="446"/>
        <w:spacing w:after="0" w:line="289" w:lineRule="auto"/>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17"/>
          <w:szCs w:val="17"/>
          <w:color w:val="auto"/>
        </w:rPr>
        <w:t>—The Company leases office facilities under noncancelable operating leases that expire on various dates through 2022. The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 agreements generally provide for rental payments on a graduated basis, and certain leases require the Company to pay its portion of executory costs such as taxes, insurance, and operating expenses. The Company recognizes rent expense on a straight-line basis over the lease term.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2013, 2012 and 2011 was $2.6 million, $2.4 million and $1.2 million, respectively.</w:t>
      </w:r>
    </w:p>
    <w:p>
      <w:pPr>
        <w:spacing w:after="0" w:line="131"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Company’s minimum lease payments under noncancelable operating leases, exclusive of executory costs, as of December 31, 2013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5,756</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14,097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80" w:firstLine="446"/>
        <w:spacing w:after="0" w:line="266" w:lineRule="auto"/>
        <w:rPr>
          <w:sz w:val="20"/>
          <w:szCs w:val="20"/>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contractual obligations to purchase goods and services, which specify fixed or minimum quantities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fixed, minimum, or variable price provisions; and the approximate timing of the transaction. Purchase obligations do not include contracts that may be canceled without penalty.</w:t>
      </w:r>
    </w:p>
    <w:p>
      <w:pPr>
        <w:spacing w:after="0" w:line="126"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The Company utilizes third parties to manufacture its products. As of December 31, 2013, the Company had purchase obligations with third party manufacturers and suppliers totaling approximately $87.6 million. Certain agreements specify future quantities and pricing of products to be supplied by the Company's contract manufacturers for periods up to seven years. Of the $87.6 million included in purchase obligations, $72.5 million are cancelable; however if canceled, the agreement requires the Company to pay cancellation penalties of up to $5.6 million.</w:t>
      </w:r>
    </w:p>
    <w:p>
      <w:pPr>
        <w:spacing w:after="0" w:line="113" w:lineRule="exact"/>
        <w:rPr>
          <w:sz w:val="20"/>
          <w:szCs w:val="20"/>
          <w:color w:val="auto"/>
        </w:rPr>
      </w:pPr>
    </w:p>
    <w:p>
      <w:pPr>
        <w:ind w:right="200" w:firstLine="446"/>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be involved in litigation relating to claims arising out of its operations. The Company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8920"/>
        <w:spacing w:after="0"/>
        <w:rPr>
          <w:sz w:val="20"/>
          <w:szCs w:val="20"/>
          <w:color w:val="auto"/>
        </w:rPr>
      </w:pPr>
      <w:r>
        <w:rPr>
          <w:rFonts w:ascii="Arial" w:cs="Arial" w:eastAsia="Arial" w:hAnsi="Arial"/>
          <w:sz w:val="18"/>
          <w:szCs w:val="18"/>
          <w:b w:val="1"/>
          <w:bCs w:val="1"/>
          <w:color w:val="auto"/>
        </w:rPr>
        <w:t>9. STOCKHOLDERS' EQUITY</w:t>
      </w:r>
    </w:p>
    <w:p>
      <w:pPr>
        <w:spacing w:after="0" w:line="175" w:lineRule="exact"/>
        <w:rPr>
          <w:sz w:val="20"/>
          <w:szCs w:val="20"/>
          <w:color w:val="auto"/>
        </w:rPr>
      </w:pPr>
    </w:p>
    <w:p>
      <w:pPr>
        <w:jc w:val="center"/>
        <w:ind w:right="88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On April 4, 2012, the Company completed its initial public offering ("IPO"), issuing 10,315,151 shares of common stock at an offering price of $6.00 per share. The net proceeds from the sale of the shares were $53.8 million, after deducting the underwriters’ discounts and commissions of $3.3 million and other offering costs of $4.8 million. Upon consummation of the IPO, the Company’s 22,220,856 outstanding shares of convertible preferred stock ($93.6 million carrying value) were automatically converted into 25,171,017 shares of common stock, and the $21.2 million outstanding balance of principal and accrued paid-in-kind interest in convertible notes were automatically converted into 3,533,988 shares of common stock at a conversion price equal to the IPO price of $6.00 per share. As a result, the Company recorded a charge of $2.8 million to interest expense in 2012 for the extinguishment of debt related to the unamortized debt issuance costs and debt discounts.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920" w:firstLine="446"/>
        <w:spacing w:after="0" w:line="277" w:lineRule="auto"/>
        <w:rPr>
          <w:sz w:val="20"/>
          <w:szCs w:val="20"/>
          <w:color w:val="auto"/>
        </w:rPr>
      </w:pPr>
      <w:r>
        <w:rPr>
          <w:rFonts w:ascii="Arial" w:cs="Arial" w:eastAsia="Arial" w:hAnsi="Arial"/>
          <w:sz w:val="18"/>
          <w:szCs w:val="18"/>
          <w:color w:val="auto"/>
        </w:rPr>
        <w:t>Prior to its IPO, the Company issued convertible preferred stock warrants in connection with several financing transactions. These warrants automatically converted into warrants to purchase common stock upon the consummation of the IPO.</w:t>
      </w:r>
    </w:p>
    <w:p>
      <w:pPr>
        <w:spacing w:after="0" w:line="116"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As of December 31, 2013, warrants to purchase 293,474 shares of the Company's common stock remained outstanding with exercise prices ranging from $5.27 to $6.17. Such warrants are exercisable and will expire on various dates from 2016 through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Description of Equity Incentive Plans</w:t>
      </w:r>
    </w:p>
    <w:p>
      <w:pPr>
        <w:spacing w:after="0" w:line="167" w:lineRule="exact"/>
        <w:rPr>
          <w:sz w:val="20"/>
          <w:szCs w:val="20"/>
          <w:color w:val="auto"/>
        </w:rPr>
      </w:pPr>
    </w:p>
    <w:p>
      <w:pPr>
        <w:jc w:val="both"/>
        <w:ind w:right="40" w:firstLine="446"/>
        <w:spacing w:after="0" w:line="266" w:lineRule="auto"/>
        <w:rPr>
          <w:sz w:val="20"/>
          <w:szCs w:val="20"/>
          <w:color w:val="auto"/>
        </w:rPr>
      </w:pPr>
      <w:r>
        <w:rPr>
          <w:rFonts w:ascii="Arial" w:cs="Arial" w:eastAsia="Arial" w:hAnsi="Arial"/>
          <w:sz w:val="18"/>
          <w:szCs w:val="18"/>
          <w:b w:val="1"/>
          <w:bCs w:val="1"/>
          <w:color w:val="auto"/>
        </w:rPr>
        <w:t>2006 Plan</w:t>
      </w:r>
      <w:r>
        <w:rPr>
          <w:rFonts w:ascii="Arial" w:cs="Arial" w:eastAsia="Arial" w:hAnsi="Arial"/>
          <w:sz w:val="18"/>
          <w:szCs w:val="18"/>
          <w:color w:val="auto"/>
        </w:rPr>
        <w:t>—Under the Company's 2006 Equity Incentive Plan (the “2006 Plan”), equity awards granted generally vest over a four-year period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with a contractual term of up to 10 years. As of December 31, 2013, there were 5.2 million shares of common stock outstanding under the 2006 Plan. No further stock options or other stock awards may be granted under the 2006 Plan.</w:t>
      </w:r>
    </w:p>
    <w:p>
      <w:pPr>
        <w:spacing w:after="0" w:line="1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b w:val="1"/>
          <w:bCs w:val="1"/>
          <w:color w:val="auto"/>
        </w:rPr>
        <w:t>2011 Plan</w:t>
      </w:r>
      <w:r>
        <w:rPr>
          <w:rFonts w:ascii="Arial" w:cs="Arial" w:eastAsia="Arial" w:hAnsi="Arial"/>
          <w:sz w:val="17"/>
          <w:szCs w:val="17"/>
          <w:color w:val="auto"/>
        </w:rPr>
        <w:t>—Under the 2011 Equity Incentive Plan (the “2011 Plan”), the Company may, initially, issue up to 2,643,171 shares of its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stock options, stock appreciation rights, restricted stock awards, restricted stock unit awards, performance-based stock awards,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four-year period from the date of grant based on continued employment. The number of shares of the Company's common stock authorized for issuance under the 2011 Plan will automatically increase, on each January 1, by 4.5% of the total number of shares of the Company's common stock outstanding on December 31 of the preceding calendar year, or such lesser number of shares of common stock as determined by the board of directors. As of December 31, 2013, 586,524 shares of common stock remained available for issuance pursuant to future grants under the 2011 Plan. On January 1, 2014, the shares authorized for issuance under the 2011 Plan automatically increased by 1,895,541 shares.</w:t>
      </w:r>
    </w:p>
    <w:p>
      <w:pPr>
        <w:spacing w:after="0" w:line="124" w:lineRule="exact"/>
        <w:rPr>
          <w:sz w:val="20"/>
          <w:szCs w:val="20"/>
          <w:color w:val="auto"/>
        </w:rPr>
      </w:pPr>
    </w:p>
    <w:p>
      <w:pPr>
        <w:ind w:right="80" w:firstLine="446"/>
        <w:spacing w:after="0" w:line="258" w:lineRule="auto"/>
        <w:rPr>
          <w:sz w:val="20"/>
          <w:szCs w:val="20"/>
          <w:color w:val="auto"/>
        </w:rPr>
      </w:pPr>
      <w:r>
        <w:rPr>
          <w:rFonts w:ascii="Arial" w:cs="Arial" w:eastAsia="Arial" w:hAnsi="Arial"/>
          <w:sz w:val="18"/>
          <w:szCs w:val="18"/>
          <w:b w:val="1"/>
          <w:bCs w:val="1"/>
          <w:color w:val="auto"/>
        </w:rPr>
        <w:t>2011 Employee Stock Purchase Plan</w:t>
      </w:r>
      <w:r>
        <w:rPr>
          <w:rFonts w:ascii="Arial" w:cs="Arial" w:eastAsia="Arial" w:hAnsi="Arial"/>
          <w:sz w:val="18"/>
          <w:szCs w:val="18"/>
          <w:color w:val="auto"/>
        </w:rPr>
        <w:t>—The 2011 Employee Stock Purchase Plan (“ESPP”) became effective immediately upon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underwriting agreement for the Company’s IPO on March 29, 2012. The ESPP initially authorizes the issuance of 669,603 shares of the Company's common stock pursuant to purchase rights granted to employees. The number of shares of common stock reserved for issuance will automatically increase, on each January 1, by 330,396 shares of the Company's common stock or a lesser number of shares of common stock as determined by the Company's board of directors.</w:t>
      </w:r>
    </w:p>
    <w:p>
      <w:pPr>
        <w:spacing w:after="0" w:line="134"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ESPP is implemented by concurrent offering periods and each offering period may contain up to four interim purchase periods. In general, offering periods consists of the 24 months periods commencing on each May 1 and November 1 of a calendar year.</w:t>
      </w:r>
    </w:p>
    <w:p>
      <w:pPr>
        <w:spacing w:after="0" w:line="116"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Generally, all full 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85% of the fair market value of the Company’s stock on either the date of purchase or the first day of an offering period, whichever is lower. A two 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104"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As of December 31, 2013, there were 613,984 shares of the Company's common stock available for issuance under the ESPP. On January 1, 2014, the shares authorized for issuance under the ESPP automatically increased by 330,396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Equity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was estimated on the date of grant using the Black-Scholes option-pricing model with the following assumptions:</w:t>
      </w:r>
    </w:p>
    <w:p>
      <w:pPr>
        <w:spacing w:after="0" w:line="140" w:lineRule="exact"/>
        <w:rPr>
          <w:sz w:val="20"/>
          <w:szCs w:val="20"/>
          <w:color w:val="auto"/>
        </w:rPr>
      </w:pPr>
    </w:p>
    <w:p>
      <w:pPr>
        <w:ind w:left="660" w:right="220" w:hanging="328"/>
        <w:spacing w:after="0" w:line="308" w:lineRule="auto"/>
        <w:tabs>
          <w:tab w:leader="none" w:pos="6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of the option awards represents the period of time between the grant date of the option awards and the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awards are either exercised, converted or canceled, including an estimate for those option awards still outstanding.</w:t>
      </w:r>
    </w:p>
    <w:p>
      <w:pPr>
        <w:spacing w:after="0" w:line="38" w:lineRule="exact"/>
        <w:rPr>
          <w:rFonts w:ascii="Arial" w:cs="Arial" w:eastAsia="Arial" w:hAnsi="Arial"/>
          <w:sz w:val="17"/>
          <w:szCs w:val="17"/>
          <w:i w:val="1"/>
          <w:iCs w:val="1"/>
          <w:color w:val="auto"/>
        </w:rPr>
      </w:pPr>
    </w:p>
    <w:p>
      <w:pPr>
        <w:ind w:left="660" w:right="540" w:hanging="328"/>
        <w:spacing w:after="0" w:line="286" w:lineRule="auto"/>
        <w:tabs>
          <w:tab w:leader="none" w:pos="6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The Company uses the simplified method, as permitted by the SEC for companies with a limited history of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activity, to determine the expected term for its option grants. Expected stock price volatility is determined based on an average of the historical volatilities of the common stock of several companies with characteristics similar to those of the Company.</w:t>
      </w:r>
    </w:p>
    <w:p>
      <w:pPr>
        <w:spacing w:after="0" w:line="57" w:lineRule="exact"/>
        <w:rPr>
          <w:rFonts w:ascii="Arial" w:cs="Arial" w:eastAsia="Arial" w:hAnsi="Arial"/>
          <w:sz w:val="17"/>
          <w:szCs w:val="17"/>
          <w:i w:val="1"/>
          <w:iCs w:val="1"/>
          <w:color w:val="auto"/>
        </w:rPr>
      </w:pPr>
    </w:p>
    <w:p>
      <w:pPr>
        <w:ind w:left="660" w:right="360" w:hanging="328"/>
        <w:spacing w:after="0" w:line="309"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time of grant and with a maturity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Company's expected term.</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The dividend yield is based on the Company's dividend history and the anticipated dividend payout over its expected term.</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assumptions used in calculating fair values for stock options granted under the Plan and the resultant weighted-average estimated fair values for the periods presented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on grant date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3.84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5.08</w:t>
            </w:r>
          </w:p>
        </w:tc>
      </w:tr>
      <w:tr>
        <w:trPr>
          <w:trHeight w:val="27"/>
        </w:trPr>
        <w:tc>
          <w:tcPr>
            <w:tcW w:w="6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consolidated statement of operations for the periods presented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ind w:left="96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2,110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795</w:t>
            </w:r>
          </w:p>
        </w:tc>
      </w:tr>
      <w:tr>
        <w:trPr>
          <w:trHeight w:val="27"/>
        </w:trPr>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2,489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615</w:t>
            </w:r>
          </w:p>
        </w:tc>
      </w:tr>
      <w:tr>
        <w:trPr>
          <w:trHeight w:val="27"/>
        </w:trPr>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6,849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9"/>
        </w:trPr>
        <w:tc>
          <w:tcPr>
            <w:tcW w:w="7400" w:type="dxa"/>
            <w:vAlign w:val="bottom"/>
            <w:gridSpan w:val="3"/>
          </w:tcPr>
          <w:p>
            <w:pPr>
              <w:ind w:left="460"/>
              <w:spacing w:after="0"/>
              <w:rPr>
                <w:sz w:val="20"/>
                <w:szCs w:val="20"/>
                <w:color w:val="auto"/>
              </w:rPr>
            </w:pPr>
            <w:r>
              <w:rPr>
                <w:rFonts w:ascii="Arial" w:cs="Arial" w:eastAsia="Arial" w:hAnsi="Arial"/>
                <w:sz w:val="18"/>
                <w:szCs w:val="18"/>
                <w:color w:val="auto"/>
                <w:w w:val="90"/>
              </w:rPr>
              <w:t>The following table summarizes stock-based compensation associated with each type of award:</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6,314</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ESPP</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4,766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As of December 31, 2013, there was approximately $13.2 million of total unrecognized compensation cost related to unvested equity awards, net of expected forfeitures, which is expected to be recognized over a weighted-average period of 2.6 years.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stock option activity for 2013, 2012 and 2011 is as follows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6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2010</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2011</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2012</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2013</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80" w:type="dxa"/>
            <w:vAlign w:val="bottom"/>
            <w:gridSpan w:val="9"/>
            <w:vMerge w:val="restart"/>
          </w:tcPr>
          <w:p>
            <w:pPr>
              <w:ind w:left="400"/>
              <w:spacing w:after="0"/>
              <w:rPr>
                <w:sz w:val="20"/>
                <w:szCs w:val="20"/>
                <w:color w:val="auto"/>
              </w:rPr>
            </w:pPr>
            <w:r>
              <w:rPr>
                <w:rFonts w:ascii="Arial" w:cs="Arial" w:eastAsia="Arial" w:hAnsi="Arial"/>
                <w:sz w:val="18"/>
                <w:szCs w:val="18"/>
                <w:color w:val="auto"/>
                <w:w w:val="99"/>
              </w:rPr>
              <w:t>The following table summarizes information about stock options outstanding at December 31, 2013:</w:t>
            </w: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0" w:type="dxa"/>
            <w:vAlign w:val="bottom"/>
          </w:tcPr>
          <w:p>
            <w:pPr>
              <w:spacing w:after="0"/>
              <w:rPr>
                <w:sz w:val="24"/>
                <w:szCs w:val="24"/>
                <w:color w:val="auto"/>
              </w:rPr>
            </w:pPr>
          </w:p>
        </w:tc>
        <w:tc>
          <w:tcPr>
            <w:tcW w:w="8280" w:type="dxa"/>
            <w:vAlign w:val="bottom"/>
            <w:gridSpan w:val="9"/>
            <w:vMerge w:val="continue"/>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Borders>
              <w:bottom w:val="single" w:sz="8" w:color="auto"/>
            </w:tcBorders>
            <w:gridSpan w:val="6"/>
          </w:tcPr>
          <w:p>
            <w:pPr>
              <w:jc w:val="right"/>
              <w:ind w:right="815"/>
              <w:spacing w:after="0"/>
              <w:rPr>
                <w:sz w:val="20"/>
                <w:szCs w:val="20"/>
                <w:color w:val="auto"/>
              </w:rPr>
            </w:pPr>
            <w:r>
              <w:rPr>
                <w:rFonts w:ascii="Arial" w:cs="Arial" w:eastAsia="Arial" w:hAnsi="Arial"/>
                <w:sz w:val="14"/>
                <w:szCs w:val="14"/>
                <w:b w:val="1"/>
                <w:bCs w:val="1"/>
                <w:color w:val="auto"/>
              </w:rPr>
              <w:t>Options Exercisable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3"/>
                <w:szCs w:val="13"/>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$0.27 —– $0.91</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2,424</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2,424</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$1.63 —– $1.63</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1,663</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1,486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$2.00 —– $5.78</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1,209</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$5.87 —– $7.50</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1,379</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$7.68 —– $8.82</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1,280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$9.40 —– $11.00</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554</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8,509</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5,551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The intrinsic value of options exercised during 2013 and 2012 was $3.2 million and $0.3 million, respectively. As of December 31, 2013, there were 8.3 million options outstanding that were vested and expected to vest. Such options have a weighted-average exercise price of $3.87 and a weighted-average remaining contractual term of6.5 years. As of December 31, 2013, the aggregate intrinsic value was $23.5 million for the 5.6 million exercisable shares. The intrinsic value is based on the Company’s common stock fair value of $6.34 per share as of December 31, 2013.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restricted stock unit activity for 2013 and 2012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46"/>
        <w:spacing w:after="0" w:line="308" w:lineRule="auto"/>
        <w:rPr>
          <w:sz w:val="20"/>
          <w:szCs w:val="20"/>
          <w:color w:val="auto"/>
        </w:rPr>
      </w:pPr>
      <w:r>
        <w:rPr>
          <w:rFonts w:ascii="Arial" w:cs="Arial" w:eastAsia="Arial" w:hAnsi="Arial"/>
          <w:sz w:val="17"/>
          <w:szCs w:val="17"/>
          <w:color w:val="auto"/>
        </w:rPr>
        <w:t>The intrinsic value of restricted stock units vested during 2013 and 2012 was $0.8 million and $39,000, respectively. As of December 31, 2013, the restricted stock units outstanding had a weighted average remaining contractual term of 1.6 years with an intrinsic value of $2.6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ESPP activity for 2013 and 2012 and (in thousands, except per share data):</w:t>
      </w:r>
    </w:p>
    <w:p>
      <w:pPr>
        <w:spacing w:after="0" w:line="338"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common stock issued under ESPP</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Shares of common stock issued</w:t>
            </w:r>
          </w:p>
        </w:tc>
        <w:tc>
          <w:tcPr>
            <w:tcW w:w="2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r>
      <w:tr>
        <w:trPr>
          <w:trHeight w:val="27"/>
        </w:trPr>
        <w:tc>
          <w:tcPr>
            <w:tcW w:w="7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provision for U.S. federal or state income taxes has been made due to cumulative losses since the commencement of operations.</w:t>
      </w:r>
    </w:p>
    <w:p>
      <w:pPr>
        <w:spacing w:after="0" w:line="90"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 provision for income taxes of $0.9 million and $0.7 million has been recognized for 2013 and 2012, respectively, related to the Company's foreign operations.</w:t>
      </w:r>
    </w:p>
    <w:p>
      <w:pPr>
        <w:spacing w:after="0" w:line="116"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 reconciliation of total income tax expense and the amount computed by applying the federal statutory income tax rate of 34% to loss before income taxes for 2013, 2012 and 2011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26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rate</w:t>
            </w:r>
          </w:p>
        </w:tc>
        <w:tc>
          <w:tcPr>
            <w:tcW w:w="358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(8,517)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2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12,451</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2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5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 summary of significant components of the Company’s deferred tax assets and liabilities as of December 31, 2013 and 2012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Reserves and allowances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14,521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current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 and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(27,889)</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non-current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firstLine="446"/>
        <w:spacing w:after="0" w:line="342" w:lineRule="auto"/>
        <w:rPr>
          <w:sz w:val="20"/>
          <w:szCs w:val="20"/>
          <w:color w:val="auto"/>
        </w:rPr>
      </w:pPr>
      <w:r>
        <w:rPr>
          <w:rFonts w:ascii="Arial" w:cs="Arial" w:eastAsia="Arial" w:hAnsi="Arial"/>
          <w:sz w:val="16"/>
          <w:szCs w:val="16"/>
          <w:color w:val="auto"/>
        </w:rPr>
        <w:t>Due to the history of losses the Company has generated since inception, the Company believes that it is more-likely-than-not that all of the deferred tax assets will not be realized as of December 31, 2013. Therefore, the Company has recorded a full valuation allowance on its deferred tax assets.</w:t>
      </w:r>
    </w:p>
    <w:p>
      <w:pPr>
        <w:spacing w:after="0" w:line="70" w:lineRule="exact"/>
        <w:rPr>
          <w:sz w:val="20"/>
          <w:szCs w:val="20"/>
          <w:color w:val="auto"/>
        </w:rPr>
      </w:pPr>
    </w:p>
    <w:p>
      <w:pPr>
        <w:ind w:right="160" w:firstLine="446"/>
        <w:spacing w:after="0" w:line="291" w:lineRule="auto"/>
        <w:rPr>
          <w:sz w:val="20"/>
          <w:szCs w:val="20"/>
          <w:color w:val="auto"/>
        </w:rPr>
      </w:pPr>
      <w:r>
        <w:rPr>
          <w:rFonts w:ascii="Arial" w:cs="Arial" w:eastAsia="Arial" w:hAnsi="Arial"/>
          <w:sz w:val="16"/>
          <w:szCs w:val="16"/>
          <w:color w:val="auto"/>
        </w:rPr>
        <w:t>The Company has net operating loss carryforwards for federal and California income tax purposes of approximately $61.3 million and $53.0 million, respectively, as of December 31, 2013. The federal and state net operating loss carryforwards, if not utilized, will expire beginning in 2026 and 2016, respectively. Utilization of the net operating loss carryforwards may be subject to a substantial annual limitation due to the ownership change limitations provided by the Internal Revenue Code of 1986, as amended (the "Code"), and similar state provisions. The annual limitation may result in the expiration of net operating losses before utilization. The Company has not completed a study to assess whether an ownership change has occurred or whether there have been multiple ownership changes since the Company became a “loss corporation” under the Code. Due to the existence of the valuation allowance, it is not expected that any possible limitation will have an impact on the results of operations or financial position of the Company.</w:t>
      </w:r>
    </w:p>
    <w:p>
      <w:pPr>
        <w:spacing w:after="0" w:line="113" w:lineRule="exact"/>
        <w:rPr>
          <w:sz w:val="20"/>
          <w:szCs w:val="20"/>
          <w:color w:val="auto"/>
        </w:rPr>
      </w:pPr>
    </w:p>
    <w:p>
      <w:pPr>
        <w:ind w:right="340" w:firstLine="446"/>
        <w:spacing w:after="0" w:line="264" w:lineRule="auto"/>
        <w:rPr>
          <w:sz w:val="20"/>
          <w:szCs w:val="20"/>
          <w:color w:val="auto"/>
        </w:rPr>
      </w:pPr>
      <w:r>
        <w:rPr>
          <w:rFonts w:ascii="Arial" w:cs="Arial" w:eastAsia="Arial" w:hAnsi="Arial"/>
          <w:sz w:val="18"/>
          <w:szCs w:val="18"/>
          <w:color w:val="auto"/>
        </w:rPr>
        <w:t>A share option exercise may result in a tax deduction prior to the actual recognition of the related excess tax benefit because the Company has a net operating loss carryforward. The Company's net operating losses include $201,000 of excess stock option benefits that will be reflected as a credit to additional paid-in capital when utilized.</w:t>
      </w:r>
    </w:p>
    <w:p>
      <w:pPr>
        <w:spacing w:after="0" w:line="127"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 gross unrecognized tax benefits have increased from $160,000 at December 31, 2012 to $376,000 at December 31, 2013, due to increases in tax positions for the current year of $137,000 and increases in tax positions for prior year of $79,000. The unrecognized tax benefits of $376,000 at December 31, 2013, if recognized, would reduce the Company's annual effective tax rate. The Company also accrued interest and penalties of $47,000 related to unrecognized tax benefits during 2013.</w:t>
      </w:r>
    </w:p>
    <w:p>
      <w:pPr>
        <w:spacing w:after="0" w:line="111"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 The Company recognizes interest and penalties related to uncertain tax positions in income tax expense.</w:t>
      </w:r>
    </w:p>
    <w:p>
      <w:pPr>
        <w:spacing w:after="0" w:line="12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Company’s tax returns continue to remain subject to examination by U.S. federal authorities for the years 2010 through 2013 and by California state authorities for the years 2009 through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CONCENTRATION OF CREDIT RISK AND MAJOR CUSTOMERS</w:t>
      </w:r>
    </w:p>
    <w:p>
      <w:pPr>
        <w:spacing w:after="0" w:line="175" w:lineRule="exact"/>
        <w:rPr>
          <w:sz w:val="20"/>
          <w:szCs w:val="20"/>
          <w:color w:val="auto"/>
        </w:rPr>
      </w:pPr>
    </w:p>
    <w:p>
      <w:pPr>
        <w:ind w:right="60" w:firstLine="446"/>
        <w:spacing w:after="0" w:line="293" w:lineRule="auto"/>
        <w:rPr>
          <w:sz w:val="20"/>
          <w:szCs w:val="20"/>
          <w:color w:val="auto"/>
        </w:rPr>
      </w:pPr>
      <w:r>
        <w:rPr>
          <w:rFonts w:ascii="Arial" w:cs="Arial" w:eastAsia="Arial" w:hAnsi="Arial"/>
          <w:sz w:val="16"/>
          <w:szCs w:val="16"/>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 Accounts receivable can be potentially exposed to a concentration of credit risk with its major customers. As of December 31, 2013, the Company had amounts due from two customers that represented 16% and 10% of the total accounts receivable balance. As of December 31, 2012, its two largest accounts receivable balances represented 21% and 16% of the total accounts receivable balance. In 2013, three customers accounted for 15%, 14% and 11% of total net revenues. In 2012, two customers accounted for 16% and 11% of total net revenues. In 2011, three customers accounted for 17%, 11% and 10% of total net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256"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IPO. For periods that ended prior to the conversion, basic and diluted net income per common share were presented in conformity with the two-class method required for participating securities.</w:t>
      </w:r>
    </w:p>
    <w:p>
      <w:pPr>
        <w:spacing w:after="0" w:line="127"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Company’s IPO and the automatic conversion of the outstanding convertible preferred stock, the Company had no other participating securities and the two-class method is no longer applicable.</w:t>
      </w:r>
    </w:p>
    <w:p>
      <w:pPr>
        <w:spacing w:after="0" w:line="134"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Basic net loss per share attributable to common stockholders is calculated by dividing net loss attributable to common stockholders by the weighted average number of shares outstanding for the period. 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and non-vested restricted stock units.</w:t>
      </w:r>
    </w:p>
    <w:p>
      <w:pPr>
        <w:spacing w:after="0" w:line="11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periods presented because including them would have been anti-dilutive (in thousands):</w:t>
      </w:r>
    </w:p>
    <w:p>
      <w:pPr>
        <w:spacing w:after="0" w:line="200" w:lineRule="exact"/>
        <w:rPr>
          <w:sz w:val="20"/>
          <w:szCs w:val="20"/>
          <w:color w:val="auto"/>
        </w:rPr>
      </w:pPr>
    </w:p>
    <w:p>
      <w:pPr>
        <w:spacing w:after="0" w:line="300"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600" w:type="dxa"/>
            <w:vAlign w:val="bottom"/>
            <w:tcBorders>
              <w:bottom w:val="single" w:sz="8" w:color="CCEEFF"/>
            </w:tcBorders>
            <w:gridSpan w:val="3"/>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25,171</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Stock options to purchase common stock</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8,196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8,174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6,256</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1600" w:type="dxa"/>
            <w:vAlign w:val="bottom"/>
            <w:tcBorders>
              <w:bottom w:val="single" w:sz="8" w:color="CCEEFF"/>
            </w:tcBorders>
            <w:gridSpan w:val="3"/>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Unvested restricted stock units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Convertible preferred stock warrants</w:t>
            </w:r>
          </w:p>
        </w:tc>
        <w:tc>
          <w:tcPr>
            <w:tcW w:w="1600" w:type="dxa"/>
            <w:vAlign w:val="bottom"/>
            <w:gridSpan w:val="3"/>
          </w:tcPr>
          <w:p>
            <w:pPr>
              <w:jc w:val="right"/>
              <w:ind w:right="108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215</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8,885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8,753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175" w:lineRule="exact"/>
        <w:rPr>
          <w:sz w:val="20"/>
          <w:szCs w:val="20"/>
          <w:color w:val="auto"/>
        </w:rPr>
      </w:pPr>
    </w:p>
    <w:p>
      <w:pPr>
        <w:ind w:right="100" w:firstLine="446"/>
        <w:spacing w:after="0" w:line="302" w:lineRule="auto"/>
        <w:rPr>
          <w:sz w:val="20"/>
          <w:szCs w:val="20"/>
          <w:color w:val="auto"/>
        </w:rPr>
      </w:pPr>
      <w:r>
        <w:rPr>
          <w:rFonts w:ascii="Arial" w:cs="Arial" w:eastAsia="Arial" w:hAnsi="Arial"/>
          <w:sz w:val="16"/>
          <w:szCs w:val="16"/>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following tables present net revenues (based on the destination of shipments) and long-lived assets by geographic region as of and for the periods presented (in thousands):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192,881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128,692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39,965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26,967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20,831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232,846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216,678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149,523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b w:val="1"/>
                <w:bCs w:val="1"/>
                <w:i w:val="1"/>
                <w:iCs w:val="1"/>
                <w:color w:val="auto"/>
              </w:rPr>
              <w:t>Long-Lived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16,262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18,411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75" w:lineRule="exact"/>
        <w:rPr>
          <w:sz w:val="20"/>
          <w:szCs w:val="20"/>
          <w:color w:val="auto"/>
        </w:rPr>
      </w:pPr>
    </w:p>
    <w:p>
      <w:pPr>
        <w:jc w:val="both"/>
        <w:ind w:right="80" w:firstLine="446"/>
        <w:spacing w:after="0" w:line="264" w:lineRule="auto"/>
        <w:rPr>
          <w:sz w:val="20"/>
          <w:szCs w:val="20"/>
          <w:color w:val="auto"/>
        </w:rPr>
      </w:pPr>
      <w:r>
        <w:rPr>
          <w:rFonts w:ascii="Arial" w:cs="Arial" w:eastAsia="Arial" w:hAnsi="Arial"/>
          <w:sz w:val="18"/>
          <w:szCs w:val="18"/>
          <w:color w:val="auto"/>
        </w:rPr>
        <w:t>KPCB Holdings, Inc. ("KPCB"), as nominee for certain funds of Kleiner Perkins Caufield &amp; Byers, owned approximately 11 percent of the Company's outstanding stock as of December 31, 2013. Revenues recognized from sales of microinverters to entities that are majority-owned by KPCB entities in 2013, 2012 and 2011 were $2.7 million, $16.8 million and $6.4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Quarterly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Arial" w:cs="Arial" w:eastAsia="Arial" w:hAnsi="Arial"/>
                <w:sz w:val="14"/>
                <w:szCs w:val="14"/>
                <w:b w:val="1"/>
                <w:bCs w:val="1"/>
                <w:color w:val="auto"/>
              </w:rPr>
              <w:t>Quarters Ended for Fiscal 2013</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3"/>
        </w:trPr>
        <w:tc>
          <w:tcPr>
            <w:tcW w:w="8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8"/>
        </w:trPr>
        <w:tc>
          <w:tcPr>
            <w:tcW w:w="8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8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67,056</w:t>
            </w:r>
          </w:p>
        </w:tc>
      </w:tr>
      <w:tr>
        <w:trPr>
          <w:trHeight w:val="270"/>
        </w:trPr>
        <w:tc>
          <w:tcPr>
            <w:tcW w:w="516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33,376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41,883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44,611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45,560</w:t>
            </w: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21,496</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8,721</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8,315</w:t>
            </w: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6,071</w:t>
            </w:r>
          </w:p>
        </w:tc>
      </w:tr>
      <w:tr>
        <w:trPr>
          <w:trHeight w:val="237"/>
        </w:trPr>
        <w:tc>
          <w:tcPr>
            <w:tcW w:w="516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23,107</w:t>
            </w:r>
          </w:p>
        </w:tc>
      </w:tr>
      <w:tr>
        <w:trPr>
          <w:trHeight w:val="27"/>
        </w:trPr>
        <w:tc>
          <w:tcPr>
            <w:tcW w:w="8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7"/>
        </w:trPr>
        <w:tc>
          <w:tcPr>
            <w:tcW w:w="8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8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r>
      <w:tr>
        <w:trPr>
          <w:trHeight w:val="20"/>
        </w:trPr>
        <w:tc>
          <w:tcPr>
            <w:tcW w:w="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163"/>
        </w:trPr>
        <w:tc>
          <w:tcPr>
            <w:tcW w:w="8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64"/>
        </w:trPr>
        <w:tc>
          <w:tcPr>
            <w:tcW w:w="84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Quarters Ended for Fiscal 2012</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64"/>
        </w:trPr>
        <w:tc>
          <w:tcPr>
            <w:tcW w:w="840" w:type="dxa"/>
            <w:vAlign w:val="bottom"/>
            <w:shd w:val="clear" w:color="auto" w:fill="CCEEFF"/>
          </w:tcPr>
          <w:p>
            <w:pPr>
              <w:spacing w:after="0"/>
              <w:rPr>
                <w:sz w:val="22"/>
                <w:szCs w:val="22"/>
                <w:color w:val="auto"/>
              </w:rPr>
            </w:pPr>
          </w:p>
        </w:tc>
        <w:tc>
          <w:tcPr>
            <w:tcW w:w="4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42,600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55,697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60,813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57,568</w:t>
            </w: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33,293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42,096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41,512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9,307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13,601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16,056</w:t>
            </w:r>
          </w:p>
        </w:tc>
      </w:tr>
      <w:tr>
        <w:trPr>
          <w:trHeight w:val="27"/>
        </w:trPr>
        <w:tc>
          <w:tcPr>
            <w:tcW w:w="8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8,533</w:t>
            </w: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7,525</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6,177</w:t>
            </w:r>
          </w:p>
        </w:tc>
      </w:tr>
      <w:tr>
        <w:trPr>
          <w:trHeight w:val="27"/>
        </w:trPr>
        <w:tc>
          <w:tcPr>
            <w:tcW w:w="8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22,235</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(6,179)</w:t>
            </w: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(7,437)</w:t>
            </w: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9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w:t>
            </w:r>
          </w:p>
        </w:tc>
      </w:tr>
      <w:tr>
        <w:trPr>
          <w:trHeight w:val="251"/>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840" w:type="dxa"/>
            <w:vAlign w:val="bottom"/>
            <w:tcBorders>
              <w:bottom w:val="single" w:sz="8" w:color="auto"/>
            </w:tcBorders>
          </w:tcPr>
          <w:p>
            <w:pPr>
              <w:spacing w:after="0"/>
              <w:rPr>
                <w:sz w:val="21"/>
                <w:szCs w:val="21"/>
                <w:color w:val="auto"/>
              </w:rPr>
            </w:pPr>
          </w:p>
        </w:tc>
        <w:tc>
          <w:tcPr>
            <w:tcW w:w="4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34" w:lineRule="exact"/>
        <w:rPr>
          <w:sz w:val="20"/>
          <w:szCs w:val="20"/>
          <w:color w:val="auto"/>
        </w:rPr>
      </w:pPr>
    </w:p>
    <w:p>
      <w:pPr>
        <w:ind w:left="860" w:right="2420" w:hanging="265"/>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5 to the Consolidated Financial Statements for a description of changes in estimates related to warranty expense in 2013 and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31, 2013 based on criteria set forth in Internal Control – Integrated Framework issued by the Committee of Sponsoring Organizations of the Treadway Commission (1992 framework). As a result of this assessment, management concluded that, as of December 31, 2013, our internal control over financial reporting was effective.</w:t>
      </w:r>
    </w:p>
    <w:p>
      <w:pPr>
        <w:spacing w:after="0" w:line="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As a result, we are exempt from the auditor attestation requirements related to internal controls over financial reporting pursuant to Section 404 of the Sarbanes-Oxley Act. In addition, for as long as we remain an “emerging growth company,” we will continue to be exempt from the auditor attestation requirement in the assessment of the effectiveness of our internal control over financial reporting through the end of fiscal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ended December 31, 2013 that materially affected, or are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2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the section entitled “Proposal 1-Election of Directors” in our definitive Proxy Statement for the 2014 Annual Meeting of Stockholders (our “Proxy Statement”), a copy of which will be filed with the Securities and Exchange Commission on or before April 30, 2014.</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the section entitled “Section 16(a) Beneficial Ownership Reporting Compliance” in our Proxy Statement.</w:t>
      </w:r>
    </w:p>
    <w:p>
      <w:pPr>
        <w:spacing w:after="0" w:line="170"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We have a written code of conduct that applies to all our executive officers, directors and employees. Our Code of Conduct is available on our website at </w:t>
      </w:r>
      <w:r>
        <w:rPr>
          <w:rFonts w:ascii="Arial" w:cs="Arial" w:eastAsia="Arial" w:hAnsi="Arial"/>
          <w:sz w:val="18"/>
          <w:szCs w:val="18"/>
          <w:i w:val="1"/>
          <w:iCs w:val="1"/>
          <w:color w:val="auto"/>
        </w:rPr>
        <w:t>http://investor.enphase.com/governance.cfm</w:t>
      </w:r>
      <w:r>
        <w:rPr>
          <w:rFonts w:ascii="Arial" w:cs="Arial" w:eastAsia="Arial" w:hAnsi="Arial"/>
          <w:sz w:val="18"/>
          <w:szCs w:val="18"/>
          <w:color w:val="auto"/>
        </w:rPr>
        <w:t>. A copy of our Code of Conduct may also be obtained free of charge by writing to our Assistant Secretary, Enphase Energy, Inc., 1420 N. McDowell Blvd., Petaluma, CA 94954.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“Director Compensation,” “Compensation Committee Report” and “Compensation Committee Interlocks and Insider Participation” in our Proxy Statement.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herein by reference from the information contained in the section entitled “Employee Benefit Plans”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is incorporated herein by reference from the information contained in the sections entitled “Principal Accountant Fees and Services” and “Pre-Approval Policies and Procedures” in the section entitled “Proposal 2-Ratification of Selection of Independent Registered Public Accounting Firm” in our Proxy Statement.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information concerning our consolidated financial statements, and Report of Independent Registered Public Accounting Firm required by this Item is incorporated by reference herein to the section of this Annual Report on Form 10-K in Item 8, </w:t>
      </w:r>
      <w:r>
        <w:rPr>
          <w:rFonts w:ascii="Arial" w:cs="Arial" w:eastAsia="Arial" w:hAnsi="Arial"/>
          <w:sz w:val="18"/>
          <w:szCs w:val="18"/>
          <w:i w:val="1"/>
          <w:iCs w:val="1"/>
          <w:color w:val="auto"/>
        </w:rPr>
        <w:t>Consolidated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schedules are provided because they are not applicable, not required under the instructions, or the requested information is shown in the financial statements or related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Annual Report on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4, 2014.</w:t>
      </w: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Enphase Energy, Inc.</w:t>
      </w:r>
    </w:p>
    <w:p>
      <w:pPr>
        <w:spacing w:after="0" w:line="337"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tab/>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2152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Paul B. Nahi and Kris Sennesael,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9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r>
      <w:tr>
        <w:trPr>
          <w:trHeight w:val="540"/>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PAUL B. NAHI</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 (Principal Executive</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Paul B. Nahi</w:t>
            </w:r>
          </w:p>
        </w:tc>
        <w:tc>
          <w:tcPr>
            <w:tcW w:w="12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1480" w:type="dxa"/>
            <w:vAlign w:val="bottom"/>
          </w:tcPr>
          <w:p>
            <w:pPr>
              <w:spacing w:after="0"/>
              <w:rPr>
                <w:sz w:val="20"/>
                <w:szCs w:val="20"/>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KRIS SENNESAEL</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w w:val="94"/>
              </w:rPr>
              <w:t>Vice President and Chief Financial Officer (Principal Financial and</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Kris Sennesael</w:t>
            </w:r>
          </w:p>
        </w:tc>
        <w:tc>
          <w:tcPr>
            <w:tcW w:w="12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6"/>
              </w:rPr>
              <w:t>/s/ NEAL DEMPSEY</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Neal Dempsey</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STEVEN J. GOMO</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Steven J. Gomo</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7"/>
              </w:rPr>
              <w:t>/s/ BENJAMIN KORTLANG</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3"/>
              </w:rPr>
              <w:t>Benjamin Kortlang</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JAMESON J. MCJUNKIN</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Jameson J. McJunkin</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8"/>
              </w:rPr>
              <w:t>/s/ RICHARD MORA</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2"/>
              </w:rPr>
              <w:t>Richard Mora</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ROBERT SCHWARTZ</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0"/>
              </w:rPr>
              <w:t>Robert Schwartz</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JOHN H. WEBER</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4, 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John H. Weber</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4800" w:type="dxa"/>
            <w:vAlign w:val="bottom"/>
          </w:tcPr>
          <w:p>
            <w:pPr>
              <w:spacing w:after="0"/>
              <w:rPr>
                <w:sz w:val="24"/>
                <w:szCs w:val="24"/>
                <w:color w:val="auto"/>
              </w:rPr>
            </w:pPr>
          </w:p>
        </w:tc>
        <w:tc>
          <w:tcPr>
            <w:tcW w:w="5040" w:type="dxa"/>
            <w:vAlign w:val="bottom"/>
            <w:gridSpan w:val="2"/>
          </w:tcPr>
          <w:p>
            <w:pPr>
              <w:jc w:val="right"/>
              <w:ind w:right="395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5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404"/>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 thereto,</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dated March 15, 2010, as amended.</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6"/>
              </w:rPr>
              <w:t>Warrant to Purchase Stock, between Enphase Energy, Inc. and Compass Horizon Funding Company LLC, dated March 11, 2010.</w:t>
            </w:r>
            <w:r>
              <w:rPr>
                <w:rFonts w:ascii="Arial" w:cs="Arial" w:eastAsia="Arial" w:hAnsi="Arial"/>
                <w:sz w:val="25"/>
                <w:szCs w:val="25"/>
                <w:color w:val="auto"/>
                <w:w w:val="96"/>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7"/>
              </w:rPr>
              <w:t>Warrant to Purchase Stock, between Enphase Energy, Inc. and Horizon Technology Finance Corporation, dated March 25, 2011.</w:t>
            </w:r>
            <w:r>
              <w:rPr>
                <w:rFonts w:ascii="Arial" w:cs="Arial" w:eastAsia="Arial" w:hAnsi="Arial"/>
                <w:sz w:val="25"/>
                <w:szCs w:val="25"/>
                <w:color w:val="auto"/>
                <w:w w:val="97"/>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0"/>
              </w:rPr>
              <w:t>Warrant Agreement to Purchase Stock, between Enphase Energy, Inc. and Hercules Technology Growth Capital, Inc., dated June 13, 2011.</w:t>
            </w:r>
            <w:r>
              <w:rPr>
                <w:rFonts w:ascii="Arial" w:cs="Arial" w:eastAsia="Arial" w:hAnsi="Arial"/>
                <w:sz w:val="25"/>
                <w:szCs w:val="25"/>
                <w:color w:val="auto"/>
                <w:w w:val="90"/>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8"/>
              </w:rPr>
              <w:t>Form of June 2011 Warrant to Purchase Common Stock of Enphase Energy, Inc., pursuant to that certain Amended and Restated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Form of November 2011 Warrant to Purchase Common Stock of Enphase Energy, Inc., pursuant to that certain Amended and Restated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Form of Indemnification Agreement by and between Enphase Energy, Inc. and each of its directors and officers.</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2006 Equity Incentive Plan, as amended, and related documents. </w:t>
            </w:r>
            <w:r>
              <w:rPr>
                <w:rFonts w:ascii="Arial" w:cs="Arial" w:eastAsia="Arial" w:hAnsi="Arial"/>
                <w:sz w:val="25"/>
                <w:szCs w:val="25"/>
                <w:color w:val="auto"/>
                <w:vertAlign w:val="superscript"/>
              </w:rPr>
              <w:t>(4)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2011 Equity Incentive Plan and forms of agreement thereunder.</w:t>
            </w:r>
            <w:r>
              <w:rPr>
                <w:rFonts w:ascii="Arial" w:cs="Arial" w:eastAsia="Arial" w:hAnsi="Arial"/>
                <w:sz w:val="25"/>
                <w:szCs w:val="25"/>
                <w:color w:val="auto"/>
                <w:vertAlign w:val="superscript"/>
              </w:rPr>
              <w:t>(5)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2011 Employee Stock Purchase Plan.</w:t>
            </w:r>
            <w:r>
              <w:rPr>
                <w:rFonts w:ascii="Arial" w:cs="Arial" w:eastAsia="Arial" w:hAnsi="Arial"/>
                <w:sz w:val="25"/>
                <w:szCs w:val="25"/>
                <w:color w:val="auto"/>
                <w:vertAlign w:val="superscript"/>
              </w:rPr>
              <w:t>(6)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Offer Letter by and between Enphase Energy, Inc. and Paul B. Nahi, dated January 1, 2007, as amended.</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Offer Letter by and between Enphase Energy, Inc. and Jeff Loebbaka, dated April 19, 2010. </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9"/>
              </w:rPr>
              <w:t xml:space="preserve">Employment Agreement by and between Enphase Energy, Inc. and Raghuveer R. Belur, dated March 21, 2006, as amended. </w:t>
            </w:r>
            <w:r>
              <w:rPr>
                <w:rFonts w:ascii="Arial" w:cs="Arial" w:eastAsia="Arial" w:hAnsi="Arial"/>
                <w:sz w:val="25"/>
                <w:szCs w:val="25"/>
                <w:color w:val="auto"/>
                <w:w w:val="99"/>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Amended and Restated Venture Loan and Security Agreement by and between Enphase Energy, Inc., Horizon Technology Finance</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Corporation and Horizon Credit I LLC, dated March 25, 2011,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Amended and Restated Loan and Security Agreement by and between Enphase Energy, Inc., Bridge Bank, National Association and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Comerica Bank, dated March 24, 2011,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Loan and Security Agreement by and between Enphase Energy, Inc. and Hercules Technology Growth Capital, Inc., dated June 13, 2011, as</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Waterfront Office Building Full Service Lease by and between Enphase Energy, Inc. and Petaluma Theatre District, LLC, dated February 3,</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2008,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Redwood Business Park NNN Lease by and between Enphase Energy, Inc. and Sequoia Center LLC, dated June 3, 2011 (1400 North</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McDowell Boulevard),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Redwood Business Park NNN Lease by and between Enphase Energy, Inc. and Sequoia Center LLC, dated June 3, 2011 (1420 North</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McDowell Boulevard),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Cooperation Agreement “AC cabling system for solar micro-inverter” by and among Enphase Energy, Inc., and Phoenix Contact GmbH &amp;</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 KG and Phoenix Contact USA, Inc., dated December 7, 2010.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4"/>
              </w:rPr>
              <w:t xml:space="preserve">Flextronics Logistics Services Agreement by and between Enphase Energy, Inc. and Flextronics America, LLC, dated May 1, 2009. </w:t>
            </w:r>
            <w:r>
              <w:rPr>
                <w:rFonts w:ascii="Arial" w:cs="Arial" w:eastAsia="Arial" w:hAnsi="Arial"/>
                <w:sz w:val="25"/>
                <w:szCs w:val="25"/>
                <w:color w:val="auto"/>
                <w:w w:val="94"/>
                <w:vertAlign w:val="superscript"/>
              </w:rPr>
              <w:t>(3) †</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Flextronics Manufacturing Services Agreement by and between Enphase Energy, Inc. and Flextronics Industrial, Ltd., dated March 1, 2009,</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as amended. </w:t>
            </w:r>
            <w:r>
              <w:rPr>
                <w:rFonts w:ascii="Arial" w:cs="Arial" w:eastAsia="Arial" w:hAnsi="Arial"/>
                <w:sz w:val="25"/>
                <w:szCs w:val="25"/>
                <w:color w:val="auto"/>
                <w:vertAlign w:val="superscript"/>
              </w:rPr>
              <w:t>(3) †</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Master Development and Production Agreement by and between Enphase Energy, Inc. and Fujitsu Microelectronics America, Inc., dated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August 19, 2009.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0"/>
              </w:rPr>
              <w:t xml:space="preserve">License and Technology Transfer Agreement by and between Enphase Energy, Inc. and Ariane Controls, Inc., dated December 21, 2007. </w:t>
            </w:r>
            <w:r>
              <w:rPr>
                <w:rFonts w:ascii="Arial" w:cs="Arial" w:eastAsia="Arial" w:hAnsi="Arial"/>
                <w:sz w:val="25"/>
                <w:szCs w:val="25"/>
                <w:color w:val="auto"/>
                <w:w w:val="90"/>
                <w:vertAlign w:val="superscript"/>
              </w:rPr>
              <w:t>(3) †</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Software License Agreement by and between PVI Solutions, Inc. (subsequently known as Enphase Energy, Inc.) and DCD, Digital Core</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Design, dated May 8, 2007, as amended.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Executive Severance Agreement by and between Enphase Energy, Inc. and Paul B. Nahi, dated June 14, 2011.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7"/>
              </w:rPr>
              <w:t xml:space="preserve">Change in Control and Severance Agreement by and between Enphase Energy, Inc. and Jeff Loebbaka, dated June 14, 2011. </w:t>
            </w:r>
            <w:r>
              <w:rPr>
                <w:rFonts w:ascii="Arial" w:cs="Arial" w:eastAsia="Arial" w:hAnsi="Arial"/>
                <w:sz w:val="25"/>
                <w:szCs w:val="25"/>
                <w:color w:val="auto"/>
                <w:w w:val="97"/>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Executive Severance Agreement by and between Enphase Energy, Inc. and Raghuveer R. Belur, dated June 14, 2011. </w:t>
            </w:r>
            <w:r>
              <w:rPr>
                <w:rFonts w:ascii="Arial" w:cs="Arial" w:eastAsia="Arial" w:hAnsi="Arial"/>
                <w:sz w:val="25"/>
                <w:szCs w:val="25"/>
                <w:color w:val="auto"/>
                <w:vertAlign w:val="superscript"/>
              </w:rPr>
              <w:t>(3) +</w:t>
            </w:r>
          </w:p>
        </w:tc>
      </w:tr>
      <w:tr>
        <w:trPr>
          <w:trHeight w:val="242"/>
        </w:trPr>
        <w:tc>
          <w:tcPr>
            <w:tcW w:w="104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 xml:space="preserve">Non-employee Director Compensation Policy. </w:t>
            </w:r>
            <w:r>
              <w:rPr>
                <w:rFonts w:ascii="Arial" w:cs="Arial" w:eastAsia="Arial" w:hAnsi="Arial"/>
                <w:sz w:val="18"/>
                <w:szCs w:val="18"/>
                <w:color w:val="auto"/>
                <w:vertAlign w:val="superscript"/>
              </w:rPr>
              <w:t>(3)</w:t>
            </w:r>
            <w:r>
              <w:rPr>
                <w:rFonts w:ascii="Arial" w:cs="Arial" w:eastAsia="Arial" w:hAnsi="Arial"/>
                <w:sz w:val="18"/>
                <w:szCs w:val="18"/>
                <w:color w:val="auto"/>
              </w:rPr>
              <w:t xml:space="preserve"> +</w:t>
            </w:r>
          </w:p>
        </w:tc>
      </w:tr>
      <w:tr>
        <w:trPr>
          <w:trHeight w:val="245"/>
        </w:trPr>
        <w:tc>
          <w:tcPr>
            <w:tcW w:w="1040" w:type="dxa"/>
            <w:vAlign w:val="bottom"/>
          </w:tcPr>
          <w:p>
            <w:pPr>
              <w:ind w:lef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Loan and Security Modification Agreement between Bridge Bank, National Association, Comerica Bank, and Enphase Energy, Inc. dated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June 29, 2012. </w:t>
            </w:r>
            <w:r>
              <w:rPr>
                <w:rFonts w:ascii="Arial" w:cs="Arial" w:eastAsia="Arial" w:hAnsi="Arial"/>
                <w:sz w:val="25"/>
                <w:szCs w:val="25"/>
                <w:color w:val="auto"/>
                <w:vertAlign w:val="superscript"/>
              </w:rPr>
              <w:t>(8)</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Third Amendment of Amended and Restated Venture Loan and Security Agreement by and among Horizon Technology Finance</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Corporation, Horizon Credit I LLC, and Enphase Energy, Inc., dated June 29,2012. </w:t>
            </w:r>
            <w:r>
              <w:rPr>
                <w:rFonts w:ascii="Arial" w:cs="Arial" w:eastAsia="Arial" w:hAnsi="Arial"/>
                <w:sz w:val="25"/>
                <w:szCs w:val="25"/>
                <w:color w:val="auto"/>
                <w:vertAlign w:val="superscript"/>
              </w:rPr>
              <w:t>(8)</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2"/>
              </w:rPr>
              <w:t>Second Amendment to Redwood Business Park NNN Lease, between Enphase Energy, Inc. &amp; Sequoia Center LLC, dated July 3, 2012.</w:t>
            </w:r>
            <w:r>
              <w:rPr>
                <w:rFonts w:ascii="Arial" w:cs="Arial" w:eastAsia="Arial" w:hAnsi="Arial"/>
                <w:sz w:val="25"/>
                <w:szCs w:val="25"/>
                <w:color w:val="auto"/>
                <w:w w:val="92"/>
                <w:vertAlign w:val="superscript"/>
              </w:rPr>
              <w:t>(9)</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Separation Agreement, dated August 6, 2012, by and between Sanjeev Kumar and Enphase Energy, Inc. </w:t>
            </w:r>
            <w:r>
              <w:rPr>
                <w:rFonts w:ascii="Arial" w:cs="Arial" w:eastAsia="Arial" w:hAnsi="Arial"/>
                <w:sz w:val="25"/>
                <w:szCs w:val="25"/>
                <w:color w:val="auto"/>
                <w:vertAlign w:val="superscript"/>
              </w:rPr>
              <w:t>(9)+</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Amendment No. 4 to Loan and Security Agreement, dated July 27, 2012, by and between Hercules Technology Growth Capital, Inc. and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Enphase Energy, Inc. </w:t>
            </w:r>
            <w:r>
              <w:rPr>
                <w:rFonts w:ascii="Arial" w:cs="Arial" w:eastAsia="Arial" w:hAnsi="Arial"/>
                <w:sz w:val="25"/>
                <w:szCs w:val="25"/>
                <w:color w:val="auto"/>
                <w:vertAlign w:val="superscript"/>
              </w:rPr>
              <w:t>(9)</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Offer Letter by and between Enphase Energy, Inc. and Kris Sennesael, dated September 17, 2012. </w:t>
            </w:r>
            <w:r>
              <w:rPr>
                <w:rFonts w:ascii="Arial" w:cs="Arial" w:eastAsia="Arial" w:hAnsi="Arial"/>
                <w:sz w:val="25"/>
                <w:szCs w:val="25"/>
                <w:color w:val="auto"/>
                <w:vertAlign w:val="superscript"/>
              </w:rPr>
              <w:t>(9)+</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Offer Letter by and between Enphase Energy, Inc. and Stephen Lapointe, dated July 31, 2012. </w:t>
            </w:r>
            <w:r>
              <w:rPr>
                <w:rFonts w:ascii="Arial" w:cs="Arial" w:eastAsia="Arial" w:hAnsi="Arial"/>
                <w:sz w:val="25"/>
                <w:szCs w:val="25"/>
                <w:color w:val="auto"/>
                <w:vertAlign w:val="superscript"/>
              </w:rPr>
              <w:t>(9)+</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Credit Agreement by and among the lenders identified on the signature pages thereof, Wells Fargo Bank, N.A., as an agent for the lenders,</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and Enphase Energy, Inc. dated November 7, 2012.</w:t>
            </w:r>
            <w:r>
              <w:rPr>
                <w:rFonts w:ascii="Arial" w:cs="Arial" w:eastAsia="Arial" w:hAnsi="Arial"/>
                <w:sz w:val="25"/>
                <w:szCs w:val="25"/>
                <w:color w:val="auto"/>
                <w:vertAlign w:val="superscript"/>
              </w:rPr>
              <w:t>(10)</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Loan and Security Agreement by and between Enphase Energy, Inc., certain of it subsidiaries and Hercules Technology Growth Capital, Inc.</w:t>
            </w:r>
          </w:p>
        </w:tc>
      </w:tr>
      <w:tr>
        <w:trPr>
          <w:trHeight w:val="32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dated November 7, 2012.</w:t>
            </w:r>
            <w:r>
              <w:rPr>
                <w:rFonts w:ascii="Arial" w:cs="Arial" w:eastAsia="Arial" w:hAnsi="Arial"/>
                <w:sz w:val="25"/>
                <w:szCs w:val="25"/>
                <w:color w:val="auto"/>
                <w:vertAlign w:val="superscript"/>
              </w:rPr>
              <w:t>(11)</w:t>
            </w:r>
          </w:p>
        </w:tc>
      </w:tr>
    </w:tbl>
    <w:p>
      <w:pPr>
        <w:sectPr>
          <w:pgSz w:w="11900" w:h="16838" w:orient="portrait"/>
          <w:cols w:equalWidth="0" w:num="1">
            <w:col w:w="11420"/>
          </w:cols>
          <w:pgMar w:left="240" w:top="122" w:right="23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00" w:type="dxa"/>
            <w:vAlign w:val="bottom"/>
          </w:tcPr>
          <w:p>
            <w:pPr>
              <w:spacing w:after="0"/>
              <w:rPr>
                <w:sz w:val="20"/>
                <w:szCs w:val="20"/>
                <w:color w:val="auto"/>
              </w:rPr>
            </w:pPr>
            <w:r>
              <w:rPr>
                <w:rFonts w:ascii="Arial" w:cs="Arial" w:eastAsia="Arial" w:hAnsi="Arial"/>
                <w:sz w:val="18"/>
                <w:szCs w:val="18"/>
                <w:color w:val="auto"/>
              </w:rPr>
              <w:t>10.49</w:t>
            </w:r>
          </w:p>
        </w:tc>
        <w:tc>
          <w:tcPr>
            <w:tcW w:w="10360" w:type="dxa"/>
            <w:vAlign w:val="bottom"/>
          </w:tcPr>
          <w:p>
            <w:pPr>
              <w:ind w:left="240"/>
              <w:spacing w:after="0"/>
              <w:rPr>
                <w:sz w:val="20"/>
                <w:szCs w:val="20"/>
                <w:color w:val="auto"/>
              </w:rPr>
            </w:pPr>
            <w:r>
              <w:rPr>
                <w:rFonts w:ascii="Arial" w:cs="Arial" w:eastAsia="Arial" w:hAnsi="Arial"/>
                <w:sz w:val="18"/>
                <w:szCs w:val="18"/>
                <w:color w:val="auto"/>
              </w:rPr>
              <w:t>2013 Performance Bonus Program Summary.</w:t>
            </w:r>
            <w:r>
              <w:rPr>
                <w:rFonts w:ascii="Arial" w:cs="Arial" w:eastAsia="Arial" w:hAnsi="Arial"/>
                <w:sz w:val="25"/>
                <w:szCs w:val="25"/>
                <w:color w:val="auto"/>
                <w:vertAlign w:val="superscript"/>
              </w:rPr>
              <w:t>(12) +</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10.50</w:t>
            </w:r>
          </w:p>
        </w:tc>
        <w:tc>
          <w:tcPr>
            <w:tcW w:w="10360" w:type="dxa"/>
            <w:vAlign w:val="bottom"/>
          </w:tcPr>
          <w:p>
            <w:pPr>
              <w:ind w:left="240"/>
              <w:spacing w:after="0" w:line="270" w:lineRule="exact"/>
              <w:rPr>
                <w:sz w:val="20"/>
                <w:szCs w:val="20"/>
                <w:color w:val="auto"/>
              </w:rPr>
            </w:pPr>
            <w:r>
              <w:rPr>
                <w:rFonts w:ascii="Arial" w:cs="Arial" w:eastAsia="Arial" w:hAnsi="Arial"/>
                <w:sz w:val="18"/>
                <w:szCs w:val="18"/>
                <w:color w:val="auto"/>
              </w:rPr>
              <w:t>Severance and Change in Control Benefit Plan.</w:t>
            </w:r>
            <w:r>
              <w:rPr>
                <w:rFonts w:ascii="Arial" w:cs="Arial" w:eastAsia="Arial" w:hAnsi="Arial"/>
                <w:sz w:val="25"/>
                <w:szCs w:val="25"/>
                <w:color w:val="auto"/>
                <w:vertAlign w:val="superscript"/>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10.51</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Amendment No. 1 to Credit Agreement by and between Enphase Energy, Inc. and Wells Fargo Bank, National Association, dated February</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14, 2014.</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360" w:type="dxa"/>
            <w:vAlign w:val="bottom"/>
          </w:tcPr>
          <w:p>
            <w:pPr>
              <w:ind w:left="240"/>
              <w:spacing w:after="0"/>
              <w:rPr>
                <w:sz w:val="20"/>
                <w:szCs w:val="20"/>
                <w:color w:val="auto"/>
              </w:rPr>
            </w:pPr>
            <w:r>
              <w:rPr>
                <w:rFonts w:ascii="Arial" w:cs="Arial" w:eastAsia="Arial" w:hAnsi="Arial"/>
                <w:sz w:val="18"/>
                <w:szCs w:val="18"/>
                <w:color w:val="auto"/>
              </w:rPr>
              <w:t>List of subsidiaries of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tcPr>
          <w:p>
            <w:pPr>
              <w:ind w:left="24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10360" w:type="dxa"/>
            <w:vAlign w:val="bottom"/>
          </w:tcPr>
          <w:p>
            <w:pPr>
              <w:ind w:left="240"/>
              <w:spacing w:after="0"/>
              <w:rPr>
                <w:sz w:val="20"/>
                <w:szCs w:val="20"/>
                <w:color w:val="auto"/>
              </w:rPr>
            </w:pPr>
            <w:r>
              <w:rPr>
                <w:rFonts w:ascii="Arial" w:cs="Arial" w:eastAsia="Arial" w:hAnsi="Arial"/>
                <w:sz w:val="18"/>
                <w:szCs w:val="18"/>
                <w:color w:val="auto"/>
              </w:rPr>
              <w:t>Power of Attorney (incorporated by reference to the signature page of this Annual Report on Form 10-K).</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 906</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Presentation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180340</wp:posOffset>
            </wp:positionV>
            <wp:extent cx="643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60" w:right="900" w:hanging="482"/>
        <w:spacing w:after="0" w:line="258"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1" w:lineRule="exact"/>
        <w:rPr>
          <w:rFonts w:ascii="Arial" w:cs="Arial" w:eastAsia="Arial" w:hAnsi="Arial"/>
          <w:sz w:val="18"/>
          <w:szCs w:val="18"/>
          <w:color w:val="auto"/>
        </w:rPr>
      </w:pPr>
    </w:p>
    <w:p>
      <w:pPr>
        <w:ind w:left="1260" w:right="36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ind w:left="1260" w:right="10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ind w:left="1260" w:right="20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99.1 to the Registration Statement on Form S-8 (File No. 333-181382), filed with the Securities and Exchange Commission on May 14, 2012, and incorporated herein by reference.</w:t>
      </w:r>
    </w:p>
    <w:p>
      <w:pPr>
        <w:ind w:left="1260" w:right="20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99.2 to the Registration Statement on Form S-8 (File No. 333-181382), filed with the Securities and Exchange Commission on May 14, 2012, and incorporated herein by reference.</w:t>
      </w:r>
    </w:p>
    <w:p>
      <w:pPr>
        <w:ind w:left="1260" w:right="20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99.3 to the Registration Statement on Form S-8 (File No. 333-181382), filed with the Securities and Exchange Commission on May 14, 2012, and incorporated herein by reference.</w:t>
      </w:r>
    </w:p>
    <w:p>
      <w:pPr>
        <w:ind w:left="1260" w:right="18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as the like numbered exhibit to the Quarterly Report on Form 10-Q (File No. 001-35480), filed with the Securities and Exchange Commission on May 8, 2013.</w:t>
      </w:r>
    </w:p>
    <w:p>
      <w:pPr>
        <w:ind w:left="1260" w:right="38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the like numbered exhibit to the Quarterly Report on Form 10-Q (File No. 001-35480), filed with the Securities and Exchange Commission on August 13, 2012, and incorporated by reference herein.</w:t>
      </w:r>
    </w:p>
    <w:p>
      <w:pPr>
        <w:ind w:left="1260" w:right="38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the like numbered exhibit to the Quarterly Report on Form 10-Q (File No. 001-35480), filed with the Securities and Exchange Commission on November 13, 2012, and incorporated by reference herein.</w:t>
      </w:r>
    </w:p>
    <w:p>
      <w:pPr>
        <w:ind w:left="1260" w:right="82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November 13, 2012, and incorporated by reference herein.</w:t>
      </w:r>
    </w:p>
    <w:p>
      <w:pPr>
        <w:ind w:left="1260" w:right="82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10.2 to the Current Report on Form 8-K (File No. 001-35480), filed with the Securities and Exchange Commission on November 13, 2012, and incorporated by reference herein.</w:t>
      </w:r>
    </w:p>
    <w:p>
      <w:pPr>
        <w:ind w:left="1260" w:right="820" w:hanging="482"/>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January 29, 2013, and incorporated by reference herein.</w:t>
      </w:r>
    </w:p>
    <w:p>
      <w:pPr>
        <w:ind w:left="1260" w:hanging="482"/>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Previously filed as the like numbered exhibit to the Current Report on Form 8-K (File No. 001-35480), filed with the Securities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Exchange Commission on February 18, 2014.</w:t>
      </w:r>
    </w:p>
    <w:p>
      <w:pPr>
        <w:spacing w:after="0" w:line="9" w:lineRule="exact"/>
        <w:rPr>
          <w:sz w:val="20"/>
          <w:szCs w:val="20"/>
          <w:color w:val="auto"/>
        </w:rPr>
      </w:pPr>
    </w:p>
    <w:p>
      <w:pPr>
        <w:ind w:left="1260" w:hanging="482"/>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9" w:lineRule="exact"/>
        <w:rPr>
          <w:sz w:val="20"/>
          <w:szCs w:val="20"/>
          <w:color w:val="auto"/>
        </w:rPr>
      </w:pPr>
    </w:p>
    <w:p>
      <w:pPr>
        <w:ind w:left="1260" w:hanging="482"/>
        <w:spacing w:after="0"/>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Material in the exhibit marked with a “***” has been omitted pursuant to a request for confidential treatment filed with the Securities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Exchange Commission. Omitted portions have been filed separately with the Securities and Exchange Commission.</w:t>
      </w:r>
    </w:p>
    <w:p>
      <w:pPr>
        <w:spacing w:after="0" w:line="9" w:lineRule="exact"/>
        <w:rPr>
          <w:sz w:val="20"/>
          <w:szCs w:val="20"/>
          <w:color w:val="auto"/>
        </w:rPr>
      </w:pPr>
    </w:p>
    <w:p>
      <w:pPr>
        <w:ind w:left="1260" w:hanging="482"/>
        <w:spacing w:after="0"/>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certifications attached as Exhibit 32.1 accompany this quarterly report on Form 10-K pursuant to 18 U.S.C. Section 1350, as adopted</w:t>
      </w:r>
    </w:p>
    <w:p>
      <w:pPr>
        <w:spacing w:after="0" w:line="32" w:lineRule="exact"/>
        <w:rPr>
          <w:sz w:val="20"/>
          <w:szCs w:val="20"/>
          <w:color w:val="auto"/>
        </w:rPr>
      </w:pPr>
    </w:p>
    <w:p>
      <w:pPr>
        <w:ind w:left="1260" w:right="540"/>
        <w:spacing w:after="0" w:line="250" w:lineRule="auto"/>
        <w:rPr>
          <w:sz w:val="20"/>
          <w:szCs w:val="20"/>
          <w:color w:val="auto"/>
        </w:rPr>
      </w:pPr>
      <w:r>
        <w:rPr>
          <w:rFonts w:ascii="Arial" w:cs="Arial" w:eastAsia="Arial" w:hAnsi="Arial"/>
          <w:sz w:val="18"/>
          <w:szCs w:val="18"/>
          <w:color w:val="auto"/>
        </w:rPr>
        <w:t>pursuant to Section 906 of the Sarbanes-Oxley Act of 2002, and shall not be deemed “filed” by Enphase Energy, Inc. for purposes of Section 18 of the Securities Exchange Act of 1934, as amended.</w:t>
      </w:r>
    </w:p>
    <w:p>
      <w:pPr>
        <w:spacing w:after="0" w:line="1" w:lineRule="exact"/>
        <w:rPr>
          <w:sz w:val="20"/>
          <w:szCs w:val="20"/>
          <w:color w:val="auto"/>
        </w:rPr>
      </w:pPr>
    </w:p>
    <w:p>
      <w:pPr>
        <w:ind w:left="1260" w:hanging="482"/>
        <w:spacing w:after="0" w:line="268"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Enphase Energy, Inc. is deemed to have complied with the reporting obligation relating to the submission of interactive data files in such exhibits and are not subject to liability under any anti-fraud provisions of the federal securities laws as long as Enphase Energy, Inc. has 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 registration statement or other document filed under the Securities Act of 1933, as amended, except as expressly set forth by specific reference in such filing.</w:t>
      </w:r>
    </w:p>
    <w:p>
      <w:pPr>
        <w:sectPr>
          <w:pgSz w:w="11900" w:h="16838" w:orient="portrait"/>
          <w:cols w:equalWidth="0" w:num="1">
            <w:col w:w="11360"/>
          </w:cols>
          <w:pgMar w:left="28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80" w:top="108" w:right="25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Australia Pty. Ltd., an Australian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Canada, Inc., a Canadian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S.A.S., a French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S.r.l., an Italian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New Zealand Limited, a New Zealand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UK Limited, a United Kingdom corporation.</w:t>
      </w:r>
    </w:p>
    <w:p>
      <w:pPr>
        <w:sectPr>
          <w:pgSz w:w="11900" w:h="16838" w:orient="portrait"/>
          <w:cols w:equalWidth="0" w:num="1">
            <w:col w:w="11380"/>
          </w:cols>
          <w:pgMar w:left="28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333-181382 and 333-187057 on Form S-8 of our report dated March 4, 2014, with respect to the consolidated financial statements of Enphase Energy, Inc. and subsidiaries appearing in this Annual Report on Form 10-K of Enphase Energy, Inc. for the year ended December 31,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40" w:hanging="172"/>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60" w:right="60" w:firstLine="1"/>
        <w:spacing w:after="0" w:line="311" w:lineRule="auto"/>
        <w:tabs>
          <w:tab w:leader="none" w:pos="15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520" w:hanging="459"/>
        <w:spacing w:after="0"/>
        <w:tabs>
          <w:tab w:leader="none" w:pos="15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60" w:right="220" w:firstLine="1"/>
        <w:spacing w:after="0" w:line="387" w:lineRule="auto"/>
        <w:tabs>
          <w:tab w:leader="none" w:pos="1503"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060" w:right="160" w:firstLine="1"/>
        <w:spacing w:after="0" w:line="311" w:lineRule="auto"/>
        <w:tabs>
          <w:tab w:leader="none" w:pos="15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60" w:right="420" w:firstLine="1"/>
        <w:spacing w:after="0" w:line="357" w:lineRule="auto"/>
        <w:tabs>
          <w:tab w:leader="none" w:pos="1503"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1060" w:right="120" w:firstLine="1"/>
        <w:spacing w:after="0" w:line="324" w:lineRule="auto"/>
        <w:tabs>
          <w:tab w:leader="none" w:pos="15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7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40" w:hanging="172"/>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60" w:right="60" w:firstLine="1"/>
        <w:spacing w:after="0" w:line="311" w:lineRule="auto"/>
        <w:tabs>
          <w:tab w:leader="none" w:pos="15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520" w:hanging="459"/>
        <w:spacing w:after="0"/>
        <w:tabs>
          <w:tab w:leader="none" w:pos="15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60" w:right="220" w:firstLine="1"/>
        <w:spacing w:after="0" w:line="387" w:lineRule="auto"/>
        <w:tabs>
          <w:tab w:leader="none" w:pos="1503"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060" w:right="160" w:firstLine="1"/>
        <w:spacing w:after="0" w:line="311" w:lineRule="auto"/>
        <w:tabs>
          <w:tab w:leader="none" w:pos="15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60" w:right="420" w:firstLine="1"/>
        <w:spacing w:after="0" w:line="357" w:lineRule="auto"/>
        <w:tabs>
          <w:tab w:leader="none" w:pos="1503"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1060" w:right="120" w:firstLine="1"/>
        <w:spacing w:after="0" w:line="324" w:lineRule="auto"/>
        <w:tabs>
          <w:tab w:leader="none" w:pos="15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Kris Sennesael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knowledge:</w:t>
      </w:r>
    </w:p>
    <w:p>
      <w:pPr>
        <w:spacing w:after="0" w:line="93" w:lineRule="exact"/>
        <w:rPr>
          <w:sz w:val="20"/>
          <w:szCs w:val="20"/>
          <w:color w:val="auto"/>
        </w:rPr>
      </w:pPr>
    </w:p>
    <w:p>
      <w:pPr>
        <w:ind w:left="180" w:right="220" w:hanging="172"/>
        <w:spacing w:after="0" w:line="277" w:lineRule="auto"/>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annual period ended December 31, 2013, to which this Certification is attached as Exhibit 32.1 (the "Report"), fully complies with the requirements of Section 13(a) or Section 15(d) of the Exchange Act; and</w:t>
      </w:r>
    </w:p>
    <w:p>
      <w:pPr>
        <w:spacing w:after="0" w:line="116" w:lineRule="exact"/>
        <w:rPr>
          <w:rFonts w:ascii="Arial" w:cs="Arial" w:eastAsia="Arial" w:hAnsi="Arial"/>
          <w:sz w:val="18"/>
          <w:szCs w:val="18"/>
          <w:b w:val="1"/>
          <w:bCs w:val="1"/>
          <w:color w:val="auto"/>
        </w:rPr>
      </w:pPr>
    </w:p>
    <w:p>
      <w:pPr>
        <w:ind w:left="180" w:hanging="172"/>
        <w:spacing w:after="0"/>
        <w:tabs>
          <w:tab w:leader="none" w:pos="1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4th day of March, 2014.</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 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22"/>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3"/>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2019-12-07T20:29:34Z</dcterms:created>
  <dcterms:modified xsi:type="dcterms:W3CDTF">2019-12-07T20:29:34Z</dcterms:modified>
</cp:coreProperties>
</file>