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720" w:right="8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20"/>
                <w:szCs w:val="20"/>
                <w:color w:val="auto"/>
              </w:rPr>
            </w:pPr>
          </w:p>
        </w:tc>
      </w:tr>
      <w:tr>
        <w:trPr>
          <w:trHeight w:val="130"/>
        </w:trPr>
        <w:tc>
          <w:tcPr>
            <w:tcW w:w="6580" w:type="dxa"/>
            <w:vAlign w:val="bottom"/>
          </w:tcPr>
          <w:p>
            <w:pPr>
              <w:jc w:val="center"/>
              <w:ind w:left="2010"/>
              <w:spacing w:after="0" w:line="131"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1"/>
                <w:szCs w:val="11"/>
                <w:color w:val="auto"/>
              </w:rPr>
            </w:pPr>
          </w:p>
        </w:tc>
      </w:tr>
      <w:tr>
        <w:trPr>
          <w:trHeight w:val="575"/>
        </w:trPr>
        <w:tc>
          <w:tcPr>
            <w:tcW w:w="6580" w:type="dxa"/>
            <w:vAlign w:val="bottom"/>
          </w:tcPr>
          <w:p>
            <w:pPr>
              <w:ind w:left="2160"/>
              <w:spacing w:after="0"/>
              <w:rPr>
                <w:sz w:val="20"/>
                <w:szCs w:val="20"/>
                <w:color w:val="auto"/>
              </w:rPr>
            </w:pPr>
            <w:r>
              <w:rPr>
                <w:rFonts w:ascii="Arial" w:cs="Arial" w:eastAsia="Arial" w:hAnsi="Arial"/>
                <w:sz w:val="43"/>
                <w:szCs w:val="43"/>
                <w:b w:val="1"/>
                <w:bCs w:val="1"/>
                <w:color w:val="auto"/>
              </w:rPr>
              <w:t>Enphase Energy, Inc.</w:t>
            </w:r>
          </w:p>
        </w:tc>
        <w:tc>
          <w:tcPr>
            <w:tcW w:w="1260" w:type="dxa"/>
            <w:vAlign w:val="bottom"/>
          </w:tcPr>
          <w:p>
            <w:pPr>
              <w:spacing w:after="0"/>
              <w:rPr>
                <w:sz w:val="24"/>
                <w:szCs w:val="24"/>
                <w:color w:val="auto"/>
              </w:rPr>
            </w:pPr>
          </w:p>
        </w:tc>
      </w:tr>
      <w:tr>
        <w:trPr>
          <w:trHeight w:val="28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24"/>
                <w:szCs w:val="2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r>
        <w:trPr>
          <w:trHeight w:val="32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40"/>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1420 N. McDowell Blvd.</w:t>
            </w:r>
          </w:p>
        </w:tc>
        <w:tc>
          <w:tcPr>
            <w:tcW w:w="1260" w:type="dxa"/>
            <w:vAlign w:val="bottom"/>
          </w:tcPr>
          <w:p>
            <w:pPr>
              <w:spacing w:after="0"/>
              <w:rPr>
                <w:sz w:val="24"/>
                <w:szCs w:val="24"/>
                <w:color w:val="auto"/>
              </w:rPr>
            </w:pPr>
          </w:p>
        </w:tc>
      </w:tr>
      <w:tr>
        <w:trPr>
          <w:trHeight w:val="239"/>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Petaluma, California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94954</w:t>
            </w:r>
          </w:p>
        </w:tc>
      </w:tr>
      <w:tr>
        <w:trPr>
          <w:trHeight w:val="218"/>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5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67"/>
        </w:trPr>
        <w:tc>
          <w:tcPr>
            <w:tcW w:w="6580" w:type="dxa"/>
            <w:vAlign w:val="bottom"/>
          </w:tcPr>
          <w:p>
            <w:pPr>
              <w:jc w:val="center"/>
              <w:ind w:left="19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4"/>
                <w:szCs w:val="1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bl>
    <w:p>
      <w:pPr>
        <w:spacing w:after="0" w:line="138" w:lineRule="exact"/>
        <w:rPr>
          <w:sz w:val="24"/>
          <w:szCs w:val="24"/>
          <w:color w:val="auto"/>
        </w:rPr>
      </w:pPr>
    </w:p>
    <w:p>
      <w:pPr>
        <w:ind w:right="2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70"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ectPr>
          <w:pgSz w:w="11900" w:h="16838" w:orient="portrait"/>
          <w:cols w:equalWidth="0" w:num="1">
            <w:col w:w="11340"/>
          </w:cols>
          <w:pgMar w:left="240" w:top="247" w:right="319" w:bottom="1440" w:gutter="0" w:footer="0" w:header="0"/>
        </w:sectPr>
      </w:pPr>
    </w:p>
    <w:p>
      <w:pPr>
        <w:spacing w:after="0" w:line="10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1080"/>
              <w:spacing w:after="0"/>
              <w:rPr>
                <w:sz w:val="20"/>
                <w:szCs w:val="20"/>
                <w:color w:val="auto"/>
              </w:rPr>
            </w:pPr>
            <w:r>
              <w:rPr>
                <w:rFonts w:ascii="Arial" w:cs="Arial" w:eastAsia="Arial" w:hAnsi="Arial"/>
                <w:sz w:val="14"/>
                <w:szCs w:val="14"/>
                <w:color w:val="auto"/>
              </w:rPr>
              <w:t>Accelerated filer</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0" w:type="dxa"/>
            <w:vAlign w:val="bottom"/>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80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r>
      <w:tr>
        <w:trPr>
          <w:trHeight w:val="389"/>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600" w:type="dxa"/>
            <w:vAlign w:val="bottom"/>
          </w:tcPr>
          <w:p>
            <w:pPr>
              <w:ind w:left="440"/>
              <w:spacing w:after="0"/>
              <w:rPr>
                <w:sz w:val="20"/>
                <w:szCs w:val="20"/>
                <w:color w:val="auto"/>
              </w:rPr>
            </w:pPr>
            <w:r>
              <w:rPr>
                <w:rFonts w:ascii="Arial" w:cs="Arial" w:eastAsia="Arial" w:hAnsi="Arial"/>
                <w:sz w:val="14"/>
                <w:szCs w:val="14"/>
                <w:color w:val="auto"/>
              </w:rPr>
              <w:t>x</w:t>
            </w:r>
          </w:p>
        </w:tc>
        <w:tc>
          <w:tcPr>
            <w:tcW w:w="2800" w:type="dxa"/>
            <w:vAlign w:val="bottom"/>
          </w:tcPr>
          <w:p>
            <w:pPr>
              <w:spacing w:after="0"/>
              <w:rPr>
                <w:sz w:val="24"/>
                <w:szCs w:val="24"/>
                <w:color w:val="auto"/>
              </w:rPr>
            </w:pPr>
          </w:p>
        </w:tc>
      </w:tr>
    </w:tbl>
    <w:p>
      <w:pPr>
        <w:spacing w:after="0" w:line="98"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 x</w:t>
      </w:r>
    </w:p>
    <w:p>
      <w:pPr>
        <w:spacing w:after="0" w:line="35" w:lineRule="exact"/>
        <w:rPr>
          <w:sz w:val="24"/>
          <w:szCs w:val="24"/>
          <w:color w:val="auto"/>
        </w:rPr>
      </w:pPr>
    </w:p>
    <w:p>
      <w:pPr>
        <w:ind w:right="2460"/>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As of November 3, 2017, there were 85,532,519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1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900" w:space="200"/>
            <w:col w:w="2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9"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1"/>
          </w:tcPr>
          <w:p>
            <w:pPr>
              <w:jc w:val="center"/>
              <w:ind w:right="3240"/>
              <w:spacing w:after="0"/>
              <w:rPr>
                <w:rFonts w:ascii="Arial" w:cs="Arial" w:eastAsia="Arial" w:hAnsi="Arial"/>
                <w:sz w:val="18"/>
                <w:szCs w:val="18"/>
                <w:b w:val="1"/>
                <w:bCs w:val="1"/>
                <w:color w:val="0000EE"/>
                <w:w w:val="98"/>
              </w:rPr>
            </w:pPr>
            <w:hyperlink w:anchor="page30">
              <w:r>
                <w:rPr>
                  <w:rFonts w:ascii="Arial" w:cs="Arial" w:eastAsia="Arial" w:hAnsi="Arial"/>
                  <w:sz w:val="18"/>
                  <w:szCs w:val="18"/>
                  <w:b w:val="1"/>
                  <w:bCs w:val="1"/>
                  <w:color w:val="0000EE"/>
                  <w:w w:val="98"/>
                </w:rPr>
                <w:t>PART II. OTHER INFORMATION</w:t>
              </w:r>
            </w:hyperlink>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ENPHASE ENERGY,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(In thousands, except par value)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6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17,764</w:t>
            </w:r>
          </w:p>
        </w:tc>
        <w:tc>
          <w:tcPr>
            <w:tcW w:w="0" w:type="dxa"/>
            <w:vAlign w:val="bottom"/>
          </w:tcPr>
          <w:p>
            <w:pPr>
              <w:spacing w:after="0"/>
              <w:rPr>
                <w:sz w:val="1"/>
                <w:szCs w:val="1"/>
                <w:color w:val="auto"/>
              </w:rPr>
            </w:pP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Accounts receivable, net of allowances of $2,824 and $2,921 at September 30, 2017 and</w:t>
            </w:r>
          </w:p>
        </w:tc>
        <w:tc>
          <w:tcPr>
            <w:tcW w:w="180" w:type="dxa"/>
            <w:vAlign w:val="bottom"/>
          </w:tcPr>
          <w:p>
            <w:pPr>
              <w:spacing w:after="0"/>
              <w:rPr>
                <w:sz w:val="19"/>
                <w:szCs w:val="19"/>
                <w:color w:val="auto"/>
              </w:rPr>
            </w:pP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68,869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61,019</w:t>
            </w:r>
          </w:p>
        </w:tc>
        <w:tc>
          <w:tcPr>
            <w:tcW w:w="0" w:type="dxa"/>
            <w:vAlign w:val="bottom"/>
          </w:tcPr>
          <w:p>
            <w:pPr>
              <w:spacing w:after="0"/>
              <w:rPr>
                <w:sz w:val="1"/>
                <w:szCs w:val="1"/>
                <w:color w:val="auto"/>
              </w:rPr>
            </w:pPr>
          </w:p>
        </w:tc>
      </w:tr>
      <w:tr>
        <w:trPr>
          <w:trHeight w:val="109"/>
        </w:trPr>
        <w:tc>
          <w:tcPr>
            <w:tcW w:w="8340" w:type="dxa"/>
            <w:vAlign w:val="bottom"/>
            <w:gridSpan w:val="3"/>
            <w:vMerge w:val="restart"/>
          </w:tcPr>
          <w:p>
            <w:pPr>
              <w:ind w:left="460"/>
              <w:spacing w:after="0"/>
              <w:rPr>
                <w:sz w:val="20"/>
                <w:szCs w:val="20"/>
                <w:color w:val="auto"/>
              </w:rPr>
            </w:pPr>
            <w:r>
              <w:rPr>
                <w:rFonts w:ascii="Arial" w:cs="Arial" w:eastAsia="Arial" w:hAnsi="Arial"/>
                <w:sz w:val="18"/>
                <w:szCs w:val="18"/>
                <w:color w:val="auto"/>
              </w:rPr>
              <w:t>December 31, 2016, respectively</w:t>
            </w: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7"/>
        </w:trPr>
        <w:tc>
          <w:tcPr>
            <w:tcW w:w="1400" w:type="dxa"/>
            <w:vAlign w:val="bottom"/>
            <w:tcBorders>
              <w:bottom w:val="single" w:sz="8" w:color="CCEEFF"/>
            </w:tcBorders>
            <w:gridSpan w:val="2"/>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136,317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117,864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31,440</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8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177,081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163,576</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53"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revenues, current</w:t>
      </w:r>
    </w:p>
    <w:p>
      <w:pPr>
        <w:spacing w:after="0" w:line="63" w:lineRule="exact"/>
        <w:rPr>
          <w:sz w:val="20"/>
          <w:szCs w:val="20"/>
          <w:color w:val="auto"/>
        </w:rPr>
      </w:pPr>
    </w:p>
    <w:p>
      <w:pPr>
        <w:ind w:left="460" w:right="200" w:hanging="80"/>
        <w:spacing w:after="0" w:line="246" w:lineRule="auto"/>
        <w:rPr>
          <w:sz w:val="20"/>
          <w:szCs w:val="20"/>
          <w:color w:val="auto"/>
        </w:rPr>
      </w:pPr>
      <w:r>
        <w:rPr>
          <w:rFonts w:ascii="Arial" w:cs="Arial" w:eastAsia="Arial" w:hAnsi="Arial"/>
          <w:sz w:val="18"/>
          <w:szCs w:val="18"/>
          <w:color w:val="auto"/>
        </w:rPr>
        <w:t>Warranty obligations, current (includes $2,765 and $3,296 measured at fair value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Revolving credit facility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Current portion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liabilities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liabilities: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34,620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31,696</w:t>
            </w:r>
          </w:p>
        </w:tc>
      </w:tr>
      <w:tr>
        <w:trPr>
          <w:trHeight w:val="270"/>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24,152</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22,937</w:t>
            </w:r>
          </w:p>
        </w:tc>
      </w:tr>
      <w:tr>
        <w:trPr>
          <w:trHeight w:val="270"/>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9,014</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6,411</w:t>
            </w:r>
          </w:p>
        </w:tc>
      </w:tr>
      <w:tr>
        <w:trPr>
          <w:trHeight w:val="365"/>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7,151</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8,596</w:t>
            </w: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10,5523,032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85,48982,772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460" w:space="700"/>
            <w:col w:w="226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 noncurrent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33,893</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Warranty obligations, noncurrent (includes $8,954 and $7,036 measured at fair value at September</w:t>
            </w:r>
          </w:p>
        </w:tc>
        <w:tc>
          <w:tcPr>
            <w:tcW w:w="400" w:type="dxa"/>
            <w:vAlign w:val="bottom"/>
          </w:tcPr>
          <w:p>
            <w:pPr>
              <w:spacing w:after="0"/>
              <w:rPr>
                <w:sz w:val="19"/>
                <w:szCs w:val="19"/>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23,201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109"/>
        </w:trPr>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30, 2017 and December 31, 2016, respectively)</w:t>
            </w:r>
          </w:p>
        </w:tc>
        <w:tc>
          <w:tcPr>
            <w:tcW w:w="4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Term loan, less current portion</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184,883</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162,276</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4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$0.00001 par value, 125,000 and 100,000 shares authorized and 85,217 and</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62,269 shares issued and outstanding at September 30, 2017 and December 31, 2016,</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respectively</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285,449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(250,535)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(deficit)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177,081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0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77,038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88,684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206,492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231,990</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60,577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72,805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169,438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190,215</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16,461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15,879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37,054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41,775</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39,326</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18,186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21,121</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22,362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33,610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74,300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94,382</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(52,607)</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(53,550)</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84,862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81,993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46,704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4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(54,274)</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(54,318)</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(42,252)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(54,274)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3,194</w:t>
            </w:r>
          </w:p>
        </w:tc>
        <w:tc>
          <w:tcPr>
            <w:tcW w:w="0" w:type="dxa"/>
            <w:vAlign w:val="bottom"/>
          </w:tcPr>
          <w:p>
            <w:pPr>
              <w:spacing w:after="0"/>
              <w:rPr>
                <w:sz w:val="1"/>
                <w:szCs w:val="1"/>
                <w:color w:val="auto"/>
              </w:rPr>
            </w:pP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Asset impairment and restructuring</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8,239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(16,577)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14,867</w:t>
            </w:r>
          </w:p>
        </w:tc>
        <w:tc>
          <w:tcPr>
            <w:tcW w:w="0" w:type="dxa"/>
            <w:vAlign w:val="bottom"/>
          </w:tcPr>
          <w:p>
            <w:pPr>
              <w:spacing w:after="0"/>
              <w:rPr>
                <w:sz w:val="1"/>
                <w:szCs w:val="1"/>
                <w:color w:val="auto"/>
              </w:rPr>
            </w:pP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8,739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(28,588)</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(9,607)</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intangible assets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(10,285)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14,593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term loan, net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24,175</w:t>
            </w: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borrowings under revolving credit facility</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Payments under revolving credit facility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(14,550)</w:t>
            </w:r>
          </w:p>
        </w:tc>
        <w:tc>
          <w:tcPr>
            <w:tcW w:w="0" w:type="dxa"/>
            <w:vAlign w:val="bottom"/>
          </w:tcPr>
          <w:p>
            <w:pPr>
              <w:spacing w:after="0"/>
              <w:rPr>
                <w:sz w:val="1"/>
                <w:szCs w:val="1"/>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Payments of deferred financing costs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Contingent consideration payment related to prior acquisition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40,739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34,640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28,452</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24,112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fixed and intangible assets included in 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51"/>
        </w:trPr>
        <w:tc>
          <w:tcPr>
            <w:tcW w:w="8580" w:type="dxa"/>
            <w:vAlign w:val="bottom"/>
          </w:tcPr>
          <w:p>
            <w:pPr>
              <w:ind w:left="380"/>
              <w:spacing w:after="0"/>
              <w:rPr>
                <w:sz w:val="20"/>
                <w:szCs w:val="20"/>
                <w:color w:val="auto"/>
              </w:rPr>
            </w:pPr>
            <w:r>
              <w:rPr>
                <w:rFonts w:ascii="Arial" w:cs="Arial" w:eastAsia="Arial" w:hAnsi="Arial"/>
                <w:sz w:val="16"/>
                <w:szCs w:val="16"/>
                <w:color w:val="auto"/>
              </w:rPr>
              <w:t>Warrants issued in connection with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2"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approximately 16 million microinverters, representing over 3 gigawatts of solar photovoltaic (PV) generating capacity, and approximately 700,000 Enphase residential and commercial systems have been deployed in over 100 countries.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39"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9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Company disclosed in its Form 10-K for the year ended December 31, 2016 that certain conditions led it to conclude that substantial doubt existed as to the Company’s ability to continue as a going concern. The Company believes that the same or similar conditions continue to exist and that substantial doubt as to its ability to continue as a going concern within one year from the date of this filing also continues to exist. The accompanying consolidated financial statements for the three and nine months ended September 30, 2017 are presented on a going concern basis and do not include any adjustments that might result from the outcome of this uncertainty.</w:t>
      </w:r>
    </w:p>
    <w:p>
      <w:pPr>
        <w:spacing w:after="0" w:line="97"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The Company has taken actions and intends to take further actions to improve its liquidity, including raising funds in the capital markets. In 2016, the Company completed a public offering of its common stock. The Company sold approximately 15 million shares and realized net proceeds of approximately $16.2 million.</w:t>
      </w:r>
    </w:p>
    <w:p>
      <w:pPr>
        <w:spacing w:after="0" w:line="94" w:lineRule="exact"/>
        <w:rPr>
          <w:sz w:val="20"/>
          <w:szCs w:val="20"/>
          <w:color w:val="auto"/>
        </w:rPr>
      </w:pPr>
    </w:p>
    <w:p>
      <w:pPr>
        <w:ind w:right="300" w:firstLine="432"/>
        <w:spacing w:after="0" w:line="256" w:lineRule="auto"/>
        <w:rPr>
          <w:sz w:val="20"/>
          <w:szCs w:val="20"/>
          <w:color w:val="auto"/>
        </w:rPr>
      </w:pPr>
      <w:r>
        <w:rPr>
          <w:rFonts w:ascii="Arial" w:cs="Arial" w:eastAsia="Arial" w:hAnsi="Arial"/>
          <w:sz w:val="18"/>
          <w:szCs w:val="18"/>
          <w:color w:val="auto"/>
        </w:rPr>
        <w:t>In December of 2016, the Company entered into an At The Market Issuance Sales Agreement (ATM) under which it may sell shares of common stock up to a gross aggregate offering price of $17.0 million. The Company realized the full gross proceeds of $17.0 million from common stock sold under the ATM during the three months ended March 31, 2017.</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January 2017, the Company completed a private placement of securities that resulted in gross proceeds of $10.0 million.</w:t>
      </w:r>
    </w:p>
    <w:p>
      <w:pPr>
        <w:spacing w:after="0" w:line="117"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July 2016, the Company entered into a loan and security agreement (the “Term Loan Agreement”) with lenders that are affiliates of Tennenbaum Capital Partners, LLC (collectively “TCP”). Under the agreement, the lenders committed to advance a term loan in an aggregate principal amount of up to $ 25.0 million with a maturity date of July 1, 2020. The Company drew down the $ 25.0 million term loan commitment at closing. In February 2017, the Company amended its loan and security agreement with TCP to provide an additional $25.0 million in principal. The Company simultaneously terminated its revolving credit facility with Wells Fargo Bank, N.A., and the combined principal and interest balance of $10.3 million was fully repaid. The amended loan has the same July 1, 2020 maturity date as the original TCP loan, both of which are interest only until February 2018. See Note 7, “Debt” for further information.</w:t>
      </w:r>
    </w:p>
    <w:p>
      <w:pPr>
        <w:spacing w:after="0" w:line="99"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8"/>
          <w:szCs w:val="18"/>
          <w:color w:val="auto"/>
        </w:rPr>
        <w:t>The Company launched its next generation microinverter, the Enphase Home Energy Solution with IQ, in March 2017. This product is a major milestone in the Company’s product cost reduction initiative, and the Company expects to introduce the next generation of the Enphase Home Energy Solution with IQ in the first quarter of 2018, which the Company believes will achieve further cost savings.</w:t>
      </w:r>
    </w:p>
    <w:p>
      <w:pPr>
        <w:spacing w:after="0" w:line="94" w:lineRule="exact"/>
        <w:rPr>
          <w:sz w:val="20"/>
          <w:szCs w:val="20"/>
          <w:color w:val="auto"/>
        </w:rPr>
      </w:pPr>
    </w:p>
    <w:p>
      <w:pPr>
        <w:ind w:right="280" w:firstLine="432"/>
        <w:spacing w:after="0" w:line="253" w:lineRule="auto"/>
        <w:rPr>
          <w:sz w:val="20"/>
          <w:szCs w:val="20"/>
          <w:color w:val="auto"/>
        </w:rPr>
      </w:pPr>
      <w:r>
        <w:rPr>
          <w:rFonts w:ascii="Arial" w:cs="Arial" w:eastAsia="Arial" w:hAnsi="Arial"/>
          <w:sz w:val="18"/>
          <w:szCs w:val="18"/>
          <w:color w:val="auto"/>
        </w:rPr>
        <w:t>Actions the Company has taken to reduce its operating expenses include a reduction in its global workforce in the third quarter of 2016 and a second reduction in January 2017. The Company has eliminated certain projects that did not have a near-term return on investment, consolidated office space at its headquarters, divested its services business and engaged a management consulting firm to help it lower expenses and improve operational efficiencies. The Company expects the cumulative impact of these actions to decrease its ongoing annualized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expenses by approximately $40.0 million as compared to pre-restructuring annualized operating expenses. For the nine months ended September 30, 2017, the Company achieved a combined $ 32.3 million in savings for research and development, sales and marketing and general and administrative expenses over the same period in 2016, which was partially offset by increased restructuring charges of $12.2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93"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and nine months ended September 30, 2017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2016.</w:t>
      </w:r>
    </w:p>
    <w:p>
      <w:pPr>
        <w:spacing w:after="0" w:line="159" w:lineRule="exact"/>
        <w:rPr>
          <w:sz w:val="20"/>
          <w:szCs w:val="20"/>
          <w:color w:val="auto"/>
        </w:rPr>
      </w:pPr>
    </w:p>
    <w:p>
      <w:pPr>
        <w:ind w:right="420" w:firstLine="432"/>
        <w:spacing w:after="0" w:line="256" w:lineRule="auto"/>
        <w:rPr>
          <w:sz w:val="20"/>
          <w:szCs w:val="20"/>
          <w:color w:val="auto"/>
        </w:rPr>
      </w:pPr>
      <w:r>
        <w:rPr>
          <w:rFonts w:ascii="Arial" w:cs="Arial" w:eastAsia="Arial" w:hAnsi="Arial"/>
          <w:sz w:val="18"/>
          <w:szCs w:val="18"/>
          <w:color w:val="auto"/>
        </w:rPr>
        <w:t>There have been no material changes in the Company’s significant accounting policies during the nine months ended September 30, 2017, as compared to the significant accounting policies described in the Company’s Annual Report on Form 10-K for the year ended December 31, 2016. Reference is made to the disclosures therein for a summary of all of the Company’s significant accounting policies.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This standard, which was adopted in the first quarter of 2017, did not have a material impact on the consolidated financial statements.</w:t>
      </w:r>
    </w:p>
    <w:p>
      <w:pPr>
        <w:spacing w:after="0" w:line="20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This standard, which was adopted in the first quarter of 2017, did not have a material impact on the consolidated financial statements.</w:t>
      </w:r>
    </w:p>
    <w:p>
      <w:pPr>
        <w:spacing w:after="0" w:line="202"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This ASU simplifies the subsequent measurement of goodwill, the FASB eliminated Step 2 from the goodwill impairment test. Under the amendments in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The FASB also eliminated the requirements for any reporting unit with a zero or negative carrying amount to perform a qualitative assessment and, if it fails that qualitative test, to perform Step 2 of the goodwill impairment test. Therefore, the same impairment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assessment applies to all reporting units. An entity is required to disclose the amount of goodwill allocated to each reporting unit with a zero or negative carrying amount of net assets. An entity still has the option to perform the qualitative assessment for a reporting unit to determine if the quantitative impairment test is necessary. A public business entity that is an SEC filer should adopt the amendments in this Update for its annual or any interim goodwill impairment tests in fiscal years beginning after December 15, 2019. Early adoption is permitted for interim or annual goodwill impairment tests performed on testing dates after January 1, 2017. ASU 2017-04 was early adopted by the Company for the year beginning January 1, 2017. The Company has a single reporting unit, and adoption of the standard did not have a material impact on the Company's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139" w:lineRule="exact"/>
        <w:rPr>
          <w:sz w:val="20"/>
          <w:szCs w:val="20"/>
          <w:color w:val="auto"/>
        </w:rPr>
      </w:pPr>
    </w:p>
    <w:p>
      <w:pPr>
        <w:ind w:firstLine="477"/>
        <w:spacing w:after="0" w:line="250" w:lineRule="auto"/>
        <w:rPr>
          <w:sz w:val="20"/>
          <w:szCs w:val="20"/>
          <w:color w:val="auto"/>
        </w:rPr>
      </w:pPr>
      <w:r>
        <w:rPr>
          <w:rFonts w:ascii="Arial" w:cs="Arial" w:eastAsia="Arial" w:hAnsi="Arial"/>
          <w:sz w:val="18"/>
          <w:szCs w:val="18"/>
          <w:color w:val="auto"/>
        </w:rPr>
        <w:t>In May 2014, the FASB issued ASU 2014-09, Revenue from Contracts with Customers: Topic 606 and issued subsequent amendments to the initial guidance in August 2015, March 2016, April 2016, May 2016 and December 2016 within ASU 2015-14, ASU 2016-08, ASU 2016-10, ASU 2016-12 and ASU 2016-20, respectively (ASU 2014-09, ASU 2015-14, ASU 2016-08, ASU 2016-10, ASU 2016-12 and ASU 2016-20, respectively, and collectively Topic 606). Topic 606 supersedes nearly all existing revenue recognition guidance under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Topic 606 is effective for the Company as of our first quarter of fiscal 2018 using either of two methods: (1) retrospective application of Topic 606 to each prior reporting period presented with the option to elect certain practical expedients as defined within Topic 606 or</w:t>
      </w:r>
    </w:p>
    <w:p>
      <w:pPr>
        <w:spacing w:after="0" w:line="5" w:lineRule="exact"/>
        <w:rPr>
          <w:sz w:val="20"/>
          <w:szCs w:val="20"/>
          <w:color w:val="auto"/>
        </w:rPr>
      </w:pPr>
    </w:p>
    <w:p>
      <w:pPr>
        <w:ind w:right="20" w:firstLine="8"/>
        <w:spacing w:after="0" w:line="251"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retrospective application of Topic 606 with the cumulative effect of initially applying Topic 606 recognized at the date of initial application and providing certain additional disclosures as defined per Topic 606. The Company plans to adopt Topic 606 in the first quarter of fiscal 2018 pursuant to the aforementioned adoption method (2). Under ASC 605 Envoy hardware and Enlighten service are considered two units of accounting with a portion of the consideration related to the hardware recognized upfront and the remaining deferred over the estimated service period. Under ASC 606 the full consideration for these products may represent a single performance obligation and need to be deferred over the estimated service period. This treatment would result in an increase in deferred revenue upon adoption of ASC 606. Under ASC 605 the Company recorded certain contra revenue promotions at the later of the date the sale was made and revenue recognized or the date at which the promotional offer was extended. Under ASC 606 all such contra revenue programs will be treated as variable consideration and recognized at the time the related revenue is recorded resulting in a potential increase in and change in timing of contra revenue upon adoption. The Company is finalizing its review of contracts to quantify the impact of adoption on its consolidated financial statements. The Company is also in the process of assessing the appropriate changes to its business processes and upgrading its systems and controls to support recognition and disclosure under ASC 606.</w:t>
      </w:r>
    </w:p>
    <w:p>
      <w:pPr>
        <w:spacing w:after="0" w:line="103" w:lineRule="exact"/>
        <w:rPr>
          <w:sz w:val="20"/>
          <w:szCs w:val="20"/>
          <w:color w:val="auto"/>
        </w:rPr>
      </w:pPr>
    </w:p>
    <w:p>
      <w:pPr>
        <w:ind w:right="40" w:firstLine="482"/>
        <w:spacing w:after="0" w:line="251"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does not expect the adoption of this standard to have a material impact on the consolidated financial statements.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September 30, 2017 and December 31, 2016 consists of the following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5,095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23,341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26,865</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31,960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93" w:lineRule="exact"/>
        <w:rPr>
          <w:sz w:val="20"/>
          <w:szCs w:val="20"/>
          <w:color w:val="auto"/>
        </w:rPr>
      </w:pPr>
    </w:p>
    <w:p>
      <w:pPr>
        <w:ind w:right="980" w:firstLine="432"/>
        <w:spacing w:after="0" w:line="262" w:lineRule="auto"/>
        <w:rPr>
          <w:sz w:val="20"/>
          <w:szCs w:val="20"/>
          <w:color w:val="auto"/>
        </w:rPr>
      </w:pPr>
      <w:r>
        <w:rPr>
          <w:rFonts w:ascii="Arial" w:cs="Arial" w:eastAsia="Arial" w:hAnsi="Arial"/>
          <w:sz w:val="18"/>
          <w:szCs w:val="18"/>
          <w:color w:val="auto"/>
        </w:rPr>
        <w:t>The Company’s warranty activities during the three and nine months ended September 30, 2017 and 2016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31,613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30,547</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28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2,931</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1,548</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(6,517)</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1,279</w:t>
            </w:r>
          </w:p>
        </w:tc>
      </w:tr>
      <w:tr>
        <w:trPr>
          <w:trHeight w:val="264"/>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30,352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30,352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30,349</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23,588</w:t>
            </w: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As of September 30, 2017, the $30.4 million of warranty obligations included $11.7 million measured at fair value. See Note 4, “Fair Value Measurements”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93" w:lineRule="exact"/>
        <w:rPr>
          <w:sz w:val="20"/>
          <w:szCs w:val="20"/>
          <w:color w:val="auto"/>
        </w:rPr>
      </w:pPr>
    </w:p>
    <w:p>
      <w:pPr>
        <w:ind w:right="320" w:firstLine="44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2"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67" w:lineRule="exact"/>
        <w:rPr>
          <w:sz w:val="20"/>
          <w:szCs w:val="20"/>
          <w:color w:val="auto"/>
        </w:rPr>
      </w:pPr>
    </w:p>
    <w:p>
      <w:pPr>
        <w:ind w:left="980" w:right="20" w:hanging="486"/>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66"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61"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September 30, 2017 and December 31, 2016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20" w:type="dxa"/>
            <w:vAlign w:val="bottom"/>
          </w:tcPr>
          <w:p>
            <w:pPr>
              <w:jc w:val="center"/>
              <w:ind w:right="12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140" w:type="dxa"/>
            <w:vAlign w:val="bottom"/>
          </w:tcPr>
          <w:p>
            <w:pPr>
              <w:spacing w:after="0"/>
              <w:rPr>
                <w:sz w:val="17"/>
                <w:szCs w:val="17"/>
                <w:color w:val="auto"/>
              </w:rPr>
            </w:pPr>
          </w:p>
        </w:tc>
        <w:tc>
          <w:tcPr>
            <w:tcW w:w="12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2016</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42"/>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10,332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93" w:lineRule="exact"/>
        <w:rPr>
          <w:sz w:val="20"/>
          <w:szCs w:val="20"/>
          <w:color w:val="auto"/>
        </w:rPr>
      </w:pPr>
    </w:p>
    <w:p>
      <w:pPr>
        <w:ind w:right="40" w:firstLine="446"/>
        <w:spacing w:after="0" w:line="250" w:lineRule="auto"/>
        <w:rPr>
          <w:sz w:val="20"/>
          <w:szCs w:val="20"/>
          <w:color w:val="auto"/>
        </w:rPr>
      </w:pPr>
      <w:r>
        <w:rPr>
          <w:rFonts w:ascii="Arial" w:cs="Arial" w:eastAsia="Arial" w:hAnsi="Arial"/>
          <w:sz w:val="18"/>
          <w:szCs w:val="18"/>
          <w:color w:val="auto"/>
        </w:rPr>
        <w:t>The Company’s warranty obligations related to substantially all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since January 1, 2014 at fair value. This election was made to reflect the underlying economics of the time value of money for an obligation that will be settled over an extended period of up to 25 years.</w:t>
      </w:r>
    </w:p>
    <w:p>
      <w:pPr>
        <w:spacing w:after="0" w:line="142" w:lineRule="exact"/>
        <w:rPr>
          <w:sz w:val="20"/>
          <w:szCs w:val="20"/>
          <w:color w:val="auto"/>
        </w:rPr>
      </w:pPr>
    </w:p>
    <w:p>
      <w:pPr>
        <w:jc w:val="both"/>
        <w:ind w:right="320" w:firstLine="44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88"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9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49"/>
        </w:trPr>
        <w:tc>
          <w:tcPr>
            <w:tcW w:w="69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6,182</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2,898</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1,279</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9,515</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As of September 30, 2017, the significant unobservable inputs used in the fair value measurement of the Company’s liabilities designated as Level 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December 31, 2016, the significant unobservable inputs used in the fair value measurement of the Company’s liabilities designated as Level 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9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$0.5 million reduction of the liability. Decreasing the discount rate by 100 basis points would result in a $0.6 million increase to the liability.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September 30,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with finite lives:</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color w:val="auto"/>
              </w:rPr>
              <w:t>Patents and licensed technology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659</w:t>
            </w:r>
          </w:p>
        </w:tc>
      </w:tr>
    </w:tbl>
    <w:p>
      <w:pPr>
        <w:spacing w:after="0" w:line="13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In October 2015, the Company licensed certain technology related to ASIC development for a 3 year term, which is also its estimated useful life.</w:t>
      </w:r>
    </w:p>
    <w:p>
      <w:pPr>
        <w:spacing w:after="0" w:line="9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For the nine months ended September 30, 2017, amortization expense related to intangible assets was $0.4 million. As of September 30, 2017, estimated future amortization expense related to finite-lived intangible assets was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7"/>
                <w:szCs w:val="17"/>
                <w:color w:val="auto"/>
              </w:rPr>
            </w:pPr>
          </w:p>
        </w:tc>
        <w:tc>
          <w:tcPr>
            <w:tcW w:w="1820" w:type="dxa"/>
            <w:vAlign w:val="bottom"/>
          </w:tcPr>
          <w:p>
            <w:pPr>
              <w:jc w:val="right"/>
              <w:ind w:right="5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64"/>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r>
      <w:tr>
        <w:trPr>
          <w:trHeight w:val="257"/>
        </w:trPr>
        <w:tc>
          <w:tcPr>
            <w:tcW w:w="9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r>
      <w:tr>
        <w:trPr>
          <w:trHeight w:val="20"/>
        </w:trPr>
        <w:tc>
          <w:tcPr>
            <w:tcW w:w="9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In the third quarter of 2016, the Company began implementing restructuring actions to lower its operating expenses and cost of revenues. The restructuring actions have included reductions in the Company’s global workforce, the elimination of certain non-core projects, consolidation of office space at the Company’s corporate</w:t>
      </w:r>
    </w:p>
    <w:p>
      <w:pPr>
        <w:sectPr>
          <w:pgSz w:w="11900" w:h="16838" w:orient="portrait"/>
          <w:cols w:equalWidth="0" w:num="1">
            <w:col w:w="11420"/>
          </w:cols>
          <w:pgMar w:left="240" w:top="140"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headquarters and the engagement of management consultants to assist the Company in making organizational and structural changes to improve operational efficiencies and reduce expenses.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restructuring charges for the periods indicated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3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w:t>
            </w:r>
          </w:p>
        </w:tc>
        <w:tc>
          <w:tcPr>
            <w:tcW w:w="260" w:type="dxa"/>
            <w:vAlign w:val="bottom"/>
          </w:tcPr>
          <w:p>
            <w:pPr>
              <w:spacing w:after="0"/>
              <w:rPr>
                <w:sz w:val="14"/>
                <w:szCs w:val="14"/>
                <w:color w:val="auto"/>
              </w:rPr>
            </w:pPr>
          </w:p>
        </w:tc>
        <w:tc>
          <w:tcPr>
            <w:tcW w:w="20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256"/>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1,308</w:t>
            </w: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1,409</w:t>
            </w:r>
          </w:p>
        </w:tc>
        <w:tc>
          <w:tcPr>
            <w:tcW w:w="2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1,409</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loss reserves and contract termination costs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 and asset impairment charges</w:t>
            </w:r>
          </w:p>
        </w:tc>
        <w:tc>
          <w:tcPr>
            <w:tcW w:w="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2,717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14,927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2,717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accrued restructuring balance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Lease Loss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Employee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Reserves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Severance and</w:t>
            </w: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6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56"/>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 as of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682</w:t>
            </w:r>
          </w:p>
        </w:tc>
      </w:tr>
      <w:tr>
        <w:trPr>
          <w:trHeight w:val="263"/>
        </w:trPr>
        <w:tc>
          <w:tcPr>
            <w:tcW w:w="6260" w:type="dxa"/>
            <w:vAlign w:val="bottom"/>
          </w:tcPr>
          <w:p>
            <w:pPr>
              <w:ind w:left="18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11,579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14,927</w:t>
            </w:r>
          </w:p>
        </w:tc>
      </w:tr>
      <w:tr>
        <w:trPr>
          <w:trHeight w:val="277"/>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settlement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w:t>
            </w:r>
          </w:p>
        </w:tc>
      </w:tr>
      <w:tr>
        <w:trPr>
          <w:trHeight w:val="264"/>
        </w:trPr>
        <w:tc>
          <w:tcPr>
            <w:tcW w:w="6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57"/>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September 30,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 2012, as first amended on February 14, 2014.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 The Revolver was fully repaid and terminated in February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93"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In July 2016, the Company entered into a Term Loan Agreement (the “Original Term Loan”) with lenders that are affiliates of Tennenbaum Capital Partners, LLC. (the “Lenders”).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provides for an interest rate per annum equal to the higher of (i) 10.25% or (ii) LIBOR plus 9.5625%, subject to a 1.0% reduction if the Company achieves minimum levels of Revenue and EBITDA (each as defined in the Term Loan Agreement) for the twelve-consecutive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The Company may elect to prepay the loan by incurring a prepayment fee between 1% and 3% of the principal amount of the term loan depending on the timing and circumstances of prepayment.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The Loan Agreement provides for a $25.0 million secured term loan to the Company (the “New Term Loan”), which is in addition to the $ 25.0 million secured term loan borrowed by the Company under the Original Term Loan (together with the “New Term Loan” the “Term Loans”). The New Term Loan has the same July 1, 2020 maturity date that was applicable to the Original Term Loan.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expects to use the remainder of the proceeds from the New Term Loan for general corporate purposes.</w:t>
      </w:r>
    </w:p>
    <w:p>
      <w:pPr>
        <w:spacing w:after="0" w:line="152"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Monthly payments under the Term Loans through February 28, 2018 are interest only, followed by consecutive equal monthly payments of principal plus accrued interest beginning on March 1, 2018 and continuing through the maturity date; provided, however, that the Company may extend the interest only period on a month to month basis up to February 28, 2019 if no Event of Default (as defined in the Loan Agreement) has occurred and is continuing and the Company has Consolidated Operating Income (as defined in the Loan Agreement) for the calendar year 2017 and each month thereafter on a trailing twelve consecutive month basis of at least $15.0 million (collectively, the “Accommodation Conditions”). The Term Loans provide for an interest rate per annum equal to the greater of (i) 10.3125% and (ii) LIBOR plus 9.25%, subject to a 1.0% reduction if and for so long as the Accommodation Conditions have been met. In addition, the Company paid a commitment fee of 3.0% of the New Term Loan amount upon closing and a closing fee of 4.0% of the New Term Loan amount, which is payable with the closing fee under the Original Term Loan in four equal installments at each anniversary of the closing date of the Original Loan Agreement. The Company may elect to prepay the Term Loans by incurring a prepayment fee between 1% and 3% of the principal amount of the Term Loans depending on the timing and circumstances of prepayment.</w:t>
      </w:r>
    </w:p>
    <w:p>
      <w:pPr>
        <w:spacing w:after="0" w:line="158"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50"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typical rights and remedies in any event of default, including the ability to declare all amounts outstanding immediately due and payable. The Company was in compliance with all financial covenants as of September 30, 2017.</w:t>
      </w:r>
    </w:p>
    <w:p>
      <w:pPr>
        <w:spacing w:after="0" w:line="157"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 warrants have a term of seven years and contain a “cashless exercise” feature that allows the holder to exercise the warrant without a cash payment upon the terms set forth therein.</w:t>
      </w:r>
    </w:p>
    <w:p>
      <w:pPr>
        <w:spacing w:after="0" w:line="148"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was comprised of the following at September 30, 2017 and December 31, 2016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r>
      <w:tr>
        <w:trPr>
          <w:trHeight w:val="249"/>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25,000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Carrying amount of debt</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47,610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23,800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37,058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20,768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the amount of scheduled principal payments due on the term loan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Year</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Amounts</w:t>
            </w:r>
          </w:p>
        </w:tc>
      </w:tr>
      <w:tr>
        <w:trPr>
          <w:trHeight w:val="249"/>
        </w:trPr>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15,229</w:t>
            </w:r>
          </w:p>
        </w:tc>
      </w:tr>
      <w:tr>
        <w:trPr>
          <w:trHeight w:val="263"/>
        </w:trPr>
        <w:tc>
          <w:tcPr>
            <w:tcW w:w="100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20,084</w:t>
            </w:r>
          </w:p>
        </w:tc>
      </w:tr>
      <w:tr>
        <w:trPr>
          <w:trHeight w:val="270"/>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14,687</w:t>
            </w:r>
          </w:p>
        </w:tc>
      </w:tr>
      <w:tr>
        <w:trPr>
          <w:trHeight w:val="257"/>
        </w:trPr>
        <w:tc>
          <w:tcPr>
            <w:tcW w:w="101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50,000</w:t>
            </w:r>
          </w:p>
        </w:tc>
      </w:tr>
      <w:tr>
        <w:trPr>
          <w:trHeight w:val="20"/>
        </w:trPr>
        <w:tc>
          <w:tcPr>
            <w:tcW w:w="10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93"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The Company may be subject to legal proceedings arising in the ordinary course of business. Although the results of litigation and claims cannot be predicted with certainty, the Company currently does not believe that the final outcome of any such matters will have a material adverse effect on the Company’s business,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SALE OF COMMON STOCK</w:t>
      </w:r>
    </w:p>
    <w:p>
      <w:pPr>
        <w:spacing w:after="0" w:line="247" w:lineRule="exact"/>
        <w:rPr>
          <w:sz w:val="20"/>
          <w:szCs w:val="20"/>
          <w:color w:val="auto"/>
        </w:rPr>
      </w:pPr>
    </w:p>
    <w:p>
      <w:pPr>
        <w:ind w:right="240" w:firstLine="567"/>
        <w:spacing w:after="0" w:line="262" w:lineRule="auto"/>
        <w:rPr>
          <w:sz w:val="20"/>
          <w:szCs w:val="20"/>
          <w:color w:val="auto"/>
        </w:rPr>
      </w:pPr>
      <w:r>
        <w:rPr>
          <w:rFonts w:ascii="Arial" w:cs="Arial" w:eastAsia="Arial" w:hAnsi="Arial"/>
          <w:sz w:val="18"/>
          <w:szCs w:val="18"/>
          <w:color w:val="auto"/>
        </w:rPr>
        <w:t>In January 2017, the Company completed a private placement of securities that resulted in the issuance of approximately 10.8 million shares of common stock and gross proceeds of $10.0 million.</w:t>
      </w:r>
    </w:p>
    <w:p>
      <w:pPr>
        <w:spacing w:after="0" w:line="142"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In December of 2016, the Company entered into an At Market Issuance Sales Agreement (ATM) under which it could sell shares of its common stock up to a gross aggregate offering price of $17.0 million. During the three months ended March 31, 2017 the Company sold approximately 11.1 million shares of common stock under the ATM and received net proceeds of approximately $16.6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3"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nine months ended September 30, 2017 (in thousands, except per share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1.14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0.39</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7.02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8,711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1.74</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40" w:firstLine="432"/>
        <w:spacing w:after="0" w:line="262" w:lineRule="auto"/>
        <w:rPr>
          <w:sz w:val="20"/>
          <w:szCs w:val="20"/>
          <w:color w:val="auto"/>
        </w:rPr>
      </w:pPr>
      <w:r>
        <w:rPr>
          <w:rFonts w:ascii="Arial" w:cs="Arial" w:eastAsia="Arial" w:hAnsi="Arial"/>
          <w:sz w:val="18"/>
          <w:szCs w:val="18"/>
          <w:color w:val="auto"/>
        </w:rPr>
        <w:t>The intrinsic value of options exercised in the nine months ended September 30, 2017 was nominal. As of September 30, 2017, the intrinsic value of options outstanding was $3.1 million based on the closing price of the Company’s stock as of September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89" w:lineRule="exact"/>
        <w:rPr>
          <w:sz w:val="20"/>
          <w:szCs w:val="20"/>
          <w:color w:val="auto"/>
        </w:rPr>
      </w:pPr>
    </w:p>
    <w:p>
      <w:pPr>
        <w:ind w:right="500" w:firstLine="446"/>
        <w:spacing w:after="0" w:line="262" w:lineRule="auto"/>
        <w:rPr>
          <w:sz w:val="20"/>
          <w:szCs w:val="20"/>
          <w:color w:val="auto"/>
        </w:rPr>
      </w:pPr>
      <w:r>
        <w:rPr>
          <w:rFonts w:ascii="Arial" w:cs="Arial" w:eastAsia="Arial" w:hAnsi="Arial"/>
          <w:sz w:val="18"/>
          <w:szCs w:val="18"/>
          <w:color w:val="auto"/>
        </w:rPr>
        <w:t>The following is a summary of restricted stock unit activity for the nine months ended September 30, 2017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at</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RSUs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606</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3.87</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2.03</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2,801</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April 3, 2017, the Company commenced a Tender Offer (Offer) to exchange out of the money stock options for restricted stock units. The Offer expired on Monday, May 1, 2017. Pursuant to the Offer, the Company accepted elections to exchange options to purchase 2,362,470 shares of common stock and issued replacement awards of restricted stock units for 733,559 shares of common stock. As the transaction approximated a value-for-value exchange, it did not have a material impact on the Company’s stock based compensation expense.</w:t>
      </w:r>
    </w:p>
    <w:p>
      <w:pPr>
        <w:spacing w:after="0" w:line="150"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The total intrinsic value of restricted stock units that were vested in the nine months ended September 30, 2017 was $0.8 million. As of September 30, 2017, the intrinsic value of restricted stock units outstanding was $4.3 million based on the closing price of the Company’s stock as of September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3"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8"/>
          <w:szCs w:val="18"/>
          <w:color w:val="auto"/>
        </w:rPr>
        <w:t xml:space="preserve">Compensation expense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w:t>
      </w:r>
      <w:r>
        <w:rPr>
          <w:rFonts w:ascii="Arial" w:cs="Arial" w:eastAsia="Arial" w:hAnsi="Arial"/>
          <w:sz w:val="18"/>
          <w:szCs w:val="18"/>
          <w:color w:val="auto"/>
        </w:rPr>
        <w:t xml:space="preserve"> </w:t>
      </w:r>
      <w:r>
        <w:rPr>
          <w:rFonts w:ascii="Arial" w:cs="Arial" w:eastAsia="Arial" w:hAnsi="Arial"/>
          <w:sz w:val="18"/>
          <w:szCs w:val="18"/>
          <w:color w:val="010202"/>
        </w:rPr>
        <w:t xml:space="preserve">condensed consolidated statements of operations for the periods presented (in </w:t>
      </w:r>
      <w:r>
        <w:rPr>
          <w:rFonts w:ascii="Arial" w:cs="Arial" w:eastAsia="Arial" w:hAnsi="Arial"/>
          <w:sz w:val="18"/>
          <w:szCs w:val="18"/>
          <w:color w:val="000000"/>
        </w:rPr>
        <w:t>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3,047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2,525</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8,239</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1,983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4,363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1,536</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5,277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8,239</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8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1.31</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23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4.5</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79.8%</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400" w:type="dxa"/>
            <w:vAlign w:val="bottom"/>
          </w:tcPr>
          <w:p>
            <w:pPr>
              <w:spacing w:after="0"/>
              <w:rPr>
                <w:sz w:val="22"/>
                <w:szCs w:val="22"/>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1.1%</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161" w:lineRule="exact"/>
        <w:rPr>
          <w:sz w:val="20"/>
          <w:szCs w:val="20"/>
          <w:color w:val="auto"/>
        </w:rPr>
      </w:pPr>
    </w:p>
    <w:p>
      <w:pPr>
        <w:ind w:right="140" w:firstLine="432"/>
        <w:spacing w:after="0" w:line="262" w:lineRule="auto"/>
        <w:rPr>
          <w:sz w:val="20"/>
          <w:szCs w:val="20"/>
          <w:color w:val="auto"/>
        </w:rPr>
      </w:pPr>
      <w:r>
        <w:rPr>
          <w:rFonts w:ascii="Arial" w:cs="Arial" w:eastAsia="Arial" w:hAnsi="Arial"/>
          <w:sz w:val="18"/>
          <w:szCs w:val="18"/>
          <w:color w:val="auto"/>
        </w:rPr>
        <w:t>As of September 30, 2017, there was approximately $8.8 million of total unrecognized compensation expense related to unvested equity awards expected to be recognized over a weighted-average period of 2.8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93" w:lineRule="exact"/>
        <w:rPr>
          <w:sz w:val="20"/>
          <w:szCs w:val="20"/>
          <w:color w:val="auto"/>
        </w:rPr>
      </w:pPr>
    </w:p>
    <w:p>
      <w:pPr>
        <w:jc w:val="both"/>
        <w:ind w:right="200" w:firstLine="432"/>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and nine months ended September 30, 2017 and 2016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155"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3"/>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84,862</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47,278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81,993</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46,704</w:t>
            </w:r>
          </w:p>
        </w:tc>
      </w:tr>
      <w:tr>
        <w:trPr>
          <w:trHeight w:val="170"/>
        </w:trPr>
        <w:tc>
          <w:tcPr>
            <w:tcW w:w="5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2120" w:type="dxa"/>
            <w:vAlign w:val="bottom"/>
            <w:tcBorders>
              <w:bottom w:val="single" w:sz="8" w:color="auto"/>
            </w:tcBorders>
            <w:gridSpan w:val="3"/>
          </w:tcPr>
          <w:p>
            <w:pPr>
              <w:jc w:val="center"/>
              <w:ind w:left="917"/>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7,844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8,944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2"/>
                <w:szCs w:val="22"/>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994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44"/>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12,370</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10,023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500" w:type="dxa"/>
            <w:vAlign w:val="bottom"/>
          </w:tcPr>
          <w:p>
            <w:pPr>
              <w:jc w:val="right"/>
              <w:ind w:right="75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anticipated cost savings, expected new product releases,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120" w:firstLine="44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We were founded in March 2006 and have grown rapidly to become a market leader in the solar microinverter category. Our technology was designed to increase energy production, simplify design and installation, improve system uptime and reliability, reduce fire risk, and provide a platform for intelligent energy management. Since inception, we have shipped approximately 16 million microinverters representing over 3 gigawatts of solar PV generating capacity and approximately 700,000 Enphase residential and commercial systems have been deployed in over 100 countries.</w:t>
      </w:r>
    </w:p>
    <w:p>
      <w:pPr>
        <w:spacing w:after="0" w:line="101" w:lineRule="exact"/>
        <w:rPr>
          <w:sz w:val="20"/>
          <w:szCs w:val="20"/>
          <w:color w:val="auto"/>
        </w:rPr>
      </w:pPr>
    </w:p>
    <w:p>
      <w:pPr>
        <w:ind w:right="140" w:firstLine="446"/>
        <w:spacing w:after="0" w:line="262" w:lineRule="auto"/>
        <w:rPr>
          <w:sz w:val="20"/>
          <w:szCs w:val="20"/>
          <w:color w:val="auto"/>
        </w:rPr>
      </w:pPr>
      <w:r>
        <w:rPr>
          <w:rFonts w:ascii="Arial" w:cs="Arial" w:eastAsia="Arial" w:hAnsi="Arial"/>
          <w:sz w:val="18"/>
          <w:szCs w:val="18"/>
          <w:color w:val="auto"/>
        </w:rPr>
        <w:t>We sell our home energy management products primarily to distributors who resell them to solar installers. We also sell directly to large installers and through original equipment manufacturers (“OEMs”) and strategic partners.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135" w:lineRule="exact"/>
        <w:rPr>
          <w:sz w:val="20"/>
          <w:szCs w:val="20"/>
          <w:color w:val="auto"/>
        </w:rPr>
      </w:pPr>
    </w:p>
    <w:p>
      <w:pPr>
        <w:ind w:right="160" w:firstLine="446"/>
        <w:spacing w:after="0" w:line="252" w:lineRule="auto"/>
        <w:rPr>
          <w:sz w:val="20"/>
          <w:szCs w:val="20"/>
          <w:color w:val="auto"/>
        </w:rPr>
      </w:pPr>
      <w:r>
        <w:rPr>
          <w:rFonts w:ascii="Arial" w:cs="Arial" w:eastAsia="Arial" w:hAnsi="Arial"/>
          <w:sz w:val="18"/>
          <w:szCs w:val="18"/>
          <w:color w:val="auto"/>
        </w:rPr>
        <w:t>In the first quarter of 2017, we began shipping our Enphase Home Energy Solution with IQ™, our next-generation integrated solar, storage and energy management system in North America. The solution features our sixth-generation microinverter system, which supports high-powered 60 and 72-cell solar modules, integrates with AC modules from LG and Jinko Solar, and we believe offers installers faster and simpler installations, saving on costs. This product is a major milestone in the Company’s product cost reduction, and we expect to introduce the next generation of the Enphase Home Energy Solution with IQ™ in the first quarter of 2018, which we believe will achieve further cost savings.</w:t>
      </w:r>
    </w:p>
    <w:p>
      <w:pPr>
        <w:spacing w:after="0" w:line="101" w:lineRule="exact"/>
        <w:rPr>
          <w:sz w:val="20"/>
          <w:szCs w:val="20"/>
          <w:color w:val="auto"/>
        </w:rPr>
      </w:pPr>
    </w:p>
    <w:p>
      <w:pPr>
        <w:ind w:right="120" w:firstLine="446"/>
        <w:spacing w:after="0" w:line="256"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Enphase Enlighten™, a cloud-based energy management platform, and our Enphase AC Battery™. System owners can use Enphase Enlighten to monitor their home’s solar generation, energy storage and consumption from any web-enabled device.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Energized AC Modules</w:t>
      </w:r>
    </w:p>
    <w:p>
      <w:pPr>
        <w:spacing w:after="0" w:line="135" w:lineRule="exact"/>
        <w:rPr>
          <w:sz w:val="20"/>
          <w:szCs w:val="20"/>
          <w:color w:val="auto"/>
        </w:rPr>
      </w:pPr>
    </w:p>
    <w:p>
      <w:pPr>
        <w:ind w:right="320" w:firstLine="446"/>
        <w:spacing w:after="0" w:line="291" w:lineRule="auto"/>
        <w:rPr>
          <w:sz w:val="20"/>
          <w:szCs w:val="20"/>
          <w:color w:val="auto"/>
        </w:rPr>
      </w:pPr>
      <w:r>
        <w:rPr>
          <w:rFonts w:ascii="Arial" w:cs="Arial" w:eastAsia="Arial" w:hAnsi="Arial"/>
          <w:sz w:val="17"/>
          <w:szCs w:val="17"/>
          <w:color w:val="auto"/>
        </w:rPr>
        <w:t>We began shipping Enphase Energized AC Modules in North America in the second quarter of 2017. The Enphase Energized AC Modules with IQ utilize our sixth generation microinverters and are produced through our AC module partnerships with LG and Jinko Solar.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AC Battery™</w:t>
      </w:r>
    </w:p>
    <w:p>
      <w:pPr>
        <w:spacing w:after="0" w:line="135" w:lineRule="exact"/>
        <w:rPr>
          <w:sz w:val="20"/>
          <w:szCs w:val="20"/>
          <w:color w:val="auto"/>
        </w:rPr>
      </w:pPr>
    </w:p>
    <w:p>
      <w:pPr>
        <w:jc w:val="both"/>
        <w:ind w:right="60" w:firstLine="446"/>
        <w:spacing w:after="0" w:line="256" w:lineRule="auto"/>
        <w:rPr>
          <w:sz w:val="20"/>
          <w:szCs w:val="20"/>
          <w:color w:val="auto"/>
        </w:rPr>
      </w:pPr>
      <w:r>
        <w:rPr>
          <w:rFonts w:ascii="Arial" w:cs="Arial" w:eastAsia="Arial" w:hAnsi="Arial"/>
          <w:sz w:val="18"/>
          <w:szCs w:val="18"/>
          <w:color w:val="auto"/>
        </w:rPr>
        <w:t>In the third quarter of 2016, we began shipments of our Enphase AC Battery™ to distributors in Australia and New Zealand. In the fourth quarter of 2016, we started shipping our AC Battery to customers in the United States, France, the United Kingdom and the Netherlands. The Enphase AC Battery is a scalable, modular energy storage system with a 1.2kWh energy capacity.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 Reduction Initiatives</w:t>
      </w:r>
    </w:p>
    <w:p>
      <w:pPr>
        <w:spacing w:after="0" w:line="139" w:lineRule="exact"/>
        <w:rPr>
          <w:sz w:val="20"/>
          <w:szCs w:val="20"/>
          <w:color w:val="auto"/>
        </w:rPr>
      </w:pPr>
    </w:p>
    <w:p>
      <w:pPr>
        <w:ind w:right="660" w:firstLine="446"/>
        <w:spacing w:after="0" w:line="262" w:lineRule="auto"/>
        <w:rPr>
          <w:sz w:val="20"/>
          <w:szCs w:val="20"/>
          <w:color w:val="auto"/>
        </w:rPr>
      </w:pPr>
      <w:r>
        <w:rPr>
          <w:rFonts w:ascii="Arial" w:cs="Arial" w:eastAsia="Arial" w:hAnsi="Arial"/>
          <w:sz w:val="18"/>
          <w:szCs w:val="18"/>
          <w:color w:val="auto"/>
        </w:rPr>
        <w:t>In the third quarter of 2016, we began implementing restructuring actions to lower operating expenses and cost of revenues. The restructuring actions have included reductions in our global workforce, the elimination of</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40"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certain non-core projects, consolidation of office space at our corporate headquarters and the engagement of management consultants to assist us in making organizational and structural changes to improve operational efficiencies and reduce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39"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We generate net revenues from sales of our microinverter systems and related accessories, which in addition to microinverter units can also include the Envoy communications gateway, our Enlighten cloud-based monitoring service, and our AC Battery storage systems.</w:t>
      </w:r>
    </w:p>
    <w:p>
      <w:pPr>
        <w:spacing w:after="0" w:line="88"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39" w:lineRule="exact"/>
        <w:rPr>
          <w:sz w:val="20"/>
          <w:szCs w:val="20"/>
          <w:color w:val="auto"/>
        </w:rPr>
      </w:pPr>
    </w:p>
    <w:p>
      <w:pPr>
        <w:ind w:right="140" w:firstLine="44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of test equipment and hosting service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of test equipment, are not directly affected by sales volume.</w:t>
      </w:r>
    </w:p>
    <w:p>
      <w:pPr>
        <w:spacing w:after="0" w:line="97"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97" w:lineRule="exact"/>
        <w:rPr>
          <w:sz w:val="20"/>
          <w:szCs w:val="20"/>
          <w:color w:val="auto"/>
        </w:rPr>
      </w:pPr>
    </w:p>
    <w:p>
      <w:pPr>
        <w:ind w:right="220" w:firstLine="446"/>
        <w:spacing w:after="0" w:line="256"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 Our ability to reduce product costs and the timing of product cost reductions relative to declines in average selling prices can have a significant impact on our gross margin.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right="120" w:firstLine="44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94"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99"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Sales and marketing expense consists primarily of personnel -related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94"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96"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Restructuring expense is the net of charges and adjustments resulting from restructuring initiatives that we began implementing in the third quarter of 2016 to improve operational performance and reduce overall operating expense. Costs included in restructuring expense primarily consist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See Note 6 to our condensed consolidated financial statements under item 1 of this report, “Restructuring” for additional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right="280" w:firstLine="446"/>
        <w:spacing w:after="0" w:line="256"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non-cash interest expense related to the amortization of deferred financing costs. Other expense, net also includes gains or losses upon conversion of foreign currency transactions into U.S. dollars.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2"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September 30,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2017 and 2016</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320" w:type="dxa"/>
            <w:vAlign w:val="bottom"/>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2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80" w:type="dxa"/>
            <w:vAlign w:val="bottom"/>
            <w:gridSpan w:val="4"/>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77,038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88,684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(11,646)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  $</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206,492</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   231,990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(25,498)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Net revenues decreased by 13% for the three months ended September 30, 2017 compared to the same period in 2016 due to lower average selling prices combined with a decrease in units sold. We sold 790,000 microinverter units in the three months ended September 30, 2017 versus 869,000 units in the same period in 2016. The average revenue per watt of microinverter systems sold declined by approximately 10% for the three months ended September 30, 2017, as compared to the same period in 2016.</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Net revenues decreased by 11% for the nine months ended September 30, 2017 compared to the same period in 2016 due to a decrease in microinverter systems sold and lower average selling prices. We sold 2,138,000 microinverter units in the nine months ended September 30, 2017 versus 2,276,000 units in the same period in 2016. Volumes were negatively affected by the unusually wet weather in California in the first quarter of 2017, which is a significant market for us. The average revenue per watt of microinverter systems sold declined by approximately 11% for the nine months ended September 30, 2017, as compared to the same period in 2016. We expect average selling prices for microinverter systems to continue to decline in the future, which may negatively affect net revenues.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23"/>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20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r>
      <w:tr>
        <w:trPr>
          <w:trHeight w:val="250"/>
        </w:trPr>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3"/>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40" w:type="dxa"/>
            <w:vAlign w:val="bottom"/>
            <w:gridSpan w:val="3"/>
          </w:tcPr>
          <w:p>
            <w:pPr>
              <w:jc w:val="right"/>
              <w:ind w:right="84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60,577</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72,805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   (12,228)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  $</w:t>
            </w:r>
          </w:p>
        </w:tc>
        <w:tc>
          <w:tcPr>
            <w:tcW w:w="9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169,438</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  190,215</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   (20,777)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0"/>
        </w:trPr>
        <w:tc>
          <w:tcPr>
            <w:tcW w:w="20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16,461</w:t>
            </w:r>
          </w:p>
        </w:tc>
        <w:tc>
          <w:tcPr>
            <w:tcW w:w="300" w:type="dxa"/>
            <w:vAlign w:val="bottom"/>
          </w:tcPr>
          <w:p>
            <w:pPr>
              <w:spacing w:after="0"/>
              <w:rPr>
                <w:sz w:val="22"/>
                <w:szCs w:val="22"/>
                <w:color w:val="auto"/>
              </w:rPr>
            </w:pPr>
          </w:p>
        </w:tc>
        <w:tc>
          <w:tcPr>
            <w:tcW w:w="800" w:type="dxa"/>
            <w:vAlign w:val="bottom"/>
          </w:tcPr>
          <w:p>
            <w:pPr>
              <w:jc w:val="right"/>
              <w:ind w:right="83"/>
              <w:spacing w:after="0"/>
              <w:rPr>
                <w:sz w:val="20"/>
                <w:szCs w:val="20"/>
                <w:color w:val="auto"/>
              </w:rPr>
            </w:pPr>
            <w:r>
              <w:rPr>
                <w:rFonts w:ascii="Arial" w:cs="Arial" w:eastAsia="Arial" w:hAnsi="Arial"/>
                <w:sz w:val="16"/>
                <w:szCs w:val="16"/>
                <w:color w:val="auto"/>
              </w:rPr>
              <w:t>15,879</w:t>
            </w:r>
          </w:p>
        </w:tc>
        <w:tc>
          <w:tcPr>
            <w:tcW w:w="120" w:type="dxa"/>
            <w:vAlign w:val="bottom"/>
          </w:tcPr>
          <w:p>
            <w:pPr>
              <w:spacing w:after="0"/>
              <w:rPr>
                <w:sz w:val="22"/>
                <w:szCs w:val="22"/>
                <w:color w:val="auto"/>
              </w:rPr>
            </w:pPr>
          </w:p>
        </w:tc>
        <w:tc>
          <w:tcPr>
            <w:tcW w:w="1560" w:type="dxa"/>
            <w:vAlign w:val="bottom"/>
          </w:tcPr>
          <w:p>
            <w:pPr>
              <w:jc w:val="right"/>
              <w:ind w:right="603"/>
              <w:spacing w:after="0"/>
              <w:rPr>
                <w:sz w:val="20"/>
                <w:szCs w:val="20"/>
                <w:color w:val="auto"/>
              </w:rPr>
            </w:pPr>
            <w:r>
              <w:rPr>
                <w:rFonts w:ascii="Arial" w:cs="Arial" w:eastAsia="Arial" w:hAnsi="Arial"/>
                <w:sz w:val="16"/>
                <w:szCs w:val="16"/>
                <w:color w:val="auto"/>
              </w:rPr>
              <w:t>582</w:t>
            </w:r>
          </w:p>
        </w:tc>
        <w:tc>
          <w:tcPr>
            <w:tcW w:w="660" w:type="dxa"/>
            <w:vAlign w:val="bottom"/>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37,054</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41,775</w:t>
            </w:r>
          </w:p>
        </w:tc>
        <w:tc>
          <w:tcPr>
            <w:tcW w:w="120" w:type="dxa"/>
            <w:vAlign w:val="bottom"/>
          </w:tcPr>
          <w:p>
            <w:pPr>
              <w:spacing w:after="0"/>
              <w:rPr>
                <w:sz w:val="22"/>
                <w:szCs w:val="22"/>
                <w:color w:val="auto"/>
              </w:rPr>
            </w:pPr>
          </w:p>
        </w:tc>
        <w:tc>
          <w:tcPr>
            <w:tcW w:w="1600" w:type="dxa"/>
            <w:vAlign w:val="bottom"/>
          </w:tcPr>
          <w:p>
            <w:pPr>
              <w:jc w:val="right"/>
              <w:ind w:right="583"/>
              <w:spacing w:after="0"/>
              <w:rPr>
                <w:sz w:val="20"/>
                <w:szCs w:val="20"/>
                <w:color w:val="auto"/>
              </w:rPr>
            </w:pPr>
            <w:r>
              <w:rPr>
                <w:rFonts w:ascii="Arial" w:cs="Arial" w:eastAsia="Arial" w:hAnsi="Arial"/>
                <w:sz w:val="16"/>
                <w:szCs w:val="16"/>
                <w:color w:val="auto"/>
              </w:rPr>
              <w:t>(4,721)</w:t>
            </w: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0"/>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21.4%</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3.5%</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(0.1)%</w:t>
            </w:r>
          </w:p>
        </w:tc>
        <w:tc>
          <w:tcPr>
            <w:tcW w:w="680" w:type="dxa"/>
            <w:vAlign w:val="bottom"/>
            <w:shd w:val="clear" w:color="auto" w:fill="CCEEFF"/>
          </w:tcPr>
          <w:p>
            <w:pPr>
              <w:spacing w:after="0"/>
              <w:rPr>
                <w:sz w:val="24"/>
                <w:szCs w:val="24"/>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Cost of revenues decreased by 17% for the three months ended September 30, 2017 compared to the same period in 2016. The decrease in cost of revenues was primarily attributable to a decrease in the average cost per watt of microinverter systems, lower volume, lower warranty expense and reduced overhead expenses as a result of our cost reduction efforts. Gross margin increased by 3.5 percentage points for the three months ended September 30, 2017 compared to the same period in 2016. The increase in gross margin was primarily due to a greater decrease in the average cost per watt of our microinverter systems than the average revenue per watt and lower overhead and warranty expense in the three months ended September 30, 2017 as compared to the same period last year.</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Cost of revenues decreased by 11% for the nine months ended September 30, 2017 compared to the same period in 2016. The decrease in cost of revenues was primarily attributable to a decrease in the average cost per watt of microinverter systems, lower volume, lower warranty expense and reduced overhead expenses as a result of our cost reduction efforts. Gross margin decreased by 0.1 percentage points for the nine months ended September 30, 2017 compared to the same period in 2016. The primary driver of the decrease in gross margin was the absorption of fixed overhead costs and warranty charges on a lower revenue base in the first quarter of 2017. Our ability to reduce product costs and the timing of product cost reductions relative to declines in average selling prices can have a significant impact on our gross margin.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4"/>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7,397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13,169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(5,772)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(44)%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24,949</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39,326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(14,377)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Research and development expense decreased by 44% for the three months ended September 30, 2017 compared to the same period in 2016. The decrease is primarily due to the implementation of our restructuring initiative that eliminated non-core projects resulting in a $3.5 million reduction in research and development personnel related expenses and a $1.7 million reduction in lab parts, product prototypes and professional fees.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Research and development expense decreased by 37% for the nine months ended September 30, 2017 compared to the same period in 2016. The decrease is primarily due to the implementation of our restructuring initiative that eliminated non-core projects resulting in an $8.7 million reduction in research and development personnel related expenses and a $5.1 million reduction in lab parts, product prototypes and professional fees. The amount of research and development expense may fluctuate from period to period due to the differing levels and stages of research and development activity.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2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gridSpan w:val="4"/>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4"/>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5,453</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11,016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(5,563)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18,186</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31,218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(13,032)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Sales and marketing expense decreased by 50% for the three months ended September 30, 2017 compared to the same period in 2016. The decrease is primarily due to the implementation of our restructuring initiative that eliminated non-core projects resulting in a $2.9 million reduction in sales and marketing personnel related expenses. Spending on advertising activities and professional services decreased by $0.8 million in the third quarter of 2017 as compared to the third quarter of 2016. Additionally, bad debt expense was $1.7 million higher in the third quarter of 2016 as compared to the third quarter of 2017 due to provisions taken for certain customers experiencing financial difficulties.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Sales and marketing expense decreased by 42% for the nine months ended September 30, 2017 compared to the same period in 2016. The decrease is primarily due to the implementation of our restructuring initiative that eliminated non-core projects resulting in an $8.3 million reduction in sales and marketing personnel related expenses. Spending on advertising activities and professional services decreased by $2.1 million in the nine months ended September 30, 2017 as compared to the same period in 2016. Additionally, bad debt expense was $2.3 million higher in the nine months ended September 30, 2016 than in the current period.</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4"/>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5,441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6,708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(1,267)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16,238</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21,121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(4,883)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General and administrative expense decreased by 19% for the three months ended September 30, 2017 compared to the same period in 2016. The decrease is primarily due to the implementation of our restructuring initiative that eliminated non-core projects resulting in a $0.6 million reduction in general and administrative personnel related expenses, a $0.3 million reduction in facilities related expenses and a $0.3 million reduction in depreciation expense as a result of a lower fixed asset base.</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General and administrative expense decreased by 23% for the nine months ended September 30, 2017 compared to the same period in 2016. The decrease is primarily due to the implementation of our restructuring initiative that eliminated non-core projects resulting in a $ 3.1 million reduction in general and administrative personnel related expenses, a $0.6 million reduction in facilities related expenses, a $0.3 million reduction in professional services and a $0.8 million reduction in depreciation expense as a result of a lower fixed asset base.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21"/>
                <w:szCs w:val="21"/>
                <w:color w:val="auto"/>
              </w:rPr>
            </w:pPr>
          </w:p>
        </w:tc>
      </w:tr>
      <w:tr>
        <w:trPr>
          <w:trHeight w:val="276"/>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4,071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1,354</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50%  $</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14,927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12,210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implemented a restructuring plan in 2016 to lower operating expenses and cost of revenues that included reductions in our global workforce and the elimination of certain non-core projects. In 2017 we engaged a management consulting firm to assist us in making organizational and structural changes to improve operational efficiencies and reduce expenses. Restructuring charges for the three months ended September 30, 2017 include $3.1 million of consulting services and $1.1 million in cash-based severance and related benefits offset by a $0.1 million adjustment to previously established lease loss reserves.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implemented a restructuring plan in 2016 to lower operating expenses and cost of revenues that included reductions in our global workforce and the elimination of certain non-core projects. In 2017 we engaged a management consulting firm to assist us in making organizational and structural changes to improve operational efficiencies and reduce expenses. Restructuring charges for the nine months ended September 30, 2017 include $10.1 million of consulting services, $2.8 million in cash-based severance and related benefits and $2.0 million in charges for asset impairments and lease loss reserves. We expect to incur additional fees for management consulting services in the near-term.</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160" w:type="dxa"/>
            <w:vAlign w:val="bottom"/>
          </w:tcPr>
          <w:p>
            <w:pPr>
              <w:ind w:left="46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21"/>
                <w:szCs w:val="21"/>
                <w:color w:val="auto"/>
              </w:rPr>
            </w:pPr>
          </w:p>
        </w:tc>
      </w:tr>
      <w:tr>
        <w:trPr>
          <w:trHeight w:val="27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   $</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(1,137)</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(256)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29%  $</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(4,208)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(3,265)</w:t>
            </w:r>
          </w:p>
        </w:tc>
        <w:tc>
          <w:tcPr>
            <w:tcW w:w="72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w w:val="97"/>
              </w:rPr>
              <w:t>346%</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2017 and 2016</w:t>
      </w:r>
    </w:p>
    <w:p>
      <w:pPr>
        <w:spacing w:after="0" w:line="18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Other expense, net was $1.1 million for three months ended September 30, 2017 versus $ 0.9 million for the same period in 2016. Interest expense increased by $0.6 million due to amended term loan, which was partially offset by $0.3 million increase in other income due to net gains related to foreign currency exchange and remeasurement for the three months ended September 30, 2017 as compared to the same period in 2016.</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2017 and 2016</w:t>
      </w:r>
    </w:p>
    <w:p>
      <w:pPr>
        <w:spacing w:after="0" w:line="189"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Other expense net was $4.2 million for nine months ended September 30, 2017 versus $0.9 million in the same period in 2016. Interest expense increased by $4.4 million due to our term loan, which was partially offset by an increase in net gains related to foreign currency exchange and remeasurement of $1.1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right="280" w:firstLine="432"/>
        <w:spacing w:after="0" w:line="254" w:lineRule="auto"/>
        <w:rPr>
          <w:sz w:val="20"/>
          <w:szCs w:val="20"/>
          <w:color w:val="auto"/>
        </w:rPr>
      </w:pPr>
      <w:r>
        <w:rPr>
          <w:rFonts w:ascii="Arial" w:cs="Arial" w:eastAsia="Arial" w:hAnsi="Arial"/>
          <w:sz w:val="18"/>
          <w:szCs w:val="18"/>
          <w:color w:val="auto"/>
        </w:rPr>
        <w:t>As of September 30, 2017, we had $28.9 million in cash and cash equivalents and working capital of $ 50.8 million. Cash and cash equivalents held in the United States were $23.0 million and consisted primarily of U.S. Government money market mutual funds and non-interest bearing checking deposits, with the remainder held in various foreign subsidiaries. We consider amounts held outside the U.S. to be accessible and have provided for the estimated U.S. income tax liability associated with our foreign earnings.</w:t>
      </w:r>
    </w:p>
    <w:p>
      <w:pPr>
        <w:spacing w:after="0" w:line="9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Although we have taken actions to improve our liquidity and help us achieve profitability, the solar market is volatile, and we are subject to market dynamics that are beyond our control. As disclosed in our annual report on Form 10-K for the year ended December 31, 2016, we concluded that substantial doubt exists as to our ability to continue as a going concern within the next year. The accompanying consolidated financial statements for the three and nine months ended September 30, 2017 are presented on a going concern basis and do not include 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adjustments that might result from the outcome of this uncertainty. Information about the actions we have taken and are taking to mitigate our liquidity constraints is presented below.</w:t>
      </w:r>
    </w:p>
    <w:p>
      <w:pPr>
        <w:spacing w:after="0" w:line="142"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Actions we have taken to reduce our operating expenses include a reduction in our global workforce in the third quarter of 2016 and a second reduction in January 2017. We have eliminated certain projects that did not have a near-term return on investment, consolidated office space at our headquarters, divested our services business and engaged a management consulting firm to help us improve operational efficiencies. We expect the cumulative impact of these actions to decrease our ongoing annual operating expenses by approximately 35%. For the nine months ended September 30, 2017, we achieved a combined $32.3 million in savings for research and development, sales and marketing and general and administrative expenses over the same period in 2016, which was partially offset by increased restructuring charges of $12.2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93"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We have taken and are taking actions to improve our liquidity, including raising funds in the capital markets. In 2016, we completed a public offering of approximately 15 million shares and realized net proceeds of approximately $16.2 million.</w:t>
      </w:r>
    </w:p>
    <w:p>
      <w:pPr>
        <w:spacing w:after="0" w:line="88"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 December 2016, we entered into an At The Market Issuance Sales Agreement (ATM) under which we could sell shares of our common stock up to a gross aggregate offering price of $17.0 million. We realized the full $17.0 million of gross proceeds available under the ATM during the three months ended March 31, 2017.</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2017, we completed a private placement of common stock that resulted in gross proceeds of $10.0 million.</w:t>
      </w:r>
    </w:p>
    <w:p>
      <w:pPr>
        <w:spacing w:after="0" w:line="117"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July 2016, we entered into a loan and security agreement (the “Original Term Loan Agreement”) with lenders that are affiliates of Tennenbaum Capital Partners, LLC (“TCP”), which has subsequently been amended and modified as discussed below and in Note 7 to our condensed consolidated financial statements, “Debt.” Under the agreement, the lenders committed to advance a term loan in an aggregate principal amount of up to $25.0 million with a maturity date of July 1, 2020. We drew down the $25.0 million term loan commitment at closing.</w:t>
      </w:r>
    </w:p>
    <w:p>
      <w:pPr>
        <w:spacing w:after="0" w:line="9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Payments under the original agreement were interest only through June 30, 2017, followed by consecutive equal monthly payments of principal plus accrued interest that were to begin on July 1, 2017 and continue through the maturity date. The Original Term Loan Agreement provides for an interest rate per annum equal to the higher of (i) 10.25% or (ii) LIBOR plus 9.5625%, subject to a 1.0% reduction if we achieve minimum levels of Revenue and EBITDA (each as defined in the Original Term Loan Agreement) for the twelve-consecutive month period ending June 30, 2017. In addition, we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9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term loan was secured by a second-priority security interest on substantially all our assets except intellectual property. The Original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Original Term Loan Agreement offers TCP typical rights and remedies in any event of default, including the ability to declare all amounts outstanding immediately due and payable. We do not expect the lender to declare default under any event, including the material adverse change clause.</w:t>
      </w:r>
    </w:p>
    <w:p>
      <w:pPr>
        <w:spacing w:after="0" w:line="105" w:lineRule="exact"/>
        <w:rPr>
          <w:sz w:val="20"/>
          <w:szCs w:val="20"/>
          <w:color w:val="auto"/>
        </w:rPr>
      </w:pPr>
    </w:p>
    <w:p>
      <w:pPr>
        <w:jc w:val="both"/>
        <w:ind w:right="140" w:firstLine="432"/>
        <w:spacing w:after="0" w:line="254" w:lineRule="auto"/>
        <w:rPr>
          <w:sz w:val="20"/>
          <w:szCs w:val="20"/>
          <w:color w:val="auto"/>
        </w:rPr>
      </w:pPr>
      <w:r>
        <w:rPr>
          <w:rFonts w:ascii="Arial" w:cs="Arial" w:eastAsia="Arial" w:hAnsi="Arial"/>
          <w:sz w:val="18"/>
          <w:szCs w:val="18"/>
          <w:color w:val="auto"/>
        </w:rPr>
        <w:t>In 2016 we had a $50.0 million revolving credit facility with Wells Fargo Bank, N.A. (“Wells Fargo”) that was entered into on November 7, 2012, as first amended on February 14, 2014. On December 18, 2015, we entered into an amended and restated revolving credit agreement with Wells Fargo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96"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February 2017, we amended our loan and security agreement with TCP to provide an additional $25 million in principal (the “New Term Loan Agreement”). We simultaneously terminated our revolving credit facility with Wells Fargo Bank, N.A., and the combined principal and interest balance of $10.3 million was fully repaid. The new term loan is secured by a first-priority security interest on substantially all our assets except intellectual property and has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same July 1, 2020 maturity date as the original TCP loan, both of which are now interest only until February 2018.</w:t>
      </w:r>
    </w:p>
    <w:p>
      <w:pPr>
        <w:spacing w:after="0" w:line="171"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The New Term Loan Agreement requires that (i) at all times from the closing date to and including March 31, 2018, we have Unrestricted Cash (as defined in the New Term Loan Agreement) of at least $10.0 million; (ii) at all times from the closing date to and including March 31, 2018, that the aggregate amount of Consolidated Unrestricted Cash, plus the value of Consolidated Receivables, plus the value of Consolidated Inventory (each as defined in the New Term Loan Agreement) divided by the outstanding principal amount of both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both term loans, shall equal or exceed 1.75. In addition, the New Term Loan Agreement is subject to customary affirmative and negative covenants including restrictions on creation of liens, dispositions of assets, mergers, changing the nature of its business and dividends and other distributions, in each case subject to certain exceptions. The New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New Term Loan Agreement offers TCP typical rights and remedies in any event of default, including the ability to declare all amounts outstanding immediately due and payable. We expect to be in compliance with the financial covenants noted above, and we do not expect the lender to declare default under any event, including the material adverse change clause. See Note 7. “Debt.”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(26,528)</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(3,609)</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40,739</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512</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11,114</w:t>
            </w: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For the nine months ended September 30, 2017, net cash used in operating activities of $26.5 million was primarily attributable to a net loss of $42.3 million offset by non-cash charges of $ 15.9 million. Non-cash charges included $5.3 million of stock-based compensation, $6.8 million of depreciation and amortization, $0.9 million provision for doubtful accounts and a net $1.6 million in asset impairment and restructuring charges.</w:t>
      </w:r>
    </w:p>
    <w:p>
      <w:pPr>
        <w:spacing w:after="0" w:line="150"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The primary drivers of cash outflows from changes in operating assets and liabilities included a $8.8 million increase in accounts receivable primarily due to timing of sales within the quarter, an increase in prepaid expenses and other assets of $5.1 million primarily due to prepaid inventory items, and a decrease in warranty obligations of $1.1 million. Cash outflows from changes in operating assets and liabilities were offset by a $6.6 million decrease in inventory due to our inventory management efforts, a $3.2 million increase in accounts payable primarily due to the timing of inventory receipts and a $5.0 million increase in deferred revenue.</w:t>
      </w:r>
    </w:p>
    <w:p>
      <w:pPr>
        <w:spacing w:after="0" w:line="152" w:lineRule="exact"/>
        <w:rPr>
          <w:sz w:val="20"/>
          <w:szCs w:val="20"/>
          <w:color w:val="auto"/>
        </w:rPr>
      </w:pPr>
    </w:p>
    <w:p>
      <w:pPr>
        <w:ind w:right="240" w:firstLine="432"/>
        <w:spacing w:after="0" w:line="250" w:lineRule="auto"/>
        <w:rPr>
          <w:sz w:val="20"/>
          <w:szCs w:val="20"/>
          <w:color w:val="auto"/>
        </w:rPr>
      </w:pPr>
      <w:r>
        <w:rPr>
          <w:rFonts w:ascii="Arial" w:cs="Arial" w:eastAsia="Arial" w:hAnsi="Arial"/>
          <w:sz w:val="18"/>
          <w:szCs w:val="18"/>
          <w:color w:val="auto"/>
        </w:rPr>
        <w:t>For the nine months ended September 30, 2016, net cash used in operating activities of $28.6 million was primarily attributable to a net loss of $54.3 million offset by non-cash charges of $21.0 million and net cash inflows from changes in our operating assets and liabilities</w:t>
      </w:r>
    </w:p>
    <w:p>
      <w:pPr>
        <w:spacing w:after="0" w:line="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of $4.7 million. Non-cash charges included $8.2 million of stock-based compensation, $8.0 million of depreciation and amortization, $3.2 million provision for doubtful accounts and $1.4 million in asset impairment charges.</w:t>
      </w:r>
    </w:p>
    <w:p>
      <w:pPr>
        <w:spacing w:after="0" w:line="142" w:lineRule="exact"/>
        <w:rPr>
          <w:sz w:val="20"/>
          <w:szCs w:val="20"/>
          <w:color w:val="auto"/>
        </w:rPr>
      </w:pPr>
    </w:p>
    <w:p>
      <w:pPr>
        <w:ind w:right="300" w:firstLine="432"/>
        <w:spacing w:after="0" w:line="254" w:lineRule="auto"/>
        <w:rPr>
          <w:sz w:val="20"/>
          <w:szCs w:val="20"/>
          <w:color w:val="auto"/>
        </w:rPr>
      </w:pPr>
      <w:r>
        <w:rPr>
          <w:rFonts w:ascii="Arial" w:cs="Arial" w:eastAsia="Arial" w:hAnsi="Arial"/>
          <w:sz w:val="18"/>
          <w:szCs w:val="18"/>
          <w:color w:val="auto"/>
        </w:rPr>
        <w:t>The primary drivers of cash inflows from changes in operating assets and liabilities was a $14.9 million increase in accounts payable, accrued and other liabilities resulting from timing of vendor payments. Also contributing to cash inflows was an increase in deferred revenue related to our cloud-based monitoring service of $ 8.7 million and a decrease in inventory of $1.7 million , which was attributable to improved working capital management. Cash outflows from changes in operating assets and liabilities included a $16.6 million increase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accounts receivable as a result of higher sales in the third quarter of 2016 compared to the fourth quarter of 2015, a $3.9 million increase in prepaid expenses and other assets attributable to deferral of costs for certain sales arrangements with extended payment terms and a $0.2 million decrease to warranty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3" w:lineRule="exact"/>
        <w:rPr>
          <w:sz w:val="20"/>
          <w:szCs w:val="20"/>
          <w:color w:val="auto"/>
        </w:rPr>
      </w:pPr>
    </w:p>
    <w:p>
      <w:pPr>
        <w:ind w:right="120" w:firstLine="432"/>
        <w:spacing w:after="0" w:line="262" w:lineRule="auto"/>
        <w:rPr>
          <w:sz w:val="20"/>
          <w:szCs w:val="20"/>
          <w:color w:val="auto"/>
        </w:rPr>
      </w:pPr>
      <w:r>
        <w:rPr>
          <w:rFonts w:ascii="Arial" w:cs="Arial" w:eastAsia="Arial" w:hAnsi="Arial"/>
          <w:sz w:val="18"/>
          <w:szCs w:val="18"/>
          <w:color w:val="auto"/>
        </w:rPr>
        <w:t>For the nine months ended September 30, 2017, net cash used in investing activities of $3.6 million primarily resulted from purchases of test and assembly equipment and capitalized costs related to internal-use software.</w:t>
      </w:r>
    </w:p>
    <w:p>
      <w:pPr>
        <w:spacing w:after="0" w:line="142"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For the nine months ended September 30, 2016, net cash used in investing activities of $10.3 million primarily resulted from purchases of test and assembly equipment, capitalized costs related to internal-use software and license fees for certain technology related to ASIC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For the nine months ended September 30, 2017, net cash provided by financing activities of $40.7 million consisted of net proceeds from sales of common stock of $26.5 million, which included proceeds from the private placement and ATM offering described above and net proceeds from the term loan of $24.2 million, offset by the repayment of principal on our revolving credit facility of $10.1 million.</w:t>
      </w:r>
    </w:p>
    <w:p>
      <w:pPr>
        <w:spacing w:after="0" w:line="148"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For the nine months ended September 30, 2016, net cash provided by financing activities of $34.6 million consisted of net proceeds from our term loan of $23.9 million, net public equity offering proceeds of $14.4 million and proceeds received from the issuance of common stock under employee stock plans of $0.9 million, offset by the net repayment of our revolving credit facility of $4.6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There were no material changes during the nine months ended September 30, 2017 to our contractual commitments as presented in “Management’s Discussion and Analysis of Financial Condition and Results of Operations” of our 2016 Form 10-K other than the termination of our revolving credit facility and additional term debt as described in Note 7.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we did not have any off-balance sheet arrangements, as defined in Item 303(a)(4)(ii) of SEC Regulation S-K.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59"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48"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There have been no significant changes during the nine months ended September 30, 2017 to the items that we disclosed as our critical accounting policies and estimates in Management’s Discussion and Analysis of Financial Condition and Results of Operations in our Annual Report on Form 10-K for the year ended December 31, 2016.</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40"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75"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of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53" w:lineRule="exact"/>
        <w:rPr>
          <w:sz w:val="20"/>
          <w:szCs w:val="20"/>
          <w:color w:val="auto"/>
        </w:rPr>
      </w:pPr>
    </w:p>
    <w:p>
      <w:pPr>
        <w:ind w:right="160" w:firstLine="432"/>
        <w:spacing w:after="0" w:line="256"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2016. Our exposures to market risk have not changed materially since December 31, 2016.</w:t>
      </w:r>
    </w:p>
    <w:p>
      <w:pPr>
        <w:spacing w:after="0" w:line="2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2017.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2017, our chief executive officer and chief financial officer concluded that, as of such date, our disclosure controls and procedures were effective at the reasonable assurance level.</w:t>
      </w:r>
    </w:p>
    <w:p>
      <w:pPr>
        <w:spacing w:after="0" w:line="152"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93"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30"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9"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93"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have incurred significant net losses since we began doing business, including a net loss of $42.3 million during the nine months ended September 30, 2017. As of September 30, 2017, we had an accumulated deficit of $292.8 million. Our revenue may increase or decrease for a number of possible reasons, many of which are outside our control, including a decline in demand for our offerings, increased competition, a decrease in the growth of the solar industry or our market share, or our failure to capitalize on growth opportunities. If we fail to generate sufficient revenue to support our operations, we may not be able to achieve or sustain profitability. In connection with the issuance of our consolidated financial statements for the year ended December 31, 2016, we concluded that there is substantial doubt regarding our ability to continue as a going concern. While we have taken and continue to take steps to improve our financial position since December 31, 2016 (including raising additional capital and further reducing expenses), there can be no assurance that these steps will be sufficient and we could fail to continue as a going concern. Furthermore, if we require additional capital to finance our operations, this determination could impair our ability to finance our operations through the sale of equity, incurring debt, or other financing alternatives.</w:t>
      </w:r>
    </w:p>
    <w:p>
      <w:pPr>
        <w:spacing w:after="0" w:line="13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7"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8"/>
          <w:szCs w:val="18"/>
          <w:color w:val="auto"/>
        </w:rPr>
        <w:t>We have disclosed our conclusion under ASU 2014-15, “Presentation of Financial Statements - Going Concern” that there is substantial doubt about our ability to continue as a going concern and our plans to mitigate the conditions that led to that conclusion. Therefore, we may need to raise additional capital to execute on our current or future business strategies, including to:</w:t>
      </w:r>
    </w:p>
    <w:p>
      <w:pPr>
        <w:spacing w:after="0" w:line="40"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2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We do not know what forms of financing, if any, will be available to us, and the determination that there is substantial doubt about our ability to continue as a going concern could impair our ability to raise financing, if needed. If financing is not available on acceptable terms, if and when needed, our ability to fund our operations, enhance our research and development and sales and marketing functions, develop and enhance our products,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40"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 If we fail to raise sufficient additional capital if needed, we may not be able to completely execute our business plan and may not be able to continue as a going concern.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9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50"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44"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88"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88"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ind w:right="800" w:firstLine="432"/>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142" w:lineRule="exact"/>
        <w:rPr>
          <w:sz w:val="20"/>
          <w:szCs w:val="20"/>
          <w:color w:val="auto"/>
        </w:rPr>
      </w:pPr>
    </w:p>
    <w:p>
      <w:pPr>
        <w:ind w:right="220" w:firstLine="432"/>
        <w:spacing w:after="0" w:line="253"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 including impairing the recorded value of our inventory.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2016, CED Greentech accounted for approximately 18% of total net revenues. In 2015, CED Greentech and Vivint Solar, Inc. accounted for approximately 17% and 12%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For example, beginning in 2015, Vivint Solar, Inc. implemented a multi-sourcing strategy, and therefore, is not sole-sourcing our microinverters, which has resulted in and may continue to result in a reduction in our revenue generated from sales to Vivint. In addition, adverse events affecting our customers could also adversely affect our revenue and results of operations (for instance, the recent filing of a voluntary petition for bankruptcy protection by one of our customers prevented us from timely collection of our accounts receivable from that customer). The loss of, or events affecting, Vivint or one or more of our other large customers have had, could have and could continue to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39" w:lineRule="exact"/>
        <w:rPr>
          <w:sz w:val="20"/>
          <w:szCs w:val="20"/>
          <w:color w:val="auto"/>
        </w:rPr>
      </w:pPr>
    </w:p>
    <w:p>
      <w:pPr>
        <w:ind w:right="760" w:firstLine="432"/>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4"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88" w:lineRule="exact"/>
        <w:rPr>
          <w:rFonts w:ascii="Arial" w:cs="Arial" w:eastAsia="Arial" w:hAnsi="Arial"/>
          <w:sz w:val="18"/>
          <w:szCs w:val="18"/>
          <w:color w:val="auto"/>
        </w:rPr>
      </w:pPr>
    </w:p>
    <w:p>
      <w:pPr>
        <w:ind w:left="980" w:right="24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right="2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4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40"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3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21" w:lineRule="exact"/>
        <w:rPr>
          <w:sz w:val="20"/>
          <w:szCs w:val="20"/>
          <w:color w:val="auto"/>
        </w:rPr>
      </w:pPr>
    </w:p>
    <w:p>
      <w:pPr>
        <w:ind w:right="200" w:firstLine="432"/>
        <w:spacing w:after="0" w:line="253"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include, amongst others, SMA Solar Technology AG, Fronius International GmbH, ABB Ltd. and SolarEdge Technologies, Inc.. Other existing or emerging companies, such as Huawei Technologies Co. Ltd., may also begin offering alternative microinverter, DC to DC optimizer and other power electronic solutions.</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manufacturers such as Huawei Technologies Co. Ltd.. In addition, central and string inverter manufacturers continue to reduce their prices, putting additional pressure on us and other alternative technologies.</w:t>
      </w:r>
    </w:p>
    <w:p>
      <w:pPr>
        <w:spacing w:after="0" w:line="153"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58"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21"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2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Our microinverter systems, including our AC Battery storage solution and recently announced integrated AC Module, may not achieve broader market acceptance, which would prevent us from increasing our revenue and market share.</w:t>
      </w:r>
    </w:p>
    <w:p>
      <w:pPr>
        <w:spacing w:after="0" w:line="67"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0" w:lineRule="exact"/>
        <w:rPr>
          <w:sz w:val="20"/>
          <w:szCs w:val="20"/>
          <w:color w:val="auto"/>
        </w:rPr>
      </w:pPr>
    </w:p>
    <w:p>
      <w:pPr>
        <w:ind w:left="980" w:right="4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produce microinverter systems and AC Battery storage products that compete favorably against other solutions on the basis of price, quality, reliability and performance;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have a relatively limited history with respect to reliability and performance;</w:t>
      </w:r>
    </w:p>
    <w:p>
      <w:pPr>
        <w:spacing w:after="0" w:line="88" w:lineRule="exact"/>
        <w:rPr>
          <w:rFonts w:ascii="Arial" w:cs="Arial" w:eastAsia="Arial" w:hAnsi="Arial"/>
          <w:sz w:val="18"/>
          <w:szCs w:val="18"/>
          <w:color w:val="auto"/>
        </w:rPr>
      </w:pPr>
    </w:p>
    <w:p>
      <w:pPr>
        <w:ind w:left="980" w:right="76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new technology with a limited history with respect to reliability and performance;</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88" w:lineRule="exact"/>
        <w:rPr>
          <w:rFonts w:ascii="Arial" w:cs="Arial" w:eastAsia="Arial" w:hAnsi="Arial"/>
          <w:sz w:val="18"/>
          <w:szCs w:val="18"/>
          <w:color w:val="auto"/>
        </w:rPr>
      </w:pPr>
    </w:p>
    <w:p>
      <w:pPr>
        <w:ind w:left="980" w:right="68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5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12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recent change in the U.S. presidential administration may create regulatory uncertainty in the clean energy sector generally and the solar energy sector in particular. If the new administration or the U.S. Congress take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150"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The U.S. International Trade Commission (“ITC”) made a determination of injury on September 22, 2017 on a petition filed by Suniva Inc. calling for tariffs and minimum price guarantees on solar equipment manufactured outside of the U.S. The ITC now has until November 13, 2017 to formally recommend a remedy to the president, who may subsequently impose minimum price requirements, tariffs, quotas or other remedies. Any such remedies could have a negative impact on the overall demand for solar products in the U.S. If applied specifically to products that we or our commercial partners import such remedies could materially harm our business, financial condition and results of operations.</w:t>
      </w:r>
    </w:p>
    <w:p>
      <w:pPr>
        <w:spacing w:after="0" w:line="155"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China. During the 2016 election campaign, the new president made comments suggesting that he was not supportive of certain existing international trade agreements, including the North American Free Trade Agreement (“NAFTA”). At this time, it remains unclear what the new administration or the U.S. Congress may or may not do with respect to these international trade agreements. If the new administration takes action to impose any border tariff or to withdraw from or materially modify NAFTA or certain other international trade agreements, our business, financial condition and results of operations could be adversely affected.</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any of which will adversely affect our business and financial condition.</w:t>
      </w:r>
    </w:p>
    <w:p>
      <w:pPr>
        <w:spacing w:after="0" w:line="67"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98"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0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2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 eliminated as part of tax code changes or regulatory reform initiatives by the new Congress and presidential administration.</w:t>
      </w:r>
    </w:p>
    <w:p>
      <w:pPr>
        <w:spacing w:after="0" w:line="152"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will not adequately stimulate future growth in the residential solar market.</w:t>
      </w:r>
    </w:p>
    <w:p>
      <w:pPr>
        <w:spacing w:after="0" w:line="15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2013, Australia elected a new national government. The new leadership pledged to revise national energy policy, including potentially reducing Australia’s RET and revising certain renewable energy financing mechanisms. In July 2014, the new leadership successfully repealed the tax on carbon emissions. This has been replaced with the Direct Action Plan, which primarily provides funding to corporations to reduce emissions. States and territories in Australia have different FiTs, and the gradual reduction of FiTs in some states may reduce the incentive for homeowners to export unused solar energy produced back to the grid.</w:t>
      </w:r>
    </w:p>
    <w:p>
      <w:pPr>
        <w:spacing w:after="0" w:line="15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3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21" w:lineRule="exact"/>
        <w:rPr>
          <w:sz w:val="20"/>
          <w:szCs w:val="20"/>
          <w:color w:val="auto"/>
        </w:rPr>
      </w:pPr>
    </w:p>
    <w:p>
      <w:pPr>
        <w:jc w:val="both"/>
        <w:ind w:right="560" w:firstLine="432"/>
        <w:spacing w:after="0" w:line="256"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48" w:lineRule="exact"/>
        <w:rPr>
          <w:sz w:val="20"/>
          <w:szCs w:val="20"/>
          <w:color w:val="auto"/>
        </w:rPr>
      </w:pPr>
    </w:p>
    <w:p>
      <w:pPr>
        <w:jc w:val="both"/>
        <w:ind w:right="580" w:firstLine="432"/>
        <w:spacing w:after="0" w:line="254"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5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The threat of continuing global economic, capital markets and credit disruptions, including sovereign debt issues, pose risks for our business.</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3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incorporating our microinverter systems is high relative to the cost of electricity from other sources, our business, financial condition and results of operations may be harmed.</w:t>
      </w:r>
    </w:p>
    <w:p>
      <w:pPr>
        <w:spacing w:after="0" w:line="12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2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5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5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4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139"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40"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 and manage a dynamic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39" w:lineRule="exact"/>
        <w:rPr>
          <w:sz w:val="20"/>
          <w:szCs w:val="20"/>
          <w:color w:val="auto"/>
        </w:rPr>
      </w:pPr>
    </w:p>
    <w:p>
      <w:pPr>
        <w:ind w:right="140" w:firstLine="446"/>
        <w:spacing w:after="0" w:line="253"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recently introduced our AC Battery storage solution in Australia, the United States, and the United Kingdom. We intend to expand into other international markets. Our success in these new geographic and product markets will depend on a number of factors, such as:</w:t>
      </w:r>
    </w:p>
    <w:p>
      <w:pPr>
        <w:spacing w:after="0" w:line="43"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40"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0" w:lineRule="exact"/>
        <w:rPr>
          <w:sz w:val="20"/>
          <w:szCs w:val="20"/>
          <w:color w:val="auto"/>
        </w:rPr>
      </w:pPr>
    </w:p>
    <w:p>
      <w:pPr>
        <w:ind w:left="980" w:right="420" w:hanging="486"/>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55"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most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5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20"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52" w:lineRule="exact"/>
        <w:rPr>
          <w:sz w:val="20"/>
          <w:szCs w:val="20"/>
          <w:color w:val="auto"/>
        </w:rPr>
      </w:pPr>
    </w:p>
    <w:p>
      <w:pPr>
        <w:jc w:val="both"/>
        <w:ind w:right="160" w:firstLine="432"/>
        <w:spacing w:after="0" w:line="25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50" w:lineRule="exact"/>
        <w:rPr>
          <w:sz w:val="20"/>
          <w:szCs w:val="20"/>
          <w:color w:val="auto"/>
        </w:rPr>
      </w:pPr>
    </w:p>
    <w:p>
      <w:pPr>
        <w:ind w:right="220" w:firstLine="432"/>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5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2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21"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depend on sole source and limited source suppliers for key components of our products. For example, our ASICs are purchased from a sole source supplier or developed for us by sole source suppliers. Similarly, the battery cells for our AC Battery storage products are also currently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21"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 party financing structures, such as power purchase or lease agreements. Our sales growth may depend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53"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current customers, failure by these customers to perform as expected, or failure by us to cultivate new customer relationships, could hinder our ability to expand our operations and harm our revenue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may fail to translate into revenue in the quantities or timeline projected, thus, having a materially adverse impact on our revenue, operating results and financial stability. In addition, we are pursuing new geographic markets. The inability to capture new customers in these high-growth geographic markets could have a material adverse effect on our business, financial condition or results of operations.</w:t>
      </w:r>
    </w:p>
    <w:p>
      <w:pPr>
        <w:spacing w:after="0" w:line="13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have developed variants of our microinverter system that enable an “AC module” in which the microinverter is directly attached to the solar modules. The market success of such solutions will depend in part on our ability to continue to work closely with solar module manufacturers to design solar modules that are compatible with such direct attachment of our microinverter. We may not be able to encourage additional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additional effective partnerships with solar module manufacturers may be adversely affected by the substantial changes faced by many of these manufacturers due to declining prices and revenues from sales of solar modules.</w:t>
      </w:r>
    </w:p>
    <w:p>
      <w:pPr>
        <w:spacing w:after="0" w:line="13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7"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59"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0"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5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21" w:lineRule="exact"/>
        <w:rPr>
          <w:sz w:val="20"/>
          <w:szCs w:val="20"/>
          <w:color w:val="auto"/>
        </w:rPr>
      </w:pPr>
    </w:p>
    <w:p>
      <w:pPr>
        <w:ind w:right="180" w:firstLine="432"/>
        <w:spacing w:after="0" w:line="251"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51" w:lineRule="exact"/>
        <w:rPr>
          <w:sz w:val="20"/>
          <w:szCs w:val="20"/>
          <w:color w:val="auto"/>
        </w:rPr>
      </w:pPr>
    </w:p>
    <w:p>
      <w:pPr>
        <w:ind w:left="980" w:right="52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4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4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above could harm our business and put us at a competitive disadvantage.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93"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are a party to a term loan agreement with affiliates of Tennenbaum Capital Partners, LLC (“TCP”).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have elected to comply with reduced public company reporting requirements applicable to emerging growth companies, which could make our common stock less attractive to investors.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are an “emerging growth company,” as defined in the Jumpstart Our Business Startups Act enacted in April 2012, or the JOBS Act. We have chosen to take advantage of exemptions from various reporting requirements applicable to other public companies but not to “emerging growth companies,” including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on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because we have chosen to take advantage of these exemptions. If some investors find our common stock less attractive as a result of any choices to reduce future disclosure, there may be a less active trading market for our common stock and our stock price may be more volatile.</w:t>
      </w:r>
    </w:p>
    <w:p>
      <w:pPr>
        <w:spacing w:after="0" w:line="135"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40"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58"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21" w:lineRule="exact"/>
        <w:rPr>
          <w:sz w:val="20"/>
          <w:szCs w:val="20"/>
          <w:color w:val="auto"/>
        </w:rPr>
      </w:pPr>
    </w:p>
    <w:p>
      <w:pPr>
        <w:ind w:right="720" w:firstLine="432"/>
        <w:spacing w:after="0" w:line="26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40"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52"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21"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37" w:lineRule="exact"/>
        <w:rPr>
          <w:sz w:val="20"/>
          <w:szCs w:val="20"/>
          <w:color w:val="auto"/>
        </w:rPr>
      </w:pPr>
    </w:p>
    <w:p>
      <w:pPr>
        <w:ind w:right="94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98"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93"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67"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0"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60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6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2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121"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There can be no assurance that we will continue to meet these requirements in the future. If we fail to meet any such requirements, Nasdaq may initiate delisting processes. If our common stock were to be delisted, the liquidity of our common stock would be adversely affected and the market price of our common stock could decrease.</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3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52"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1" w:lineRule="exact"/>
        <w:rPr>
          <w:sz w:val="20"/>
          <w:szCs w:val="20"/>
          <w:color w:val="auto"/>
        </w:rPr>
      </w:pPr>
    </w:p>
    <w:p>
      <w:pPr>
        <w:ind w:right="640" w:firstLine="432"/>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7"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0" w:lineRule="exact"/>
        <w:rPr>
          <w:sz w:val="20"/>
          <w:szCs w:val="20"/>
          <w:color w:val="auto"/>
        </w:rPr>
      </w:pPr>
    </w:p>
    <w:p>
      <w:pPr>
        <w:ind w:left="980" w:right="62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980" w:right="56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980" w:right="60" w:hanging="486"/>
        <w:spacing w:after="0" w:line="25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97" w:lineRule="exact"/>
        <w:rPr>
          <w:rFonts w:ascii="Arial" w:cs="Arial" w:eastAsia="Arial" w:hAnsi="Arial"/>
          <w:sz w:val="18"/>
          <w:szCs w:val="18"/>
          <w:color w:val="auto"/>
        </w:rPr>
      </w:pPr>
    </w:p>
    <w:p>
      <w:pPr>
        <w:ind w:left="980" w:right="200" w:hanging="486"/>
        <w:spacing w:after="0" w:line="25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8"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November 8, 2017</w:t>
      </w: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Humberto Garcia</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140"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280" w:type="dxa"/>
            <w:vAlign w:val="bottom"/>
            <w:gridSpan w:val="2"/>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48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bl>
    <w:p>
      <w:pPr>
        <w:spacing w:after="0" w:line="175"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79" w:lineRule="exact"/>
        <w:rPr>
          <w:sz w:val="20"/>
          <w:szCs w:val="20"/>
          <w:color w:val="auto"/>
        </w:rPr>
      </w:pPr>
    </w:p>
    <w:p>
      <w:pPr>
        <w:ind w:left="40"/>
        <w:spacing w:after="0"/>
        <w:rPr>
          <w:rFonts w:ascii="Arial" w:cs="Arial" w:eastAsia="Arial" w:hAnsi="Arial"/>
          <w:sz w:val="18"/>
          <w:szCs w:val="18"/>
          <w:color w:val="0000FF"/>
        </w:rPr>
      </w:pPr>
      <w:hyperlink w:anchor="page54">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185" w:lineRule="exact"/>
        <w:rPr>
          <w:sz w:val="20"/>
          <w:szCs w:val="20"/>
          <w:color w:val="auto"/>
        </w:rPr>
      </w:pPr>
    </w:p>
    <w:p>
      <w:pPr>
        <w:ind w:left="40"/>
        <w:spacing w:after="0"/>
        <w:rPr>
          <w:rFonts w:ascii="Arial" w:cs="Arial" w:eastAsia="Arial" w:hAnsi="Arial"/>
          <w:sz w:val="18"/>
          <w:szCs w:val="18"/>
          <w:color w:val="0000FF"/>
        </w:rPr>
      </w:pPr>
      <w:hyperlink w:anchor="page57">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185" w:lineRule="exact"/>
        <w:rPr>
          <w:sz w:val="20"/>
          <w:szCs w:val="20"/>
          <w:color w:val="auto"/>
        </w:rPr>
      </w:pPr>
    </w:p>
    <w:p>
      <w:pPr>
        <w:ind w:left="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31.1</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31.2</w:t>
        </w:r>
      </w:hyperlink>
    </w:p>
    <w:p>
      <w:pPr>
        <w:spacing w:after="0" w:line="279" w:lineRule="exact"/>
        <w:rPr>
          <w:sz w:val="20"/>
          <w:szCs w:val="20"/>
          <w:color w:val="auto"/>
        </w:rPr>
      </w:pPr>
    </w:p>
    <w:p>
      <w:pPr>
        <w:ind w:left="40"/>
        <w:spacing w:after="0"/>
        <w:rPr>
          <w:rFonts w:ascii="Arial" w:cs="Arial" w:eastAsia="Arial" w:hAnsi="Arial"/>
          <w:sz w:val="18"/>
          <w:szCs w:val="18"/>
          <w:color w:val="0000FF"/>
        </w:rPr>
      </w:pPr>
      <w:hyperlink w:anchor="page67">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Certificate of Amendment of the Amended and Restated Certificate of Incorporation of Enphase Energy, Inc. dated May 18, 2017</w:t>
      </w:r>
      <w:r>
        <w:rPr>
          <w:rFonts w:ascii="Arial" w:cs="Arial" w:eastAsia="Arial" w:hAnsi="Arial"/>
          <w:sz w:val="21"/>
          <w:szCs w:val="21"/>
          <w:color w:val="auto"/>
          <w:vertAlign w:val="superscript"/>
        </w:rPr>
        <w:t>(1)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1"/>
          <w:szCs w:val="21"/>
          <w:color w:val="auto"/>
          <w:vertAlign w:val="superscript"/>
        </w:rPr>
        <w:t>(2)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1"/>
          <w:szCs w:val="21"/>
          <w:color w:val="auto"/>
          <w:vertAlign w:val="superscript"/>
        </w:rPr>
        <w:t>(3)</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2010 Amended and Restated Investors’ Rights Agreement by and between Enphase Energy, Inc. and the investors listed on Exhibit A thereto, dated March 15, 2010, as amended.</w:t>
      </w:r>
      <w:r>
        <w:rPr>
          <w:rFonts w:ascii="Arial" w:cs="Arial" w:eastAsia="Arial" w:hAnsi="Arial"/>
          <w:sz w:val="21"/>
          <w:szCs w:val="21"/>
          <w:color w:val="auto"/>
          <w:vertAlign w:val="superscript"/>
        </w:rPr>
        <w:t>(4)</w:t>
      </w:r>
    </w:p>
    <w:p>
      <w:pPr>
        <w:spacing w:after="0" w:line="80" w:lineRule="exact"/>
        <w:rPr>
          <w:sz w:val="20"/>
          <w:szCs w:val="20"/>
          <w:color w:val="auto"/>
        </w:rPr>
      </w:pPr>
    </w:p>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Offer Letter by and between Enphase Energy, Inc. and Badrinarayanan Kothandaraman, dated September 3, 2017.</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Separation Agreement by and between Enphase Energy Inc. and Paul Nahi, dated August 8, 2017.</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Chief Executive Officer pursuant to Rule 13a-14(a)/15d-14(a).</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Certification of Chief Financial Officer pursuant to Rule 13a-14(a)/15d-14(a).</w:t>
        </w:r>
      </w:hyperlink>
    </w:p>
    <w:p>
      <w:pPr>
        <w:spacing w:after="0" w:line="185" w:lineRule="exact"/>
        <w:rPr>
          <w:sz w:val="20"/>
          <w:szCs w:val="20"/>
          <w:color w:val="auto"/>
        </w:rPr>
      </w:pPr>
    </w:p>
    <w:p>
      <w:pPr>
        <w:ind w:right="100"/>
        <w:spacing w:after="0" w:line="246" w:lineRule="auto"/>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 of Chief Executive Officer and Chief Financial Officer pursuant to 18 U.S.C. Section 1350 as Adopted Pursuant</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to Section 906 of the Sarbanes-Oxley Act of 2002.</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Document.</w:t>
      </w:r>
    </w:p>
    <w:p>
      <w:pPr>
        <w:spacing w:after="0" w:line="36" w:lineRule="exact"/>
        <w:rPr>
          <w:sz w:val="20"/>
          <w:szCs w:val="20"/>
          <w:color w:val="auto"/>
        </w:rPr>
      </w:pPr>
    </w:p>
    <w:p>
      <w:pPr>
        <w:sectPr>
          <w:pgSz w:w="11900" w:h="16838" w:orient="portrait"/>
          <w:cols w:equalWidth="0" w:num="2">
            <w:col w:w="800" w:space="720"/>
            <w:col w:w="9900"/>
          </w:cols>
          <w:pgMar w:left="240" w:top="140"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62"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Exhibit 3.1 to the Quarterly Report on Form 10-Q (File No. 001-35480), filed with the Securities and Exchange Commission on August 9, 2017, and incorporated by reference herein.</w:t>
      </w:r>
    </w:p>
    <w:p>
      <w:pPr>
        <w:spacing w:after="0" w:line="61" w:lineRule="exact"/>
        <w:rPr>
          <w:rFonts w:ascii="Arial" w:cs="Arial" w:eastAsia="Arial" w:hAnsi="Arial"/>
          <w:sz w:val="18"/>
          <w:szCs w:val="18"/>
          <w:color w:val="auto"/>
        </w:rPr>
      </w:pPr>
    </w:p>
    <w:p>
      <w:pPr>
        <w:ind w:left="1300" w:right="20" w:hanging="482"/>
        <w:spacing w:after="0" w:line="262"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Exhibit 4.1 to the Registration Statement on Form S-1/A (File No. 333-174925), and incorporated herein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as Exhibit 4.2 to Amendment No. 1 to the Registration Statement on Form S-1/A (File No 333-174925), filed with the Securities and Exchange Commission on July 25, 2011, and incorporated by reference herein.</w:t>
      </w:r>
    </w:p>
    <w:p>
      <w:pPr>
        <w:spacing w:after="0" w:line="358"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90" w:lineRule="exact"/>
        <w:rPr>
          <w:sz w:val="20"/>
          <w:szCs w:val="20"/>
          <w:color w:val="auto"/>
        </w:rPr>
      </w:pPr>
    </w:p>
    <w:p>
      <w:pPr>
        <w:jc w:val="both"/>
        <w:ind w:left="1300" w:hanging="482"/>
        <w:spacing w:after="0" w:line="25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20"/>
          <w:szCs w:val="20"/>
          <w:color w:val="1C1316"/>
        </w:rPr>
        <w:t>September 3,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1C1316"/>
        </w:rPr>
        <w:t>Badrinarayanan Kothandaraman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1C1316"/>
        </w:rPr>
        <w:t>Dear Badri:</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C1316"/>
        </w:rPr>
        <w:t xml:space="preserve">Enphase Energy, Inc. (the </w:t>
      </w:r>
      <w:r>
        <w:rPr>
          <w:rFonts w:ascii="Arial" w:cs="Arial" w:eastAsia="Arial" w:hAnsi="Arial"/>
          <w:sz w:val="20"/>
          <w:szCs w:val="20"/>
          <w:b w:val="1"/>
          <w:bCs w:val="1"/>
          <w:i w:val="1"/>
          <w:iCs w:val="1"/>
          <w:color w:val="1C1316"/>
        </w:rPr>
        <w:t>"Company'')</w:t>
      </w:r>
      <w:r>
        <w:rPr>
          <w:rFonts w:ascii="Arial" w:cs="Arial" w:eastAsia="Arial" w:hAnsi="Arial"/>
          <w:sz w:val="20"/>
          <w:szCs w:val="20"/>
          <w:color w:val="1C1316"/>
        </w:rPr>
        <w:t xml:space="preserve"> is pleased to offer you the position of President and Chief Executive Officer (CEO) on the updated employment terms set forth in this offer letter agreement (the </w:t>
      </w:r>
      <w:r>
        <w:rPr>
          <w:rFonts w:ascii="Arial" w:cs="Arial" w:eastAsia="Arial" w:hAnsi="Arial"/>
          <w:sz w:val="20"/>
          <w:szCs w:val="20"/>
          <w:b w:val="1"/>
          <w:bCs w:val="1"/>
          <w:i w:val="1"/>
          <w:iCs w:val="1"/>
          <w:color w:val="312A2D"/>
        </w:rPr>
        <w:t>"Updated</w:t>
      </w:r>
      <w:r>
        <w:rPr>
          <w:rFonts w:ascii="Arial" w:cs="Arial" w:eastAsia="Arial" w:hAnsi="Arial"/>
          <w:sz w:val="20"/>
          <w:szCs w:val="20"/>
          <w:color w:val="1C1316"/>
        </w:rPr>
        <w:t xml:space="preserve"> </w:t>
      </w:r>
      <w:r>
        <w:rPr>
          <w:rFonts w:ascii="Arial" w:cs="Arial" w:eastAsia="Arial" w:hAnsi="Arial"/>
          <w:sz w:val="20"/>
          <w:szCs w:val="20"/>
          <w:b w:val="1"/>
          <w:bCs w:val="1"/>
          <w:i w:val="1"/>
          <w:iCs w:val="1"/>
          <w:color w:val="1C1316"/>
        </w:rPr>
        <w:t>Agreement").</w:t>
      </w:r>
      <w:r>
        <w:rPr>
          <w:rFonts w:ascii="Arial" w:cs="Arial" w:eastAsia="Arial" w:hAnsi="Arial"/>
          <w:sz w:val="20"/>
          <w:szCs w:val="20"/>
          <w:color w:val="1C1316"/>
        </w:rPr>
        <w:t xml:space="preserve"> This Updated Agreement is intended to amend and update the terms of your existing employment offer letter dated on or about March 20, 2017 (the </w:t>
      </w:r>
      <w:r>
        <w:rPr>
          <w:rFonts w:ascii="Arial" w:cs="Arial" w:eastAsia="Arial" w:hAnsi="Arial"/>
          <w:sz w:val="20"/>
          <w:szCs w:val="20"/>
          <w:b w:val="1"/>
          <w:bCs w:val="1"/>
          <w:i w:val="1"/>
          <w:iCs w:val="1"/>
          <w:color w:val="1C1316"/>
        </w:rPr>
        <w:t>"Existing</w:t>
      </w:r>
      <w:r>
        <w:rPr>
          <w:rFonts w:ascii="Arial" w:cs="Arial" w:eastAsia="Arial" w:hAnsi="Arial"/>
          <w:sz w:val="20"/>
          <w:szCs w:val="20"/>
          <w:color w:val="1C1316"/>
        </w:rPr>
        <w:t xml:space="preserve"> </w:t>
      </w:r>
      <w:r>
        <w:rPr>
          <w:rFonts w:ascii="Arial" w:cs="Arial" w:eastAsia="Arial" w:hAnsi="Arial"/>
          <w:sz w:val="20"/>
          <w:szCs w:val="20"/>
          <w:b w:val="1"/>
          <w:bCs w:val="1"/>
          <w:i w:val="1"/>
          <w:iCs w:val="1"/>
          <w:color w:val="1C1316"/>
        </w:rPr>
        <w:t xml:space="preserve">Agreement"), </w:t>
      </w:r>
      <w:r>
        <w:rPr>
          <w:rFonts w:ascii="Arial" w:cs="Arial" w:eastAsia="Arial" w:hAnsi="Arial"/>
          <w:sz w:val="20"/>
          <w:szCs w:val="20"/>
          <w:color w:val="1C1316"/>
        </w:rPr>
        <w:t>which will otherwise remain place in accordance with its terms.</w:t>
      </w:r>
    </w:p>
    <w:p>
      <w:pPr>
        <w:spacing w:after="0" w:line="176" w:lineRule="exact"/>
        <w:rPr>
          <w:sz w:val="20"/>
          <w:szCs w:val="20"/>
          <w:color w:val="auto"/>
        </w:rPr>
      </w:pPr>
    </w:p>
    <w:p>
      <w:pPr>
        <w:jc w:val="both"/>
        <w:ind w:left="660" w:hanging="328"/>
        <w:spacing w:after="0" w:line="24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b w:val="1"/>
          <w:bCs w:val="1"/>
          <w:color w:val="1C1316"/>
        </w:rPr>
        <w:t xml:space="preserve">Position, Duties and Location. </w:t>
      </w:r>
      <w:r>
        <w:rPr>
          <w:rFonts w:ascii="Arial" w:cs="Arial" w:eastAsia="Arial" w:hAnsi="Arial"/>
          <w:sz w:val="20"/>
          <w:szCs w:val="20"/>
          <w:color w:val="1C1316"/>
        </w:rPr>
        <w:t>Your title will be President and Chief Executive Officer</w:t>
      </w:r>
      <w:r>
        <w:rPr>
          <w:rFonts w:ascii="Arial" w:cs="Arial" w:eastAsia="Arial" w:hAnsi="Arial"/>
          <w:sz w:val="20"/>
          <w:szCs w:val="20"/>
          <w:b w:val="1"/>
          <w:bCs w:val="1"/>
          <w:color w:val="1C1316"/>
        </w:rPr>
        <w:t xml:space="preserve"> ("CEO")</w:t>
      </w:r>
      <w:r>
        <w:rPr>
          <w:rFonts w:ascii="Arial" w:cs="Arial" w:eastAsia="Arial" w:hAnsi="Arial"/>
          <w:sz w:val="20"/>
          <w:szCs w:val="20"/>
          <w:b w:val="1"/>
          <w:bCs w:val="1"/>
          <w:color w:val="463B42"/>
        </w:rPr>
        <w:t>.</w:t>
      </w:r>
      <w:r>
        <w:rPr>
          <w:rFonts w:ascii="Arial" w:cs="Arial" w:eastAsia="Arial" w:hAnsi="Arial"/>
          <w:sz w:val="20"/>
          <w:szCs w:val="20"/>
          <w:b w:val="1"/>
          <w:bCs w:val="1"/>
          <w:color w:val="1C1316"/>
        </w:rPr>
        <w:t xml:space="preserve"> </w:t>
      </w:r>
      <w:r>
        <w:rPr>
          <w:rFonts w:ascii="Arial" w:cs="Arial" w:eastAsia="Arial" w:hAnsi="Arial"/>
          <w:sz w:val="20"/>
          <w:szCs w:val="20"/>
          <w:color w:val="1C1316"/>
        </w:rPr>
        <w:t>You will report to the</w:t>
      </w:r>
      <w:r>
        <w:rPr>
          <w:rFonts w:ascii="Arial" w:cs="Arial" w:eastAsia="Arial" w:hAnsi="Arial"/>
          <w:sz w:val="20"/>
          <w:szCs w:val="20"/>
          <w:b w:val="1"/>
          <w:bCs w:val="1"/>
          <w:color w:val="1C1316"/>
        </w:rPr>
        <w:t xml:space="preserve"> </w:t>
      </w:r>
      <w:r>
        <w:rPr>
          <w:rFonts w:ascii="Arial" w:cs="Arial" w:eastAsia="Arial" w:hAnsi="Arial"/>
          <w:sz w:val="20"/>
          <w:szCs w:val="20"/>
          <w:color w:val="1C1316"/>
        </w:rPr>
        <w:t xml:space="preserve">Company's Board of Directors (the </w:t>
      </w:r>
      <w:r>
        <w:rPr>
          <w:rFonts w:ascii="Arial" w:cs="Arial" w:eastAsia="Arial" w:hAnsi="Arial"/>
          <w:sz w:val="20"/>
          <w:szCs w:val="20"/>
          <w:b w:val="1"/>
          <w:bCs w:val="1"/>
          <w:i w:val="1"/>
          <w:iCs w:val="1"/>
          <w:color w:val="1C1316"/>
        </w:rPr>
        <w:t>"Board"),</w:t>
      </w:r>
      <w:r>
        <w:rPr>
          <w:rFonts w:ascii="Arial" w:cs="Arial" w:eastAsia="Arial" w:hAnsi="Arial"/>
          <w:sz w:val="20"/>
          <w:szCs w:val="20"/>
          <w:color w:val="1C1316"/>
        </w:rPr>
        <w:t xml:space="preserve"> and you will perform those duties and responsibilities customary to the CEO position and as may be reasonably directed by the Board. You will also be appointed to the Board as a Class Ill Director. Your primary office location will be the Company's headquarters in Petaluma, California. Notwithstanding the foregoing, the Company reserves the right to reasonably require you to perform your duties at places other than its corporate headquarters from time to time, and to require reasonable business travel. During the term of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w:t>
      </w:r>
    </w:p>
    <w:p>
      <w:pPr>
        <w:spacing w:after="0" w:line="186"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b w:val="1"/>
          <w:bCs w:val="1"/>
          <w:color w:val="1C1316"/>
        </w:rPr>
        <w:t xml:space="preserve">Base Salary. </w:t>
      </w:r>
      <w:r>
        <w:rPr>
          <w:rFonts w:ascii="Arial" w:cs="Arial" w:eastAsia="Arial" w:hAnsi="Arial"/>
          <w:sz w:val="20"/>
          <w:szCs w:val="20"/>
          <w:color w:val="1C1316"/>
        </w:rPr>
        <w:t>The Company will pay you an annualized base salary at the rate of four hundred fifty thousand dollars</w:t>
      </w:r>
      <w:r>
        <w:rPr>
          <w:rFonts w:ascii="Arial" w:cs="Arial" w:eastAsia="Arial" w:hAnsi="Arial"/>
          <w:sz w:val="20"/>
          <w:szCs w:val="20"/>
          <w:b w:val="1"/>
          <w:bCs w:val="1"/>
          <w:color w:val="1C1316"/>
        </w:rPr>
        <w:t xml:space="preserve"> </w:t>
      </w:r>
      <w:r>
        <w:rPr>
          <w:rFonts w:ascii="Arial" w:cs="Arial" w:eastAsia="Arial" w:hAnsi="Arial"/>
          <w:sz w:val="20"/>
          <w:szCs w:val="20"/>
          <w:color w:val="1C1316"/>
        </w:rPr>
        <w:t xml:space="preserve">($450,000}, less applicable payroll deductions and withholdings, payable in accordance with the Company’s standard payroll schedule. Beginning in calendar year 2019, the Board's Compensation Committee (the </w:t>
      </w:r>
      <w:r>
        <w:rPr>
          <w:rFonts w:ascii="Arial" w:cs="Arial" w:eastAsia="Arial" w:hAnsi="Arial"/>
          <w:sz w:val="20"/>
          <w:szCs w:val="20"/>
          <w:b w:val="1"/>
          <w:bCs w:val="1"/>
          <w:i w:val="1"/>
          <w:iCs w:val="1"/>
          <w:color w:val="312A2D"/>
        </w:rPr>
        <w:t>"Compensation</w:t>
      </w:r>
      <w:r>
        <w:rPr>
          <w:rFonts w:ascii="Arial" w:cs="Arial" w:eastAsia="Arial" w:hAnsi="Arial"/>
          <w:sz w:val="20"/>
          <w:szCs w:val="20"/>
          <w:color w:val="1C1316"/>
        </w:rPr>
        <w:t xml:space="preserve"> </w:t>
      </w:r>
      <w:r>
        <w:rPr>
          <w:rFonts w:ascii="Arial" w:cs="Arial" w:eastAsia="Arial" w:hAnsi="Arial"/>
          <w:sz w:val="20"/>
          <w:szCs w:val="20"/>
          <w:b w:val="1"/>
          <w:bCs w:val="1"/>
          <w:i w:val="1"/>
          <w:iCs w:val="1"/>
          <w:color w:val="312A2D"/>
        </w:rPr>
        <w:t>Committee</w:t>
      </w:r>
      <w:r>
        <w:rPr>
          <w:rFonts w:ascii="Arial" w:cs="Arial" w:eastAsia="Arial" w:hAnsi="Arial"/>
          <w:sz w:val="20"/>
          <w:szCs w:val="20"/>
          <w:b w:val="1"/>
          <w:bCs w:val="1"/>
          <w:i w:val="1"/>
          <w:iCs w:val="1"/>
          <w:color w:val="1C1316"/>
        </w:rPr>
        <w:t>")</w:t>
      </w:r>
      <w:r>
        <w:rPr>
          <w:rFonts w:ascii="Arial" w:cs="Arial" w:eastAsia="Arial" w:hAnsi="Arial"/>
          <w:sz w:val="20"/>
          <w:szCs w:val="20"/>
          <w:b w:val="1"/>
          <w:bCs w:val="1"/>
          <w:i w:val="1"/>
          <w:iCs w:val="1"/>
          <w:color w:val="312A2D"/>
        </w:rPr>
        <w:t xml:space="preserve"> </w:t>
      </w:r>
      <w:r>
        <w:rPr>
          <w:rFonts w:ascii="Arial" w:cs="Arial" w:eastAsia="Arial" w:hAnsi="Arial"/>
          <w:sz w:val="20"/>
          <w:szCs w:val="20"/>
          <w:color w:val="1C1316"/>
        </w:rPr>
        <w:t>will review your base salary for potential modification on an annual basis as part of its annual compensation</w:t>
      </w:r>
      <w:r>
        <w:rPr>
          <w:rFonts w:ascii="Arial" w:cs="Arial" w:eastAsia="Arial" w:hAnsi="Arial"/>
          <w:sz w:val="20"/>
          <w:szCs w:val="20"/>
          <w:b w:val="1"/>
          <w:bCs w:val="1"/>
          <w:i w:val="1"/>
          <w:iCs w:val="1"/>
          <w:color w:val="312A2D"/>
        </w:rPr>
        <w:t xml:space="preserve"> </w:t>
      </w:r>
      <w:r>
        <w:rPr>
          <w:rFonts w:ascii="Arial" w:cs="Arial" w:eastAsia="Arial" w:hAnsi="Arial"/>
          <w:sz w:val="20"/>
          <w:szCs w:val="20"/>
          <w:color w:val="1C1316"/>
        </w:rPr>
        <w:t>review of the Company's executives.</w:t>
      </w:r>
    </w:p>
    <w:p>
      <w:pPr>
        <w:spacing w:after="0" w:line="180" w:lineRule="exact"/>
        <w:rPr>
          <w:rFonts w:ascii="Arial" w:cs="Arial" w:eastAsia="Arial" w:hAnsi="Arial"/>
          <w:sz w:val="18"/>
          <w:szCs w:val="18"/>
          <w:color w:val="auto"/>
        </w:rPr>
      </w:pPr>
    </w:p>
    <w:p>
      <w:pPr>
        <w:jc w:val="both"/>
        <w:ind w:left="660" w:hanging="328"/>
        <w:spacing w:after="0" w:line="24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b w:val="1"/>
          <w:bCs w:val="1"/>
          <w:color w:val="1C1316"/>
        </w:rPr>
        <w:t xml:space="preserve">Annual Bonus. </w:t>
      </w:r>
      <w:r>
        <w:rPr>
          <w:rFonts w:ascii="Arial" w:cs="Arial" w:eastAsia="Arial" w:hAnsi="Arial"/>
          <w:sz w:val="20"/>
          <w:szCs w:val="20"/>
          <w:color w:val="1C1316"/>
        </w:rPr>
        <w:t>You will be eligible to earn an annual discretionary bonus of up to one hundred percent (100%) of your</w:t>
      </w:r>
      <w:r>
        <w:rPr>
          <w:rFonts w:ascii="Arial" w:cs="Arial" w:eastAsia="Arial" w:hAnsi="Arial"/>
          <w:sz w:val="20"/>
          <w:szCs w:val="20"/>
          <w:b w:val="1"/>
          <w:bCs w:val="1"/>
          <w:color w:val="1C1316"/>
        </w:rPr>
        <w:t xml:space="preserve"> </w:t>
      </w:r>
      <w:r>
        <w:rPr>
          <w:rFonts w:ascii="Arial" w:cs="Arial" w:eastAsia="Arial" w:hAnsi="Arial"/>
          <w:sz w:val="20"/>
          <w:szCs w:val="20"/>
          <w:color w:val="1C1316"/>
        </w:rPr>
        <w:t xml:space="preserve">current annualized base salary rate (the </w:t>
      </w:r>
      <w:r>
        <w:rPr>
          <w:rFonts w:ascii="Arial" w:cs="Arial" w:eastAsia="Arial" w:hAnsi="Arial"/>
          <w:sz w:val="20"/>
          <w:szCs w:val="20"/>
          <w:b w:val="1"/>
          <w:bCs w:val="1"/>
          <w:i w:val="1"/>
          <w:iCs w:val="1"/>
          <w:color w:val="1C1316"/>
        </w:rPr>
        <w:t>"Annual Bonus"),</w:t>
      </w:r>
      <w:r>
        <w:rPr>
          <w:rFonts w:ascii="Arial" w:cs="Arial" w:eastAsia="Arial" w:hAnsi="Arial"/>
          <w:sz w:val="20"/>
          <w:szCs w:val="20"/>
          <w:color w:val="1C1316"/>
        </w:rPr>
        <w:t xml:space="preserve"> which, for calendar year 2017, will be prorated for the level of your base salary over the course of the year. The Annual Bonus will be based upon the Compensation Committee's assessment of your performance against individual performance goals and </w:t>
      </w:r>
      <w:r>
        <w:rPr>
          <w:rFonts w:ascii="Arial" w:cs="Arial" w:eastAsia="Arial" w:hAnsi="Arial"/>
          <w:sz w:val="20"/>
          <w:szCs w:val="20"/>
          <w:color w:val="312A2D"/>
        </w:rPr>
        <w:t>the</w:t>
      </w:r>
      <w:r>
        <w:rPr>
          <w:rFonts w:ascii="Arial" w:cs="Arial" w:eastAsia="Arial" w:hAnsi="Arial"/>
          <w:sz w:val="20"/>
          <w:szCs w:val="20"/>
          <w:color w:val="1C1316"/>
        </w:rPr>
        <w:t xml:space="preserve"> Company's attainment of financial and/or other business goals as set by the Compensation Committee for a given calendar year in its sole discretion. Bonus payments, if any, will be subject to applicable payroll deductions and withholdings</w:t>
      </w:r>
      <w:r>
        <w:rPr>
          <w:rFonts w:ascii="Arial" w:cs="Arial" w:eastAsia="Arial" w:hAnsi="Arial"/>
          <w:sz w:val="20"/>
          <w:szCs w:val="20"/>
          <w:color w:val="463B42"/>
        </w:rPr>
        <w:t>.</w:t>
      </w:r>
      <w:r>
        <w:rPr>
          <w:rFonts w:ascii="Arial" w:cs="Arial" w:eastAsia="Arial" w:hAnsi="Arial"/>
          <w:sz w:val="20"/>
          <w:szCs w:val="20"/>
          <w:color w:val="1C1316"/>
        </w:rPr>
        <w:t xml:space="preserve"> Following the close of each calendar year, the Compensation Committee will determine whether you shall be paid an Annual Bonus, and the amount of any such bonus, based on the achievement of such goals. Except as set forth </w:t>
      </w:r>
      <w:r>
        <w:rPr>
          <w:rFonts w:ascii="Arial" w:cs="Arial" w:eastAsia="Arial" w:hAnsi="Arial"/>
          <w:sz w:val="20"/>
          <w:szCs w:val="20"/>
          <w:color w:val="312A2D"/>
        </w:rPr>
        <w:t>in</w:t>
      </w:r>
      <w:r>
        <w:rPr>
          <w:rFonts w:ascii="Arial" w:cs="Arial" w:eastAsia="Arial" w:hAnsi="Arial"/>
          <w:sz w:val="20"/>
          <w:szCs w:val="20"/>
          <w:color w:val="1C1316"/>
        </w:rPr>
        <w:t xml:space="preserve"> this Agreement, no amount of Annual Bonus is guaranteed, and you must be an employee on the Annual Bonus </w:t>
      </w:r>
      <w:r>
        <w:rPr>
          <w:rFonts w:ascii="Arial" w:cs="Arial" w:eastAsia="Arial" w:hAnsi="Arial"/>
          <w:sz w:val="20"/>
          <w:szCs w:val="20"/>
          <w:color w:val="1A1316"/>
        </w:rPr>
        <w:t>payment date to receive and earn an Annual Bonus,</w:t>
      </w:r>
      <w:r>
        <w:rPr>
          <w:rFonts w:ascii="Arial" w:cs="Arial" w:eastAsia="Arial" w:hAnsi="Arial"/>
          <w:sz w:val="20"/>
          <w:szCs w:val="20"/>
          <w:color w:val="1C1316"/>
        </w:rPr>
        <w:t xml:space="preserve"> </w:t>
      </w:r>
      <w:r>
        <w:rPr>
          <w:rFonts w:ascii="Arial" w:cs="Arial" w:eastAsia="Arial" w:hAnsi="Arial"/>
          <w:sz w:val="20"/>
          <w:szCs w:val="20"/>
          <w:color w:val="1A1316"/>
        </w:rPr>
        <w:t>which will be paid within ninety (90) days following the end of the applicable bonus year. No partial or prorated bonuses will be provided.</w:t>
      </w:r>
    </w:p>
    <w:p>
      <w:pPr>
        <w:spacing w:after="0" w:line="190" w:lineRule="exact"/>
        <w:rPr>
          <w:rFonts w:ascii="Arial" w:cs="Arial" w:eastAsia="Arial" w:hAnsi="Arial"/>
          <w:sz w:val="18"/>
          <w:szCs w:val="18"/>
          <w:color w:val="auto"/>
        </w:rPr>
      </w:pPr>
    </w:p>
    <w:p>
      <w:pPr>
        <w:jc w:val="both"/>
        <w:ind w:left="660" w:hanging="328"/>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b w:val="1"/>
          <w:bCs w:val="1"/>
          <w:color w:val="1A1316"/>
        </w:rPr>
        <w:t xml:space="preserve">Stock Grants. </w:t>
      </w:r>
      <w:r>
        <w:rPr>
          <w:rFonts w:ascii="Arial" w:cs="Arial" w:eastAsia="Arial" w:hAnsi="Arial"/>
          <w:sz w:val="20"/>
          <w:szCs w:val="20"/>
          <w:color w:val="1A1316"/>
        </w:rPr>
        <w:t>In connection with your promotion to the CEO position, the Company will grant you an option to purchase</w:t>
      </w:r>
      <w:r>
        <w:rPr>
          <w:rFonts w:ascii="Arial" w:cs="Arial" w:eastAsia="Arial" w:hAnsi="Arial"/>
          <w:sz w:val="20"/>
          <w:szCs w:val="20"/>
          <w:b w:val="1"/>
          <w:bCs w:val="1"/>
          <w:color w:val="1A1316"/>
        </w:rPr>
        <w:t xml:space="preserve"> </w:t>
      </w:r>
      <w:r>
        <w:rPr>
          <w:rFonts w:ascii="Arial" w:cs="Arial" w:eastAsia="Arial" w:hAnsi="Arial"/>
          <w:sz w:val="20"/>
          <w:szCs w:val="20"/>
          <w:color w:val="1A1316"/>
        </w:rPr>
        <w:t xml:space="preserve">1,000,000 shares of the Company's Common Stock with an exercise price equal to the fair market value of a share of Common Stock as determined by the Board (or the Compensation Committee) on the applicable date of the grant (the </w:t>
      </w:r>
      <w:r>
        <w:rPr>
          <w:rFonts w:ascii="Arial" w:cs="Arial" w:eastAsia="Arial" w:hAnsi="Arial"/>
          <w:sz w:val="20"/>
          <w:szCs w:val="20"/>
          <w:b w:val="1"/>
          <w:bCs w:val="1"/>
          <w:i w:val="1"/>
          <w:iCs w:val="1"/>
          <w:color w:val="1A1316"/>
        </w:rPr>
        <w:t xml:space="preserve">"Option"). </w:t>
      </w:r>
      <w:r>
        <w:rPr>
          <w:rFonts w:ascii="Arial" w:cs="Arial" w:eastAsia="Arial" w:hAnsi="Arial"/>
          <w:sz w:val="20"/>
          <w:szCs w:val="20"/>
          <w:color w:val="1A1316"/>
        </w:rPr>
        <w:t>The Option will be subject to the terms of the Company’s 2011 Equity Incentive Plan (the</w:t>
      </w:r>
      <w:r>
        <w:rPr>
          <w:rFonts w:ascii="Arial" w:cs="Arial" w:eastAsia="Arial" w:hAnsi="Arial"/>
          <w:sz w:val="20"/>
          <w:szCs w:val="20"/>
          <w:b w:val="1"/>
          <w:bCs w:val="1"/>
          <w:i w:val="1"/>
          <w:iCs w:val="1"/>
          <w:color w:val="1A1316"/>
        </w:rPr>
        <w:t xml:space="preserve"> "Plan") </w:t>
      </w:r>
      <w:r>
        <w:rPr>
          <w:rFonts w:ascii="Arial" w:cs="Arial" w:eastAsia="Arial" w:hAnsi="Arial"/>
          <w:sz w:val="20"/>
          <w:szCs w:val="20"/>
          <w:color w:val="1A1316"/>
        </w:rPr>
        <w:t>and the</w:t>
      </w:r>
      <w:r>
        <w:rPr>
          <w:rFonts w:ascii="Arial" w:cs="Arial" w:eastAsia="Arial" w:hAnsi="Arial"/>
          <w:sz w:val="20"/>
          <w:szCs w:val="20"/>
          <w:b w:val="1"/>
          <w:bCs w:val="1"/>
          <w:i w:val="1"/>
          <w:iCs w:val="1"/>
          <w:color w:val="1A1316"/>
        </w:rPr>
        <w:t xml:space="preserve"> </w:t>
      </w:r>
      <w:r>
        <w:rPr>
          <w:rFonts w:ascii="Arial" w:cs="Arial" w:eastAsia="Arial" w:hAnsi="Arial"/>
          <w:sz w:val="20"/>
          <w:szCs w:val="20"/>
          <w:color w:val="1A1316"/>
        </w:rPr>
        <w:t xml:space="preserve">applicable stock option agreements (the </w:t>
      </w:r>
      <w:r>
        <w:rPr>
          <w:rFonts w:ascii="Arial" w:cs="Arial" w:eastAsia="Arial" w:hAnsi="Arial"/>
          <w:sz w:val="20"/>
          <w:szCs w:val="20"/>
          <w:b w:val="1"/>
          <w:bCs w:val="1"/>
          <w:i w:val="1"/>
          <w:iCs w:val="1"/>
          <w:color w:val="1A1316"/>
        </w:rPr>
        <w:t>"Stock Agreements").</w:t>
      </w:r>
      <w:r>
        <w:rPr>
          <w:rFonts w:ascii="Arial" w:cs="Arial" w:eastAsia="Arial" w:hAnsi="Arial"/>
          <w:sz w:val="20"/>
          <w:szCs w:val="20"/>
          <w:color w:val="1A1316"/>
        </w:rPr>
        <w:t xml:space="preserve"> The Option shares will vest subject to your continued employment as CEO over a four-year period, whereby twenty-five percent (25%) of the</w:t>
      </w:r>
    </w:p>
    <w:p>
      <w:pPr>
        <w:sectPr>
          <w:pgSz w:w="11900" w:h="16838" w:orient="portrait"/>
          <w:cols w:equalWidth="0" w:num="1">
            <w:col w:w="11420"/>
          </w:cols>
          <w:pgMar w:left="240" w:top="811" w:right="239" w:bottom="1440" w:gutter="0" w:footer="0" w:header="0"/>
        </w:sectPr>
      </w:pPr>
    </w:p>
    <w:bookmarkStart w:id="54" w:name="page55"/>
    <w:bookmarkEnd w:id="54"/>
    <w:p>
      <w:pPr>
        <w:jc w:val="both"/>
        <w:ind w:left="328"/>
        <w:spacing w:after="0" w:line="268" w:lineRule="auto"/>
        <w:rPr>
          <w:sz w:val="20"/>
          <w:szCs w:val="20"/>
          <w:color w:val="auto"/>
        </w:rPr>
      </w:pPr>
      <w:r>
        <w:rPr>
          <w:rFonts w:ascii="Arial" w:cs="Arial" w:eastAsia="Arial" w:hAnsi="Arial"/>
          <w:sz w:val="20"/>
          <w:szCs w:val="20"/>
          <w:color w:val="1A1316"/>
        </w:rPr>
        <w:t>Option shares will vest and become exercisable on the one year anniversary of the date you commence the CEO position, with the remaining shares subject to the Option vesting and becoming exercisable in thirty-six (36) equal monthly installments thereafter, in each case subject to your continued employment through the applicable vesting dates and the terms and conditions of the Plan and the applicable Stock Agreements</w:t>
      </w:r>
      <w:r>
        <w:rPr>
          <w:rFonts w:ascii="Arial" w:cs="Arial" w:eastAsia="Arial" w:hAnsi="Arial"/>
          <w:sz w:val="20"/>
          <w:szCs w:val="20"/>
          <w:color w:val="3F383F"/>
        </w:rPr>
        <w:t>.</w:t>
      </w:r>
      <w:r>
        <w:rPr>
          <w:rFonts w:ascii="Arial" w:cs="Arial" w:eastAsia="Arial" w:hAnsi="Arial"/>
          <w:sz w:val="20"/>
          <w:szCs w:val="20"/>
          <w:color w:val="1A1316"/>
        </w:rPr>
        <w:t xml:space="preserve"> Subject to approval by the Board or the Compensation Committee, beginning in calendar year 2019, you will be eligible to receive additional equity awards annually as part of the Compensation Committee's discretionary annual equity refresh grant process; any such additional equity awards will be subject to vesting and other terms as determined by the Compensation Committee in its sole discretion.</w:t>
      </w:r>
    </w:p>
    <w:p>
      <w:pPr>
        <w:spacing w:after="0" w:line="177" w:lineRule="exact"/>
        <w:rPr>
          <w:sz w:val="20"/>
          <w:szCs w:val="20"/>
          <w:color w:val="auto"/>
        </w:rPr>
      </w:pPr>
    </w:p>
    <w:p>
      <w:pPr>
        <w:jc w:val="both"/>
        <w:ind w:left="328" w:hanging="328"/>
        <w:spacing w:after="0" w:line="250"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20"/>
          <w:szCs w:val="20"/>
          <w:b w:val="1"/>
          <w:bCs w:val="1"/>
          <w:color w:val="1A1316"/>
        </w:rPr>
        <w:t xml:space="preserve">Severance and Change in Control Benefit Plan. </w:t>
      </w:r>
      <w:r>
        <w:rPr>
          <w:rFonts w:ascii="Arial" w:cs="Arial" w:eastAsia="Arial" w:hAnsi="Arial"/>
          <w:sz w:val="20"/>
          <w:szCs w:val="20"/>
          <w:color w:val="1A1316"/>
        </w:rPr>
        <w:t>You will continue be eligible for severance and change in control</w:t>
      </w:r>
      <w:r>
        <w:rPr>
          <w:rFonts w:ascii="Arial" w:cs="Arial" w:eastAsia="Arial" w:hAnsi="Arial"/>
          <w:sz w:val="20"/>
          <w:szCs w:val="20"/>
          <w:b w:val="1"/>
          <w:bCs w:val="1"/>
          <w:color w:val="1A1316"/>
        </w:rPr>
        <w:t xml:space="preserve"> </w:t>
      </w:r>
      <w:r>
        <w:rPr>
          <w:rFonts w:ascii="Arial" w:cs="Arial" w:eastAsia="Arial" w:hAnsi="Arial"/>
          <w:sz w:val="20"/>
          <w:szCs w:val="20"/>
          <w:color w:val="1A1316"/>
        </w:rPr>
        <w:t xml:space="preserve">benefits under the Company's Severance and Change in Control Benefit Plan (the </w:t>
      </w:r>
      <w:r>
        <w:rPr>
          <w:rFonts w:ascii="Arial" w:cs="Arial" w:eastAsia="Arial" w:hAnsi="Arial"/>
          <w:sz w:val="20"/>
          <w:szCs w:val="20"/>
          <w:b w:val="1"/>
          <w:bCs w:val="1"/>
          <w:i w:val="1"/>
          <w:iCs w:val="1"/>
          <w:color w:val="1A1316"/>
        </w:rPr>
        <w:t>"Severance Plan").</w:t>
      </w:r>
      <w:r>
        <w:rPr>
          <w:rFonts w:ascii="Arial" w:cs="Arial" w:eastAsia="Arial" w:hAnsi="Arial"/>
          <w:sz w:val="20"/>
          <w:szCs w:val="20"/>
          <w:color w:val="1A1316"/>
        </w:rPr>
        <w:t xml:space="preserve"> In connection with your promotion to the CEO position, you will be designated as a Tier I Participant (i.e., the highest level of participation), subject </w:t>
      </w:r>
      <w:r>
        <w:rPr>
          <w:rFonts w:ascii="Arial" w:cs="Arial" w:eastAsia="Arial" w:hAnsi="Arial"/>
          <w:sz w:val="20"/>
          <w:szCs w:val="20"/>
          <w:color w:val="2F262B"/>
        </w:rPr>
        <w:t>to</w:t>
      </w:r>
      <w:r>
        <w:rPr>
          <w:rFonts w:ascii="Arial" w:cs="Arial" w:eastAsia="Arial" w:hAnsi="Arial"/>
          <w:sz w:val="20"/>
          <w:szCs w:val="20"/>
          <w:color w:val="1A1316"/>
        </w:rPr>
        <w:t xml:space="preserve"> the terms and conditions set forth in </w:t>
      </w:r>
      <w:r>
        <w:rPr>
          <w:rFonts w:ascii="Arial" w:cs="Arial" w:eastAsia="Arial" w:hAnsi="Arial"/>
          <w:sz w:val="20"/>
          <w:szCs w:val="20"/>
          <w:color w:val="2F262B"/>
        </w:rPr>
        <w:t>the</w:t>
      </w:r>
      <w:r>
        <w:rPr>
          <w:rFonts w:ascii="Arial" w:cs="Arial" w:eastAsia="Arial" w:hAnsi="Arial"/>
          <w:sz w:val="20"/>
          <w:szCs w:val="20"/>
          <w:color w:val="1A1316"/>
        </w:rPr>
        <w:t xml:space="preserve"> Severance Plan.</w:t>
      </w:r>
    </w:p>
    <w:p>
      <w:pPr>
        <w:spacing w:after="0" w:line="176" w:lineRule="exact"/>
        <w:rPr>
          <w:rFonts w:ascii="Arial" w:cs="Arial" w:eastAsia="Arial" w:hAnsi="Arial"/>
          <w:sz w:val="18"/>
          <w:szCs w:val="18"/>
          <w:color w:val="auto"/>
        </w:rPr>
      </w:pPr>
    </w:p>
    <w:p>
      <w:pPr>
        <w:jc w:val="both"/>
        <w:ind w:left="328" w:hanging="328"/>
        <w:spacing w:after="0" w:line="245"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20"/>
          <w:szCs w:val="20"/>
          <w:b w:val="1"/>
          <w:bCs w:val="1"/>
          <w:color w:val="1A1316"/>
        </w:rPr>
        <w:t xml:space="preserve">At-Will Employment Relationship. </w:t>
      </w:r>
      <w:r>
        <w:rPr>
          <w:rFonts w:ascii="Arial" w:cs="Arial" w:eastAsia="Arial" w:hAnsi="Arial"/>
          <w:sz w:val="20"/>
          <w:szCs w:val="20"/>
          <w:color w:val="1A1316"/>
        </w:rPr>
        <w:t>Employment with the Company is for no specific period of time. Your employment</w:t>
      </w:r>
      <w:r>
        <w:rPr>
          <w:rFonts w:ascii="Arial" w:cs="Arial" w:eastAsia="Arial" w:hAnsi="Arial"/>
          <w:sz w:val="20"/>
          <w:szCs w:val="20"/>
          <w:b w:val="1"/>
          <w:bCs w:val="1"/>
          <w:color w:val="1A1316"/>
        </w:rPr>
        <w:t xml:space="preserve"> </w:t>
      </w:r>
      <w:r>
        <w:rPr>
          <w:rFonts w:ascii="Arial" w:cs="Arial" w:eastAsia="Arial" w:hAnsi="Arial"/>
          <w:sz w:val="20"/>
          <w:szCs w:val="20"/>
          <w:color w:val="2F262B"/>
        </w:rPr>
        <w:t xml:space="preserve">relationship </w:t>
      </w:r>
      <w:r>
        <w:rPr>
          <w:rFonts w:ascii="Arial" w:cs="Arial" w:eastAsia="Arial" w:hAnsi="Arial"/>
          <w:sz w:val="20"/>
          <w:szCs w:val="20"/>
          <w:color w:val="1A1316"/>
        </w:rPr>
        <w:t>with the Company is "at will,” meaning that either you or the Company may terminate your employment at any</w:t>
      </w:r>
      <w:r>
        <w:rPr>
          <w:rFonts w:ascii="Arial" w:cs="Arial" w:eastAsia="Arial" w:hAnsi="Arial"/>
          <w:sz w:val="20"/>
          <w:szCs w:val="20"/>
          <w:color w:val="2F262B"/>
        </w:rPr>
        <w:t xml:space="preserve"> </w:t>
      </w:r>
      <w:r>
        <w:rPr>
          <w:rFonts w:ascii="Arial" w:cs="Arial" w:eastAsia="Arial" w:hAnsi="Arial"/>
          <w:sz w:val="20"/>
          <w:szCs w:val="20"/>
          <w:color w:val="1A1316"/>
        </w:rPr>
        <w:t xml:space="preserve">time, with or without Cause (as defined </w:t>
      </w:r>
      <w:r>
        <w:rPr>
          <w:rFonts w:ascii="Arial" w:cs="Arial" w:eastAsia="Arial" w:hAnsi="Arial"/>
          <w:sz w:val="20"/>
          <w:szCs w:val="20"/>
          <w:color w:val="2F262B"/>
        </w:rPr>
        <w:t>in</w:t>
      </w:r>
      <w:r>
        <w:rPr>
          <w:rFonts w:ascii="Arial" w:cs="Arial" w:eastAsia="Arial" w:hAnsi="Arial"/>
          <w:sz w:val="20"/>
          <w:szCs w:val="20"/>
          <w:color w:val="1A1316"/>
        </w:rPr>
        <w:t xml:space="preserve"> the Severance Plan) or advance notice. Any contrary representations that may have been made to you are superseded by this Updated Agreement. Although your job duties, title, compensation and benefits, as well as the Company's personnel policies and procedures, may change from time to time, the "at will" nature of your employment may only be changed in an express written agreement signed by both you and a duly authorized representative of the Board (other than you)</w:t>
      </w:r>
      <w:r>
        <w:rPr>
          <w:rFonts w:ascii="Arial" w:cs="Arial" w:eastAsia="Arial" w:hAnsi="Arial"/>
          <w:sz w:val="20"/>
          <w:szCs w:val="20"/>
          <w:color w:val="52464D"/>
        </w:rPr>
        <w:t>.</w:t>
      </w:r>
    </w:p>
    <w:p>
      <w:pPr>
        <w:spacing w:after="0" w:line="179" w:lineRule="exact"/>
        <w:rPr>
          <w:rFonts w:ascii="Arial" w:cs="Arial" w:eastAsia="Arial" w:hAnsi="Arial"/>
          <w:sz w:val="18"/>
          <w:szCs w:val="18"/>
          <w:color w:val="auto"/>
        </w:rPr>
      </w:pPr>
    </w:p>
    <w:p>
      <w:pPr>
        <w:jc w:val="both"/>
        <w:ind w:left="328" w:hanging="328"/>
        <w:spacing w:after="0" w:line="241"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20"/>
          <w:szCs w:val="20"/>
          <w:b w:val="1"/>
          <w:bCs w:val="1"/>
          <w:color w:val="1A1316"/>
        </w:rPr>
        <w:t xml:space="preserve">Miscellaneous. </w:t>
      </w:r>
      <w:r>
        <w:rPr>
          <w:rFonts w:ascii="Arial" w:cs="Arial" w:eastAsia="Arial" w:hAnsi="Arial"/>
          <w:sz w:val="20"/>
          <w:szCs w:val="20"/>
          <w:color w:val="1A1316"/>
        </w:rPr>
        <w:t>This Updated Agreement, together with the Existing Agreement (and exhibits thereto including your</w:t>
      </w:r>
      <w:r>
        <w:rPr>
          <w:rFonts w:ascii="Arial" w:cs="Arial" w:eastAsia="Arial" w:hAnsi="Arial"/>
          <w:sz w:val="20"/>
          <w:szCs w:val="20"/>
          <w:b w:val="1"/>
          <w:bCs w:val="1"/>
          <w:color w:val="1A1316"/>
        </w:rPr>
        <w:t xml:space="preserve"> </w:t>
      </w:r>
      <w:r>
        <w:rPr>
          <w:rFonts w:ascii="Arial" w:cs="Arial" w:eastAsia="Arial" w:hAnsi="Arial"/>
          <w:sz w:val="20"/>
          <w:szCs w:val="20"/>
          <w:color w:val="1A1316"/>
        </w:rPr>
        <w:t>Employee Invention Assignment and Confidentiality Agreement), constitutes the complete and exclusive statement of your employment agreement with the Company. It supersedes any other agreements or promises made to you by anyone, whether oral or written. In the event of any conflict between this Updated Agreement and the Existing Agreement, the provisions of this Updated Agreement shall control. Changes in your employment terms, other than those changes expressly reserved to the Company's, the Board's or the Compensation Committee’s discretion in this Agreement, require a written modification approved by the Company and signed by a duly authorized representative of the Board (other than you)</w:t>
      </w:r>
      <w:r>
        <w:rPr>
          <w:rFonts w:ascii="Arial" w:cs="Arial" w:eastAsia="Arial" w:hAnsi="Arial"/>
          <w:sz w:val="20"/>
          <w:szCs w:val="20"/>
          <w:color w:val="524446"/>
        </w:rPr>
        <w:t>.</w:t>
      </w:r>
      <w:r>
        <w:rPr>
          <w:rFonts w:ascii="Arial" w:cs="Arial" w:eastAsia="Arial" w:hAnsi="Arial"/>
          <w:sz w:val="20"/>
          <w:szCs w:val="20"/>
          <w:color w:val="1A1316"/>
        </w:rPr>
        <w:t xml:space="preserve"> Th</w:t>
      </w:r>
      <w:r>
        <w:rPr>
          <w:rFonts w:ascii="Arial" w:cs="Arial" w:eastAsia="Arial" w:hAnsi="Arial"/>
          <w:sz w:val="20"/>
          <w:szCs w:val="20"/>
          <w:color w:val="3B3436"/>
        </w:rPr>
        <w:t>i</w:t>
      </w:r>
      <w:r>
        <w:rPr>
          <w:rFonts w:ascii="Arial" w:cs="Arial" w:eastAsia="Arial" w:hAnsi="Arial"/>
          <w:sz w:val="20"/>
          <w:szCs w:val="20"/>
          <w:color w:val="1A1316"/>
        </w:rPr>
        <w:t>s Updated Agreement will bind the heirs, personal representatives, successors and assigns of both you and the Company, and inure to the benefit of both you and the Company, their heirs, successors and assigns. If any provision of this Updated Agreement is determined to be invalid or unenforceable, in whole or in part, this determination shall not affect any other provision of this Updated Agreement and the provis</w:t>
      </w:r>
      <w:r>
        <w:rPr>
          <w:rFonts w:ascii="Arial" w:cs="Arial" w:eastAsia="Arial" w:hAnsi="Arial"/>
          <w:sz w:val="20"/>
          <w:szCs w:val="20"/>
          <w:color w:val="3B3436"/>
        </w:rPr>
        <w:t>i</w:t>
      </w:r>
      <w:r>
        <w:rPr>
          <w:rFonts w:ascii="Arial" w:cs="Arial" w:eastAsia="Arial" w:hAnsi="Arial"/>
          <w:sz w:val="20"/>
          <w:szCs w:val="20"/>
          <w:color w:val="1A1316"/>
        </w:rPr>
        <w:t>on in question shall be modified so as to be rendered enforceable in a manner consistent with the intent of the parties insofar as possible under applicable law. This Updated Agreement shall be construed and enforced in accordance with the laws of the State of California without regard to conflicts of law principles. You and the Company submit to the exclusive personal jurisdiction of the federal and state courts located in San Francisco County and Sonoma County in connection with any and all disputes, claims, or causes of action arising from or relating to the enforcement, breach, performance, negotiation, execution, or interpretation of this Updated Agreement, your employment, or the termination of your employment. Any ambiguity in this Updated Agreement shall not be construed against either party as the drafter. Any waiver of a breach of this Updated Agreement, or rights hereunder, shall be in writing and shall not be deemed to be a waiver of any successive breach or rights hereunder. This Updated Agreement may be executed in counterparts which shall be deemed to be part of one original, and facsimile and electronic signatures shall be equivalent to original signatures</w:t>
      </w:r>
      <w:r>
        <w:rPr>
          <w:rFonts w:ascii="Arial" w:cs="Arial" w:eastAsia="Arial" w:hAnsi="Arial"/>
          <w:sz w:val="20"/>
          <w:szCs w:val="20"/>
          <w:color w:val="524446"/>
        </w:rPr>
        <w:t>.</w:t>
      </w: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1A1316"/>
        </w:rPr>
        <w:t>[Signature Page Follows]</w:t>
      </w:r>
    </w:p>
    <w:p>
      <w:pPr>
        <w:sectPr>
          <w:pgSz w:w="11900" w:h="16838" w:orient="portrait"/>
          <w:cols w:equalWidth="0" w:num="1">
            <w:col w:w="11088"/>
          </w:cols>
          <w:pgMar w:left="572" w:top="609" w:right="2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1A1116"/>
        </w:rPr>
        <w:t>Very truly yours,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1A1116"/>
        </w:rPr>
        <w:t>ENPHASE ENERGY,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540"/>
        <w:spacing w:after="0"/>
        <w:rPr>
          <w:sz w:val="20"/>
          <w:szCs w:val="20"/>
          <w:color w:val="auto"/>
        </w:rPr>
      </w:pPr>
      <w:r>
        <w:rPr>
          <w:rFonts w:ascii="Arial" w:cs="Arial" w:eastAsia="Arial" w:hAnsi="Arial"/>
          <w:sz w:val="20"/>
          <w:szCs w:val="20"/>
          <w:color w:val="1A1116"/>
        </w:rPr>
        <w:t>By</w:t>
      </w:r>
      <w:r>
        <w:rPr>
          <w:rFonts w:ascii="Arial" w:cs="Arial" w:eastAsia="Arial" w:hAnsi="Arial"/>
          <w:sz w:val="20"/>
          <w:szCs w:val="20"/>
          <w:color w:val="342D2D"/>
        </w:rPr>
        <w:t>: /s/ Steven Gomo</w:t>
      </w:r>
    </w:p>
    <w:p>
      <w:pPr>
        <w:spacing w:after="0" w:line="216" w:lineRule="exact"/>
        <w:rPr>
          <w:sz w:val="20"/>
          <w:szCs w:val="20"/>
          <w:color w:val="auto"/>
        </w:rPr>
      </w:pPr>
    </w:p>
    <w:p>
      <w:pPr>
        <w:jc w:val="center"/>
        <w:ind w:left="4460"/>
        <w:spacing w:after="0"/>
        <w:rPr>
          <w:sz w:val="20"/>
          <w:szCs w:val="20"/>
          <w:color w:val="auto"/>
        </w:rPr>
      </w:pPr>
      <w:r>
        <w:rPr>
          <w:rFonts w:ascii="Arial" w:cs="Arial" w:eastAsia="Arial" w:hAnsi="Arial"/>
          <w:sz w:val="19"/>
          <w:szCs w:val="19"/>
          <w:color w:val="1A1116"/>
        </w:rPr>
        <w:t>Steven Gomo, Lead Independent Director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1A1116"/>
        </w:rPr>
        <w:t>I have read, understand and accept this Updated Agreement</w:t>
      </w:r>
      <w:r>
        <w:rPr>
          <w:rFonts w:ascii="Arial" w:cs="Arial" w:eastAsia="Arial" w:hAnsi="Arial"/>
          <w:sz w:val="20"/>
          <w:szCs w:val="20"/>
          <w:color w:val="342D2D"/>
        </w:rPr>
        <w:t>:</w:t>
      </w:r>
      <w:r>
        <w:rPr>
          <w:rFonts w:ascii="Arial" w:cs="Arial" w:eastAsia="Arial" w:hAnsi="Arial"/>
          <w:sz w:val="20"/>
          <w:szCs w:val="20"/>
          <w:color w:val="1A1116"/>
        </w:rPr>
        <w:t xml:space="preserve"> By: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 Badri Kothandaraman</w:t>
      </w:r>
    </w:p>
    <w:p>
      <w:pPr>
        <w:spacing w:after="0"/>
        <w:rPr>
          <w:sz w:val="20"/>
          <w:szCs w:val="20"/>
          <w:color w:val="auto"/>
        </w:rPr>
      </w:pPr>
      <w:r>
        <w:rPr>
          <w:rFonts w:ascii="Arial" w:cs="Arial" w:eastAsia="Arial" w:hAnsi="Arial"/>
          <w:sz w:val="20"/>
          <w:szCs w:val="20"/>
          <w:color w:val="1A1116"/>
        </w:rPr>
        <w:t>Badrinarayanan Kothandaraman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1A1116"/>
        </w:rPr>
        <w:t>Dated</w:t>
      </w:r>
      <w:r>
        <w:rPr>
          <w:rFonts w:ascii="Arial" w:cs="Arial" w:eastAsia="Arial" w:hAnsi="Arial"/>
          <w:sz w:val="20"/>
          <w:szCs w:val="20"/>
          <w:color w:val="342D2D"/>
        </w:rPr>
        <w:t>:</w:t>
      </w:r>
      <w:r>
        <w:rPr>
          <w:rFonts w:ascii="Arial" w:cs="Arial" w:eastAsia="Arial" w:hAnsi="Arial"/>
          <w:sz w:val="20"/>
          <w:szCs w:val="20"/>
          <w:color w:val="1A1116"/>
        </w:rPr>
        <w:t xml:space="preserve"> September 3, 2017</w:t>
      </w:r>
    </w:p>
    <w:p>
      <w:pPr>
        <w:sectPr>
          <w:pgSz w:w="11900" w:h="16838" w:orient="portrait"/>
          <w:cols w:equalWidth="0" w:num="1">
            <w:col w:w="11340"/>
          </w:cols>
          <w:pgMar w:left="240" w:top="1440"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August 8,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Paul B. Nahi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Santa Paula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Paul:</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letter sets forth the substance of the separation and consulting agreement (the “Agreement”) that Enphase Energy, Inc. (the “Company”) is offering to you.</w:t>
      </w:r>
    </w:p>
    <w:p>
      <w:pPr>
        <w:spacing w:after="0" w:line="193" w:lineRule="exact"/>
        <w:rPr>
          <w:sz w:val="20"/>
          <w:szCs w:val="20"/>
          <w:color w:val="auto"/>
        </w:rPr>
      </w:pPr>
    </w:p>
    <w:p>
      <w:pPr>
        <w:ind w:right="60" w:firstLine="656"/>
        <w:spacing w:after="0" w:line="300" w:lineRule="auto"/>
        <w:tabs>
          <w:tab w:leader="none" w:pos="1431"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w:t>
      </w:r>
      <w:r>
        <w:rPr>
          <w:rFonts w:ascii="Arial" w:cs="Arial" w:eastAsia="Arial" w:hAnsi="Arial"/>
          <w:sz w:val="18"/>
          <w:szCs w:val="18"/>
          <w:color w:val="auto"/>
        </w:rPr>
        <w:t>. You will serve as the Company’s President and Chief Executive Officer (“CEO”) until the Company’s August 8, 2017</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call. During such call, you agree to announce your voluntary resignation from the President and CEO position and from your position on the Board of Directors (the “Board”), and to effect such resignations immediately. Your resignations will also include resigning from all other positions with the Company and its subsidiaries. Between August 8, 2017 and August 11, 2017 (“the Separation Date) (such period, the “Employment Transition Period”), you will remain employed in a non-executive capacity and perform such duties as requested by the Board. During the Employment Transition Period, you must continue to comply with all of the Company’s policies and procedures and with all of your statutory and contractual obligations to the Company (including, without limitation, your obligations under the Employee Invention Assignment and Confidentiality Agreement, attached as Exhibit A (“Confidentiality Agreement”), which you agree to sign contemporaneously with this Agreement). During the Employment Transition Period, your base salary will remain the same, and you will continue to be eligible for the Company’s standard benefits, subject to the terms and conditions applicable to such plans and programs. Your Company stock options will also continue to vest under the existing terms and conditions set forth in the governing plan documents and option agreement.</w:t>
      </w:r>
    </w:p>
    <w:p>
      <w:pPr>
        <w:spacing w:after="0" w:line="165" w:lineRule="exact"/>
        <w:rPr>
          <w:rFonts w:ascii="Arial" w:cs="Arial" w:eastAsia="Arial" w:hAnsi="Arial"/>
          <w:sz w:val="18"/>
          <w:szCs w:val="18"/>
          <w:b w:val="1"/>
          <w:bCs w:val="1"/>
          <w:color w:val="auto"/>
        </w:rPr>
      </w:pPr>
    </w:p>
    <w:p>
      <w:pPr>
        <w:jc w:val="both"/>
        <w:ind w:right="20" w:firstLine="656"/>
        <w:spacing w:after="0" w:line="289" w:lineRule="auto"/>
        <w:tabs>
          <w:tab w:leader="none" w:pos="963"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SEVERANCE. </w:t>
      </w:r>
      <w:r>
        <w:rPr>
          <w:rFonts w:ascii="Arial" w:cs="Arial" w:eastAsia="Arial" w:hAnsi="Arial"/>
          <w:sz w:val="17"/>
          <w:szCs w:val="17"/>
          <w:color w:val="auto"/>
        </w:rPr>
        <w:t>You and the Company agree that the end of your employment is a voluntary resignation, and that the Company’s Severance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Benefit Plan (the “Severance Plan”) shall not apply. If you sign this Agreement, allow the releases herein to become effective, and comply with your obligations under this Agreement, then the Company will provide you with the following severance benefits.</w:t>
      </w:r>
    </w:p>
    <w:p>
      <w:pPr>
        <w:spacing w:after="0" w:line="158" w:lineRule="exact"/>
        <w:rPr>
          <w:sz w:val="20"/>
          <w:szCs w:val="20"/>
          <w:color w:val="auto"/>
        </w:rPr>
      </w:pPr>
    </w:p>
    <w:p>
      <w:pPr>
        <w:ind w:left="1620" w:hanging="315"/>
        <w:spacing w:after="0"/>
        <w:tabs>
          <w:tab w:leader="none" w:pos="16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Severance. </w:t>
      </w:r>
      <w:r>
        <w:rPr>
          <w:rFonts w:ascii="Arial" w:cs="Arial" w:eastAsia="Arial" w:hAnsi="Arial"/>
          <w:sz w:val="17"/>
          <w:szCs w:val="17"/>
          <w:color w:val="auto"/>
        </w:rPr>
        <w:t>The Company will make a lump-sum severance payment to you in an amount equal to your annual base salary</w:t>
      </w:r>
    </w:p>
    <w:p>
      <w:pPr>
        <w:spacing w:after="0" w:line="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($472,500), less applicable withholdings, to be paid on the first Company payroll date that occurs more than five days after the Effective Date (as defined in Section 11).</w:t>
      </w:r>
    </w:p>
    <w:p>
      <w:pPr>
        <w:spacing w:after="0" w:line="180" w:lineRule="exact"/>
        <w:rPr>
          <w:sz w:val="20"/>
          <w:szCs w:val="20"/>
          <w:color w:val="auto"/>
        </w:rPr>
      </w:pPr>
    </w:p>
    <w:p>
      <w:pPr>
        <w:ind w:right="20" w:firstLine="1305"/>
        <w:spacing w:after="0" w:line="261" w:lineRule="auto"/>
        <w:tabs>
          <w:tab w:leader="none" w:pos="162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Pro-Rata Bonus. </w:t>
      </w:r>
      <w:r>
        <w:rPr>
          <w:rFonts w:ascii="Arial" w:cs="Arial" w:eastAsia="Arial" w:hAnsi="Arial"/>
          <w:sz w:val="18"/>
          <w:szCs w:val="18"/>
          <w:color w:val="auto"/>
        </w:rPr>
        <w:t>The Company will make an additional lump-sum severance payment to you in an amount equal to $315,000, less</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withholdings, which is equal to your target annual bonus ($472,500) multiplied by 8/12 (which represents the percentage of the calendar year that you have served as CEO through the month of August 2017) (the “Pro-Rata Bonus”). The Pro-Rata Bonus will be paid on the first Company payroll date that occurs more than five days after the Effective Date.</w:t>
      </w:r>
    </w:p>
    <w:p>
      <w:pPr>
        <w:spacing w:after="0" w:line="180" w:lineRule="exact"/>
        <w:rPr>
          <w:rFonts w:ascii="Arial" w:cs="Arial" w:eastAsia="Arial" w:hAnsi="Arial"/>
          <w:sz w:val="18"/>
          <w:szCs w:val="18"/>
          <w:b w:val="1"/>
          <w:bCs w:val="1"/>
          <w:color w:val="auto"/>
        </w:rPr>
      </w:pPr>
    </w:p>
    <w:p>
      <w:pPr>
        <w:ind w:firstLine="1305"/>
        <w:spacing w:after="0" w:line="271" w:lineRule="auto"/>
        <w:tabs>
          <w:tab w:leader="none" w:pos="1601"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COBRA Payments. </w:t>
      </w:r>
      <w:r>
        <w:rPr>
          <w:rFonts w:ascii="Arial" w:cs="Arial" w:eastAsia="Arial" w:hAnsi="Arial"/>
          <w:sz w:val="17"/>
          <w:szCs w:val="17"/>
          <w:color w:val="auto"/>
        </w:rPr>
        <w:t>Provided that you are eligible for and make the necessary elections for continuation coverage pursuant to COBRA</w:t>
      </w:r>
      <w:r>
        <w:rPr>
          <w:rFonts w:ascii="Arial" w:cs="Arial" w:eastAsia="Arial" w:hAnsi="Arial"/>
          <w:sz w:val="17"/>
          <w:szCs w:val="17"/>
          <w:b w:val="1"/>
          <w:bCs w:val="1"/>
          <w:color w:val="auto"/>
        </w:rPr>
        <w:t xml:space="preserve"> </w:t>
      </w:r>
      <w:r>
        <w:rPr>
          <w:rFonts w:ascii="Arial" w:cs="Arial" w:eastAsia="Arial" w:hAnsi="Arial"/>
          <w:sz w:val="17"/>
          <w:szCs w:val="17"/>
          <w:color w:val="auto"/>
        </w:rPr>
        <w:t>under a group health, dental or vision plan sponsored by the Company, the Company will pay, as and when due directly to the COBRA carrier, the COBRA premiums necessary to continue your COBRA coverage for you and your eligible dependents from the Separation Date until the earliest to occur of (i) one year after your Separation Date, (ii) the expiration of your eligibility for the continuation coverage under COBRA, and (iii) the date on which you become eligible for health insurance coverage in connection with new employment or self-employment (such period, the “COBRA Payment Period”). You agree to promptly notify the Company as soon as you become eligible for health insurance coverage in connection with new employment or self-employment. If at any time the Company determines, in its sole discretion, that the payment of the COBRA premiums would result in a violation of the nondiscrimination rules of Section 105(h)(2) of the Code or any statute or regulation of similar effect (including, without limitation, the 2010 Patient Protection and Affordable Care Act, as amended by the 2010 Health Care and Education Reconciliation Act and any other subsequent</w:t>
      </w:r>
    </w:p>
    <w:p>
      <w:pPr>
        <w:sectPr>
          <w:pgSz w:w="11900" w:h="16838" w:orient="portrait"/>
          <w:cols w:equalWidth="0" w:num="1">
            <w:col w:w="11380"/>
          </w:cols>
          <w:pgMar w:left="240" w:top="625" w:right="279" w:bottom="1440" w:gutter="0" w:footer="0" w:header="0"/>
        </w:sectPr>
      </w:pPr>
    </w:p>
    <w:bookmarkStart w:id="57" w:name="page58"/>
    <w:bookmarkEnd w:id="57"/>
    <w:p>
      <w:pPr>
        <w:ind w:right="40"/>
        <w:spacing w:after="0" w:line="342" w:lineRule="auto"/>
        <w:rPr>
          <w:sz w:val="20"/>
          <w:szCs w:val="20"/>
          <w:color w:val="auto"/>
        </w:rPr>
      </w:pPr>
      <w:r>
        <w:rPr>
          <w:rFonts w:ascii="Arial" w:cs="Arial" w:eastAsia="Arial" w:hAnsi="Arial"/>
          <w:sz w:val="16"/>
          <w:szCs w:val="16"/>
          <w:color w:val="auto"/>
        </w:rPr>
        <w:t>amendments), then in lieu of providing the benefit set forth above, the Company will instead pay you, on the first day of each month of the remainder of the COBRA Payment Period, a fully taxable cash payment equal to the COBRA premiums for that month, subject to applicable tax withholdings and deductions.</w:t>
      </w:r>
    </w:p>
    <w:p>
      <w:pPr>
        <w:spacing w:after="0" w:line="120" w:lineRule="exact"/>
        <w:rPr>
          <w:sz w:val="20"/>
          <w:szCs w:val="20"/>
          <w:color w:val="auto"/>
        </w:rPr>
      </w:pPr>
    </w:p>
    <w:p>
      <w:pPr>
        <w:ind w:right="180" w:firstLine="1305"/>
        <w:spacing w:after="0" w:line="282" w:lineRule="auto"/>
        <w:tabs>
          <w:tab w:leader="none" w:pos="1622"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Accelerated Vesting. </w:t>
      </w:r>
      <w:r>
        <w:rPr>
          <w:rFonts w:ascii="Arial" w:cs="Arial" w:eastAsia="Arial" w:hAnsi="Arial"/>
          <w:sz w:val="18"/>
          <w:szCs w:val="18"/>
          <w:color w:val="auto"/>
        </w:rPr>
        <w:t>The vesting and exercisability of all outstanding unvested equity awards under the Company’s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that you hold as of the Separation Date will be accelerated by 25% of the then-unvested shares.</w:t>
      </w:r>
    </w:p>
    <w:p>
      <w:pPr>
        <w:spacing w:after="0" w:line="161" w:lineRule="exact"/>
        <w:rPr>
          <w:rFonts w:ascii="Arial" w:cs="Arial" w:eastAsia="Arial" w:hAnsi="Arial"/>
          <w:sz w:val="18"/>
          <w:szCs w:val="18"/>
          <w:b w:val="1"/>
          <w:bCs w:val="1"/>
          <w:color w:val="auto"/>
        </w:rPr>
      </w:pPr>
    </w:p>
    <w:p>
      <w:pPr>
        <w:ind w:firstLine="1305"/>
        <w:spacing w:after="0" w:line="258" w:lineRule="auto"/>
        <w:tabs>
          <w:tab w:leader="none" w:pos="1601"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Extension of Post-Termination Exercise Period. </w:t>
      </w:r>
      <w:r>
        <w:rPr>
          <w:rFonts w:ascii="Arial" w:cs="Arial" w:eastAsia="Arial" w:hAnsi="Arial"/>
          <w:sz w:val="18"/>
          <w:szCs w:val="18"/>
          <w:color w:val="auto"/>
        </w:rPr>
        <w:t>All outstanding stock options and other equity awards which carry a right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hold under the Company’s equity incentive plans as of the Separation Date will expire on the earlier of (i)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 for such Change in Control transaction, and (ii) one year from the Separation Date.</w:t>
      </w:r>
    </w:p>
    <w:p>
      <w:pPr>
        <w:spacing w:after="0" w:line="183" w:lineRule="exact"/>
        <w:rPr>
          <w:rFonts w:ascii="Arial" w:cs="Arial" w:eastAsia="Arial" w:hAnsi="Arial"/>
          <w:sz w:val="18"/>
          <w:szCs w:val="18"/>
          <w:b w:val="1"/>
          <w:bCs w:val="1"/>
          <w:color w:val="auto"/>
        </w:rPr>
      </w:pPr>
    </w:p>
    <w:p>
      <w:pPr>
        <w:ind w:right="200" w:firstLine="656"/>
        <w:spacing w:after="0" w:line="282" w:lineRule="auto"/>
        <w:tabs>
          <w:tab w:leader="none" w:pos="9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If you timely sign this Agreement and allow it to become effective, then the Company will engage you as a consultant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below.</w:t>
      </w:r>
    </w:p>
    <w:p>
      <w:pPr>
        <w:spacing w:after="0" w:line="161" w:lineRule="exact"/>
        <w:rPr>
          <w:rFonts w:ascii="Arial" w:cs="Arial" w:eastAsia="Arial" w:hAnsi="Arial"/>
          <w:sz w:val="18"/>
          <w:szCs w:val="18"/>
          <w:b w:val="1"/>
          <w:bCs w:val="1"/>
          <w:color w:val="auto"/>
        </w:rPr>
      </w:pPr>
    </w:p>
    <w:p>
      <w:pPr>
        <w:ind w:right="20" w:firstLine="1305"/>
        <w:spacing w:after="0" w:line="282" w:lineRule="auto"/>
        <w:tabs>
          <w:tab w:leader="none" w:pos="1611"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Consulting Period. </w:t>
      </w:r>
      <w:r>
        <w:rPr>
          <w:rFonts w:ascii="Arial" w:cs="Arial" w:eastAsia="Arial" w:hAnsi="Arial"/>
          <w:sz w:val="18"/>
          <w:szCs w:val="18"/>
          <w:color w:val="auto"/>
        </w:rPr>
        <w:t>You will serve as a consultant to the Company beginning on the first day following the Separation Date and ending</w:t>
      </w:r>
      <w:r>
        <w:rPr>
          <w:rFonts w:ascii="Arial" w:cs="Arial" w:eastAsia="Arial" w:hAnsi="Arial"/>
          <w:sz w:val="18"/>
          <w:szCs w:val="18"/>
          <w:b w:val="1"/>
          <w:bCs w:val="1"/>
          <w:color w:val="auto"/>
        </w:rPr>
        <w:t xml:space="preserve"> </w:t>
      </w:r>
      <w:r>
        <w:rPr>
          <w:rFonts w:ascii="Arial" w:cs="Arial" w:eastAsia="Arial" w:hAnsi="Arial"/>
          <w:sz w:val="18"/>
          <w:szCs w:val="18"/>
          <w:color w:val="auto"/>
        </w:rPr>
        <w:t>on November 9, 2017 (the “Consulting Period”).</w:t>
      </w:r>
    </w:p>
    <w:p>
      <w:pPr>
        <w:spacing w:after="0" w:line="161" w:lineRule="exact"/>
        <w:rPr>
          <w:rFonts w:ascii="Arial" w:cs="Arial" w:eastAsia="Arial" w:hAnsi="Arial"/>
          <w:sz w:val="18"/>
          <w:szCs w:val="18"/>
          <w:b w:val="1"/>
          <w:bCs w:val="1"/>
          <w:color w:val="auto"/>
        </w:rPr>
      </w:pPr>
    </w:p>
    <w:p>
      <w:pPr>
        <w:ind w:right="20" w:firstLine="1305"/>
        <w:spacing w:after="0" w:line="261" w:lineRule="auto"/>
        <w:tabs>
          <w:tab w:leader="none" w:pos="1622"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Consulting Services. </w:t>
      </w:r>
      <w:r>
        <w:rPr>
          <w:rFonts w:ascii="Arial" w:cs="Arial" w:eastAsia="Arial" w:hAnsi="Arial"/>
          <w:sz w:val="18"/>
          <w:szCs w:val="18"/>
          <w:color w:val="auto"/>
        </w:rPr>
        <w:t>As a consultant, you will be responsible for assisting the Company with identifying and recruiting a new CEO</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assisting with the onboarding of the new CEO, all as defined by the Board (the “Consulting Services”). You will conduct the Consulting Services at a location of your choosing. You will exercise the highest degree of professionalism and utilize your expertise and creative talents in performing the Consulting Services.</w:t>
      </w:r>
    </w:p>
    <w:p>
      <w:pPr>
        <w:spacing w:after="0" w:line="180" w:lineRule="exact"/>
        <w:rPr>
          <w:rFonts w:ascii="Arial" w:cs="Arial" w:eastAsia="Arial" w:hAnsi="Arial"/>
          <w:sz w:val="18"/>
          <w:szCs w:val="18"/>
          <w:b w:val="1"/>
          <w:bCs w:val="1"/>
          <w:color w:val="auto"/>
        </w:rPr>
      </w:pPr>
    </w:p>
    <w:p>
      <w:pPr>
        <w:ind w:firstLine="1305"/>
        <w:spacing w:after="0" w:line="303" w:lineRule="auto"/>
        <w:tabs>
          <w:tab w:leader="none" w:pos="1601"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During your employment with the Company, you were granted options to purchase shares of the Company’s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set forth in this Agreement, the vesting of these options shall cease as of the Separation Date, and no additional vesting shall occur during the Consulting Period. The options shall continue to be governed in all respects by the governing plan documents and agreements. You are encouraged to obtain independent tax advice concerning your options and how the terms of this Agreement may affect the tax treatment of the options.</w:t>
      </w:r>
    </w:p>
    <w:p>
      <w:pPr>
        <w:spacing w:after="0" w:line="151" w:lineRule="exact"/>
        <w:rPr>
          <w:rFonts w:ascii="Arial" w:cs="Arial" w:eastAsia="Arial" w:hAnsi="Arial"/>
          <w:sz w:val="16"/>
          <w:szCs w:val="16"/>
          <w:b w:val="1"/>
          <w:bCs w:val="1"/>
          <w:color w:val="auto"/>
        </w:rPr>
      </w:pPr>
    </w:p>
    <w:p>
      <w:pPr>
        <w:ind w:right="420" w:firstLine="1305"/>
        <w:spacing w:after="0" w:line="314" w:lineRule="auto"/>
        <w:tabs>
          <w:tab w:leader="none" w:pos="1622"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Independent Contractor Status. </w:t>
      </w:r>
      <w:r>
        <w:rPr>
          <w:rFonts w:ascii="Arial" w:cs="Arial" w:eastAsia="Arial" w:hAnsi="Arial"/>
          <w:sz w:val="16"/>
          <w:szCs w:val="16"/>
          <w:color w:val="auto"/>
        </w:rPr>
        <w:t>You agree that during the Consulting Period, (i) you will be an independent contractor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not an employee of the Company, and (ii) the Company will not make payments for state or federal income tax, FICA (social security and Medicare), make unemployment insurance or disability insurance contributions, or obtain workers’ compensation insurance on your behalf.</w:t>
      </w:r>
    </w:p>
    <w:p>
      <w:pPr>
        <w:spacing w:after="0" w:line="142" w:lineRule="exact"/>
        <w:rPr>
          <w:rFonts w:ascii="Arial" w:cs="Arial" w:eastAsia="Arial" w:hAnsi="Arial"/>
          <w:sz w:val="16"/>
          <w:szCs w:val="16"/>
          <w:b w:val="1"/>
          <w:bCs w:val="1"/>
          <w:color w:val="auto"/>
        </w:rPr>
      </w:pPr>
    </w:p>
    <w:p>
      <w:pPr>
        <w:jc w:val="both"/>
        <w:ind w:firstLine="1305"/>
        <w:spacing w:after="0" w:line="258" w:lineRule="auto"/>
        <w:tabs>
          <w:tab w:leader="none" w:pos="1601"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Protection of Information. </w:t>
      </w:r>
      <w:r>
        <w:rPr>
          <w:rFonts w:ascii="Arial" w:cs="Arial" w:eastAsia="Arial" w:hAnsi="Arial"/>
          <w:sz w:val="18"/>
          <w:szCs w:val="18"/>
          <w:color w:val="auto"/>
        </w:rPr>
        <w:t>You agree that during the Consulting Period and thereafter, you will not use or disclose any confidential 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or materials of the Company that you obtain or develop in the course of performing consulting services for the Company. Any and all work product you create in the course of performing consulting services for the Company will be the sole and exclusive property of the Company. You hereby assign to the Company all right, title, and interest in all inventions, techniques, processes, materials, and other intellectual property developed in the course of performing consulting services for the Company.</w:t>
      </w:r>
    </w:p>
    <w:p>
      <w:pPr>
        <w:spacing w:after="0" w:line="183" w:lineRule="exact"/>
        <w:rPr>
          <w:rFonts w:ascii="Arial" w:cs="Arial" w:eastAsia="Arial" w:hAnsi="Arial"/>
          <w:sz w:val="18"/>
          <w:szCs w:val="18"/>
          <w:b w:val="1"/>
          <w:bCs w:val="1"/>
          <w:color w:val="auto"/>
        </w:rPr>
      </w:pPr>
    </w:p>
    <w:p>
      <w:pPr>
        <w:ind w:right="80" w:firstLine="1305"/>
        <w:spacing w:after="0" w:line="347" w:lineRule="auto"/>
        <w:tabs>
          <w:tab w:leader="none" w:pos="1581"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Authority. </w:t>
      </w:r>
      <w:r>
        <w:rPr>
          <w:rFonts w:ascii="Arial" w:cs="Arial" w:eastAsia="Arial" w:hAnsi="Arial"/>
          <w:sz w:val="16"/>
          <w:szCs w:val="16"/>
          <w:color w:val="auto"/>
        </w:rPr>
        <w:t>You will have no responsibilities or authority as a consultant to the Company other than as provided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not to represent or purport to represent the Company in any manner whatsoever to any third party except with my prior written consent.</w:t>
      </w:r>
    </w:p>
    <w:p>
      <w:pPr>
        <w:spacing w:after="0" w:line="116" w:lineRule="exact"/>
        <w:rPr>
          <w:rFonts w:ascii="Arial" w:cs="Arial" w:eastAsia="Arial" w:hAnsi="Arial"/>
          <w:sz w:val="16"/>
          <w:szCs w:val="16"/>
          <w:b w:val="1"/>
          <w:bCs w:val="1"/>
          <w:color w:val="auto"/>
        </w:rPr>
      </w:pPr>
    </w:p>
    <w:p>
      <w:pPr>
        <w:ind w:right="160" w:firstLine="1305"/>
        <w:spacing w:after="0" w:line="266" w:lineRule="auto"/>
        <w:tabs>
          <w:tab w:leader="none" w:pos="1611"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Standards of Conduct; Noncompetition. </w:t>
      </w:r>
      <w:r>
        <w:rPr>
          <w:rFonts w:ascii="Arial" w:cs="Arial" w:eastAsia="Arial" w:hAnsi="Arial"/>
          <w:sz w:val="18"/>
          <w:szCs w:val="18"/>
          <w:color w:val="auto"/>
        </w:rPr>
        <w:t>You agree not to engage in any conduct during the Consulting Period that is detrimental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interests of the Company. You further agree during the Consulting Period that you will not, directly or indirectly, as an officer, director, employee, consultant, owner,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68" w:right="25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t>manager, member, partner, or in any other capacity solicit, perform, or provide, or attempt to perform or provide Conflicting Services in the United States, nor will you assist another person to solicit, perform or provide or attempt to perform or provide Conflicting Services in the United States. You and the Company agree that for purposes of this Agreement, “Conflicting Services” means any product, service, or process or the research and development thereof, of any person or organization other than the Company that is substantially similar to or competitive with a product, service, or process, including the research and development thereof, of the Company. Notwithstanding the above, you will not be deemed to be engaged directly or indirectly in any Conflicting Services if you participate in any such business solely as a passive investor in up to 1% of the equity securities of a company or partnership, the securities of which are publicly traded.</w:t>
      </w:r>
    </w:p>
    <w:p>
      <w:pPr>
        <w:spacing w:after="0" w:line="185" w:lineRule="exact"/>
        <w:rPr>
          <w:sz w:val="20"/>
          <w:szCs w:val="20"/>
          <w:color w:val="auto"/>
        </w:rPr>
      </w:pPr>
    </w:p>
    <w:p>
      <w:pPr>
        <w:ind w:right="360" w:firstLine="1305"/>
        <w:spacing w:after="0" w:line="282" w:lineRule="auto"/>
        <w:tabs>
          <w:tab w:leader="none" w:pos="1622"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Provided that you complete the Consulting Services to the Board’s reasonable satisfaction, then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you with the following additional benefits:</w:t>
      </w:r>
    </w:p>
    <w:p>
      <w:pPr>
        <w:spacing w:after="0" w:line="165" w:lineRule="exact"/>
        <w:rPr>
          <w:rFonts w:ascii="Arial" w:cs="Arial" w:eastAsia="Arial" w:hAnsi="Arial"/>
          <w:sz w:val="18"/>
          <w:szCs w:val="18"/>
          <w:b w:val="1"/>
          <w:bCs w:val="1"/>
          <w:color w:val="auto"/>
        </w:rPr>
      </w:pPr>
    </w:p>
    <w:p>
      <w:pPr>
        <w:ind w:firstLine="1953"/>
        <w:spacing w:after="0" w:line="342" w:lineRule="auto"/>
        <w:tabs>
          <w:tab w:leader="none" w:pos="2291" w:val="left"/>
        </w:tabs>
        <w:numPr>
          <w:ilvl w:val="2"/>
          <w:numId w:val="27"/>
        </w:numPr>
        <w:rPr>
          <w:rFonts w:ascii="Arial" w:cs="Arial" w:eastAsia="Arial" w:hAnsi="Arial"/>
          <w:sz w:val="16"/>
          <w:szCs w:val="16"/>
          <w:b w:val="1"/>
          <w:bCs w:val="1"/>
          <w:color w:val="auto"/>
        </w:rPr>
      </w:pPr>
      <w:r>
        <w:rPr>
          <w:rFonts w:ascii="Arial" w:cs="Arial" w:eastAsia="Arial" w:hAnsi="Arial"/>
          <w:sz w:val="16"/>
          <w:szCs w:val="16"/>
          <w:color w:val="auto"/>
        </w:rPr>
        <w:t>The Company will pay you an additional lump-sum severance payment in the amount of $200,000, less ordinary withholdings and required deductions, within 30 days after the conclusion of the Consulting Period, or at such later time as you and the Company may agree.</w:t>
      </w:r>
    </w:p>
    <w:p>
      <w:pPr>
        <w:spacing w:after="0" w:line="123" w:lineRule="exact"/>
        <w:rPr>
          <w:rFonts w:ascii="Arial" w:cs="Arial" w:eastAsia="Arial" w:hAnsi="Arial"/>
          <w:sz w:val="16"/>
          <w:szCs w:val="16"/>
          <w:b w:val="1"/>
          <w:bCs w:val="1"/>
          <w:color w:val="auto"/>
        </w:rPr>
      </w:pPr>
    </w:p>
    <w:p>
      <w:pPr>
        <w:jc w:val="both"/>
        <w:ind w:right="20" w:firstLine="1953"/>
        <w:spacing w:after="0" w:line="259" w:lineRule="auto"/>
        <w:tabs>
          <w:tab w:leader="none" w:pos="2341" w:val="left"/>
        </w:tabs>
        <w:numPr>
          <w:ilvl w:val="2"/>
          <w:numId w:val="27"/>
        </w:numPr>
        <w:rPr>
          <w:rFonts w:ascii="Arial" w:cs="Arial" w:eastAsia="Arial" w:hAnsi="Arial"/>
          <w:sz w:val="18"/>
          <w:szCs w:val="18"/>
          <w:b w:val="1"/>
          <w:bCs w:val="1"/>
          <w:color w:val="auto"/>
        </w:rPr>
      </w:pPr>
      <w:r>
        <w:rPr>
          <w:rFonts w:ascii="Arial" w:cs="Arial" w:eastAsia="Arial" w:hAnsi="Arial"/>
          <w:sz w:val="18"/>
          <w:szCs w:val="18"/>
          <w:color w:val="auto"/>
        </w:rPr>
        <w:t>The Company will reimburse you for up to $60,000 in documented outplacement assistance service expenses incurred from a provider to be selected by the Company. Any such outplacement assistance expenses must be approved by the Company in advance, with such services being utilized within one year of the Separation Date. You are not entitled to the monetary equivalent of any unutilized portion of this outplacement assistance reimbursement benefit.</w:t>
      </w:r>
    </w:p>
    <w:p>
      <w:pPr>
        <w:spacing w:after="0" w:line="182" w:lineRule="exact"/>
        <w:rPr>
          <w:rFonts w:ascii="Arial" w:cs="Arial" w:eastAsia="Arial" w:hAnsi="Arial"/>
          <w:sz w:val="18"/>
          <w:szCs w:val="18"/>
          <w:b w:val="1"/>
          <w:bCs w:val="1"/>
          <w:color w:val="auto"/>
        </w:rPr>
      </w:pPr>
    </w:p>
    <w:p>
      <w:pPr>
        <w:ind w:right="60" w:firstLine="656"/>
        <w:spacing w:after="0" w:line="258" w:lineRule="auto"/>
        <w:tabs>
          <w:tab w:leader="none" w:pos="9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not entitled, to any additional compensation, severance, or benefits after the Separation Date. You further acknowledge that the benefits set forth in Sections 2.a-2.e. are being provided to you in conjunction with your voluntary resignation, that the Company has no obligations to you under the Severance Plan, and that upon receipt of the benefits set forth in this Agreement you will not be eligible for and will not receive any further compensation, severance, or benefits under the Severance Plan or otherwise.</w:t>
      </w:r>
    </w:p>
    <w:p>
      <w:pPr>
        <w:spacing w:after="0" w:line="183" w:lineRule="exact"/>
        <w:rPr>
          <w:rFonts w:ascii="Arial" w:cs="Arial" w:eastAsia="Arial" w:hAnsi="Arial"/>
          <w:sz w:val="18"/>
          <w:szCs w:val="18"/>
          <w:b w:val="1"/>
          <w:bCs w:val="1"/>
          <w:color w:val="auto"/>
        </w:rPr>
      </w:pPr>
    </w:p>
    <w:p>
      <w:pPr>
        <w:ind w:right="40" w:firstLine="656"/>
        <w:spacing w:after="0" w:line="266" w:lineRule="auto"/>
        <w:tabs>
          <w:tab w:leader="none" w:pos="9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days after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these expenses pursuant to its regular business practice.</w:t>
      </w:r>
    </w:p>
    <w:p>
      <w:pPr>
        <w:spacing w:after="0" w:line="176" w:lineRule="exact"/>
        <w:rPr>
          <w:rFonts w:ascii="Arial" w:cs="Arial" w:eastAsia="Arial" w:hAnsi="Arial"/>
          <w:sz w:val="18"/>
          <w:szCs w:val="18"/>
          <w:b w:val="1"/>
          <w:bCs w:val="1"/>
          <w:color w:val="auto"/>
        </w:rPr>
      </w:pPr>
    </w:p>
    <w:p>
      <w:pPr>
        <w:ind w:right="80" w:firstLine="656"/>
        <w:spacing w:after="0" w:line="256" w:lineRule="auto"/>
        <w:tabs>
          <w:tab w:leader="none" w:pos="9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PROPERTY</w:t>
      </w:r>
      <w:r>
        <w:rPr>
          <w:rFonts w:ascii="Arial" w:cs="Arial" w:eastAsia="Arial" w:hAnsi="Arial"/>
          <w:sz w:val="18"/>
          <w:szCs w:val="18"/>
          <w:color w:val="auto"/>
        </w:rPr>
        <w:t>. By the Separation Date, you agree to return to the Company all Company documents (and all copies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 Your timely return of all such Company documents and other property is a condition precedent to your receipt of the benefits provided under this Agreement.</w:t>
      </w:r>
    </w:p>
    <w:p>
      <w:pPr>
        <w:spacing w:after="0" w:line="187" w:lineRule="exact"/>
        <w:rPr>
          <w:rFonts w:ascii="Arial" w:cs="Arial" w:eastAsia="Arial" w:hAnsi="Arial"/>
          <w:sz w:val="18"/>
          <w:szCs w:val="18"/>
          <w:b w:val="1"/>
          <w:bCs w:val="1"/>
          <w:color w:val="auto"/>
        </w:rPr>
      </w:pPr>
    </w:p>
    <w:p>
      <w:pPr>
        <w:ind w:right="580" w:firstLine="656"/>
        <w:spacing w:after="0" w:line="282" w:lineRule="auto"/>
        <w:tabs>
          <w:tab w:leader="none" w:pos="100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OBLIGATIONS</w:t>
      </w:r>
      <w:r>
        <w:rPr>
          <w:rFonts w:ascii="Arial" w:cs="Arial" w:eastAsia="Arial" w:hAnsi="Arial"/>
          <w:sz w:val="18"/>
          <w:szCs w:val="18"/>
          <w:color w:val="auto"/>
        </w:rPr>
        <w:t>. You acknowledge and agree to abide by your continuing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Agreement.</w:t>
      </w:r>
    </w:p>
    <w:p>
      <w:pPr>
        <w:spacing w:after="0" w:line="161" w:lineRule="exact"/>
        <w:rPr>
          <w:rFonts w:ascii="Arial" w:cs="Arial" w:eastAsia="Arial" w:hAnsi="Arial"/>
          <w:sz w:val="18"/>
          <w:szCs w:val="18"/>
          <w:b w:val="1"/>
          <w:bCs w:val="1"/>
          <w:color w:val="auto"/>
        </w:rPr>
      </w:pPr>
    </w:p>
    <w:p>
      <w:pPr>
        <w:ind w:right="80" w:firstLine="656"/>
        <w:spacing w:after="0" w:line="256" w:lineRule="auto"/>
        <w:tabs>
          <w:tab w:leader="none" w:pos="9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to refrain from any disparagement, criticism, defamation or slander of the Company and its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employees, shareholders, and agents, in any manner likely to be harmful to its or their business, business reputation or personal reputation, and the Company agrees (through its officers and directors) to refrain from any disparagement, criticism, defamation or slander of you in any manner likely to be harmful to your personal or professional reputations; provided that either you or the Company may respond accurately and fully to any request for information if required by legal process or in connection with a government investigation. Nothing in this provision or this Agreement is intended to prohibit or restrain you in 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68"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manner from making disclosures that are protected under the whistleblower provisions of federal or state law or regulation.</w:t>
      </w:r>
    </w:p>
    <w:p>
      <w:pPr>
        <w:spacing w:after="0" w:line="221" w:lineRule="exact"/>
        <w:rPr>
          <w:sz w:val="20"/>
          <w:szCs w:val="20"/>
          <w:color w:val="auto"/>
        </w:rPr>
      </w:pPr>
    </w:p>
    <w:p>
      <w:pPr>
        <w:ind w:right="140" w:firstLine="656"/>
        <w:spacing w:after="0" w:line="313" w:lineRule="auto"/>
        <w:tabs>
          <w:tab w:leader="none" w:pos="963"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ADMISSIONS. </w:t>
      </w:r>
      <w:r>
        <w:rPr>
          <w:rFonts w:ascii="Arial" w:cs="Arial" w:eastAsia="Arial" w:hAnsi="Arial"/>
          <w:sz w:val="17"/>
          <w:szCs w:val="17"/>
          <w:color w:val="auto"/>
        </w:rPr>
        <w:t>You understand and agree that the promises and payments in consideration of this Agreement shall not be construed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an admission of any liability or obligation by the Company to you or to any other person, and that the Company makes no such admission.</w:t>
      </w:r>
    </w:p>
    <w:p>
      <w:pPr>
        <w:spacing w:after="0" w:line="138" w:lineRule="exact"/>
        <w:rPr>
          <w:rFonts w:ascii="Arial" w:cs="Arial" w:eastAsia="Arial" w:hAnsi="Arial"/>
          <w:sz w:val="17"/>
          <w:szCs w:val="17"/>
          <w:b w:val="1"/>
          <w:bCs w:val="1"/>
          <w:color w:val="auto"/>
        </w:rPr>
      </w:pPr>
    </w:p>
    <w:p>
      <w:pPr>
        <w:ind w:firstLine="656"/>
        <w:spacing w:after="0" w:line="286" w:lineRule="auto"/>
        <w:tabs>
          <w:tab w:leader="none" w:pos="105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RELEASE OF CLAIMS. </w:t>
      </w:r>
      <w:r>
        <w:rPr>
          <w:rFonts w:ascii="Arial" w:cs="Arial" w:eastAsia="Arial" w:hAnsi="Arial"/>
          <w:sz w:val="16"/>
          <w:szCs w:val="16"/>
          <w:color w:val="auto"/>
        </w:rPr>
        <w:t>In exchange for the consideration under this Agreement to which you would not otherwise be entitled, you hereby</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at any time prior to and including the date you sign this Agreement. This general release includes, but is not limited to: (a) all claims arising out of or in any way related to your employment with the Company or the termination of that employment; (b) all claims related to your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(“ADEA”) and the California Fair Employment and Housing Act (as amended). Notwithstanding the foregoing, you are not releasing the Company hereby 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w:t>
      </w:r>
    </w:p>
    <w:p>
      <w:pPr>
        <w:spacing w:after="0" w:line="171" w:lineRule="exact"/>
        <w:rPr>
          <w:rFonts w:ascii="Arial" w:cs="Arial" w:eastAsia="Arial" w:hAnsi="Arial"/>
          <w:sz w:val="16"/>
          <w:szCs w:val="16"/>
          <w:b w:val="1"/>
          <w:bCs w:val="1"/>
          <w:color w:val="auto"/>
        </w:rPr>
      </w:pPr>
    </w:p>
    <w:p>
      <w:pPr>
        <w:ind w:right="20" w:firstLine="656"/>
        <w:spacing w:after="0" w:line="255" w:lineRule="auto"/>
        <w:tabs>
          <w:tab w:leader="none" w:pos="104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ADEA RELEASE. </w:t>
      </w:r>
      <w:r>
        <w:rPr>
          <w:rFonts w:ascii="Arial" w:cs="Arial" w:eastAsia="Arial" w:hAnsi="Arial"/>
          <w:sz w:val="18"/>
          <w:szCs w:val="18"/>
          <w:color w:val="auto"/>
        </w:rPr>
        <w:t>You acknowledge that you are knowingly and voluntarily waiving and releasing any rights you have under the ADEA,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21days to consider this Agreement (although you may choose voluntarily to sign it sooner); (d) you have seven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“Effective Date”).</w:t>
      </w:r>
    </w:p>
    <w:p>
      <w:pPr>
        <w:spacing w:after="0" w:line="185" w:lineRule="exact"/>
        <w:rPr>
          <w:rFonts w:ascii="Arial" w:cs="Arial" w:eastAsia="Arial" w:hAnsi="Arial"/>
          <w:sz w:val="18"/>
          <w:szCs w:val="18"/>
          <w:b w:val="1"/>
          <w:bCs w:val="1"/>
          <w:color w:val="auto"/>
        </w:rPr>
      </w:pPr>
    </w:p>
    <w:p>
      <w:pPr>
        <w:ind w:right="240" w:firstLine="656"/>
        <w:spacing w:after="0" w:line="282" w:lineRule="auto"/>
        <w:tabs>
          <w:tab w:leader="none" w:pos="105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1542 WAIVER. </w:t>
      </w:r>
      <w:r>
        <w:rPr>
          <w:rFonts w:ascii="Arial" w:cs="Arial" w:eastAsia="Arial" w:hAnsi="Arial"/>
          <w:sz w:val="18"/>
          <w:szCs w:val="18"/>
          <w:color w:val="auto"/>
        </w:rPr>
        <w:t>In giving the release herein, which includes claims which may be unknown to you at present, you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have read and understand Section 1542 of the California Civil Code, which reads as follows:</w:t>
      </w:r>
    </w:p>
    <w:p>
      <w:pPr>
        <w:spacing w:after="0" w:line="162" w:lineRule="exact"/>
        <w:rPr>
          <w:sz w:val="20"/>
          <w:szCs w:val="20"/>
          <w:color w:val="auto"/>
        </w:rPr>
      </w:pPr>
    </w:p>
    <w:p>
      <w:pPr>
        <w:ind w:left="660" w:right="100"/>
        <w:spacing w:after="0" w:line="313" w:lineRule="auto"/>
        <w:rPr>
          <w:sz w:val="20"/>
          <w:szCs w:val="20"/>
          <w:color w:val="auto"/>
        </w:rPr>
      </w:pPr>
      <w:r>
        <w:rPr>
          <w:rFonts w:ascii="Arial" w:cs="Arial" w:eastAsia="Arial" w:hAnsi="Arial"/>
          <w:sz w:val="17"/>
          <w:szCs w:val="17"/>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66" w:lineRule="exact"/>
        <w:rPr>
          <w:sz w:val="20"/>
          <w:szCs w:val="20"/>
          <w:color w:val="auto"/>
        </w:rPr>
      </w:pPr>
    </w:p>
    <w:p>
      <w:pPr>
        <w:ind w:right="220" w:firstLine="656"/>
        <w:spacing w:after="0" w:line="314" w:lineRule="auto"/>
        <w:tabs>
          <w:tab w:leader="none" w:pos="105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PROTECTED RIGHTS. </w:t>
      </w:r>
      <w:r>
        <w:rPr>
          <w:rFonts w:ascii="Arial" w:cs="Arial" w:eastAsia="Arial" w:hAnsi="Arial"/>
          <w:sz w:val="16"/>
          <w:szCs w:val="16"/>
          <w:color w:val="auto"/>
        </w:rPr>
        <w:t>You understand that nothing in this Agreement limits your ability to file a charge or complaint with the Equal</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Opportunity Commission, the Department of Labor, the National Labor Relations Board, the Occupational Safety and Health Administration, the California Department of Fair Employment and Housing, the Securities and Exchange Commission or any other federal, state or local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368" w:right="259" w:bottom="1440" w:gutter="0" w:footer="0" w:header="0"/>
        </w:sectPr>
      </w:pPr>
    </w:p>
    <w:bookmarkStart w:id="60" w:name="page61"/>
    <w:bookmarkEnd w:id="60"/>
    <w:p>
      <w:pPr>
        <w:ind w:right="60"/>
        <w:spacing w:after="0" w:line="297" w:lineRule="auto"/>
        <w:rPr>
          <w:sz w:val="20"/>
          <w:szCs w:val="20"/>
          <w:color w:val="auto"/>
        </w:rPr>
      </w:pPr>
      <w:r>
        <w:rPr>
          <w:rFonts w:ascii="Arial" w:cs="Arial" w:eastAsia="Arial" w:hAnsi="Arial"/>
          <w:sz w:val="16"/>
          <w:szCs w:val="16"/>
          <w:color w:val="auto"/>
        </w:rPr>
        <w:t>governmental agency or commission (“Government Agencies”).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54" w:lineRule="exact"/>
        <w:rPr>
          <w:sz w:val="20"/>
          <w:szCs w:val="20"/>
          <w:color w:val="auto"/>
        </w:rPr>
      </w:pPr>
    </w:p>
    <w:p>
      <w:pPr>
        <w:ind w:right="140" w:firstLine="656"/>
        <w:spacing w:after="0" w:line="289" w:lineRule="auto"/>
        <w:tabs>
          <w:tab w:leader="none" w:pos="1053"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w:t>
      </w:r>
      <w:r>
        <w:rPr>
          <w:rFonts w:ascii="Arial" w:cs="Arial" w:eastAsia="Arial" w:hAnsi="Arial"/>
          <w:sz w:val="17"/>
          <w:szCs w:val="17"/>
          <w:color w:val="auto"/>
        </w:rPr>
        <w:t>You hereby represent that you have been paid all compensation owed and for all hours worked, have received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158" w:lineRule="exact"/>
        <w:rPr>
          <w:rFonts w:ascii="Arial" w:cs="Arial" w:eastAsia="Arial" w:hAnsi="Arial"/>
          <w:sz w:val="17"/>
          <w:szCs w:val="17"/>
          <w:b w:val="1"/>
          <w:bCs w:val="1"/>
          <w:color w:val="auto"/>
        </w:rPr>
      </w:pPr>
    </w:p>
    <w:p>
      <w:pPr>
        <w:ind w:firstLine="656"/>
        <w:spacing w:after="0" w:line="289" w:lineRule="auto"/>
        <w:tabs>
          <w:tab w:leader="none" w:pos="105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This Agreement constitutes the complete, final and exclusive embodiment of the entire agreement between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California as applied to contracts made and to be performed entirely within California.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this Agreement is acceptable to you, please sign below and return the original to me within 21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wish you the best in your future endeavors.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Humberto Garcia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Bert Garcia,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authorized and directed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READ, UNDERSTAND AND AGREE FULLY TO THE ABOVE AGREEMENT:</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 Paul B. Nahi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August 8, 2017</w:t>
      </w:r>
    </w:p>
    <w:p>
      <w:pPr>
        <w:spacing w:after="0" w:line="21" w:lineRule="exact"/>
        <w:rPr>
          <w:sz w:val="20"/>
          <w:szCs w:val="20"/>
          <w:color w:val="auto"/>
        </w:rPr>
      </w:pPr>
    </w:p>
    <w:p>
      <w:pPr>
        <w:sectPr>
          <w:pgSz w:w="11900" w:h="16838" w:orient="portrait"/>
          <w:cols w:equalWidth="0" w:num="2">
            <w:col w:w="1920" w:space="720"/>
            <w:col w:w="8780"/>
          </w:cols>
          <w:pgMar w:left="240" w:top="368"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Paul Nahi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Date</w:t>
      </w:r>
    </w:p>
    <w:p>
      <w:pPr>
        <w:spacing w:after="0" w:line="211" w:lineRule="exact"/>
        <w:rPr>
          <w:sz w:val="20"/>
          <w:szCs w:val="20"/>
          <w:color w:val="auto"/>
        </w:rPr>
      </w:pPr>
    </w:p>
    <w:p>
      <w:pPr>
        <w:sectPr>
          <w:pgSz w:w="11900" w:h="16838" w:orient="portrait"/>
          <w:cols w:equalWidth="0" w:num="2">
            <w:col w:w="780" w:space="720"/>
            <w:col w:w="9920"/>
          </w:cols>
          <w:pgMar w:left="240" w:top="368" w:right="2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8"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INVENTION ASSIGNMENT AND CONFIDENTIALITY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of, and as a condition of my separation agreement with Enphase Energy, Inc., a Delaware corporation (the “Company”), I hereby represent to, and agree with the Company on August 8, 2017 as follows: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Purpose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the Company is engaged in a continuous program of research, development, production and marketing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business and that it is critical for the Company to preserve and protect its Proprietary Information (as defined in Section 7 below), its rights in Inventions (as defined in Section 2 below) and in all related intellectual property rights. Accordingly, I am entering into this Employee Invention Assignment and Confidentiality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a condition of my separation from the Company, whether or not I am expected to create inventions of value for the Company.</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have disclosed in confidence to the Company all inventions, improvements, designs, original works of authorship, formulas,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compositions of matter, computer software programs, databases, mask works, designs and trade secrets that I made or conceived or first reduced to practice or create, either alone or jointly with others, during the period of my employment, whether or not in the course of my employment, and whether or not patentable, copyrightable or protectable as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u w:val="single" w:color="auto"/>
          <w:color w:val="auto"/>
        </w:rPr>
        <w:t>Inventions Retained and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I have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a list describing with particularity all inventions, original works of authorship,</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developments, improvements, and trade secrets which were made by me prior to the commencement of my employment with the Company (collectively referred to as “</w:t>
      </w:r>
      <w:r>
        <w:rPr>
          <w:rFonts w:ascii="Arial" w:cs="Arial" w:eastAsia="Arial" w:hAnsi="Arial"/>
          <w:sz w:val="17"/>
          <w:szCs w:val="17"/>
          <w:b w:val="1"/>
          <w:bCs w:val="1"/>
          <w:i w:val="1"/>
          <w:iCs w:val="1"/>
          <w:color w:val="auto"/>
        </w:rPr>
        <w:t>Prior Inventions</w:t>
      </w:r>
      <w:r>
        <w:rPr>
          <w:rFonts w:ascii="Arial" w:cs="Arial" w:eastAsia="Arial" w:hAnsi="Arial"/>
          <w:sz w:val="17"/>
          <w:szCs w:val="17"/>
          <w:color w:val="auto"/>
        </w:rPr>
        <w:t>”), which belong solely to me or belong to me jointly with another, which relate in any way to any of the Company’s proposed businesses, products or research and development, and which are not assigned to the Company hereunder; or, if no such list is attached, I represent that there are no such Prior Inventions. If, in the course of my employment with the Company, I incorporated into a Company product, process or machine a Prior Invention owned by me or in which I have an interest, the Company is hereby granted and shall have a non-exclusive, royalty-free, irrevocable, perpetual, worldwide license (with the right to sublicense) to make, have made, copy, modify, make derivative works of, use, sell and otherwise distribute such Prior Invention as part of or in connection with such product, process or machine.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Work for Hire; Assignment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and agree that any copyrightable works prepared by me within the scope of my employment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“works for hire” under the Copyright Act and that the Company will be considered the author and owner of such copyrightable works. I agree that all Inventions that (i) are developed using equipment, supplies, facilities or trade secrets of the Company, (ii) result from work performed by me for the Company, or (iii) relate to the Company’s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r>
        <w:rPr>
          <w:rFonts w:ascii="Arial" w:cs="Arial" w:eastAsia="Arial" w:hAnsi="Arial"/>
          <w:sz w:val="18"/>
          <w:szCs w:val="18"/>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Labor Code Section 2870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 have been notified and understand that the provisions of Sections 3 and 5 of this Agreement do not apply to 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Assigned Invention that qualifies fully under the provisions of Section 2870 of the California Labor Code, which states as follows:</w:t>
      </w:r>
    </w:p>
    <w:p>
      <w:pPr>
        <w:spacing w:after="0" w:line="21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i w:val="1"/>
          <w:i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LABOR CODE SECTION 2870(a), THE PROVISION IS AGAINST THE PUBLIC POLICY OF THIS STATE AND IS UNENFORCEABLE.</w:t>
      </w: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u w:val="single" w:color="auto"/>
          <w:color w:val="auto"/>
        </w:rPr>
        <w:t>Assignment of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foregoing assignment of Assigned Inventions to the Company, I hereby irrevocably transfer and assign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 any rights to claim authorship of or credit on an Assigned Inventions,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assist the Company in every proper way to obtain for the Company and enforce patents, copyrights, mask work rights, trade secret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u w:val="single" w:color="auto"/>
          <w:color w:val="auto"/>
        </w:rPr>
        <w:t>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by the Company created a relationship of confidence and trust with respect to any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 confidential or secret nature that may be disclosed to me by the Company or a third party that related to the business of the Company or to the business of any parent, subsidiary, affiliate, customer or supplier of the Company or any other party with whom the Company agrees to hold information of such party in confidence (the “</w:t>
      </w:r>
      <w:r>
        <w:rPr>
          <w:rFonts w:ascii="Arial" w:cs="Arial" w:eastAsia="Arial" w:hAnsi="Arial"/>
          <w:sz w:val="17"/>
          <w:szCs w:val="17"/>
          <w:b w:val="1"/>
          <w:bCs w:val="1"/>
          <w:i w:val="1"/>
          <w:iCs w:val="1"/>
          <w:color w:val="auto"/>
        </w:rPr>
        <w:t>Proprietary Information</w:t>
      </w:r>
      <w:r>
        <w:rPr>
          <w:rFonts w:ascii="Arial" w:cs="Arial" w:eastAsia="Arial" w:hAnsi="Arial"/>
          <w:sz w:val="17"/>
          <w:szCs w:val="17"/>
          <w:color w:val="auto"/>
        </w:rPr>
        <w:t>”). Such Proprietary Information includes Assigned Inventions, marketing plans, product plans, business strategies, financial information, forecasts, personnel information, customer lists and data, and domain names.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both during my employment and after its termination, I will keep and hold all such Proprietary Information in strict confidence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trust. I will not use or disclose any Proprietary Information without the prior written consent of the Company,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upon Company request, will execute a document confirming my agreement to honor my responsibilities contained in this Agreement. I will not take with me or retain any documents or materials or copies thereof containing any Proprietary Information.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to notify third parties, including, without limitation, customers and actual or potential employers,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my responsibilities hereunder.</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Non-Solicitation of Employees/Consultants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my employment with the Company and for a period of one (1) year thereafter, I will not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solicit away employees or consultants of the Company for my own benefit or for the benefit of any other person or entity.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Non-Solicitation of Suppliers/Customers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my employment with the Company and after termination of my employment, I will not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solicit or take away suppliers or customers of the Company if the identity of the supplier or customer or information about the supplier or customer relationship is a trade secret or is otherwise deemed confidential information within the meaning of California law.</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 harm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be entitled to injunctive relief to enforce this Agreement.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California,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its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together shall constitute one and the same agreement.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of this Agreement, and supersede all prior understandings and agreements, whether oral or written, between or among the parties hereto with respect to the specific subject matter hereof.</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Amendment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amended only by a written agreement executed by each of the parties hereto. No amendment of or</w:t>
      </w:r>
      <w:r>
        <w:rPr>
          <w:rFonts w:ascii="Arial" w:cs="Arial" w:eastAsia="Arial" w:hAnsi="Arial"/>
          <w:sz w:val="17"/>
          <w:szCs w:val="17"/>
          <w:b w:val="1"/>
          <w:bCs w:val="1"/>
          <w:color w:val="auto"/>
        </w:rPr>
        <w:t xml:space="preserve"> </w:t>
      </w:r>
      <w:r>
        <w:rPr>
          <w:rFonts w:ascii="Arial" w:cs="Arial" w:eastAsia="Arial" w:hAnsi="Arial"/>
          <w:sz w:val="17"/>
          <w:szCs w:val="17"/>
          <w:color w:val="auto"/>
        </w:rPr>
        <w:t>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Successors and Assigns;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carry out the purposes and intent of this Agreement.</w:t>
      </w:r>
    </w:p>
    <w:p>
      <w:pPr>
        <w:spacing w:after="0" w:line="324"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Enphase Energy, Inc.:</w:t>
            </w:r>
          </w:p>
        </w:tc>
        <w:tc>
          <w:tcPr>
            <w:tcW w:w="200" w:type="dxa"/>
            <w:vAlign w:val="bottom"/>
          </w:tcPr>
          <w:p>
            <w:pPr>
              <w:spacing w:after="0"/>
              <w:rPr>
                <w:sz w:val="20"/>
                <w:szCs w:val="20"/>
                <w:color w:val="auto"/>
              </w:rPr>
            </w:pPr>
          </w:p>
        </w:tc>
        <w:tc>
          <w:tcPr>
            <w:tcW w:w="5660" w:type="dxa"/>
            <w:vAlign w:val="bottom"/>
            <w:gridSpan w:val="2"/>
          </w:tcPr>
          <w:p>
            <w:pPr>
              <w:ind w:left="1240"/>
              <w:spacing w:after="0"/>
              <w:rPr>
                <w:sz w:val="20"/>
                <w:szCs w:val="20"/>
                <w:color w:val="auto"/>
              </w:rPr>
            </w:pPr>
            <w:r>
              <w:rPr>
                <w:rFonts w:ascii="Arial" w:cs="Arial" w:eastAsia="Arial" w:hAnsi="Arial"/>
                <w:sz w:val="18"/>
                <w:szCs w:val="18"/>
                <w:b w:val="1"/>
                <w:bCs w:val="1"/>
                <w:color w:val="auto"/>
              </w:rPr>
              <w:t>Employee:</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rPr>
              <w:t>/s/ Humberto Garcia</w:t>
            </w:r>
          </w:p>
        </w:tc>
        <w:tc>
          <w:tcPr>
            <w:tcW w:w="200" w:type="dxa"/>
            <w:vAlign w:val="bottom"/>
          </w:tcPr>
          <w:p>
            <w:pPr>
              <w:spacing w:after="0"/>
              <w:rPr>
                <w:sz w:val="23"/>
                <w:szCs w:val="23"/>
                <w:color w:val="auto"/>
              </w:rPr>
            </w:pPr>
          </w:p>
        </w:tc>
        <w:tc>
          <w:tcPr>
            <w:tcW w:w="5660" w:type="dxa"/>
            <w:vAlign w:val="bottom"/>
            <w:gridSpan w:val="2"/>
          </w:tcPr>
          <w:p>
            <w:pPr>
              <w:ind w:left="1240"/>
              <w:spacing w:after="0"/>
              <w:rPr>
                <w:sz w:val="20"/>
                <w:szCs w:val="20"/>
                <w:color w:val="auto"/>
              </w:rPr>
            </w:pPr>
            <w:r>
              <w:rPr>
                <w:rFonts w:ascii="Arial" w:cs="Arial" w:eastAsia="Arial" w:hAnsi="Arial"/>
                <w:sz w:val="18"/>
                <w:szCs w:val="18"/>
                <w:color w:val="auto"/>
              </w:rPr>
              <w:t>/s/ Paul B. Nahi</w:t>
            </w:r>
          </w:p>
        </w:tc>
      </w:tr>
      <w:tr>
        <w:trPr>
          <w:trHeight w:val="270"/>
        </w:trPr>
        <w:tc>
          <w:tcPr>
            <w:tcW w:w="8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60" w:type="dxa"/>
            <w:vAlign w:val="bottom"/>
            <w:gridSpan w:val="2"/>
          </w:tcPr>
          <w:p>
            <w:pPr>
              <w:ind w:left="1240"/>
              <w:spacing w:after="0"/>
              <w:rPr>
                <w:sz w:val="20"/>
                <w:szCs w:val="20"/>
                <w:color w:val="auto"/>
              </w:rPr>
            </w:pPr>
            <w:r>
              <w:rPr>
                <w:rFonts w:ascii="Arial" w:cs="Arial" w:eastAsia="Arial" w:hAnsi="Arial"/>
                <w:sz w:val="18"/>
                <w:szCs w:val="18"/>
                <w:color w:val="auto"/>
              </w:rPr>
              <w:t>Signature</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rPr>
              <w:t>Humberto Garcia</w:t>
            </w:r>
          </w:p>
        </w:tc>
        <w:tc>
          <w:tcPr>
            <w:tcW w:w="200" w:type="dxa"/>
            <w:vAlign w:val="bottom"/>
          </w:tcPr>
          <w:p>
            <w:pPr>
              <w:spacing w:after="0"/>
              <w:rPr>
                <w:sz w:val="23"/>
                <w:szCs w:val="23"/>
                <w:color w:val="auto"/>
              </w:rPr>
            </w:pPr>
          </w:p>
        </w:tc>
        <w:tc>
          <w:tcPr>
            <w:tcW w:w="5660" w:type="dxa"/>
            <w:vAlign w:val="bottom"/>
            <w:gridSpan w:val="2"/>
          </w:tcPr>
          <w:p>
            <w:pPr>
              <w:ind w:left="1240"/>
              <w:spacing w:after="0"/>
              <w:rPr>
                <w:sz w:val="20"/>
                <w:szCs w:val="20"/>
                <w:color w:val="auto"/>
              </w:rPr>
            </w:pPr>
            <w:r>
              <w:rPr>
                <w:rFonts w:ascii="Arial" w:cs="Arial" w:eastAsia="Arial" w:hAnsi="Arial"/>
                <w:sz w:val="18"/>
                <w:szCs w:val="18"/>
                <w:color w:val="auto"/>
              </w:rPr>
              <w:t>Paul B. Nahi</w:t>
            </w:r>
          </w:p>
        </w:tc>
      </w:tr>
      <w:tr>
        <w:trPr>
          <w:trHeight w:val="864"/>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1"/>
        </w:trPr>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60" w:type="dxa"/>
            <w:vAlign w:val="bottom"/>
            <w:gridSpan w:val="3"/>
          </w:tcPr>
          <w:p>
            <w:pPr>
              <w:jc w:val="center"/>
              <w:ind w:right="2930"/>
              <w:spacing w:after="0"/>
              <w:rPr>
                <w:sz w:val="20"/>
                <w:szCs w:val="20"/>
                <w:color w:val="auto"/>
              </w:rPr>
            </w:pPr>
            <w:r>
              <w:rPr>
                <w:rFonts w:ascii="Arial" w:cs="Arial" w:eastAsia="Arial" w:hAnsi="Arial"/>
                <w:sz w:val="18"/>
                <w:szCs w:val="18"/>
                <w:b w:val="1"/>
                <w:bCs w:val="1"/>
                <w:color w:val="auto"/>
              </w:rPr>
              <w:t>LIST OF PRIOR INVENTIONS</w:t>
            </w:r>
          </w:p>
        </w:tc>
      </w:tr>
      <w:tr>
        <w:trPr>
          <w:trHeight w:val="234"/>
        </w:trPr>
        <w:tc>
          <w:tcPr>
            <w:tcW w:w="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720" w:type="dxa"/>
            <w:vAlign w:val="bottom"/>
            <w:gridSpan w:val="4"/>
          </w:tcPr>
          <w:p>
            <w:pPr>
              <w:jc w:val="center"/>
              <w:ind w:right="2090"/>
              <w:spacing w:after="0"/>
              <w:rPr>
                <w:sz w:val="20"/>
                <w:szCs w:val="20"/>
                <w:color w:val="auto"/>
              </w:rPr>
            </w:pPr>
            <w:r>
              <w:rPr>
                <w:rFonts w:ascii="Arial" w:cs="Arial" w:eastAsia="Arial" w:hAnsi="Arial"/>
                <w:sz w:val="18"/>
                <w:szCs w:val="18"/>
                <w:b w:val="1"/>
                <w:bCs w:val="1"/>
                <w:color w:val="auto"/>
              </w:rPr>
              <w:t>AND ORIGINAL WORKS OF AUTHORSHIP</w:t>
            </w:r>
          </w:p>
        </w:tc>
      </w:tr>
      <w:tr>
        <w:trPr>
          <w:trHeight w:val="580"/>
        </w:trPr>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w w:val="93"/>
              </w:rPr>
              <w:t>Identifying Number</w:t>
            </w:r>
          </w:p>
        </w:tc>
      </w:tr>
      <w:tr>
        <w:trPr>
          <w:trHeight w:val="190"/>
        </w:trPr>
        <w:tc>
          <w:tcPr>
            <w:tcW w:w="8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60" w:type="dxa"/>
            <w:vAlign w:val="bottom"/>
            <w:tcBorders>
              <w:bottom w:val="single" w:sz="8" w:color="auto"/>
            </w:tcBorders>
          </w:tcPr>
          <w:p>
            <w:pPr>
              <w:ind w:left="360"/>
              <w:spacing w:after="0" w:line="190" w:lineRule="exact"/>
              <w:rPr>
                <w:sz w:val="20"/>
                <w:szCs w:val="20"/>
                <w:color w:val="auto"/>
              </w:rPr>
            </w:pPr>
            <w:r>
              <w:rPr>
                <w:rFonts w:ascii="Arial" w:cs="Arial" w:eastAsia="Arial" w:hAnsi="Arial"/>
                <w:sz w:val="18"/>
                <w:szCs w:val="18"/>
                <w:color w:val="auto"/>
              </w:rPr>
              <w:t>Title</w:t>
            </w:r>
          </w:p>
        </w:tc>
        <w:tc>
          <w:tcPr>
            <w:tcW w:w="200" w:type="dxa"/>
            <w:vAlign w:val="bottom"/>
            <w:tcBorders>
              <w:bottom w:val="single" w:sz="8" w:color="auto"/>
            </w:tcBorders>
          </w:tcPr>
          <w:p>
            <w:pPr>
              <w:spacing w:after="0"/>
              <w:rPr>
                <w:sz w:val="16"/>
                <w:szCs w:val="16"/>
                <w:color w:val="auto"/>
              </w:rPr>
            </w:pPr>
          </w:p>
        </w:tc>
        <w:tc>
          <w:tcPr>
            <w:tcW w:w="4200" w:type="dxa"/>
            <w:vAlign w:val="bottom"/>
          </w:tcPr>
          <w:p>
            <w:pPr>
              <w:spacing w:after="0"/>
              <w:rPr>
                <w:sz w:val="16"/>
                <w:szCs w:val="16"/>
                <w:color w:val="auto"/>
              </w:rPr>
            </w:pPr>
          </w:p>
        </w:tc>
        <w:tc>
          <w:tcPr>
            <w:tcW w:w="14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4"/>
              </w:rPr>
              <w:t>or Brief 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___ No inventions or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 Additional Sheets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 /s/ Paul B. Nahi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Badrinarayanan Kothandaraman</w:t>
      </w:r>
    </w:p>
    <w:p>
      <w:pPr>
        <w:spacing w:after="0" w:line="7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1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Humberto Garcia, certify that:</w:t>
      </w:r>
    </w:p>
    <w:p>
      <w:pPr>
        <w:spacing w:after="0" w:line="19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23495</wp:posOffset>
            </wp:positionV>
            <wp:extent cx="3833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Humberto Garcia</w:t>
      </w:r>
    </w:p>
    <w:p>
      <w:pPr>
        <w:spacing w:after="0" w:line="7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Vice President and Chief Financial Officer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Humberto Garcia, Vice President and Chief Financial Officer of the Company, each hereby certifies that, to the best of his or her knowledge:</w:t>
      </w:r>
    </w:p>
    <w:p>
      <w:pPr>
        <w:spacing w:after="0" w:line="177" w:lineRule="exact"/>
        <w:rPr>
          <w:sz w:val="20"/>
          <w:szCs w:val="20"/>
          <w:color w:val="auto"/>
        </w:rPr>
      </w:pPr>
    </w:p>
    <w:p>
      <w:pPr>
        <w:ind w:right="220" w:firstLine="8"/>
        <w:spacing w:after="0" w:line="262" w:lineRule="auto"/>
        <w:tabs>
          <w:tab w:leader="none" w:pos="2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2017,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right="240" w:firstLine="8"/>
        <w:spacing w:after="0" w:line="262" w:lineRule="auto"/>
        <w:tabs>
          <w:tab w:leader="none" w:pos="2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/s/ Badrinarayanan Kothandaraman</w:t>
            </w:r>
          </w:p>
        </w:tc>
        <w:tc>
          <w:tcPr>
            <w:tcW w:w="6160" w:type="dxa"/>
            <w:vAlign w:val="bottom"/>
          </w:tcPr>
          <w:p>
            <w:pPr>
              <w:ind w:left="20"/>
              <w:spacing w:after="0"/>
              <w:rPr>
                <w:sz w:val="20"/>
                <w:szCs w:val="20"/>
                <w:color w:val="auto"/>
              </w:rPr>
            </w:pPr>
            <w:r>
              <w:rPr>
                <w:rFonts w:ascii="Arial" w:cs="Arial" w:eastAsia="Arial" w:hAnsi="Arial"/>
                <w:sz w:val="18"/>
                <w:szCs w:val="18"/>
                <w:color w:val="auto"/>
              </w:rPr>
              <w:t>/s/ Humberto Garcia</w:t>
            </w: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Badrinarayanan Kothandaraman</w:t>
            </w:r>
          </w:p>
        </w:tc>
        <w:tc>
          <w:tcPr>
            <w:tcW w:w="6160" w:type="dxa"/>
            <w:vAlign w:val="bottom"/>
          </w:tcPr>
          <w:p>
            <w:pPr>
              <w:ind w:left="20"/>
              <w:spacing w:after="0"/>
              <w:rPr>
                <w:sz w:val="20"/>
                <w:szCs w:val="20"/>
                <w:color w:val="auto"/>
              </w:rPr>
            </w:pPr>
            <w:r>
              <w:rPr>
                <w:rFonts w:ascii="Arial" w:cs="Arial" w:eastAsia="Arial" w:hAnsi="Arial"/>
                <w:sz w:val="18"/>
                <w:szCs w:val="18"/>
                <w:color w:val="auto"/>
              </w:rPr>
              <w:t>Humberto Garcia</w:t>
            </w:r>
          </w:p>
        </w:tc>
      </w:tr>
      <w:tr>
        <w:trPr>
          <w:trHeight w:val="28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61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365"/>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61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emdash "/>
      <w:numFmt w:val="bullet"/>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5"/>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2"/>
    </w:lvl>
  </w:abstractNum>
  <w:abstractNum w:abstractNumId="24">
    <w:nsid w:val="3A95F874"/>
    <w:multiLevelType w:val="hybridMultilevel"/>
    <w:lvl w:ilvl="0">
      <w:lvlJc w:val="left"/>
      <w:lvlText w:val="%1"/>
      <w:numFmt w:val="decimal"/>
      <w:start w:val="1"/>
    </w:lvl>
    <w:lvl w:ilvl="1">
      <w:lvlJc w:val="left"/>
      <w:lvlText w:val="%2."/>
      <w:numFmt w:val="lowerLetter"/>
      <w:start w:val="4"/>
    </w:lvl>
  </w:abstractNum>
  <w:abstractNum w:abstractNumId="25">
    <w:nsid w:val="8138641"/>
    <w:multiLevelType w:val="hybridMultilevel"/>
    <w:lvl w:ilvl="0">
      <w:lvlJc w:val="left"/>
      <w:lvlText w:val="%1."/>
      <w:numFmt w:val="decimal"/>
      <w:start w:val="3"/>
    </w:lvl>
    <w:lvl w:ilvl="1">
      <w:lvlJc w:val="left"/>
      <w:lvlText w:val="%2."/>
      <w:numFmt w:val="lowerLetter"/>
      <w:start w:val="1"/>
    </w:lvl>
  </w:abstractNum>
  <w:abstractNum w:abstractNumId="26">
    <w:nsid w:val="1E7FF52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7">
    <w:nsid w:val="7C3DBD3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737B8DDC"/>
    <w:multiLevelType w:val="hybridMultilevel"/>
    <w:lvl w:ilvl="0">
      <w:lvlJc w:val="left"/>
      <w:lvlText w:val="%1."/>
      <w:numFmt w:val="decimal"/>
      <w:start w:val="9"/>
    </w:lvl>
  </w:abstractNum>
  <w:abstractNum w:abstractNumId="29">
    <w:nsid w:val="6CEAF087"/>
    <w:multiLevelType w:val="hybridMultilevel"/>
    <w:lvl w:ilvl="0">
      <w:lvlJc w:val="left"/>
      <w:lvlText w:val="%1."/>
      <w:numFmt w:val="decimal"/>
      <w:start w:val="13"/>
    </w:lvl>
  </w:abstractNum>
  <w:abstractNum w:abstractNumId="30">
    <w:nsid w:val="22221A70"/>
    <w:multiLevelType w:val="hybridMultilevel"/>
    <w:lvl w:ilvl="0">
      <w:lvlJc w:val="left"/>
      <w:lvlText w:val="%1."/>
      <w:numFmt w:val="decimal"/>
      <w:start w:val="1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2019-12-29T03:16:00Z</dcterms:created>
  <dcterms:modified xsi:type="dcterms:W3CDTF">2019-12-29T03:16:00Z</dcterms:modified>
</cp:coreProperties>
</file>