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81915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186690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5"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00" w:lineRule="exact"/>
        <w:rPr>
          <w:sz w:val="24"/>
          <w:szCs w:val="24"/>
          <w:color w:val="auto"/>
        </w:rPr>
      </w:pPr>
    </w:p>
    <w:p>
      <w:pPr>
        <w:spacing w:after="0" w:line="273" w:lineRule="exact"/>
        <w:rPr>
          <w:sz w:val="24"/>
          <w:szCs w:val="24"/>
          <w:color w:val="auto"/>
        </w:rPr>
      </w:pPr>
    </w:p>
    <w:p>
      <w:pPr>
        <w:ind w:left="460" w:right="460" w:hanging="452"/>
        <w:spacing w:after="0" w:line="269" w:lineRule="auto"/>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248920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Enphase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167640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940" w:type="dxa"/>
            <w:vAlign w:val="bottom"/>
            <w:gridSpan w:val="2"/>
          </w:tcPr>
          <w:p>
            <w:pPr>
              <w:jc w:val="center"/>
              <w:ind w:right="3819"/>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20-4645388</w:t>
            </w:r>
          </w:p>
        </w:tc>
      </w:tr>
      <w:tr>
        <w:trPr>
          <w:trHeight w:val="19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7"/>
              </w:rPr>
              <w:t>(State or other jurisdiction of</w:t>
            </w: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8"/>
              </w:rPr>
              <w:t>incorporation or organization)</w:t>
            </w:r>
          </w:p>
        </w:tc>
        <w:tc>
          <w:tcPr>
            <w:tcW w:w="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3"/>
              </w:rPr>
              <w:t>1420 N. McDowell Blvd</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2"/>
              </w:rPr>
              <w:t>Petaluma, CA 94954</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4"/>
        </w:trPr>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379"/>
        </w:trPr>
        <w:tc>
          <w:tcPr>
            <w:tcW w:w="6060" w:type="dxa"/>
            <w:vAlign w:val="bottom"/>
            <w:gridSpan w:val="3"/>
          </w:tcPr>
          <w:p>
            <w:pPr>
              <w:jc w:val="center"/>
              <w:ind w:left="2861"/>
              <w:spacing w:after="0"/>
              <w:rPr>
                <w:sz w:val="20"/>
                <w:szCs w:val="20"/>
                <w:color w:val="auto"/>
              </w:rPr>
            </w:pPr>
            <w:r>
              <w:rPr>
                <w:rFonts w:ascii="Arial" w:cs="Arial" w:eastAsia="Arial" w:hAnsi="Arial"/>
                <w:sz w:val="18"/>
                <w:szCs w:val="18"/>
                <w:b w:val="1"/>
                <w:bCs w:val="1"/>
                <w:color w:val="auto"/>
                <w:w w:val="90"/>
              </w:rPr>
              <w:t>(707) 774-7000</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71"/>
        </w:trPr>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20" w:type="dxa"/>
            <w:vAlign w:val="bottom"/>
            <w:gridSpan w:val="3"/>
          </w:tcPr>
          <w:p>
            <w:pPr>
              <w:jc w:val="center"/>
              <w:ind w:right="1705"/>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64"/>
        </w:trPr>
        <w:tc>
          <w:tcPr>
            <w:tcW w:w="6060" w:type="dxa"/>
            <w:vAlign w:val="bottom"/>
            <w:gridSpan w:val="3"/>
          </w:tcPr>
          <w:p>
            <w:pPr>
              <w:jc w:val="center"/>
              <w:ind w:right="2679"/>
              <w:spacing w:after="0"/>
              <w:rPr>
                <w:sz w:val="20"/>
                <w:szCs w:val="20"/>
                <w:color w:val="auto"/>
              </w:rPr>
            </w:pPr>
            <w:r>
              <w:rPr>
                <w:rFonts w:ascii="Arial" w:cs="Arial" w:eastAsia="Arial" w:hAnsi="Arial"/>
                <w:sz w:val="18"/>
                <w:szCs w:val="18"/>
                <w:color w:val="auto"/>
                <w:w w:val="89"/>
              </w:rPr>
              <w:t>Common Stock, par value $0.00001 per share</w:t>
            </w:r>
          </w:p>
        </w:tc>
        <w:tc>
          <w:tcPr>
            <w:tcW w:w="4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180340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1" w:lineRule="exact"/>
        <w:rPr>
          <w:sz w:val="24"/>
          <w:szCs w:val="24"/>
          <w:color w:val="auto"/>
        </w:rPr>
      </w:pPr>
    </w:p>
    <w:p>
      <w:pPr>
        <w:ind w:right="1920"/>
        <w:spacing w:after="0" w:line="397"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ind w:right="480"/>
        <w:spacing w:after="0" w:line="29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jc w:val="both"/>
        <w:spacing w:after="0" w:line="29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ind w:right="60"/>
        <w:spacing w:after="0" w:line="29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o</w:t>
      </w:r>
    </w:p>
    <w:p>
      <w:pPr>
        <w:spacing w:after="0" w:line="6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74" w:orient="portrait"/>
          <w:cols w:equalWidth="0" w:num="1">
            <w:col w:w="11420"/>
          </w:cols>
          <w:pgMar w:left="240" w:top="229" w:right="239" w:bottom="0" w:gutter="0" w:footer="0" w:header="0"/>
        </w:sectPr>
      </w:pPr>
    </w:p>
    <w:p>
      <w:pPr>
        <w:spacing w:after="0" w:line="154" w:lineRule="exact"/>
        <w:rPr>
          <w:sz w:val="24"/>
          <w:szCs w:val="24"/>
          <w:color w:val="auto"/>
        </w:rPr>
      </w:pPr>
    </w:p>
    <w:p>
      <w:pPr>
        <w:ind w:left="40" w:right="740"/>
        <w:spacing w:after="0" w:line="43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o</w:t>
      </w:r>
    </w:p>
    <w:p>
      <w:pPr>
        <w:spacing w:after="0" w:line="76"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o </w:t>
      </w: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63" w:lineRule="exact"/>
        <w:rPr>
          <w:sz w:val="24"/>
          <w:szCs w:val="24"/>
          <w:color w:val="auto"/>
        </w:rPr>
      </w:pPr>
    </w:p>
    <w:p>
      <w:pPr>
        <w:sectPr>
          <w:pgSz w:w="11900" w:h="16874" w:orient="portrait"/>
          <w:cols w:equalWidth="0" w:num="4">
            <w:col w:w="2400" w:space="720"/>
            <w:col w:w="4640" w:space="720"/>
            <w:col w:w="1980" w:space="620"/>
            <w:col w:w="340"/>
          </w:cols>
          <w:pgMar w:left="240" w:top="229" w:right="239" w:bottom="0" w:gutter="0" w:footer="0" w:header="0"/>
          <w:type w:val="continuous"/>
        </w:sectPr>
      </w:pPr>
    </w:p>
    <w:p>
      <w:pPr>
        <w:spacing w:after="0"/>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34" w:lineRule="exact"/>
        <w:rPr>
          <w:sz w:val="24"/>
          <w:szCs w:val="24"/>
          <w:color w:val="auto"/>
        </w:rPr>
      </w:pPr>
    </w:p>
    <w:p>
      <w:pPr>
        <w:ind w:right="20"/>
        <w:spacing w:after="0" w:line="279"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2015, based upon the closing price of $7.61 of the registrant’s common stock as reported on the NASDAQ Global Market, was approximately $154.5 million. Excludes approximately 24.3 million shares of the registrant’s common stock held by current executive officers, directors, and holders of five percent or more of the outstanding common stock in that such persons may be deemed to be affiliates. This determination of affiliate status is not necessarily a conclusive determination for other purposes.</w:t>
      </w:r>
    </w:p>
    <w:p>
      <w:pPr>
        <w:sectPr>
          <w:pgSz w:w="11900" w:h="16874" w:orient="portrait"/>
          <w:cols w:equalWidth="0" w:num="1">
            <w:col w:w="1142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26, 2016, there were 46,363,602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246380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called for by Part III of this Form 10-K is incorporated by reference to the Proxy Statement for the registrant’s 2016 Annual Meeting of Stockholders, which will be filed with the Securities and Exchange Commission not later than 120 days after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06" w:right="4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520" w:type="dxa"/>
            <w:vAlign w:val="bottom"/>
            <w:gridSpan w:val="20"/>
          </w:tcPr>
          <w:p>
            <w:pPr>
              <w:jc w:val="center"/>
              <w:ind w:right="3780"/>
              <w:spacing w:after="0"/>
              <w:rPr>
                <w:sz w:val="20"/>
                <w:szCs w:val="20"/>
                <w:color w:val="auto"/>
              </w:rPr>
            </w:pPr>
            <w:r>
              <w:rPr>
                <w:rFonts w:ascii="Arial" w:cs="Arial" w:eastAsia="Arial" w:hAnsi="Arial"/>
                <w:sz w:val="22"/>
                <w:szCs w:val="22"/>
                <w:b w:val="1"/>
                <w:bCs w:val="1"/>
                <w:color w:val="auto"/>
                <w:w w:val="97"/>
              </w:rPr>
              <w:t>ENPHASE ENERGY, INC.</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19"/>
          </w:tcPr>
          <w:p>
            <w:pPr>
              <w:jc w:val="center"/>
              <w:ind w:right="3940"/>
              <w:spacing w:after="0"/>
              <w:rPr>
                <w:sz w:val="20"/>
                <w:szCs w:val="20"/>
                <w:color w:val="auto"/>
              </w:rPr>
            </w:pPr>
            <w:r>
              <w:rPr>
                <w:rFonts w:ascii="Arial" w:cs="Arial" w:eastAsia="Arial" w:hAnsi="Arial"/>
                <w:sz w:val="22"/>
                <w:szCs w:val="22"/>
                <w:b w:val="1"/>
                <w:bCs w:val="1"/>
                <w:color w:val="auto"/>
                <w:w w:val="97"/>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180" w:type="dxa"/>
            <w:vAlign w:val="bottom"/>
            <w:gridSpan w:val="11"/>
            <w:vMerge w:val="restart"/>
          </w:tcPr>
          <w:p>
            <w:pPr>
              <w:jc w:val="center"/>
              <w:ind w:right="45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1"/>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454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1"/>
                <w:szCs w:val="21"/>
                <w:color w:val="auto"/>
              </w:rPr>
            </w:pPr>
          </w:p>
        </w:tc>
        <w:tc>
          <w:tcPr>
            <w:tcW w:w="456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1300" w:type="dxa"/>
            <w:vAlign w:val="bottom"/>
            <w:gridSpan w:val="5"/>
          </w:tcPr>
          <w:p>
            <w:pPr>
              <w:spacing w:after="0"/>
              <w:rPr>
                <w:sz w:val="21"/>
                <w:szCs w:val="21"/>
                <w:color w:val="auto"/>
              </w:rPr>
            </w:pPr>
          </w:p>
        </w:tc>
        <w:tc>
          <w:tcPr>
            <w:tcW w:w="7640" w:type="dxa"/>
            <w:vAlign w:val="bottom"/>
            <w:gridSpan w:val="2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8340" w:type="dxa"/>
            <w:vAlign w:val="bottom"/>
            <w:gridSpan w:val="3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520" w:type="dxa"/>
            <w:vAlign w:val="bottom"/>
            <w:gridSpan w:val="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the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3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Consolidated Financial Data</w:t>
              </w:r>
            </w:hyperlink>
          </w:p>
        </w:tc>
        <w:tc>
          <w:tcPr>
            <w:tcW w:w="13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3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3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32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Financial Statements and Supplementary Data</w:t>
              </w:r>
            </w:hyperlink>
          </w:p>
        </w:tc>
        <w:tc>
          <w:tcPr>
            <w:tcW w:w="1020" w:type="dxa"/>
            <w:vAlign w:val="bottom"/>
            <w:gridSpan w:val="5"/>
          </w:tcPr>
          <w:p>
            <w:pPr>
              <w:spacing w:after="0"/>
              <w:rPr>
                <w:sz w:val="21"/>
                <w:szCs w:val="21"/>
                <w:color w:val="auto"/>
              </w:rPr>
            </w:pPr>
          </w:p>
        </w:tc>
        <w:tc>
          <w:tcPr>
            <w:tcW w:w="532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100" w:type="dxa"/>
            <w:vAlign w:val="bottom"/>
            <w:gridSpan w:val="8"/>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Balance Sheets</w:t>
              </w:r>
            </w:hyperlink>
          </w:p>
        </w:tc>
        <w:tc>
          <w:tcPr>
            <w:tcW w:w="2120" w:type="dxa"/>
            <w:vAlign w:val="bottom"/>
            <w:gridSpan w:val="11"/>
          </w:tcPr>
          <w:p>
            <w:pPr>
              <w:spacing w:after="0"/>
              <w:rPr>
                <w:sz w:val="21"/>
                <w:szCs w:val="21"/>
                <w:color w:val="auto"/>
              </w:rPr>
            </w:pPr>
          </w:p>
        </w:tc>
        <w:tc>
          <w:tcPr>
            <w:tcW w:w="5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20" w:type="dxa"/>
            <w:vAlign w:val="bottom"/>
            <w:gridSpan w:val="11"/>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Operations</w:t>
              </w:r>
            </w:hyperlink>
          </w:p>
        </w:tc>
        <w:tc>
          <w:tcPr>
            <w:tcW w:w="6860" w:type="dxa"/>
            <w:vAlign w:val="bottom"/>
            <w:gridSpan w:val="2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Comprehensive Loss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560" w:type="dxa"/>
            <w:vAlign w:val="bottom"/>
            <w:gridSpan w:val="17"/>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Statements of Stockholders’ Equity</w:t>
              </w:r>
            </w:hyperlink>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80" w:type="dxa"/>
            <w:vAlign w:val="bottom"/>
            <w:gridSpan w:val="12"/>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Cash Flows</w:t>
              </w:r>
            </w:hyperlink>
          </w:p>
        </w:tc>
        <w:tc>
          <w:tcPr>
            <w:tcW w:w="680" w:type="dxa"/>
            <w:vAlign w:val="bottom"/>
            <w:gridSpan w:val="5"/>
          </w:tcPr>
          <w:p>
            <w:pPr>
              <w:spacing w:after="0"/>
              <w:rPr>
                <w:sz w:val="21"/>
                <w:szCs w:val="21"/>
                <w:color w:val="auto"/>
              </w:rPr>
            </w:pPr>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1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Notes to Consolidated Financial Statements</w:t>
              </w:r>
            </w:hyperlink>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Quarterly Financial Information</w:t>
              </w:r>
            </w:hyperlink>
          </w:p>
        </w:tc>
        <w:tc>
          <w:tcPr>
            <w:tcW w:w="840" w:type="dxa"/>
            <w:vAlign w:val="bottom"/>
            <w:gridSpan w:val="5"/>
          </w:tcPr>
          <w:p>
            <w:pPr>
              <w:spacing w:after="0"/>
              <w:rPr>
                <w:sz w:val="21"/>
                <w:szCs w:val="21"/>
                <w:color w:val="auto"/>
              </w:rPr>
            </w:pPr>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3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5"/>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Controls and Procedures</w:t>
              </w:r>
            </w:hyperlink>
          </w:p>
        </w:tc>
        <w:tc>
          <w:tcPr>
            <w:tcW w:w="4700" w:type="dxa"/>
            <w:vAlign w:val="bottom"/>
            <w:gridSpan w:val="26"/>
          </w:tcPr>
          <w:p>
            <w:pPr>
              <w:spacing w:after="0"/>
              <w:rPr>
                <w:sz w:val="21"/>
                <w:szCs w:val="21"/>
                <w:color w:val="auto"/>
              </w:rPr>
            </w:pPr>
          </w:p>
        </w:tc>
        <w:tc>
          <w:tcPr>
            <w:tcW w:w="320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7900" w:type="dxa"/>
            <w:vAlign w:val="bottom"/>
            <w:gridSpan w:val="2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III</w:t>
              </w:r>
            </w:hyperlink>
          </w:p>
        </w:tc>
        <w:tc>
          <w:tcPr>
            <w:tcW w:w="448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8"/>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Directors, Executive Officers and Corporate Governance</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32"/>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Security Ownership of Certain Beneficial Owners and Management and Related Stockholder Matters</w:t>
              </w:r>
            </w:hyperlink>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29"/>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2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422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20" w:type="dxa"/>
            <w:vAlign w:val="bottom"/>
            <w:gridSpan w:val="13"/>
          </w:tcPr>
          <w:p>
            <w:pPr>
              <w:jc w:val="center"/>
              <w:ind w:right="450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IV</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48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1"/>
                <w:szCs w:val="21"/>
                <w:color w:val="auto"/>
              </w:rPr>
            </w:pPr>
          </w:p>
        </w:tc>
        <w:tc>
          <w:tcPr>
            <w:tcW w:w="450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507"/>
        </w:trPr>
        <w:tc>
          <w:tcPr>
            <w:tcW w:w="1140" w:type="dxa"/>
            <w:vAlign w:val="bottom"/>
          </w:tcPr>
          <w:p>
            <w:pPr>
              <w:spacing w:after="0"/>
              <w:rPr>
                <w:sz w:val="24"/>
                <w:szCs w:val="24"/>
                <w:color w:val="auto"/>
              </w:rPr>
            </w:pPr>
          </w:p>
        </w:tc>
        <w:tc>
          <w:tcPr>
            <w:tcW w:w="2900" w:type="dxa"/>
            <w:vAlign w:val="bottom"/>
            <w:tcBorders>
              <w:top w:val="single" w:sz="8" w:color="0000EE"/>
            </w:tcBorders>
            <w:gridSpan w:val="13"/>
          </w:tcPr>
          <w:p>
            <w:pPr>
              <w:spacing w:after="0"/>
              <w:rPr>
                <w:sz w:val="24"/>
                <w:szCs w:val="24"/>
                <w:color w:val="auto"/>
              </w:rPr>
            </w:pPr>
          </w:p>
        </w:tc>
        <w:tc>
          <w:tcPr>
            <w:tcW w:w="2220" w:type="dxa"/>
            <w:vAlign w:val="bottom"/>
            <w:gridSpan w:val="12"/>
          </w:tcPr>
          <w:p>
            <w:pPr>
              <w:jc w:val="center"/>
              <w:ind w:left="95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95"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5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deliver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Our technology was designed to increase energy production, simplify design and installation, improve system uptime and reliability, reduce fire safety risk, and provide a platform for intelligent energy management. We are the market leader in the microinverter category. Since inception, we have shipped more than 10.3 million microinverters, representing over 2.5 gigawatts of solar PV generating capacity, and more than 430,000 Enphase residential and commercial systems have been deployed in over 100 countries.</w:t>
      </w:r>
    </w:p>
    <w:p>
      <w:pPr>
        <w:spacing w:after="0" w:line="43" w:lineRule="exact"/>
        <w:rPr>
          <w:sz w:val="20"/>
          <w:szCs w:val="20"/>
          <w:color w:val="auto"/>
        </w:rPr>
      </w:pPr>
    </w:p>
    <w:p>
      <w:pPr>
        <w:ind w:right="460" w:firstLine="446"/>
        <w:spacing w:after="0" w:line="344" w:lineRule="auto"/>
        <w:rPr>
          <w:sz w:val="20"/>
          <w:szCs w:val="20"/>
          <w:color w:val="auto"/>
        </w:rPr>
      </w:pPr>
      <w:r>
        <w:rPr>
          <w:rFonts w:ascii="Arial" w:cs="Arial" w:eastAsia="Arial" w:hAnsi="Arial"/>
          <w:sz w:val="18"/>
          <w:szCs w:val="18"/>
          <w:color w:val="auto"/>
        </w:rPr>
        <w:t xml:space="preserve">We were incorporated as PVI Solutions, Inc. in March 2006 in the State of Delaware and changed our name to Enphase Energy, Inc. in July 2007. </w:t>
      </w:r>
      <w:r>
        <w:rPr>
          <w:rFonts w:ascii="Arial" w:cs="Arial" w:eastAsia="Arial" w:hAnsi="Arial"/>
          <w:sz w:val="18"/>
          <w:szCs w:val="18"/>
          <w:b w:val="1"/>
          <w:bCs w:val="1"/>
          <w:color w:val="auto"/>
        </w:rPr>
        <w:t>Industry Background</w:t>
      </w:r>
    </w:p>
    <w:p>
      <w:pPr>
        <w:spacing w:after="0" w:line="1"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Historically, traditional central inverters were the only inverter technology used for solar photovoltaic, or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53" w:lineRule="exact"/>
        <w:rPr>
          <w:sz w:val="20"/>
          <w:szCs w:val="20"/>
          <w:color w:val="auto"/>
        </w:rPr>
      </w:pPr>
    </w:p>
    <w:p>
      <w:pPr>
        <w:jc w:val="both"/>
        <w:ind w:left="980" w:right="18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 of modules are wired in series—an entire</w:t>
      </w:r>
      <w:r>
        <w:rPr>
          <w:rFonts w:ascii="Arial" w:cs="Arial" w:eastAsia="Arial" w:hAnsi="Arial"/>
          <w:sz w:val="18"/>
          <w:szCs w:val="18"/>
          <w:i w:val="1"/>
          <w:iCs w:val="1"/>
          <w:color w:val="auto"/>
        </w:rPr>
        <w:t xml:space="preserve"> </w:t>
      </w:r>
      <w:r>
        <w:rPr>
          <w:rFonts w:ascii="Arial" w:cs="Arial" w:eastAsia="Arial" w:hAnsi="Arial"/>
          <w:sz w:val="18"/>
          <w:szCs w:val="18"/>
          <w:color w:val="auto"/>
        </w:rPr>
        <w:t>string’s output is limited by the output of the lowest-performing module. Because of its string design, there is a single point of failure risk with the traditional central inverter approach.</w:t>
      </w:r>
    </w:p>
    <w:p>
      <w:pPr>
        <w:spacing w:after="0" w:line="46"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Reliability issues</w:t>
      </w:r>
      <w:r>
        <w:rPr>
          <w:rFonts w:ascii="Arial" w:cs="Arial" w:eastAsia="Arial" w:hAnsi="Arial"/>
          <w:sz w:val="17"/>
          <w:szCs w:val="17"/>
          <w:color w:val="auto"/>
        </w:rPr>
        <w:t>. Traditional central inverters are the single most common component of solar installations to fail, resulting in system downtime</w:t>
      </w:r>
      <w:r>
        <w:rPr>
          <w:rFonts w:ascii="Arial" w:cs="Arial" w:eastAsia="Arial" w:hAnsi="Arial"/>
          <w:sz w:val="17"/>
          <w:szCs w:val="17"/>
          <w:i w:val="1"/>
          <w:iCs w:val="1"/>
          <w:color w:val="auto"/>
        </w:rPr>
        <w:t xml:space="preserve"> </w:t>
      </w:r>
      <w:r>
        <w:rPr>
          <w:rFonts w:ascii="Arial" w:cs="Arial" w:eastAsia="Arial" w:hAnsi="Arial"/>
          <w:sz w:val="17"/>
          <w:szCs w:val="17"/>
          <w:color w:val="auto"/>
        </w:rPr>
        <w:t>and adversely impacting total energy output. As a result, central inverters typically carry warranties of only 5 to 10 years.</w:t>
      </w:r>
    </w:p>
    <w:p>
      <w:pPr>
        <w:spacing w:after="0" w:line="11" w:lineRule="exact"/>
        <w:rPr>
          <w:rFonts w:ascii="Arial" w:cs="Arial" w:eastAsia="Arial" w:hAnsi="Arial"/>
          <w:sz w:val="17"/>
          <w:szCs w:val="17"/>
          <w:color w:val="auto"/>
        </w:rPr>
      </w:pPr>
    </w:p>
    <w:p>
      <w:pPr>
        <w:ind w:left="980" w:right="80" w:hanging="48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Complex design and installation requirements</w:t>
      </w:r>
      <w:r>
        <w:rPr>
          <w:rFonts w:ascii="Arial" w:cs="Arial" w:eastAsia="Arial" w:hAnsi="Arial"/>
          <w:sz w:val="18"/>
          <w:szCs w:val="18"/>
          <w:color w:val="auto"/>
        </w:rPr>
        <w:t>. The central inverter-based solar PV installation requires greater effort on the part of the installer,</w:t>
      </w:r>
      <w:r>
        <w:rPr>
          <w:rFonts w:ascii="Arial" w:cs="Arial" w:eastAsia="Arial" w:hAnsi="Arial"/>
          <w:sz w:val="18"/>
          <w:szCs w:val="18"/>
          <w:i w:val="1"/>
          <w:iCs w:val="1"/>
          <w:color w:val="auto"/>
        </w:rPr>
        <w:t xml:space="preserve"> </w:t>
      </w:r>
      <w:r>
        <w:rPr>
          <w:rFonts w:ascii="Arial" w:cs="Arial" w:eastAsia="Arial" w:hAnsi="Arial"/>
          <w:sz w:val="18"/>
          <w:szCs w:val="18"/>
          <w:color w:val="auto"/>
        </w:rPr>
        <w:t>both in terms of design and on-site labor. Central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central inverter technology.</w:t>
      </w:r>
    </w:p>
    <w:p>
      <w:pPr>
        <w:spacing w:after="0" w:line="51"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A failure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inverter will often go unnoticed for days or even weeks. If a module fails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not performing to specification, the resulting loss of energy can go unnoticed for an extended period of time.</w:t>
      </w:r>
    </w:p>
    <w:p>
      <w:pPr>
        <w:spacing w:after="0" w:line="104" w:lineRule="exact"/>
        <w:rPr>
          <w:sz w:val="20"/>
          <w:szCs w:val="20"/>
          <w:color w:val="auto"/>
        </w:rPr>
      </w:pPr>
    </w:p>
    <w:p>
      <w:pPr>
        <w:ind w:left="980" w:right="16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to 1,000 volts) DC wiring. If damaged,</w:t>
      </w:r>
      <w:r>
        <w:rPr>
          <w:rFonts w:ascii="Arial" w:cs="Arial" w:eastAsia="Arial" w:hAnsi="Arial"/>
          <w:sz w:val="18"/>
          <w:szCs w:val="18"/>
          <w:i w:val="1"/>
          <w:iCs w:val="1"/>
          <w:color w:val="auto"/>
        </w:rPr>
        <w:t xml:space="preserve"> </w:t>
      </w:r>
      <w:r>
        <w:rPr>
          <w:rFonts w:ascii="Arial" w:cs="Arial" w:eastAsia="Arial" w:hAnsi="Arial"/>
          <w:sz w:val="18"/>
          <w:szCs w:val="18"/>
          <w:color w:val="auto"/>
        </w:rPr>
        <w:t>DC wires can generate sustained electrical arcs, reaching temperatures of more than 5,000 °F. This creates the risk of fire for solar PV installation owners and injury for installers and maintenance personnel.</w:t>
      </w:r>
    </w:p>
    <w:p>
      <w:pPr>
        <w:spacing w:after="0" w:line="46"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35" w:lineRule="exact"/>
        <w:rPr>
          <w:sz w:val="20"/>
          <w:szCs w:val="20"/>
          <w:color w:val="auto"/>
        </w:rPr>
      </w:pPr>
    </w:p>
    <w:p>
      <w:pPr>
        <w:ind w:left="980" w:hanging="486"/>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Installer</w:t>
      </w:r>
      <w:r>
        <w:rPr>
          <w:rFonts w:ascii="Arial" w:cs="Arial" w:eastAsia="Arial" w:hAnsi="Arial"/>
          <w:sz w:val="17"/>
          <w:szCs w:val="17"/>
          <w:color w:val="auto"/>
        </w:rPr>
        <w:t>. Solar PV installers aim for simple installation design, fast installation times and maximum system performance and predictability.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36" w:lineRule="exact"/>
        <w:rPr>
          <w:rFonts w:ascii="Arial" w:cs="Arial" w:eastAsia="Arial" w:hAnsi="Arial"/>
          <w:sz w:val="17"/>
          <w:szCs w:val="17"/>
          <w:color w:val="auto"/>
        </w:rPr>
      </w:pPr>
    </w:p>
    <w:p>
      <w:pPr>
        <w:ind w:left="980" w:right="120" w:hanging="486"/>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system owners aim for high energy production, low cost, high reliability, and low maintenance requirements,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We design, develop, manufacture and sell microinverter systems.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the central inverter approach that only converts energy of the entire array of solar modules from a single high voltage electrical unit, and lacks intelligence about the energy producing capacity of the solar array.</w:t>
      </w:r>
    </w:p>
    <w:p>
      <w:pPr>
        <w:spacing w:after="0" w:line="53"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The Enphase microinverter system brings a high technology, networked approach to solar energy generation leveraging our design expertise across power electronics, semiconductors, and cloud-based software technologies. Our unique approach to solar maximizes the potential energy production of each individual solar module while providing advanced monitoring and remote maintenance capabilities. Unlike our core competitors, who utilize a single-point or traditional inverter, we have built-in system redundancy, eliminating the risk that comes with a single-point of failure. Further, the nature of our cloud-based, monitored system allows for remote firmware and software updates, enabling cost-effective remote maintenance and ongoing utility compliance.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Enphase microinverter system consists of three key components: Enphase microinverters, an Envoy gateway and Enlighten cloud-based software:</w:t>
      </w:r>
    </w:p>
    <w:p>
      <w:pPr>
        <w:spacing w:after="0" w:line="113" w:lineRule="exact"/>
        <w:rPr>
          <w:sz w:val="20"/>
          <w:szCs w:val="20"/>
          <w:color w:val="auto"/>
        </w:rPr>
      </w:pPr>
    </w:p>
    <w:p>
      <w:pPr>
        <w:ind w:left="980" w:right="20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Enphase microinverters provide highly reliable power conversion at the individual solar module level by introducing a digital architecture that incorporates custom application specific integrated circuits, or ASICs, specialized power electronics devices, and an embedded software subsystem that maximizes energy production from each module.</w:t>
      </w:r>
    </w:p>
    <w:p>
      <w:pPr>
        <w:spacing w:after="0" w:line="46" w:lineRule="exact"/>
        <w:rPr>
          <w:rFonts w:ascii="Arial" w:cs="Arial" w:eastAsia="Arial" w:hAnsi="Arial"/>
          <w:sz w:val="18"/>
          <w:szCs w:val="18"/>
          <w:color w:val="auto"/>
        </w:rPr>
      </w:pPr>
    </w:p>
    <w:p>
      <w:pPr>
        <w:ind w:left="980" w:right="80" w:hanging="486"/>
        <w:spacing w:after="0" w:line="29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Envoy bi-directional communications gateway is installed at the system location and serves as a hub providing two critical roles: collecting and sending data to Enlighten software, and receiving and distributing microinverter firmware or software updates, thus increasing system availability and providing ongoing utility compliance. One Envoy is typically sold with each solar installation and can support up to 600 Enphase microinverters, making it compatible for both residential and commercial applications. Finally, with a simple additional accessory, an Envoy can also monitor home energy consumption, providing system owners with greater insight as to their energy usage.</w:t>
      </w:r>
    </w:p>
    <w:p>
      <w:pPr>
        <w:spacing w:after="0" w:line="23" w:lineRule="exact"/>
        <w:rPr>
          <w:rFonts w:ascii="Arial" w:cs="Arial" w:eastAsia="Arial" w:hAnsi="Arial"/>
          <w:sz w:val="16"/>
          <w:szCs w:val="16"/>
          <w:color w:val="auto"/>
        </w:rPr>
      </w:pPr>
    </w:p>
    <w:p>
      <w:pPr>
        <w:ind w:left="980" w:right="100" w:hanging="486"/>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Enlighten cloud-based software provides the capabilities to remotely monitor, manage, and maintain an individual system or a fleet of systems. The software collects and analyzes system performance information to enable owners and operators to realize the highest performance of their solar PV system. Two versions of the monitoring software are available: MyEnlighten, designed for the typical system owner, provides performance assurance and Enlighten Manager, available for the solar professional, provides detailed diagnostic capabilities, as well as fleet management tools.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solution include:</w:t>
      </w:r>
    </w:p>
    <w:p>
      <w:pPr>
        <w:spacing w:after="0" w:line="158" w:lineRule="exact"/>
        <w:rPr>
          <w:sz w:val="20"/>
          <w:szCs w:val="20"/>
          <w:color w:val="auto"/>
        </w:rPr>
      </w:pPr>
    </w:p>
    <w:p>
      <w:pPr>
        <w:ind w:left="880" w:right="60" w:firstLine="648"/>
        <w:spacing w:after="0" w:line="255" w:lineRule="auto"/>
        <w:rPr>
          <w:sz w:val="20"/>
          <w:szCs w:val="20"/>
          <w:color w:val="auto"/>
        </w:rPr>
      </w:pPr>
      <w:r>
        <w:rPr>
          <w:rFonts w:ascii="Arial" w:cs="Arial" w:eastAsia="Arial" w:hAnsi="Arial"/>
          <w:sz w:val="18"/>
          <w:szCs w:val="18"/>
          <w:i w:val="1"/>
          <w:iCs w:val="1"/>
          <w:color w:val="auto"/>
        </w:rPr>
        <w:t xml:space="preserve">Higher Performance. </w:t>
      </w:r>
      <w:r>
        <w:rPr>
          <w:rFonts w:ascii="Arial" w:cs="Arial" w:eastAsia="Arial" w:hAnsi="Arial"/>
          <w:sz w:val="18"/>
          <w:szCs w:val="18"/>
          <w:color w:val="auto"/>
        </w:rPr>
        <w:t>Our microinverter system delivers higher performance by maximizing the energy production of each module. A</w:t>
      </w:r>
      <w:r>
        <w:rPr>
          <w:rFonts w:ascii="Arial" w:cs="Arial" w:eastAsia="Arial" w:hAnsi="Arial"/>
          <w:sz w:val="18"/>
          <w:szCs w:val="18"/>
          <w:i w:val="1"/>
          <w:iCs w:val="1"/>
          <w:color w:val="auto"/>
        </w:rPr>
        <w:t xml:space="preserve"> </w:t>
      </w:r>
      <w:r>
        <w:rPr>
          <w:rFonts w:ascii="Arial" w:cs="Arial" w:eastAsia="Arial" w:hAnsi="Arial"/>
          <w:sz w:val="18"/>
          <w:szCs w:val="18"/>
          <w:color w:val="auto"/>
        </w:rPr>
        <w:t>microinverter at each module overcomes issues such as module-mismatch and soiling or shading which can have a significant impact on string inverter systems. Enphase microinverters also provide greater system availability with no single-point of failure. An independent analysis from PV Evolution Labs has concluded an Enphase microinverter system yields higher performance over systems with string inverters or traditional inverters. We believe that our microinverter systems achieve higher energy production and can generate superior returns on investment relative to competitive solutions for system owners.</w:t>
      </w:r>
    </w:p>
    <w:p>
      <w:pPr>
        <w:spacing w:after="0" w:line="126" w:lineRule="exact"/>
        <w:rPr>
          <w:sz w:val="20"/>
          <w:szCs w:val="20"/>
          <w:color w:val="auto"/>
        </w:rPr>
      </w:pPr>
    </w:p>
    <w:p>
      <w:pPr>
        <w:ind w:left="880" w:firstLine="648"/>
        <w:spacing w:after="0" w:line="255" w:lineRule="auto"/>
        <w:rPr>
          <w:sz w:val="20"/>
          <w:szCs w:val="20"/>
          <w:color w:val="auto"/>
        </w:rPr>
      </w:pPr>
      <w:r>
        <w:rPr>
          <w:rFonts w:ascii="Arial" w:cs="Arial" w:eastAsia="Arial" w:hAnsi="Arial"/>
          <w:sz w:val="18"/>
          <w:szCs w:val="18"/>
          <w:i w:val="1"/>
          <w:iCs w:val="1"/>
          <w:color w:val="auto"/>
        </w:rPr>
        <w:t xml:space="preserve">Simplified Design and Installation. </w:t>
      </w:r>
      <w:r>
        <w:rPr>
          <w:rFonts w:ascii="Arial" w:cs="Arial" w:eastAsia="Arial" w:hAnsi="Arial"/>
          <w:sz w:val="18"/>
          <w:szCs w:val="18"/>
          <w:color w:val="auto"/>
        </w:rPr>
        <w:t>With our microinverter system, an installer can design a system of any size and any roof</w:t>
      </w:r>
      <w:r>
        <w:rPr>
          <w:rFonts w:ascii="Arial" w:cs="Arial" w:eastAsia="Arial" w:hAnsi="Arial"/>
          <w:sz w:val="18"/>
          <w:szCs w:val="18"/>
          <w:i w:val="1"/>
          <w:iCs w:val="1"/>
          <w:color w:val="auto"/>
        </w:rPr>
        <w:t xml:space="preserve"> </w:t>
      </w:r>
      <w:r>
        <w:rPr>
          <w:rFonts w:ascii="Arial" w:cs="Arial" w:eastAsia="Arial" w:hAnsi="Arial"/>
          <w:sz w:val="18"/>
          <w:szCs w:val="18"/>
          <w:color w:val="auto"/>
        </w:rPr>
        <w:t>configuration with a simple modular approach. After initial installation, the system can be easily expanded by even a single module. The all-AC infrastructure simplifies the design process and eliminates the typical costs of a complicated DC voltage system. In addition, our microinverters are installed on the roof and hidden from view, with minimal impact to the aesthetics of a home or building. We also offer additional tools, such as the Enphase Installer Toolkit mobile app or the Enphase AC Combiner Box, to further improve installation time and reduce balance of system materials costs.</w:t>
      </w:r>
    </w:p>
    <w:p>
      <w:pPr>
        <w:spacing w:after="0" w:line="72" w:lineRule="exact"/>
        <w:rPr>
          <w:sz w:val="20"/>
          <w:szCs w:val="20"/>
          <w:color w:val="auto"/>
        </w:rPr>
      </w:pPr>
    </w:p>
    <w:p>
      <w:pPr>
        <w:ind w:left="880" w:right="20" w:firstLine="648"/>
        <w:spacing w:after="0" w:line="259" w:lineRule="auto"/>
        <w:rPr>
          <w:sz w:val="20"/>
          <w:szCs w:val="20"/>
          <w:color w:val="auto"/>
        </w:rPr>
      </w:pPr>
      <w:r>
        <w:rPr>
          <w:rFonts w:ascii="Arial" w:cs="Arial" w:eastAsia="Arial" w:hAnsi="Arial"/>
          <w:sz w:val="18"/>
          <w:szCs w:val="18"/>
          <w:i w:val="1"/>
          <w:iCs w:val="1"/>
          <w:color w:val="auto"/>
        </w:rPr>
        <w:t xml:space="preserve">Enhanced Safety. </w:t>
      </w:r>
      <w:r>
        <w:rPr>
          <w:rFonts w:ascii="Arial" w:cs="Arial" w:eastAsia="Arial" w:hAnsi="Arial"/>
          <w:sz w:val="18"/>
          <w:szCs w:val="18"/>
          <w:color w:val="auto"/>
        </w:rPr>
        <w:t>Microinverters are safer because they process low voltage DC and are isolated to the module level, leading to an all-AC architecture. Our microinverter system does not contain any of the high voltages common to string inverter systems. High voltage arc faults associated with string or traditional inverters are the leading cause of fires of solar PV installations. Microinverter technology mitigates this safety risk.</w:t>
      </w:r>
    </w:p>
    <w:p>
      <w:pPr>
        <w:spacing w:after="0" w:line="187" w:lineRule="exact"/>
        <w:rPr>
          <w:sz w:val="20"/>
          <w:szCs w:val="20"/>
          <w:color w:val="auto"/>
        </w:rPr>
      </w:pPr>
    </w:p>
    <w:p>
      <w:pPr>
        <w:ind w:left="880" w:right="60" w:firstLine="648"/>
        <w:spacing w:after="0" w:line="273" w:lineRule="auto"/>
        <w:rPr>
          <w:sz w:val="20"/>
          <w:szCs w:val="20"/>
          <w:color w:val="auto"/>
        </w:rPr>
      </w:pPr>
      <w:r>
        <w:rPr>
          <w:rFonts w:ascii="Arial" w:cs="Arial" w:eastAsia="Arial" w:hAnsi="Arial"/>
          <w:sz w:val="17"/>
          <w:szCs w:val="17"/>
          <w:i w:val="1"/>
          <w:iCs w:val="1"/>
          <w:color w:val="auto"/>
        </w:rPr>
        <w:t xml:space="preserve">Reduced Operations and Maintenance Costs. </w:t>
      </w:r>
      <w:r>
        <w:rPr>
          <w:rFonts w:ascii="Arial" w:cs="Arial" w:eastAsia="Arial" w:hAnsi="Arial"/>
          <w:sz w:val="17"/>
          <w:szCs w:val="17"/>
          <w:color w:val="auto"/>
        </w:rPr>
        <w:t>Our microinverter system is highly reliable with one million power-on hours of testing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into our microinverter design. This high reliability, plus a distributed architecture means ongoing operations and maintenance do not require emergency truck rolls, unlike string inverter or traditional inverters which have a 100% probability of failure leading to full replacement within 10 to 12 years, thus reducing the inverter replacement budget required. In addition, with module-level monitoring capabilities, remote maintenance can pinpoint issues, thus reducing any time on site. Finally, the networked-nature of our system enables us to remotely update the firmware and software of the microinverters, reducing ongoing utility compliance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Roadmap</w:t>
      </w:r>
    </w:p>
    <w:p>
      <w:pPr>
        <w:spacing w:after="0" w:line="1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products are part of an integrated energy solution. Our product roadmap is divided into three categories that form the components and platform for our energy management solution: microinverters, energy storage, and system monitoring and control.</w:t>
      </w:r>
    </w:p>
    <w:p>
      <w:pPr>
        <w:spacing w:after="0" w:line="10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Microinverters. </w:t>
      </w:r>
      <w:r>
        <w:rPr>
          <w:rFonts w:ascii="Arial" w:cs="Arial" w:eastAsia="Arial" w:hAnsi="Arial"/>
          <w:sz w:val="18"/>
          <w:szCs w:val="18"/>
          <w:color w:val="auto"/>
        </w:rPr>
        <w:t>Our microinverter roadmap provides a path to substantially lower unit cost, simplified installation process, higher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features. We have announced partnerships to integrate our next generation microinverter into a PV module to create an AC Module that should further simplify system design and installation.</w:t>
      </w:r>
    </w:p>
    <w:p>
      <w:pPr>
        <w:spacing w:after="0" w:line="1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Energy Storage. </w:t>
      </w:r>
      <w:r>
        <w:rPr>
          <w:rFonts w:ascii="Arial" w:cs="Arial" w:eastAsia="Arial" w:hAnsi="Arial"/>
          <w:sz w:val="18"/>
          <w:szCs w:val="18"/>
          <w:color w:val="auto"/>
        </w:rPr>
        <w:t>We are developing an energy storage system, including our AC Battery that will integrate with our microinverter system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 Enphase Energy Solution. Our energy storage system uses modular all-AC architecture.</w:t>
      </w:r>
    </w:p>
    <w:p>
      <w:pPr>
        <w:spacing w:after="0" w:line="10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System Monitoring and Control. </w:t>
      </w:r>
      <w:r>
        <w:rPr>
          <w:rFonts w:ascii="Arial" w:cs="Arial" w:eastAsia="Arial" w:hAnsi="Arial"/>
          <w:sz w:val="18"/>
          <w:szCs w:val="18"/>
          <w:color w:val="auto"/>
        </w:rPr>
        <w:t>Our cloud-based monitoring gathers more than 2TB of data per day from more than 345,000 actively monitored</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 introduction of consumption monitoring provides additional opportunities to give system owners further control over and insight into their systems. Furthermore, the rich data available from the systems has enabled the growth of our solar operations and maintenance services through Enphase Energy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objective is to be the leading provider of energy management solutions for the solar industry worldwide. Key elements of our strategy include:</w:t>
      </w:r>
    </w:p>
    <w:p>
      <w:pPr>
        <w:spacing w:after="0" w:line="113" w:lineRule="exact"/>
        <w:rPr>
          <w:sz w:val="20"/>
          <w:szCs w:val="20"/>
          <w:color w:val="auto"/>
        </w:rPr>
      </w:pPr>
    </w:p>
    <w:p>
      <w:pPr>
        <w:ind w:left="980" w:right="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Grow market share in our core markets. </w:t>
      </w:r>
      <w:r>
        <w:rPr>
          <w:rFonts w:ascii="Arial" w:cs="Arial" w:eastAsia="Arial" w:hAnsi="Arial"/>
          <w:sz w:val="18"/>
          <w:szCs w:val="18"/>
          <w:color w:val="auto"/>
        </w:rPr>
        <w:t>We intend to capitalize on our market leadership in the microinverter category and our momentum with</w:t>
      </w:r>
      <w:r>
        <w:rPr>
          <w:rFonts w:ascii="Arial" w:cs="Arial" w:eastAsia="Arial" w:hAnsi="Arial"/>
          <w:sz w:val="18"/>
          <w:szCs w:val="18"/>
          <w:i w:val="1"/>
          <w:iCs w:val="1"/>
          <w:color w:val="auto"/>
        </w:rPr>
        <w:t xml:space="preserve"> </w:t>
      </w:r>
      <w:r>
        <w:rPr>
          <w:rFonts w:ascii="Arial" w:cs="Arial" w:eastAsia="Arial" w:hAnsi="Arial"/>
          <w:sz w:val="18"/>
          <w:szCs w:val="18"/>
          <w:color w:val="auto"/>
        </w:rPr>
        <w:t>installers and owners to expand our market share position in our core markets.</w:t>
      </w:r>
    </w:p>
    <w:p>
      <w:pPr>
        <w:spacing w:after="0" w:line="35" w:lineRule="exact"/>
        <w:rPr>
          <w:rFonts w:ascii="Arial" w:cs="Arial" w:eastAsia="Arial" w:hAnsi="Arial"/>
          <w:sz w:val="18"/>
          <w:szCs w:val="18"/>
          <w:color w:val="auto"/>
        </w:rPr>
      </w:pPr>
    </w:p>
    <w:p>
      <w:pPr>
        <w:ind w:left="980" w:right="680" w:hanging="486"/>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Enter new geographic markets. </w:t>
      </w:r>
      <w:r>
        <w:rPr>
          <w:rFonts w:ascii="Arial" w:cs="Arial" w:eastAsia="Arial" w:hAnsi="Arial"/>
          <w:sz w:val="17"/>
          <w:szCs w:val="17"/>
          <w:color w:val="auto"/>
        </w:rPr>
        <w:t>We intend to further increase our market share in Europe, the Asia Pacific region and Latin America.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intend to expand into new markets with new and existing products and local go-to-market capabilities.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980" w:hanging="486"/>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Expand our product offerings. </w:t>
      </w:r>
      <w:r>
        <w:rPr>
          <w:rFonts w:ascii="Arial" w:cs="Arial" w:eastAsia="Arial" w:hAnsi="Arial"/>
          <w:sz w:val="18"/>
          <w:szCs w:val="18"/>
          <w:color w:val="auto"/>
        </w:rPr>
        <w:t>We continue to make significant R&amp;D investments to develop all components of our energy management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remain committed to providing our partners with best-in-class power electronics, storage solutions, communications, and load control all managed by a cloud-based energy management system.</w:t>
      </w:r>
    </w:p>
    <w:p>
      <w:pPr>
        <w:spacing w:after="0" w:line="46" w:lineRule="exact"/>
        <w:rPr>
          <w:rFonts w:ascii="Arial" w:cs="Arial" w:eastAsia="Arial" w:hAnsi="Arial"/>
          <w:sz w:val="18"/>
          <w:szCs w:val="18"/>
          <w:color w:val="auto"/>
        </w:rPr>
      </w:pPr>
    </w:p>
    <w:p>
      <w:pPr>
        <w:ind w:left="980" w:right="200" w:hanging="486"/>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above 97% and AC output power beyond 280 watts. We intend to continue to leverage our semiconductor integration, power electronics expertise and manufacturing economies of scale to further reduce cost per watt.</w:t>
      </w:r>
    </w:p>
    <w:p>
      <w:pPr>
        <w:spacing w:after="0" w:line="46" w:lineRule="exact"/>
        <w:rPr>
          <w:rFonts w:ascii="Arial" w:cs="Arial" w:eastAsia="Arial" w:hAnsi="Arial"/>
          <w:sz w:val="18"/>
          <w:szCs w:val="18"/>
          <w:color w:val="auto"/>
        </w:rPr>
      </w:pPr>
    </w:p>
    <w:p>
      <w:pPr>
        <w:ind w:left="980" w:right="60" w:hanging="486"/>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Extend our technological innovation. </w:t>
      </w:r>
      <w:r>
        <w:rPr>
          <w:rFonts w:ascii="Arial" w:cs="Arial" w:eastAsia="Arial" w:hAnsi="Arial"/>
          <w:sz w:val="16"/>
          <w:szCs w:val="16"/>
          <w:color w:val="auto"/>
        </w:rPr>
        <w:t>We distinguish ourselves from other inverter companies with our systems-based and high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 and the ability to leverage strong research and development capabilities. As of December 31, 2015, we had 69 issued U.S. patents, 74 issued foreign patents, 90 pending U.S. patent applications and 126 pending foreign counterpart patent applications.</w:t>
      </w:r>
    </w:p>
    <w:p>
      <w:pPr>
        <w:spacing w:after="0" w:line="11" w:lineRule="exact"/>
        <w:rPr>
          <w:rFonts w:ascii="Arial" w:cs="Arial" w:eastAsia="Arial" w:hAnsi="Arial"/>
          <w:sz w:val="16"/>
          <w:szCs w:val="16"/>
          <w:color w:val="auto"/>
        </w:rPr>
      </w:pPr>
    </w:p>
    <w:p>
      <w:pPr>
        <w:ind w:left="980" w:right="120" w:hanging="486"/>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Grow our Enphase Energy Services business</w:t>
      </w:r>
      <w:r>
        <w:rPr>
          <w:rFonts w:ascii="Arial" w:cs="Arial" w:eastAsia="Arial" w:hAnsi="Arial"/>
          <w:sz w:val="18"/>
          <w:szCs w:val="18"/>
          <w:color w:val="auto"/>
        </w:rPr>
        <w:t>. With the addition of Next Phase Solar, a division of Enphase Energy, we have bolstered our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operations and maintenance services to support the increasing demand for services in the residential, commercial and utility scale PV systems.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9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sell our microinverter systems primarily to solar distributors who resell to installers and integrators, who in turn integrate our products into complete solar PV installations for residential and commercial system owners. We work with many of the leading solar and electrical distributors. In addition to our distributors, we sell directly to large installers, OEMs and strategic partners. Our OEM customers include solar module manufacturers who bundle our products and solutions with their solar module products and resell to both distributors and installers. Strategic partners include a variety of companies including industrial equipment suppliers and providers of solar financing solutions. In 2015, CED Greentech and Vivint Solar, Inc. accounted for 17% and 12% of net revenues, respectively. Historically, revenues generated from the U.S. market have represented more than 80% of our total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9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outsource the manufacturing of our products to two key manufacturing partners, Flextronics International Ltd. and Phoenix Contact GmbH &amp; Co. KG. Flextronics assembles and tests our microinverter and Envoy products. Prices for such services are mutually agreed to by the parties on a quarterly basis and we are obligated to purchase manufactured products and raw materials that cannot be resold upon the termination of the agreement. Flextronics also provides receiving, kitting, storage, transportation, inventory visibility and other value-added logistics services at locations managed by Flextronics. Phoenix manufactures our custom AC cable. In addition, we rely on several unaffiliated companies to supply certain components used in the fabrication of our microinverter system.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9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maintain high levels of customer engagement through our customer support group and the Enlighten cloud-based software portal, and have cultivated an organizational focus on customer satisfaction. Our dedicated customer support group focuses on responding to inbound inquiries regarding any of our products and services. As of December 31, 2015, our customer support staff consisted of 59 employees in the United States, 10 employees in Europe and 5 employees in Australia.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We devote substantial resources to research and development with the objective of developing new products and systems, adding new features to existing products and systems and reducing unit costs. Our development strategy is to identify features, products and systems for both software and hardware that reduce the cost and optimize the effectiveness of our energy management solutions for our customers. We measure the effectiveness of our research and development against metrics, including product unit cost, efficiency, reliability, power output and ease-of-use. As of December 31, 2015, our research and development staff consisted of 229 employees, of whom 195 were located in the United States and the remainder primarily located in New Zealand.</w:t>
      </w:r>
    </w:p>
    <w:p>
      <w:pPr>
        <w:spacing w:after="0" w:line="2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Our research and development expenses were $50.8 million, $45.4 million and $34.5 million for the years ended December 31, 2015, 2014 and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Our success depends, in part, on our ability to maintain and protect our proprietary technologies. We rely primarily on patent, trademark, copyright and trade secrets laws in the United States and similar laws in other countries, confidentiality agreements and procedures and other contractual arrangements to protect our technology. As of December 31, 2015, we had 69 issued U.S. patents, 74 issued foreign patents, 90 pending U.S. patent applications and 126 pending foreign counterpart patent applications. Our issued patents are scheduled to expire between years 2027 and 2032.</w:t>
      </w:r>
    </w:p>
    <w:p>
      <w:pPr>
        <w:spacing w:after="0" w:line="19"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We license certain power line communications technology and software for integration into our ASICs pursuant to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 party manufacturer of electronic components or systems for use in the solar energy market. The license carries a seventy-five year term, subject to earlier termination upon mutual agreement of the parties, or by us in connection with the insolvency of the licensor.</w:t>
      </w:r>
    </w:p>
    <w:p>
      <w:pPr>
        <w:spacing w:after="0" w:line="23" w:lineRule="exact"/>
        <w:rPr>
          <w:sz w:val="20"/>
          <w:szCs w:val="20"/>
          <w:color w:val="auto"/>
        </w:rPr>
      </w:pPr>
    </w:p>
    <w:p>
      <w:pPr>
        <w:ind w:right="160" w:firstLine="446"/>
        <w:spacing w:after="0" w:line="290" w:lineRule="auto"/>
        <w:rPr>
          <w:sz w:val="20"/>
          <w:szCs w:val="20"/>
          <w:color w:val="auto"/>
        </w:rPr>
      </w:pPr>
      <w:r>
        <w:rPr>
          <w:rFonts w:ascii="Arial" w:cs="Arial" w:eastAsia="Arial" w:hAnsi="Arial"/>
          <w:sz w:val="16"/>
          <w:szCs w:val="16"/>
          <w:color w:val="auto"/>
        </w:rPr>
        <w:t>We also license digital intellectual property cores, or IP blocks, for integration into and distribution with certain electronic components built into our products, including our ASICs, complex programmable logic devices, or CPLDs, and field-programmable gate arrays, or FPGAs. This is a fully-paid, non-exclusive, non-transferable,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3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We continually assess appropriate occasions for seeking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46"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With respect to, among other things,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133"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127" w:lineRule="exact"/>
        <w:rPr>
          <w:sz w:val="20"/>
          <w:szCs w:val="20"/>
          <w:color w:val="auto"/>
        </w:rPr>
      </w:pPr>
    </w:p>
    <w:p>
      <w:pPr>
        <w:ind w:right="920" w:firstLine="446"/>
        <w:spacing w:after="0" w:line="277"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microinverter, technology or business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Historically, sales of our products in the second, third and fourth quarters have been positively affected by seasonal customer demand trends, including solar economic incentives, weather patterns and construction cycles, followed by a seasonally softer first quarter. Although these seasonal factors are common in the solar sector, historical patterns should not be considered a reliable indicator of our future sales activity or performance.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markets for our products are highly competitive, and we compete with traditional inverter manufacturers and new technology start-ups. The principal areas in which we compete with other companies include:</w:t>
      </w:r>
    </w:p>
    <w:p>
      <w:pPr>
        <w:spacing w:after="0" w:line="3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and customer service and support;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current and planned local electrical codes;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with storage offerings;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pacing w:after="0" w:line="171" w:lineRule="exact"/>
        <w:rPr>
          <w:sz w:val="20"/>
          <w:szCs w:val="20"/>
          <w:color w:val="auto"/>
        </w:rPr>
      </w:pPr>
    </w:p>
    <w:p>
      <w:pPr>
        <w:ind w:right="600" w:firstLine="486"/>
        <w:spacing w:after="0" w:line="297" w:lineRule="auto"/>
        <w:rPr>
          <w:sz w:val="20"/>
          <w:szCs w:val="20"/>
          <w:color w:val="auto"/>
        </w:rPr>
      </w:pPr>
      <w:r>
        <w:rPr>
          <w:rFonts w:ascii="Arial" w:cs="Arial" w:eastAsia="Arial" w:hAnsi="Arial"/>
          <w:sz w:val="16"/>
          <w:szCs w:val="16"/>
          <w:color w:val="auto"/>
        </w:rPr>
        <w:t>Competitors in the inverter market are, amongst others, SMA Solar Technology AG, Fronius International GmbH, ABB Ltd. and SolarEdge Technologies, Inc., and other emerging companies offering alternative microinverter, DC to DC optimizer and other power electronic solutions.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or string inverter technology, even when traditional central or string inverter technology is supplemented by DC-to-DC optimizers.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As of December 31, 2015, we had 543 employees. Of the full-time employees, 229 were engaged in research and development, 181 in sales and marketing, 53 in a general and administrative capacity and 80 in manufacturing and operations. Of these employees, 463 were in the United States, 32 in both Europe and New Zealand, 14 in Australia and two employees in Canada.</w:t>
      </w:r>
    </w:p>
    <w:p>
      <w:pPr>
        <w:spacing w:after="0" w:line="127"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None of our U.S., New Zealand, U.K., and Australia employees are represented by a labor union with respect to his or her employment with us; however, our employees in France and Italy are represented by a collective bargaining agreement. We have not experienced any employment-related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Arial" w:cs="Arial" w:eastAsia="Arial" w:hAnsi="Arial"/>
          <w:sz w:val="17"/>
          <w:szCs w:val="17"/>
          <w:u w:val="single" w:color="auto"/>
          <w:color w:val="0000FF"/>
        </w:rPr>
        <w:t>www.enphase.com</w:t>
      </w:r>
      <w:r>
        <w:rPr>
          <w:rFonts w:ascii="Arial" w:cs="Arial" w:eastAsia="Arial" w:hAnsi="Arial"/>
          <w:sz w:val="17"/>
          <w:szCs w:val="17"/>
          <w:color w:val="auto"/>
        </w:rPr>
        <w:t xml:space="preserve"> (under “Investors-Financial Information-SEC Filings”), free of charge, copies of these reports as soon as reasonably practicable after filing these reports with, or furnishing them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446"/>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incurred significant net losses since we began doing business, including net losses of $22.1 million, $8.1 million and $25.9 million for 2015, 2014 and 2013, respectively. As of December 31, 2015, we had an accumulated deficit of $183.1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relatively short operating history in a rapidly changing industry makes it difficult to evaluate our current business and future prospects.</w:t>
      </w:r>
    </w:p>
    <w:p>
      <w:pPr>
        <w:spacing w:after="0" w:line="18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While we have been in existence since 2006 and began shipping our products in commercial quantities until mid-2008, much of our growth has occurred in recent periods. Our relatively short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0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2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28" w:lineRule="exact"/>
        <w:rPr>
          <w:rFonts w:ascii="Arial" w:cs="Arial" w:eastAsia="Arial" w:hAnsi="Arial"/>
          <w:sz w:val="17"/>
          <w:szCs w:val="17"/>
          <w:color w:val="auto"/>
        </w:rPr>
      </w:pPr>
    </w:p>
    <w:p>
      <w:pPr>
        <w:ind w:left="980" w:right="42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2015, CED Greentech and Vivint Solar, Inc. accounted for 17% and 12% of net revenues, respectively. In 2014, Vivint Solar, Inc. and CED Greentech accounted for 24% and 16% of total net revenues, respectively. In 2013, Vivint Solar, Inc., CED Greentech and Focused Energy, Inc. accounted for 15%, 14% and 11%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which may be out of our control. For example, Vivint Solar, Inc. is pursuing a multi-sourcing strategy, and therefore, is not sole-sourcing our microinverters, which has resulted and may continue to result in a reduction in our revenue generated from sales to Vivint. The loss of, or events affecting, Vivint or one or more of our other large customers have had, could have and could continue to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62" w:lineRule="exact"/>
        <w:rPr>
          <w:rFonts w:ascii="Arial" w:cs="Arial" w:eastAsia="Arial" w:hAnsi="Arial"/>
          <w:sz w:val="18"/>
          <w:szCs w:val="18"/>
          <w:color w:val="auto"/>
        </w:rPr>
      </w:pPr>
    </w:p>
    <w:p>
      <w:pPr>
        <w:ind w:left="980" w:right="5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our products over time;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1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solar power industry has been characterized by declining product prices over time. We have reduced the prices of many of our products in the past and we expect to continue to experience pricing pressure for our products in the future, including from our major customers.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 would be adversely affected.</w:t>
      </w:r>
    </w:p>
    <w:p>
      <w:pPr>
        <w:spacing w:after="0" w:line="12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our costs to manufacture our products to remain competitive. If our competitors are able to drive down their manufacturing costs faster than we can or increase the efficiency of their products, our products may become less competitive even when adjusted for efficiency. Further, if raw materials costs and other third-party component costs were to increase, we may not meet our cost reduction targets. If we cannot effectively execute our cost reduction roadmap, our competitive position will suffer, and we could lose market share and our margins would be adversely affected as we face downward pricing pressure.</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1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are, amongst others, SMA Solar Technology AG, Fronius International GmbH, ABB Ltd. and SolarEdge Technologies, Inc., and other emerging companies offering alternative microinverter, DC to DC optimizer and other power electronic solutions.</w:t>
      </w:r>
    </w:p>
    <w:p>
      <w:pPr>
        <w:spacing w:after="0" w:line="117"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Asian manufacturers. In addition, central and string inverter manufacturers continue to drive down their prices, putting additional pressure on us and other alternative technologies.</w:t>
      </w:r>
    </w:p>
    <w:p>
      <w:pPr>
        <w:spacing w:after="0" w:line="111" w:lineRule="exact"/>
        <w:rPr>
          <w:sz w:val="20"/>
          <w:szCs w:val="20"/>
          <w:color w:val="auto"/>
        </w:rPr>
      </w:pPr>
    </w:p>
    <w:p>
      <w:pPr>
        <w:jc w:val="both"/>
        <w:ind w:right="240" w:firstLine="432"/>
        <w:spacing w:after="0" w:line="288" w:lineRule="auto"/>
        <w:rPr>
          <w:sz w:val="20"/>
          <w:szCs w:val="20"/>
          <w:color w:val="auto"/>
        </w:rPr>
      </w:pPr>
      <w:r>
        <w:rPr>
          <w:rFonts w:ascii="Arial" w:cs="Arial" w:eastAsia="Arial" w:hAnsi="Arial"/>
          <w:sz w:val="16"/>
          <w:szCs w:val="16"/>
          <w:color w:val="auto"/>
        </w:rPr>
        <w:t>Several of our existing and potential competitors are significantly larger and more established than we are and may have greater financial, marketing, distribution, and customer support resources, and may have significantly broader brand recognition, especially in certain markets. In addition, some of our competitors have more resources and experience to develop or acquire new products and technologies and create market awareness for these offerings.</w:t>
      </w:r>
    </w:p>
    <w:p>
      <w:pPr>
        <w:spacing w:after="0" w:line="252" w:lineRule="auto"/>
        <w:rPr>
          <w:sz w:val="20"/>
          <w:szCs w:val="20"/>
          <w:color w:val="auto"/>
        </w:rPr>
      </w:pPr>
      <w:r>
        <w:rPr>
          <w:rFonts w:ascii="Arial" w:cs="Arial" w:eastAsia="Arial" w:hAnsi="Arial"/>
          <w:sz w:val="18"/>
          <w:szCs w:val="18"/>
          <w:color w:val="auto"/>
        </w:rPr>
        <w:t>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3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4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73" w:lineRule="exact"/>
        <w:rPr>
          <w:sz w:val="20"/>
          <w:szCs w:val="20"/>
          <w:color w:val="auto"/>
        </w:rPr>
      </w:pPr>
    </w:p>
    <w:p>
      <w:pPr>
        <w:ind w:left="980" w:right="60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62" w:lineRule="exact"/>
        <w:rPr>
          <w:rFonts w:ascii="Arial" w:cs="Arial" w:eastAsia="Arial" w:hAnsi="Arial"/>
          <w:sz w:val="18"/>
          <w:szCs w:val="18"/>
          <w:color w:val="auto"/>
        </w:rPr>
      </w:pPr>
    </w:p>
    <w:p>
      <w:pPr>
        <w:ind w:left="980" w:right="2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62"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62"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71" w:lineRule="exact"/>
        <w:rPr>
          <w:sz w:val="20"/>
          <w:szCs w:val="20"/>
          <w:color w:val="auto"/>
        </w:rPr>
      </w:pPr>
    </w:p>
    <w:p>
      <w:pPr>
        <w:ind w:right="640" w:firstLine="432"/>
        <w:spacing w:after="0" w:line="312" w:lineRule="auto"/>
        <w:rPr>
          <w:sz w:val="20"/>
          <w:szCs w:val="20"/>
          <w:color w:val="auto"/>
        </w:rPr>
      </w:pPr>
      <w:r>
        <w:rPr>
          <w:rFonts w:ascii="Arial" w:cs="Arial" w:eastAsia="Arial" w:hAnsi="Arial"/>
          <w:sz w:val="16"/>
          <w:szCs w:val="16"/>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time, terminate upon the exhaustion of the allocated funding, require renewal by the applicable authority or are being changed by governments due to changing market circumstances or changes to national, state or local energy policy.</w:t>
      </w:r>
    </w:p>
    <w:p>
      <w:pPr>
        <w:spacing w:after="0" w:line="11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was recently extended as part of an Omnibus Appropriations Bill and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w:t>
      </w:r>
    </w:p>
    <w:p>
      <w:pPr>
        <w:spacing w:after="0" w:line="11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do not adequately stimulate future growth in the residential solar market. 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2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also sell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Changes in current laws or regulations applicable to us or the imposition of new laws and regulations in the United States, Canada, Mexico and certain Central American markets, the United Kingdom,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0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right="180" w:firstLine="432"/>
        <w:spacing w:after="0" w:line="269"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3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17"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73"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63"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1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6" w:lineRule="exact"/>
        <w:rPr>
          <w:sz w:val="20"/>
          <w:szCs w:val="20"/>
          <w:color w:val="auto"/>
        </w:rPr>
      </w:pPr>
    </w:p>
    <w:p>
      <w:pPr>
        <w:ind w:left="980" w:right="32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Similarly, the battery cells for our AC Battery product will also initially be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7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prevail in such proceedings. An adverse outcome of any such proceeding may reduce our competitive advantage or otherwise harm our financial condition and our business.</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59" w:lineRule="exact"/>
        <w:rPr>
          <w:sz w:val="20"/>
          <w:szCs w:val="20"/>
          <w:color w:val="auto"/>
        </w:rPr>
      </w:pPr>
    </w:p>
    <w:p>
      <w:pPr>
        <w:ind w:left="980" w:right="6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Covenants in our credit facility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a party to a loan and security agreement with Wells Fargo Bank, National Association (“Wells Fargo”). The loan and security agreement with Wells Fargo restricts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our loan and security agreement with Wells Fargo is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2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1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could harm our reputation, substantially impair our ability to attract and retain customers and have an adverse impact on our business, financial condition and results of operations.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16"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rely on commercial ocean transportation for the delivery of a large percentage of our products to our customers in North America.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73"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980" w:right="80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revolving credit facility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73" w:lineRule="exact"/>
        <w:rPr>
          <w:sz w:val="20"/>
          <w:szCs w:val="20"/>
          <w:color w:val="auto"/>
        </w:rPr>
      </w:pPr>
    </w:p>
    <w:p>
      <w:pPr>
        <w:ind w:left="980" w:right="60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62"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80"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91"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Our corporate headquarters occupy approximately 120,000 square feet in Petaluma, California under a lease that expires in April 2022 and accommodates our principal engineering, sales, marketing, operations and finance and administrative activities. In addition to our corporate headquarters in Petaluma, as of December 31, 2015, we leased office space in Boise, Idaho, Santa Clara and Berkeley, California, the United Kingdom, France, Australia, New Zealand and China. These regional facilities total over 180,000 square feet. At this time, we believe our facilities are adequate for our near term operational and business needs.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9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0" w:lineRule="exact"/>
        <w:rPr>
          <w:sz w:val="20"/>
          <w:szCs w:val="20"/>
          <w:color w:val="auto"/>
        </w:rPr>
      </w:pPr>
    </w:p>
    <w:p>
      <w:pPr>
        <w:ind w:right="180" w:firstLine="446"/>
        <w:spacing w:after="0" w:line="342" w:lineRule="auto"/>
        <w:rPr>
          <w:sz w:val="20"/>
          <w:szCs w:val="20"/>
          <w:color w:val="auto"/>
        </w:rPr>
      </w:pPr>
      <w:r>
        <w:rPr>
          <w:rFonts w:ascii="Arial" w:cs="Arial" w:eastAsia="Arial" w:hAnsi="Arial"/>
          <w:sz w:val="16"/>
          <w:szCs w:val="16"/>
          <w:color w:val="auto"/>
        </w:rPr>
        <w:t>Our common stock has been traded on The NASDAQ Global Market under the symbol “ENPH” since March 30, 2012. The following table sets forth the range of intra-day high and low sales prices per share of our common stock as reported on the NASDAQ Global Market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Price Range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Fiscal Year 2015</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3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7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14.17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Arial" w:cs="Arial" w:eastAsia="Arial" w:hAnsi="Arial"/>
                <w:sz w:val="16"/>
                <w:szCs w:val="16"/>
                <w:b w:val="1"/>
                <w:bCs w:val="1"/>
                <w:color w:val="auto"/>
              </w:rPr>
              <w:t>Fiscal Year 2014</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7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9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15.82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26, 2016, there were approximately 43 holders of record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We have never paid any cash dividends on our common stock. We currently anticipate that we will retain any available funds to finance the growth and operation of our business and we do not anticipate paying any cash dividends in the foreseeable future. Furthermore, our revolving credit facility with Wells Fargo restricts our ability to make dividend payments.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graph depicted below shows a comparison of cumulative total stockholder returns for our common stock, the Russell 2000 and the Guggenheim Solar Index for the period from March 29, 2012 (the date before our common stock began trading on the NASDAQ Global Market) to December 31, 2015. An investment of $100 is assumed to have been made in our common stock and in each index on March 29, 2012 and its relative performance is tracked through December 31, 2015. The information shown is historical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118110</wp:posOffset>
            </wp:positionV>
            <wp:extent cx="5763260" cy="339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3/29/12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12/31/12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12/31/13</w:t>
            </w:r>
          </w:p>
        </w:tc>
        <w:tc>
          <w:tcPr>
            <w:tcW w:w="2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12/31/14</w:t>
            </w: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12/31/15</w:t>
            </w:r>
          </w:p>
        </w:tc>
      </w:tr>
      <w:tr>
        <w:trPr>
          <w:trHeight w:val="41"/>
        </w:trPr>
        <w:tc>
          <w:tcPr>
            <w:tcW w:w="5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Enphase Energy,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Russell 2000 Index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Guggenheim Solar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 xml:space="preserve">The information set forth below for the five years ended December 31, 2015 is not necessarily indicative of results of future operations, and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the consolidated financial statements and related notes thereto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of this Annual Report on Form 10-K to fully understand the factors that may affect the comparability of the information presented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80" w:type="dxa"/>
            <w:vAlign w:val="bottom"/>
            <w:gridSpan w:val="8"/>
          </w:tcPr>
          <w:p>
            <w:pPr>
              <w:jc w:val="right"/>
              <w:ind w:right="731"/>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w w:val="92"/>
              </w:rPr>
              <w:t>Consolidated Statement of Operations Data:</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357,249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343,904</w:t>
            </w:r>
          </w:p>
        </w:tc>
        <w:tc>
          <w:tcPr>
            <w:tcW w:w="62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216,678</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149,523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11"/>
              <w:spacing w:after="0"/>
              <w:rPr>
                <w:sz w:val="20"/>
                <w:szCs w:val="20"/>
                <w:color w:val="auto"/>
              </w:rPr>
            </w:pPr>
            <w:r>
              <w:rPr>
                <w:rFonts w:ascii="Arial" w:cs="Arial" w:eastAsia="Arial" w:hAnsi="Arial"/>
                <w:sz w:val="18"/>
                <w:szCs w:val="18"/>
                <w:color w:val="auto"/>
              </w:rPr>
              <w:t>249,032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230,861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165,430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161,390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120,454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108,217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113,043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50,819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25,099</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98"/>
              </w:rPr>
              <w:t>45,877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30,830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37"/>
        </w:trPr>
        <w:tc>
          <w:tcPr>
            <w:tcW w:w="35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127,526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117,472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89,574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86,449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57,781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(20,703)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6"/>
              </w:rPr>
              <w:t>Net loss attributable to common stockholders</w:t>
            </w:r>
          </w:p>
        </w:tc>
        <w:tc>
          <w:tcPr>
            <w:tcW w:w="3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(22,082)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20" w:type="dxa"/>
            <w:vAlign w:val="bottom"/>
            <w:gridSpan w:val="3"/>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620" w:type="dxa"/>
            <w:vAlign w:val="bottom"/>
            <w:gridSpan w:val="3"/>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98"/>
              </w:rPr>
              <w:t>Shares used in computing net loss per share attributable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8"/>
                <w:szCs w:val="18"/>
                <w:color w:val="auto"/>
                <w:w w:val="98"/>
              </w:rPr>
              <w:t>44,632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42,903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41,647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30,740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89"/>
              </w:rPr>
              <w:t>2013</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77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28,452</w:t>
            </w:r>
          </w:p>
        </w:tc>
        <w:tc>
          <w:tcPr>
            <w:tcW w:w="34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42,032</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38,190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91"/>
              <w:spacing w:after="0"/>
              <w:rPr>
                <w:sz w:val="20"/>
                <w:szCs w:val="20"/>
                <w:color w:val="auto"/>
              </w:rPr>
            </w:pPr>
            <w:r>
              <w:rPr>
                <w:rFonts w:ascii="Arial" w:cs="Arial" w:eastAsia="Arial" w:hAnsi="Arial"/>
                <w:sz w:val="18"/>
                <w:szCs w:val="18"/>
                <w:color w:val="auto"/>
                <w:w w:val="87"/>
              </w:rPr>
              <w:t>45,294</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51,524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165,528</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152,192</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116,669</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91"/>
              <w:spacing w:after="0"/>
              <w:rPr>
                <w:sz w:val="20"/>
                <w:szCs w:val="20"/>
                <w:color w:val="auto"/>
              </w:rPr>
            </w:pPr>
            <w:r>
              <w:rPr>
                <w:rFonts w:ascii="Arial" w:cs="Arial" w:eastAsia="Arial" w:hAnsi="Arial"/>
                <w:sz w:val="18"/>
                <w:szCs w:val="18"/>
                <w:color w:val="auto"/>
                <w:w w:val="95"/>
              </w:rPr>
              <w:t>122,291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106,242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8,677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91"/>
              <w:spacing w:after="0"/>
              <w:rPr>
                <w:sz w:val="20"/>
                <w:szCs w:val="20"/>
                <w:color w:val="auto"/>
              </w:rPr>
            </w:pPr>
            <w:r>
              <w:rPr>
                <w:rFonts w:ascii="Arial" w:cs="Arial" w:eastAsia="Arial" w:hAnsi="Arial"/>
                <w:sz w:val="18"/>
                <w:szCs w:val="18"/>
                <w:color w:val="auto"/>
                <w:w w:val="87"/>
              </w:rPr>
              <w:t>11,061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46,952</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w w:val="87"/>
              </w:rPr>
              <w:t>56,655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Data:</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48,920</w:t>
            </w:r>
          </w:p>
        </w:tc>
        <w:tc>
          <w:tcPr>
            <w:tcW w:w="34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56,190</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57,144</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91"/>
              <w:spacing w:after="0"/>
              <w:rPr>
                <w:sz w:val="20"/>
                <w:szCs w:val="20"/>
                <w:color w:val="auto"/>
              </w:rPr>
            </w:pPr>
            <w:r>
              <w:rPr>
                <w:rFonts w:ascii="Arial" w:cs="Arial" w:eastAsia="Arial" w:hAnsi="Arial"/>
                <w:sz w:val="18"/>
                <w:szCs w:val="18"/>
                <w:color w:val="auto"/>
                <w:w w:val="87"/>
              </w:rPr>
              <w:t>61,143</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29,417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percentage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32.9</w:t>
            </w:r>
          </w:p>
        </w:tc>
        <w:tc>
          <w:tcPr>
            <w:tcW w:w="9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25.5  %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We deliver simple, innovative and reliable energy management solutions that advance the worldwide potential of renewable energy. We were founded in March 2006 and have grown rapidly to become the market leader in the microinverter category. Our technology was designed to increase energy production, simplify design and installation, improve system uptime and reliability, reduce fire safety risk, and provide a platform for intelligent energy management. Since inception, we have shipped more than 10.3 million microinverters, representing over 2.5 gigawatts of solar PV generating capacity, and more than 430,000 Enphase residential and commercial systems have been deployed in over 100 countries.</w:t>
      </w:r>
    </w:p>
    <w:p>
      <w:pPr>
        <w:spacing w:after="0" w:line="3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Historically, revenues generated from the U.S. market have represented more than 80% of our total revenue.</w:t>
      </w:r>
    </w:p>
    <w:p>
      <w:pPr>
        <w:spacing w:after="0" w:line="46"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have experienced revenue growth since our first commercial shipment in mid-2008. Our net revenues were $357.2 million, $343.9 million and $232.8 million for 2015, 2014 and 2013, respectively, which reflects deeper market penetration and broader acceptance of microinverter technology. We incurred net losses of $22.1 million, $8.1 million and $25.9 million for 2015, 2014 and 2013, respectively, as we continued to invest substantial resources to support the growth of our business, including enhancing our research and development operations to drive product cost reductions as well as developing technological innovations and new products, marketing and selling our products, and expanding into new product markets and geographies. At December 31, 2015, we had 543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and our Enlighten cloud-based monitoring service. We sell to distributors, large installers, OEMs and strategic partners.</w:t>
      </w:r>
    </w:p>
    <w:p>
      <w:pPr>
        <w:spacing w:after="0" w:line="62" w:lineRule="exact"/>
        <w:rPr>
          <w:sz w:val="20"/>
          <w:szCs w:val="20"/>
          <w:color w:val="auto"/>
        </w:rPr>
      </w:pPr>
    </w:p>
    <w:p>
      <w:pPr>
        <w:ind w:right="100" w:firstLine="446"/>
        <w:spacing w:after="0" w:line="302" w:lineRule="auto"/>
        <w:rPr>
          <w:sz w:val="20"/>
          <w:szCs w:val="20"/>
          <w:color w:val="auto"/>
        </w:rPr>
      </w:pPr>
      <w:r>
        <w:rPr>
          <w:rFonts w:ascii="Arial" w:cs="Arial" w:eastAsia="Arial" w:hAnsi="Arial"/>
          <w:sz w:val="16"/>
          <w:szCs w:val="16"/>
          <w:color w:val="auto"/>
        </w:rPr>
        <w:t>Our revenue is affected by changes in the volume and average selling prices of our microinverter systems, driven by supply and demand, sales incentives, and competitive product offerings. Our revenue growth is dependent on our ability to compete effectively in the marketplace by developing and introducing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ind w:right="20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46" w:lineRule="exact"/>
        <w:rPr>
          <w:sz w:val="20"/>
          <w:szCs w:val="20"/>
          <w:color w:val="auto"/>
        </w:rPr>
      </w:pPr>
    </w:p>
    <w:p>
      <w:pPr>
        <w:jc w:val="both"/>
        <w:ind w:right="460" w:firstLine="446"/>
        <w:spacing w:after="0" w:line="312"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In addition, third parties, including one of our contract manufacturers, serve as our logistics providers by warehousing and delivering our products in the United States, Europe and Asia.</w:t>
      </w:r>
    </w:p>
    <w:p>
      <w:pPr>
        <w:spacing w:after="0" w:line="62"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incentive compensation and stock-based compensation.</w:t>
      </w:r>
    </w:p>
    <w:p>
      <w:pPr>
        <w:spacing w:after="0" w:line="7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Research and development expense includes personnel-related expenses such as salaries, incentive compensation, stock-based compensation and employee benefits. Research and development employees are engaged in the design and development of power electronics, semiconductors, powerline communications, networking and software functionality, and storage. Research and development expense also includes third-party design and development costs, testing and evaluation costs, depreciation expense and other indirect costs.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substantial resources in our research and development efforts because we believe they are critical to maintaining our competitive position.</w:t>
      </w:r>
    </w:p>
    <w:p>
      <w:pPr>
        <w:spacing w:after="0" w:line="70"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Sales and marketing expense consists primarily of personnel-related expenses such as salaries, commissions, incentive compensation,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83" w:lineRule="exact"/>
        <w:rPr>
          <w:sz w:val="20"/>
          <w:szCs w:val="20"/>
          <w:color w:val="auto"/>
        </w:rPr>
      </w:pPr>
    </w:p>
    <w:p>
      <w:pPr>
        <w:ind w:right="300" w:firstLine="446"/>
        <w:spacing w:after="0" w:line="259"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color w:val="auto"/>
        </w:rPr>
        <w:t>Other expense, net includes interest expense and commitment fees under our revolving credit facility, term loans and non-cash interest expense related to the amortization of deferred financing costs, as well as gains or losses upon conversion of non-U.S. dollar transactions into U.S. dollars and from foreign currency forward contracts.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December 31, 2015.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Statements of Operations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357,249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249,032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165,430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23,970</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127,526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117,472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2015, 2014 and 2013</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142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4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4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w w:val="91"/>
              </w:rPr>
              <w:t>(In thousands, except percentages)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w w:val="92"/>
              </w:rPr>
              <w:t>(In thousands, except percentages)</w:t>
            </w:r>
          </w:p>
        </w:tc>
        <w:tc>
          <w:tcPr>
            <w:tcW w:w="580" w:type="dxa"/>
            <w:vAlign w:val="bottom"/>
          </w:tcPr>
          <w:p>
            <w:pPr>
              <w:spacing w:after="0"/>
              <w:rPr>
                <w:sz w:val="21"/>
                <w:szCs w:val="21"/>
                <w:color w:val="auto"/>
              </w:rPr>
            </w:pPr>
          </w:p>
        </w:tc>
      </w:tr>
      <w:tr>
        <w:trPr>
          <w:trHeight w:val="24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357,249</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343,904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  13,345</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  $</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343,904</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232,846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w w:val="99"/>
              </w:rPr>
              <w:t>$   111,058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460" w:firstLine="446"/>
        <w:spacing w:after="0" w:line="312" w:lineRule="auto"/>
        <w:rPr>
          <w:sz w:val="20"/>
          <w:szCs w:val="20"/>
          <w:color w:val="auto"/>
        </w:rPr>
      </w:pPr>
      <w:r>
        <w:rPr>
          <w:rFonts w:ascii="Arial" w:cs="Arial" w:eastAsia="Arial" w:hAnsi="Arial"/>
          <w:sz w:val="16"/>
          <w:szCs w:val="16"/>
          <w:b w:val="1"/>
          <w:bCs w:val="1"/>
          <w:i w:val="1"/>
          <w:iCs w:val="1"/>
          <w:color w:val="auto"/>
        </w:rPr>
        <w:t xml:space="preserve">2015 Compared to 2014. </w:t>
      </w:r>
      <w:r>
        <w:rPr>
          <w:rFonts w:ascii="Arial" w:cs="Arial" w:eastAsia="Arial" w:hAnsi="Arial"/>
          <w:sz w:val="16"/>
          <w:szCs w:val="16"/>
          <w:color w:val="auto"/>
        </w:rPr>
        <w:t>Net revenues increased by 4% to $357.2 million in 2015, as compared to 2014. The number of microinverter units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19% from 2.6 million units in 2014 to 3.1 million units in 2015. Net revenues grew year-over-year at a slower pace than units sold due to a decline in the average selling price. Average selling prices per watt for microinverters shipped declined approximately 15% in 2015 compared to 2014.</w:t>
      </w:r>
    </w:p>
    <w:p>
      <w:pPr>
        <w:spacing w:after="0" w:line="9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Net revenues increased by 48% to $343.9 million in 2014, as compared to 2013. The number of microinverter units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59% from 1.6 million units in 2013 to 2.6 million units in 2014. Revenues grew year-over year at a slightly slower pace than units shipped due to a decline in the average selling price, which was consistent with trends in the solar industry. Average selling prices per watt for microinverters shipped declined by approximately 9% in 2014 compared to 2013.</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2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20"/>
                <w:szCs w:val="20"/>
                <w:color w:val="auto"/>
              </w:rPr>
            </w:pPr>
          </w:p>
        </w:tc>
      </w:tr>
      <w:tr>
        <w:trPr>
          <w:trHeight w:val="264"/>
        </w:trPr>
        <w:tc>
          <w:tcPr>
            <w:tcW w:w="2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40" w:type="dxa"/>
            <w:vAlign w:val="bottom"/>
            <w:gridSpan w:val="5"/>
          </w:tcPr>
          <w:p>
            <w:pPr>
              <w:jc w:val="right"/>
              <w:ind w:right="577"/>
              <w:spacing w:after="0"/>
              <w:rPr>
                <w:sz w:val="20"/>
                <w:szCs w:val="20"/>
                <w:color w:val="auto"/>
              </w:rPr>
            </w:pPr>
            <w:r>
              <w:rPr>
                <w:rFonts w:ascii="Arial" w:cs="Arial" w:eastAsia="Arial" w:hAnsi="Arial"/>
                <w:sz w:val="14"/>
                <w:szCs w:val="14"/>
                <w:b w:val="1"/>
                <w:bCs w:val="1"/>
                <w:color w:val="auto"/>
                <w:w w:val="91"/>
              </w:rPr>
              <w:t>(In thousands, except percentages)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2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w w:val="89"/>
              </w:rPr>
              <w:t>(In thousands, except percentages)</w:t>
            </w:r>
          </w:p>
        </w:tc>
        <w:tc>
          <w:tcPr>
            <w:tcW w:w="540" w:type="dxa"/>
            <w:vAlign w:val="bottom"/>
          </w:tcPr>
          <w:p>
            <w:pPr>
              <w:spacing w:after="0"/>
              <w:rPr>
                <w:sz w:val="21"/>
                <w:szCs w:val="21"/>
                <w:color w:val="auto"/>
              </w:rPr>
            </w:pPr>
          </w:p>
        </w:tc>
      </w:tr>
      <w:tr>
        <w:trPr>
          <w:trHeight w:val="25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249,032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230,861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8"/>
                <w:szCs w:val="18"/>
                <w:color w:val="auto"/>
              </w:rPr>
              <w:t>18,171</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8 %  $</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230,861</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165,430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rPr>
              <w:t>$  65,431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108,217</w:t>
            </w:r>
          </w:p>
        </w:tc>
        <w:tc>
          <w:tcPr>
            <w:tcW w:w="34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113,043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7"/>
              <w:spacing w:after="0"/>
              <w:rPr>
                <w:sz w:val="20"/>
                <w:szCs w:val="20"/>
                <w:color w:val="auto"/>
              </w:rPr>
            </w:pPr>
            <w:r>
              <w:rPr>
                <w:rFonts w:ascii="Arial" w:cs="Arial" w:eastAsia="Arial" w:hAnsi="Arial"/>
                <w:sz w:val="18"/>
                <w:szCs w:val="18"/>
                <w:color w:val="auto"/>
              </w:rPr>
              <w:t>(4,826)</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113,043</w:t>
            </w:r>
          </w:p>
        </w:tc>
        <w:tc>
          <w:tcPr>
            <w:tcW w:w="40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67,416</w:t>
            </w:r>
          </w:p>
        </w:tc>
        <w:tc>
          <w:tcPr>
            <w:tcW w:w="120" w:type="dxa"/>
            <w:vAlign w:val="bottom"/>
          </w:tcPr>
          <w:p>
            <w:pPr>
              <w:spacing w:after="0"/>
              <w:rPr>
                <w:sz w:val="21"/>
                <w:szCs w:val="21"/>
                <w:color w:val="auto"/>
              </w:rPr>
            </w:pPr>
          </w:p>
        </w:tc>
        <w:tc>
          <w:tcPr>
            <w:tcW w:w="1280" w:type="dxa"/>
            <w:vAlign w:val="bottom"/>
          </w:tcPr>
          <w:p>
            <w:pPr>
              <w:jc w:val="right"/>
              <w:ind w:right="419"/>
              <w:spacing w:after="0"/>
              <w:rPr>
                <w:sz w:val="20"/>
                <w:szCs w:val="20"/>
                <w:color w:val="auto"/>
              </w:rPr>
            </w:pPr>
            <w:r>
              <w:rPr>
                <w:rFonts w:ascii="Arial" w:cs="Arial" w:eastAsia="Arial" w:hAnsi="Arial"/>
                <w:sz w:val="18"/>
                <w:szCs w:val="18"/>
                <w:color w:val="auto"/>
              </w:rPr>
              <w:t>45,627</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459"/>
        </w:trPr>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397"/>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b w:val="1"/>
          <w:bCs w:val="1"/>
          <w:i w:val="1"/>
          <w:iCs w:val="1"/>
          <w:color w:val="auto"/>
        </w:rPr>
        <w:t xml:space="preserve">2015 Compared to 2014. </w:t>
      </w:r>
      <w:r>
        <w:rPr>
          <w:rFonts w:ascii="Arial" w:cs="Arial" w:eastAsia="Arial" w:hAnsi="Arial"/>
          <w:sz w:val="18"/>
          <w:szCs w:val="18"/>
          <w:color w:val="auto"/>
        </w:rPr>
        <w:t>Cost of revenues increased by 8% in 2015, as compared to 2014, and was attributable to the greater volume of shipments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products. Gross margin decreased by 2.6 percentage points to 30.3% in 2015, as compared to 32.9% in 2014. While we experienced a reduction in our product costs, the adoption of a more aggressive pricing strategy resulted in a decrease to our gross margin. In 2015, our gross margin included the benefit of lower warranty expense, as compared to 2014, which positively impacted gross margin by 2.5 percentage points. The higher warranty expense in 2014 was primarily due to incremental provisions recorded for changes in estimates, which reduced gross margin by 2.4 percentage points. In 2015, changes in estimates related to warranty expense did not impact gross margin. See Note 7, “Warranty Obligations” to the consolidated financial statements for further discussion.</w:t>
      </w:r>
    </w:p>
    <w:p>
      <w:pPr>
        <w:spacing w:after="0" w:line="135" w:lineRule="exact"/>
        <w:rPr>
          <w:sz w:val="20"/>
          <w:szCs w:val="20"/>
          <w:color w:val="auto"/>
        </w:rPr>
      </w:pPr>
    </w:p>
    <w:p>
      <w:pPr>
        <w:ind w:right="120" w:firstLine="446"/>
        <w:spacing w:after="0" w:line="290" w:lineRule="auto"/>
        <w:rPr>
          <w:sz w:val="20"/>
          <w:szCs w:val="20"/>
          <w:color w:val="auto"/>
        </w:rPr>
      </w:pPr>
      <w:r>
        <w:rPr>
          <w:rFonts w:ascii="Arial" w:cs="Arial" w:eastAsia="Arial" w:hAnsi="Arial"/>
          <w:sz w:val="16"/>
          <w:szCs w:val="16"/>
          <w:b w:val="1"/>
          <w:bCs w:val="1"/>
          <w:i w:val="1"/>
          <w:iCs w:val="1"/>
          <w:color w:val="auto"/>
        </w:rPr>
        <w:t xml:space="preserve">2014 Compared to 2013. </w:t>
      </w:r>
      <w:r>
        <w:rPr>
          <w:rFonts w:ascii="Arial" w:cs="Arial" w:eastAsia="Arial" w:hAnsi="Arial"/>
          <w:sz w:val="16"/>
          <w:szCs w:val="16"/>
          <w:color w:val="auto"/>
        </w:rPr>
        <w:t>Cost of revenues increased by 40% in 2014, as compared to 2013, and was attributable to the greater volume of shipments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products. Gross margin increased by 3.9 percentage points to 32.9% in 2014, as compared to 29.0% in 2013. Contributing to the increase was a larger proportion of sales from our higher-margin fourth generation microinverters sold in 2014 as compared to 2013. Also contributing to the increase in gross margin was lower warranty expense in 2014 as compared to 2013. In 2014, our gross margin included the benefit of lower warranty expense, as compared to 2013, which positively impacted gross margin by 2 percentage points. The higher warranty expense in 2013 was primarily due to incremental provisions recorded for changes in estimates, which reduced gross margin by 4.4 percentage points. In 2014, changes in estimates related to warranty expense reduced gross margin by 2.4 percentage points. In addition, our election to measure warranty obligations related to microinverters sold since January 1, 2014 at fair value improved gross margin by 1.5 percentage points. See Note 7, “Warranty Obligations” to the consolidated financial statements for further discussion.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ind w:left="12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80" w:type="dxa"/>
            <w:vAlign w:val="bottom"/>
            <w:gridSpan w:val="5"/>
          </w:tcPr>
          <w:p>
            <w:pPr>
              <w:jc w:val="right"/>
              <w:ind w:right="542"/>
              <w:spacing w:after="0"/>
              <w:rPr>
                <w:sz w:val="20"/>
                <w:szCs w:val="20"/>
                <w:color w:val="auto"/>
              </w:rPr>
            </w:pPr>
            <w:r>
              <w:rPr>
                <w:rFonts w:ascii="Arial" w:cs="Arial" w:eastAsia="Arial" w:hAnsi="Arial"/>
                <w:sz w:val="14"/>
                <w:szCs w:val="14"/>
                <w:b w:val="1"/>
                <w:bCs w:val="1"/>
                <w:color w:val="auto"/>
                <w:w w:val="91"/>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780" w:type="dxa"/>
            <w:vAlign w:val="bottom"/>
            <w:gridSpan w:val="5"/>
          </w:tcPr>
          <w:p>
            <w:pPr>
              <w:jc w:val="right"/>
              <w:ind w:right="54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50,819</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45,386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5,433</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45,386</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34,524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10,862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8"/>
              </w:rPr>
              <w:t>Percentage of net revenues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pacing w:after="0" w:line="175"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b w:val="1"/>
          <w:bCs w:val="1"/>
          <w:i w:val="1"/>
          <w:iCs w:val="1"/>
          <w:color w:val="auto"/>
        </w:rPr>
        <w:t xml:space="preserve">2015 Compared to 2014. </w:t>
      </w:r>
      <w:r>
        <w:rPr>
          <w:rFonts w:ascii="Arial" w:cs="Arial" w:eastAsia="Arial" w:hAnsi="Arial"/>
          <w:sz w:val="17"/>
          <w:szCs w:val="17"/>
          <w:color w:val="auto"/>
        </w:rPr>
        <w:t>Research and development expenses increased by $5.4 million in 2015 as compared to 2014. This increase was primarily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 increase in research and development headcount, which resulted in increased expense of $3.9 million from salaries and stock-based compensation partially offset by lower incentive compensation costs. In addition, there was an increase in outside contract services of $1.0 million to support the development of new products as well as enhancements and cost reductions to existing products. The remaining increase of $0.5 million was attributed to higher depreciation and amortization related to research and development equipment. The amount of research and development expenses may fluctuate from period to period due to the differing levels and stages of development activity.</w:t>
      </w:r>
    </w:p>
    <w:p>
      <w:pPr>
        <w:spacing w:after="0" w:line="124"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Research and development expenses increased by $10.9 million in 2014 as compared to 2013. This increase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research and development headcount, which resulted in increased expense of $7.2 million from salaries, incentive compensation and stock-based compensation. In addition, there was an increase in outside contract services of $3.0 million to support the development of our next generation microinverter system. The remaining increase of $0.5 million was attributed to higher depreciation and amortization related to research and development equipment.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20"/>
                <w:szCs w:val="20"/>
                <w:color w:val="auto"/>
              </w:rPr>
            </w:pPr>
          </w:p>
        </w:tc>
      </w:tr>
      <w:tr>
        <w:trPr>
          <w:trHeight w:val="264"/>
        </w:trPr>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80" w:type="dxa"/>
            <w:vAlign w:val="bottom"/>
            <w:gridSpan w:val="5"/>
          </w:tcPr>
          <w:p>
            <w:pPr>
              <w:jc w:val="right"/>
              <w:ind w:right="54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w w:val="91"/>
              </w:rPr>
              <w:t>(In thousands, except percentages)</w:t>
            </w:r>
          </w:p>
        </w:tc>
        <w:tc>
          <w:tcPr>
            <w:tcW w:w="56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45,877</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41,003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4,874</w:t>
            </w: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41,003</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31,080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9,923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8"/>
              </w:rPr>
              <w:t>Percentage of net revenues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b w:val="1"/>
          <w:bCs w:val="1"/>
          <w:i w:val="1"/>
          <w:iCs w:val="1"/>
          <w:color w:val="auto"/>
        </w:rPr>
        <w:t xml:space="preserve">2015 Compared to 2014. </w:t>
      </w:r>
      <w:r>
        <w:rPr>
          <w:rFonts w:ascii="Arial" w:cs="Arial" w:eastAsia="Arial" w:hAnsi="Arial"/>
          <w:sz w:val="17"/>
          <w:szCs w:val="17"/>
          <w:color w:val="auto"/>
        </w:rPr>
        <w:t>Sales and marketing expenses increased by $4.9 million in 2015 as compared to 2014. This increase was primarily due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sales and marketing headcount during the first nine months of 2015, which resulted in increased expense of $4.0 million from salaries and stock-based compensation partially offset by lower incentive compensation costs. Other increases include a $1.3 million increase in bad debt expense, $0.7 million in marketing and consulting expenses and a $0.7 million increase in facilities related costs. These increases were partially offset by a $1.8 million benefit related to a revaluation of acquisition-related contingent consideration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Sales and marketing expenses increased by $9.9 million in 2014 as compared to 2013. This increase was primarily due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sales and marketing headcount, which resulted in increased expense of $9.1 million from salaries, incentive compensation and stock-based compensation. In addition, increased marketing activities mostly from trade shows and use of outside consultants contributed $1.3 million to the increase. The increase was partially offset by $0.5 million in bad debt recoveries.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20"/>
                <w:szCs w:val="20"/>
                <w:color w:val="auto"/>
              </w:rPr>
            </w:pPr>
          </w:p>
        </w:tc>
      </w:tr>
      <w:tr>
        <w:trPr>
          <w:trHeight w:val="264"/>
        </w:trPr>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76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8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w w:val="90"/>
              </w:rPr>
              <w:t>(In thousands, except percentages)</w:t>
            </w:r>
          </w:p>
        </w:tc>
        <w:tc>
          <w:tcPr>
            <w:tcW w:w="560" w:type="dxa"/>
            <w:vAlign w:val="bottom"/>
          </w:tcPr>
          <w:p>
            <w:pPr>
              <w:spacing w:after="0"/>
              <w:rPr>
                <w:sz w:val="21"/>
                <w:szCs w:val="2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30,830</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31,083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(253)</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  $</w:t>
            </w: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31,083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7,113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8"/>
              </w:rPr>
              <w:t>Percentage of net revenues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b w:val="1"/>
          <w:bCs w:val="1"/>
          <w:i w:val="1"/>
          <w:iCs w:val="1"/>
          <w:color w:val="auto"/>
        </w:rPr>
        <w:t xml:space="preserve">2015 Compared to 2014. </w:t>
      </w:r>
      <w:r>
        <w:rPr>
          <w:rFonts w:ascii="Arial" w:cs="Arial" w:eastAsia="Arial" w:hAnsi="Arial"/>
          <w:sz w:val="18"/>
          <w:szCs w:val="18"/>
          <w:color w:val="auto"/>
        </w:rPr>
        <w:t>General and administrative expenses slightly decreased in 2015 as compared to 2014. Personnel-related costs decreased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primarily due to lower incentive compensation expense in 2015, as compared to 2014. This decrease was offset by a $1.4 million increase related to corporate-level expenses, including rent, utilities and depreciation related to corporate fixed assets, a $0.5 million increase in recruiting costs and a $0.3 million increase in professional services costs.</w:t>
      </w:r>
    </w:p>
    <w:p>
      <w:pPr>
        <w:spacing w:after="0" w:line="187"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2014 Compared to 2013. </w:t>
      </w:r>
      <w:r>
        <w:rPr>
          <w:rFonts w:ascii="Arial" w:cs="Arial" w:eastAsia="Arial" w:hAnsi="Arial"/>
          <w:sz w:val="18"/>
          <w:szCs w:val="18"/>
          <w:color w:val="auto"/>
        </w:rPr>
        <w:t>General and administrative expenses increased by $7.1 million in 2014 as compared to 2013. This increase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increase in personnel-related costs of $4.6 million related to modest headcount growth and increases in incentive and stock-based compensation for existing employees. In addition, an increase in the use of outside consultants including advisory services for our secondary offering and acquisition contributed $1.6 million to the increase. The remaining increase was attributable to facilities-related costs, information technology costs and other general corporate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3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3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60" w:type="dxa"/>
            <w:vAlign w:val="bottom"/>
            <w:gridSpan w:val="5"/>
          </w:tcPr>
          <w:p>
            <w:pPr>
              <w:jc w:val="right"/>
              <w:ind w:right="50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6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4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Other income (expense),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1,463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b w:val="1"/>
          <w:bCs w:val="1"/>
          <w:i w:val="1"/>
          <w:iCs w:val="1"/>
          <w:color w:val="auto"/>
        </w:rPr>
        <w:t xml:space="preserve">2015 Compared to 2014. </w:t>
      </w:r>
      <w:r>
        <w:rPr>
          <w:rFonts w:ascii="Arial" w:cs="Arial" w:eastAsia="Arial" w:hAnsi="Arial"/>
          <w:sz w:val="18"/>
          <w:szCs w:val="18"/>
          <w:color w:val="auto"/>
        </w:rPr>
        <w:t>Other expense decreased $1.5 million in 2015, as compared to 2014, primarily as a result of lower interest paid due to the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repayment of our term loan with Hercules Technology Growth Capital, Inc. in December 2014.</w:t>
      </w:r>
    </w:p>
    <w:p>
      <w:pPr>
        <w:spacing w:after="0" w:line="170" w:lineRule="exact"/>
        <w:rPr>
          <w:sz w:val="20"/>
          <w:szCs w:val="20"/>
          <w:color w:val="auto"/>
        </w:rPr>
      </w:pPr>
    </w:p>
    <w:p>
      <w:pPr>
        <w:jc w:val="both"/>
        <w:ind w:right="240" w:firstLine="446"/>
        <w:spacing w:after="0" w:line="286" w:lineRule="auto"/>
        <w:rPr>
          <w:sz w:val="20"/>
          <w:szCs w:val="20"/>
          <w:color w:val="auto"/>
        </w:rPr>
      </w:pPr>
      <w:r>
        <w:rPr>
          <w:rFonts w:ascii="Arial" w:cs="Arial" w:eastAsia="Arial" w:hAnsi="Arial"/>
          <w:sz w:val="17"/>
          <w:szCs w:val="17"/>
          <w:b w:val="1"/>
          <w:bCs w:val="1"/>
          <w:i w:val="1"/>
          <w:iCs w:val="1"/>
          <w:color w:val="auto"/>
        </w:rPr>
        <w:t xml:space="preserve">2014 Compared to 2013. </w:t>
      </w:r>
      <w:r>
        <w:rPr>
          <w:rFonts w:ascii="Arial" w:cs="Arial" w:eastAsia="Arial" w:hAnsi="Arial"/>
          <w:sz w:val="17"/>
          <w:szCs w:val="17"/>
          <w:color w:val="auto"/>
        </w:rPr>
        <w:t>Other expense remained flat at $2.9 million in 2014 and 2013, respectively, and primarily consisted of interest expense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currency transaction losses. In December 2014, we recorded $0.3 million of interest expense related to the write-off of deferred financing costs and the unaccrued portion of the end of term fee in connection with the voluntary prepayment of our term loan.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As of December 31, 2015, we had $28.5 million in cash and cash equivalents and working capital of $48.9 million. Cash and cash equivalents held in the United States were $23.4 million and consisted primarily of non-interest bearing checking deposits, with the remainder held in various foreign subsidiaries.</w:t>
      </w:r>
    </w:p>
    <w:p>
      <w:pPr>
        <w:spacing w:after="0" w:line="73"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We maintain a $50.0 million revolving credit facility with Wells Fargo Bank, N.A. (“Wells Fargo”) that was entered into on November 7, 2012, as first amended on February 14, 2014. On December 18, 2015, we entered into an amended and restated revolving credit agreement with Wells Fargo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187"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our option, either LIBOR or a “base rate” that is comprised of, among other things, the prime rate, plus a margin that is between 1.0% and 3.75% depending on the currency borrowed and the specific term of repayment. The Revolver requires us to pay a commitment fee between 0.25% and 0.375% based on the average daily unused portion of the revolving credit commitment.</w:t>
      </w:r>
    </w:p>
    <w:p>
      <w:pPr>
        <w:spacing w:after="0" w:line="17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Revolver is secured by a pledge of substantially all our assets other than intellectual property and contains customary affirmative and negative covenants (including restricting our ability to make dividend payments) and events of default. In addition, the Revolver requires us to maintain at least $15.0 million of liquidity at all times, of which at least $5.0 million must be undrawn availability. As of December 31, 2015, the Company was in compliance with such covenants under the Revolver.</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2015, the amount outstanding under the Revolver was $17.0 million leaving an unused borrowing capacity of $27.7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interest rate related to these borrowings was 4.3%.</w:t>
      </w:r>
    </w:p>
    <w:p>
      <w:pPr>
        <w:spacing w:after="0" w:line="21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believe our current cash and cash equivalents of $28.5 million as of December 31, 2015, together with borrowings expected to be available under our Revolver, will be sufficient to satisfy our working capital needs, capital asset purchases, service our indebtedness, outstanding commitments and obligations and fund our operations for at least the next 12 months. If we are unable to meet our projected performance targets, our liquidity could be adversely impacted and we may need to seek additional sources of liquidity.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For 2015, net cash used in operating activities was $21.2 million primarily resulting from a net loss of $22.1 million. The net loss was partially offset by non-cash charges including, stock-based compensation of $12.7 million, depreciation and amortization of $10.5 million, and net adjustments of $1.0 million for other non-cash items. In addition, the effect of changes in net operating assets and liabilities resulted in the use of cash totaling $23.3 million.</w:t>
      </w:r>
    </w:p>
    <w:p>
      <w:pPr>
        <w:spacing w:after="0" w:line="12"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The primary use of cash from changes in net operating assets and liabilities was attributable to a $19.2 million increase in inventory. The increase in inventory was attributed to lower sales in the fourth quarter of 2015, as compared to the same period in 2014. Other uses of cash from changes in net operating assets and liabilities included a $5.3 million increase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other assets primarily attributable to an increase in customer financing receivables and the corresponding deferred costs of revenues, $3.4 million decrease in warranty obligations, $2.6 million decrease in accounts payable and accrued other liabilities due to timing of payments and a decrease in incentive compensation accrual and $2.5 million increase in accounts receivable. Offsetting these uses of cash was an increase in deferred revenue of $9.7 million related to our Enlighten service as well as deferred product revenue corresponding with the increase in customer financing receivables.</w:t>
      </w:r>
    </w:p>
    <w:p>
      <w:pPr>
        <w:spacing w:after="0" w:line="36" w:lineRule="exact"/>
        <w:rPr>
          <w:sz w:val="20"/>
          <w:szCs w:val="20"/>
          <w:color w:val="auto"/>
        </w:rPr>
      </w:pPr>
    </w:p>
    <w:p>
      <w:pPr>
        <w:ind w:right="260" w:firstLine="446"/>
        <w:spacing w:after="0" w:line="312" w:lineRule="auto"/>
        <w:rPr>
          <w:sz w:val="20"/>
          <w:szCs w:val="20"/>
          <w:color w:val="auto"/>
        </w:rPr>
      </w:pPr>
      <w:r>
        <w:rPr>
          <w:rFonts w:ascii="Arial" w:cs="Arial" w:eastAsia="Arial" w:hAnsi="Arial"/>
          <w:sz w:val="16"/>
          <w:szCs w:val="16"/>
          <w:color w:val="auto"/>
        </w:rPr>
        <w:t>For 2014, net cash provided by operating activities was $24.2 million. Our net loss of $8.1 million was more than offset by non-cash charges and net changes in operating assets and liabilities. Non-cash charges included $9.7 million of stock-based compensation, $8.3 million of depreciation and amortization and $1.4 million of other non-cash charges. In addition, cash provided by net changes in operating assets and liabilities was $12.8 million.</w:t>
      </w:r>
    </w:p>
    <w:p>
      <w:pPr>
        <w:spacing w:after="0" w:line="12"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For 2013, net cash used in operating activities was $0.9 million. Our net loss of $25.9 million was substantially offset by non-cash charges and net changes in operating assets and liabilities. Non-cash items included $7.0 million of depreciation and amortization, $6.9 million of stock-based compensation, a provision for doubtful accounts of $0.7 million and $0.4 million of non-cash interest expense. In addition, cash provided by net changes in operating assets and liabilities was $10.0 million.</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For 2015, net cash used in investing activities of $12.5 million included $10.2 million for purchases of test and assembly equipment and $2.3 million of capitalized internal-use software costs. In addition, we licensed certain technology related to ASIC development for a three-year term. Pursuant to the agreement, we paid $0.2 million in 2015 with the remaining $0.7 million payable in 2016.</w:t>
      </w:r>
    </w:p>
    <w:p>
      <w:pPr>
        <w:spacing w:after="0" w:line="181"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For 2014, net cash used in investing activities of $16.5 million included purchases of test and assembly equipment and capitalized internal-use software costs. In addition, we acquired substantially all of the assets of Next Phase Solar, Inc. (“NPS”) for an initial cash consideration of $2.5 million, which included $0.3 million being held back to cover indemnification obligations of the selling party and recorded as restricted cash. In a separate transaction, we purchased certain patents related to system interconnection and photovoltaic AC module construction for $0.8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2013, net cash used in investing activities of $6.3 million included purchases of test and assembly equipment and capitalized internal-use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For 2015, net cash provided by financing activities primarily consisted of $17.0 million from net borrowings made under our Revolver to fund our working capital needs, $4.0 million received from common stock issuance pursuant to our equity incentive plans, $0.2 million in financing costs associated with the amended and restated revolving credit facility.</w:t>
      </w:r>
    </w:p>
    <w:p>
      <w:pPr>
        <w:spacing w:after="0" w:line="181" w:lineRule="exact"/>
        <w:rPr>
          <w:sz w:val="20"/>
          <w:szCs w:val="20"/>
          <w:color w:val="auto"/>
        </w:rPr>
      </w:pPr>
    </w:p>
    <w:p>
      <w:pPr>
        <w:ind w:right="540" w:firstLine="446"/>
        <w:spacing w:after="0" w:line="308" w:lineRule="auto"/>
        <w:rPr>
          <w:sz w:val="20"/>
          <w:szCs w:val="20"/>
          <w:color w:val="auto"/>
        </w:rPr>
      </w:pPr>
      <w:r>
        <w:rPr>
          <w:rFonts w:ascii="Arial" w:cs="Arial" w:eastAsia="Arial" w:hAnsi="Arial"/>
          <w:sz w:val="17"/>
          <w:szCs w:val="17"/>
          <w:color w:val="auto"/>
        </w:rPr>
        <w:t>For 2014, net cash used in financing activities consisted of $8.7 million related to repayment of all outstanding principal under our term loan and equipment financing facility, offset by $5.4 million received from common stock issuance pursuant to our equity incentive plans.</w:t>
      </w:r>
    </w:p>
    <w:p>
      <w:pPr>
        <w:spacing w:after="0" w:line="14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For 2013, net cash used by financing activities was insignificant. Cash received from common stock issuance pursuant to our equity incentive plans was $2.4 million. These inflows of cash were offset by principal repayments of term loans of $2.4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outstanding contractual obligations as of December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Less Than 1 Year</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1-3 Years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4-5 Years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More Than 5 Years</w:t>
            </w:r>
          </w:p>
        </w:tc>
      </w:tr>
      <w:tr>
        <w:trPr>
          <w:trHeight w:val="250"/>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(1)</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 (2)</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86,124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58,074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4,789</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borrowings outstanding under our Revolver are subject to fluctuation, interest payments have been excluded from this table.</w:t>
      </w:r>
    </w:p>
    <w:p>
      <w:pPr>
        <w:spacing w:after="0" w:line="117" w:lineRule="exact"/>
        <w:rPr>
          <w:rFonts w:ascii="Arial" w:cs="Arial" w:eastAsia="Arial" w:hAnsi="Arial"/>
          <w:sz w:val="18"/>
          <w:szCs w:val="18"/>
          <w:color w:val="auto"/>
        </w:rPr>
      </w:pPr>
    </w:p>
    <w:p>
      <w:pPr>
        <w:jc w:val="both"/>
        <w:ind w:left="660" w:right="18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and a take-or-pay supply agreement for the purchase of silicone encapsulates that expires on December 31, 2018. The timing of purchases in future periods could differ materially from estimates presented above due to fluctuations in demand requirements related to varying sales levels as well as changes in economic conditions.</w:t>
      </w:r>
    </w:p>
    <w:p>
      <w:pPr>
        <w:spacing w:after="0" w:line="187"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As of December 31, 2015, the liability recorded for uncertain tax positions, including associated interest and penalties, was approximately $0.9 million. Since the ultimate amount and timing of cash settlements cannot be predicted due to the high degree of uncertainty, liabilities for uncertain tax positions are excluded from the contractual obligations table. See Note 12, “Income Taxes”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we did not have any off-balance-sheet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360" w:firstLine="446"/>
        <w:spacing w:after="0" w:line="257" w:lineRule="auto"/>
        <w:rPr>
          <w:sz w:val="20"/>
          <w:szCs w:val="20"/>
          <w:color w:val="auto"/>
        </w:rPr>
      </w:pPr>
      <w:r>
        <w:rPr>
          <w:rFonts w:ascii="Arial" w:cs="Arial" w:eastAsia="Arial" w:hAnsi="Arial"/>
          <w:sz w:val="18"/>
          <w:szCs w:val="18"/>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For a description of our significant accounting policies, see Note 2, “Summary of Significant Accounting Policies” to our consolidated financial statements.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We generate revenue from sales of our microinverter systems, which include microinverter units and related accessories, an Envoy communications gateway, and an Enlighten cloud-based monitoring service, to distributors, large installers, OEMs and strategic partners. Enlighten service revenue represented less than 2% of the total revenues for all periods presented.</w:t>
      </w:r>
    </w:p>
    <w:p>
      <w:pPr>
        <w:spacing w:after="0" w:line="127"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Revenues from sales of microinverters and related accessories, and communication gateways are recognized when: (i) persuasive evidence of an arrangement exists; (ii) delivery of the products has occurred in accordance with the terms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27"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Sales of an Envoy communications gateway include the Enlighten cloud-based monitoring service. The allocation of revenue between the two deliverables is based on our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 devices is recognized upon shipment, assuming all other revenue recognition criteria have been met and (ii) revenue from the cloud-based monitoring service is recognized ratably over the estimated economic life of the related Envoy devices of 10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Inventory is valued at the lower of cost or market.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 The impact of changes in the inventory valuation allowance for 2015, 2014 and 2013 were insignificant.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We allocate the fair value of purchase consideration to the tangible and intangible assets acquired, and liabilities assumed based on their estimated fair values at the acquisition date. We use judgment to estimate the fair value of contingent consideration (a component of the purchase consideration), identify all the tangible and intangible assets acquired, estimate the fair value of these assets, estimate the useful life of the assets, and assess the appropriate method for recognizing depreciation or amortization expense over the asset’s useful life. We believe that the accounting estimates related to purchase price allocations are critical accounting estimates because the assumptions impact the amounts and classifications of assets and liabilities presented in our consolidated balance sheets, the future amount of amortization and depreciation expense that will be recorded in our consolidated statements of operations, and the amount of goodwill which will be subject to impairment testing performed in subsequent periods. Critical estimates in valuing contingent consideration include but are not limited to probabilities applied to multiple payout scenarios and a risk-adjusted discount rate. Critical estimates in valuing intangible assets (i.e. customer relationships) include but are not limited to future expected cash flows from customer relationships and customer attrition rates. Management’s estimates of fair value are based upon assumptions believed to be reasonable, but which are inherently uncertain and unpredictable and, as a result, actual results may differ from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3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b w:val="1"/>
          <w:bCs w:val="1"/>
          <w:i w:val="1"/>
          <w:iCs w:val="1"/>
          <w:color w:val="auto"/>
        </w:rPr>
        <w:t>Estimated Failure Rates—</w:t>
      </w:r>
      <w:r>
        <w:rPr>
          <w:rFonts w:ascii="Arial" w:cs="Arial" w:eastAsia="Arial" w:hAnsi="Arial"/>
          <w:sz w:val="17"/>
          <w:szCs w:val="17"/>
          <w:color w:val="auto"/>
        </w:rPr>
        <w:t>Our Quality and Reliability department has primary responsibility to determine the estimated failure rates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of microinverter. To establish initial failure rate estimates for each generation of microinverter, our quality engineers use a combination of industry standard MTBF (Mean Time Between Failure) estimates for individual components contained in its microinverters, third party data collected on similar equipment deployed in outdoor environments similar to those in which our microinverters are installed, and rigorous long term reliability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accelerated life cycle testing which simulates the service life of the microinverter in a short period of time. As units are deployed into operating environments, we continue to monitor product performance via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performs diagnostic root cause failure analysis to understand and isolate the underlying mechanism(s) causing the failure. We then use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65"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 the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the vast majority of our microinverters have 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18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b w:val="1"/>
          <w:bCs w:val="1"/>
          <w:i w:val="1"/>
          <w:iCs w:val="1"/>
          <w:color w:val="auto"/>
        </w:rPr>
        <w:t>Estimated Replacement Costs—</w:t>
      </w:r>
      <w:r>
        <w:rPr>
          <w:rFonts w:ascii="Arial" w:cs="Arial" w:eastAsia="Arial" w:hAnsi="Arial"/>
          <w:sz w:val="16"/>
          <w:szCs w:val="16"/>
          <w:color w:val="auto"/>
        </w:rPr>
        <w:t>Three factors are considered in our analysis of estimated replacement cost: (1) the estimated cost of replacement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microinverters; (2) the 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If actual failure rates, claim rates, or replacement costs differ from our estimates in future periods, changes to these estimates would be required, resulting in increases or decreases in our warranty obligations. Such increases or decreases could be material.</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75"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Our warranty obligations related to microinverters sold since January 1, 2014 provide us the right, but not the requirement, to assign our warranty obligations to a third-party. Under Accounting Standards Codification (“ASC”) 825—Financial Instruments,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1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8, (“Fair Value Measurements”) to the consolidated financial statements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November 2015, the Financial Accounting Standards Board (“FASB”) issued Accounting Standards Update (“ASU”) 2015-17, “Balance Sheet Classification of Deferred Taxes,” to simplify the presentation of deferred income taxes. The amendments in this update require that deferred tax liabilities and assets be classified as noncurrent in a classified statement of financial position. The amendments in this update apply to all entities that present a classified statement of financial position. The current requirement that deferred tax liabilities and assets of a tax-paying component of an entity be offset and presented as a single amount is not affected by the amendments in this update. We adopted ASU 2015-17 during the fourth quarter of 2015 and applied it retrospectively to all periods presented. The adoption of this update did not have a material impact on our consolidated balance sheets for all periods presented and had no impact on our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71"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In May 2014, the FASB issued ASU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We have not yet selected a transition method and are currently evaluating the impact of adoption on our consolidated financial statements.</w:t>
      </w:r>
    </w:p>
    <w:p>
      <w:pPr>
        <w:spacing w:after="0" w:line="12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this update are effective for the annual period ending after December 15, 2016, and for annual periods and interim periods thereafter. We are currently evaluating the impact of adoption on our consolidated financial statements.</w:t>
      </w:r>
    </w:p>
    <w:p>
      <w:pPr>
        <w:spacing w:after="0" w:line="139"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We are currently evaluating the impact of adoption on our consolidated financial statements.</w:t>
      </w:r>
    </w:p>
    <w:p>
      <w:pPr>
        <w:spacing w:after="0" w:line="124" w:lineRule="exact"/>
        <w:rPr>
          <w:sz w:val="20"/>
          <w:szCs w:val="20"/>
          <w:color w:val="auto"/>
        </w:rPr>
      </w:pPr>
    </w:p>
    <w:p>
      <w:pPr>
        <w:ind w:right="40" w:firstLine="446"/>
        <w:spacing w:after="0" w:line="283" w:lineRule="auto"/>
        <w:rPr>
          <w:sz w:val="20"/>
          <w:szCs w:val="20"/>
          <w:color w:val="auto"/>
        </w:rPr>
      </w:pPr>
      <w:r>
        <w:rPr>
          <w:rFonts w:ascii="Arial" w:cs="Arial" w:eastAsia="Arial" w:hAnsi="Arial"/>
          <w:sz w:val="16"/>
          <w:szCs w:val="16"/>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w:t>
      </w:r>
    </w:p>
    <w:p>
      <w:pPr>
        <w:spacing w:after="0" w:line="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from instrument-specific credit risk in other comprehensive income. We are currently evaluating the impact of adoption on our consolidated financial statements.</w:t>
      </w:r>
    </w:p>
    <w:p>
      <w:pPr>
        <w:spacing w:after="0" w:line="143"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We are currently evaluating the impact of adoption on our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British Pounds and Australian and New Zealand Dollars. These payables and receivables primarily arise from sales to customers and intercompany transactions. We also face currency exposure that arises from translating the results of our European, Australian and New Zealand operations, including sales and marketing and research and development expenses, to the U.S. dollar at exchange rates that have fluctuated from the beginning of a reporting period.</w:t>
      </w:r>
    </w:p>
    <w:p>
      <w:pPr>
        <w:spacing w:after="0" w:line="43" w:lineRule="exact"/>
        <w:rPr>
          <w:sz w:val="20"/>
          <w:szCs w:val="20"/>
          <w:color w:val="auto"/>
        </w:rPr>
      </w:pPr>
    </w:p>
    <w:p>
      <w:pPr>
        <w:ind w:right="240" w:firstLine="446"/>
        <w:spacing w:after="0" w:line="255" w:lineRule="auto"/>
        <w:rPr>
          <w:sz w:val="20"/>
          <w:szCs w:val="20"/>
          <w:color w:val="auto"/>
        </w:rPr>
      </w:pPr>
      <w:r>
        <w:rPr>
          <w:rFonts w:ascii="Arial" w:cs="Arial" w:eastAsia="Arial" w:hAnsi="Arial"/>
          <w:sz w:val="18"/>
          <w:szCs w:val="18"/>
          <w:color w:val="auto"/>
        </w:rPr>
        <w:t>We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presents the fair values of our outstanding foreign currency forward contracts at December 31, 2015 and 2014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76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As of December 31, 2015 and 2014, the aggregate gross notional amounts of outstanding foreign currency forward contracts, all with maturities of less than one year, were $2.4 million and $1.5 million, respectively. We recorded $0.3 million and $0.3 million of net gains in 2015 and 2014, respectively, and $0.4 million of net losses in 2013 related to foreign currency forward contracts.</w:t>
      </w:r>
    </w:p>
    <w:p>
      <w:pPr>
        <w:spacing w:after="0" w:line="46" w:lineRule="exact"/>
        <w:rPr>
          <w:sz w:val="20"/>
          <w:szCs w:val="20"/>
          <w:color w:val="auto"/>
        </w:rPr>
      </w:pPr>
    </w:p>
    <w:p>
      <w:pPr>
        <w:ind w:right="40" w:firstLine="446"/>
        <w:spacing w:after="0" w:line="342" w:lineRule="auto"/>
        <w:rPr>
          <w:sz w:val="20"/>
          <w:szCs w:val="20"/>
          <w:color w:val="auto"/>
        </w:rPr>
      </w:pPr>
      <w:r>
        <w:rPr>
          <w:rFonts w:ascii="Arial" w:cs="Arial" w:eastAsia="Arial" w:hAnsi="Arial"/>
          <w:sz w:val="16"/>
          <w:szCs w:val="16"/>
          <w:color w:val="auto"/>
        </w:rPr>
        <w:t>The foreign currency exchange rate risk associated with our forward currency exchange contracts is limited as the exposure is substantially offset by exchange rate changes of the underlying hedged amounts. All outstanding open forward contracts at December 31, 2015 have maturities of less than one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CONSOLIDATED FINANCIAL STATEMENTS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Quarterly Financial Information</w:t>
              </w:r>
            </w:hyperlink>
          </w:p>
        </w:tc>
        <w:tc>
          <w:tcPr>
            <w:tcW w:w="6480" w:type="dxa"/>
            <w:vAlign w:val="bottom"/>
            <w:gridSpan w:val="4"/>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507"/>
        </w:trPr>
        <w:tc>
          <w:tcPr>
            <w:tcW w:w="4940" w:type="dxa"/>
            <w:vAlign w:val="bottom"/>
          </w:tcPr>
          <w:p>
            <w:pPr>
              <w:spacing w:after="0"/>
              <w:rPr>
                <w:sz w:val="24"/>
                <w:szCs w:val="24"/>
                <w:color w:val="auto"/>
              </w:rPr>
            </w:pPr>
          </w:p>
        </w:tc>
        <w:tc>
          <w:tcPr>
            <w:tcW w:w="5920" w:type="dxa"/>
            <w:vAlign w:val="bottom"/>
          </w:tcPr>
          <w:p>
            <w:pPr>
              <w:jc w:val="right"/>
              <w:ind w:right="497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260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Enphase Energy, Inc.:</w:t>
      </w:r>
    </w:p>
    <w:p>
      <w:pPr>
        <w:spacing w:after="0" w:line="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2015 and 2014, and the related consolidated statements of operations, comprehensive loss, stockholders’ equity, and cash flows for each of the three years in the period ended December 31, 2015. These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jc w:val="both"/>
        <w:ind w:right="660" w:firstLine="446"/>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Enphase Energy, Inc.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$1,808 and $569 at December 31, 2015 and 2014, respectively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46,099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45,119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21,590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6,155</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121,768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32,118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30,824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5,677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r>
      <w:tr>
        <w:trPr>
          <w:trHeight w:val="28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165,528</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152,192</w:t>
            </w:r>
          </w:p>
        </w:tc>
      </w:tr>
      <w:tr>
        <w:trPr>
          <w:trHeight w:val="237"/>
        </w:trPr>
        <w:tc>
          <w:tcPr>
            <w:tcW w:w="834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22,316</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19,292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26,036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2,747</w:t>
            </w: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w w:val="92"/>
              </w:rPr>
              <w:t>Warranty obligations, current portion (includes $2,601 and $1,125 measured at fair value at December 31, 2015 and 2014,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7,072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7,607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 under revolving credit facility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72,848</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58,706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revenues,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16,612</w:t>
            </w:r>
          </w:p>
        </w:tc>
      </w:tr>
      <w:tr>
        <w:trPr>
          <w:trHeight w:val="220"/>
        </w:trPr>
        <w:tc>
          <w:tcPr>
            <w:tcW w:w="8340" w:type="dxa"/>
            <w:vAlign w:val="bottom"/>
          </w:tcPr>
          <w:p>
            <w:pPr>
              <w:ind w:left="40"/>
              <w:spacing w:after="0"/>
              <w:rPr>
                <w:sz w:val="20"/>
                <w:szCs w:val="20"/>
                <w:color w:val="auto"/>
              </w:rPr>
            </w:pPr>
            <w:r>
              <w:rPr>
                <w:rFonts w:ascii="Arial" w:cs="Arial" w:eastAsia="Arial" w:hAnsi="Arial"/>
                <w:sz w:val="16"/>
                <w:szCs w:val="16"/>
                <w:color w:val="auto"/>
                <w:w w:val="98"/>
              </w:rPr>
              <w:t>Warranty obligations, non-current (includes $3,581 and $2,437 measured at fair value at December 31, 2015 and 2014,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12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23,475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26,333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3,589</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124,079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105,240</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$0.00001 par value, 10,000 shares authorized; none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w w:val="96"/>
              </w:rPr>
              <w:t>Common stock, $0.00001 par value, 100,000 shares authorized; 45,821 and 43,756 shares issued and outstanding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360"/>
              <w:spacing w:after="0"/>
              <w:rPr>
                <w:sz w:val="20"/>
                <w:szCs w:val="20"/>
                <w:color w:val="auto"/>
              </w:rPr>
            </w:pPr>
            <w:r>
              <w:rPr>
                <w:rFonts w:ascii="Arial" w:cs="Arial" w:eastAsia="Arial" w:hAnsi="Arial"/>
                <w:sz w:val="16"/>
                <w:szCs w:val="16"/>
                <w:color w:val="auto"/>
              </w:rPr>
              <w:t>December 31, 2015 and 2014, respectively</w:t>
            </w:r>
          </w:p>
        </w:tc>
        <w:tc>
          <w:tcPr>
            <w:tcW w:w="3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224,732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208,022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(183,073)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(160,991)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41,449</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46,952</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165,528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152,192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357,249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249,032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165,430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23,970</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127,526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117,472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(25,913)</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44,632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42,903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41,647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2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2020" w:type="dxa"/>
            <w:vAlign w:val="bottom"/>
            <w:gridSpan w:val="5"/>
            <w:vMerge w:val="continue"/>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97"/>
              </w:rPr>
              <w:t>Paid-In</w:t>
            </w:r>
          </w:p>
        </w:tc>
        <w:tc>
          <w:tcPr>
            <w:tcW w:w="108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1"/>
              </w:rPr>
              <w:t>Accumulated</w:t>
            </w:r>
          </w:p>
        </w:tc>
        <w:tc>
          <w:tcPr>
            <w:tcW w:w="138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183,629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56,655</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Issuance of common stock under employee stock plans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w w:val="92"/>
              </w:rPr>
              <w:t>Issuance of common stock upon cashless exercise of warrants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(25,913)</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2013</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192,916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(152,939)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Issuance of common stock under employee stock plans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w w:val="92"/>
              </w:rPr>
              <w:t>Issuance of common stock upon cashless exercise of warrants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208,022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(160,991)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46,952</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Issuance of common stock under employee stock plans</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BALANCE—December 31, 2015</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45,821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8"/>
              </w:rPr>
              <w:t>224,732</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(183,073)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41,449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(22,082)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(8,052)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(25,913)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Net loss on disposal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12,696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6,849</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Revaluation of contingent consideration liability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Deferred income tax expense (benefit)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 (net of acquisition):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(5,019)</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3,263</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 accrued and other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Warranty obligations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9,094</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9,671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(21,160)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(12,525)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(6,257)</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intangible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Acquisition of a business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restricted cash (See Note 5)</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(12,462)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Principal payments under capital leases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under revolving credit facility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under revolving credit facility</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deferred financing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Holdback payment related to prior acquisition</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term loans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20,564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(13,580)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(7,104)</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42,032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45,294</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38,190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paid for income taxes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5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financing and investing activities: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fixed and intangible assets included in accounts payable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Acquisition-related contingent consideration liability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we have shipped more than 10.3 million microinverters, representing over 2.5 gigawatts of solar PV generating capacity, and more than 430,000 Enphase residential and commercial systems have been deployed in over 100 countries.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(“US GAAP”). The consolidated financial statements include the accounts of the Company and its wholly-owned subsidiaries. All intercompany balances and transactions have been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The preparation of the Company’s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The Company generates revenue from sales of its microinverter systems, which include microinverter units and related accessories, an Envoy communications gateway, and an Enlighten cloud-based monitoring service, to distributors, large installers, OEMs and strategic partners. Enlighten service revenue represented less than 2% of the total revenues for all periods presented.</w:t>
      </w:r>
    </w:p>
    <w:p>
      <w:pPr>
        <w:spacing w:after="0" w:line="127"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17"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Sales of an Envoy communications gateway include the Enlighten cloud-based monitoring service. The allocation of revenue between the two deliverables is based on the Company’s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 devices is recognized upon shipment, assuming all other revenue recognition criteria have been met and (ii) revenue from the cloud-based monitoring service is recognized ratably over the estimated economic life of the related Envoy devices of 10 years.</w:t>
      </w:r>
    </w:p>
    <w:p>
      <w:pPr>
        <w:spacing w:after="0" w:line="173"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Deferred revenues consist of payments received from customers in advance of revenue recognition for the Company’s products and services described above. As of December 31, 2015 and 2014, deferred revenues consist primarily of Enlighten service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20" w:firstLine="446"/>
        <w:spacing w:after="0" w:line="342" w:lineRule="auto"/>
        <w:rPr>
          <w:sz w:val="20"/>
          <w:szCs w:val="20"/>
          <w:color w:val="auto"/>
        </w:rPr>
      </w:pPr>
      <w:r>
        <w:rPr>
          <w:rFonts w:ascii="Arial" w:cs="Arial" w:eastAsia="Arial" w:hAnsi="Arial"/>
          <w:sz w:val="16"/>
          <w:szCs w:val="16"/>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140" w:firstLine="446"/>
        <w:spacing w:after="0" w:line="264" w:lineRule="auto"/>
        <w:rPr>
          <w:sz w:val="20"/>
          <w:szCs w:val="20"/>
          <w:color w:val="auto"/>
        </w:rPr>
      </w:pPr>
      <w:r>
        <w:rPr>
          <w:rFonts w:ascii="Arial" w:cs="Arial" w:eastAsia="Arial" w:hAnsi="Arial"/>
          <w:sz w:val="18"/>
          <w:szCs w:val="18"/>
          <w:color w:val="auto"/>
        </w:rPr>
        <w:t>The Company considers all highly liquid investments, such as certificates of deposit and money market instruments with maturities of three months or less at the time of acquisition to be cash equivalents. For all periods presented, its cash balances consist of amounts held in non-interest-bearing deposits and money market accounts.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liabilities approximate fair value because of the short maturity of those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71"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The Company operates and conducts business in foreign countries where its foreign entities use the local currency as their respective functional currency. As a result, the Company is exposed to movements in foreign currency exchange rates. The Company utilizes foreign currency forward contracts to reduce the impact of foreign currency fluctuations related to anticipated cash receipts from expected future revenues denominated in Euros and British Pounds as well as from intercompany transaction gains or losses.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171"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days past due, collection history and the financial health of customers. The allowance for doubtful accounts was $1.8 million and $0.6 million at December 31, 2015 and 2014, respectively. The following table sets forth activities in the allowance for doubtful accounts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charges to expenses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678</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net of recoveries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1,808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2,000</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is computed using the straight-line method over the estimated useful lives of the assets, which range from three to ten years. Leasehold improvements are amortized over the shorter of the lease term or expected useful life of the improvements.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71" w:lineRule="exact"/>
        <w:rPr>
          <w:sz w:val="20"/>
          <w:szCs w:val="20"/>
          <w:color w:val="auto"/>
        </w:rPr>
      </w:pPr>
    </w:p>
    <w:p>
      <w:pPr>
        <w:jc w:val="both"/>
        <w:ind w:right="400" w:firstLine="446"/>
        <w:spacing w:after="0" w:line="297" w:lineRule="auto"/>
        <w:rPr>
          <w:sz w:val="20"/>
          <w:szCs w:val="20"/>
          <w:color w:val="auto"/>
        </w:rPr>
      </w:pPr>
      <w:r>
        <w:rPr>
          <w:rFonts w:ascii="Arial" w:cs="Arial" w:eastAsia="Arial" w:hAnsi="Arial"/>
          <w:sz w:val="16"/>
          <w:szCs w:val="16"/>
          <w:color w:val="auto"/>
        </w:rPr>
        <w:t>Internally used software, whether purchased or developed, is capitalized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Property, plant and equipment, including capitalized software costs, are recorded at cost. Property, plant and equipment amounts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did not record any significant impairments in any of the years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The Company allocates the fair value of purchase consideration (including contingent consideration) to the assets acquired and liabilities assumed based on their estimated fair values at the acquisition date. The excess of the fair value of purchase consideration over the fair value of these assets acquired and liabilities assumed in the acquisition is recorded as goodwill. The primary items that generate goodwill include the value of the synergies between the acquiree and the Company and the value of the acquired assembled workforce, neither of which qualifies for recognition as an intangible asset. Acquisition-related expenses are recognized separately from the business combination and are expensed as incurred. The results of operations of NPS have been included in the Company’s consolidated results prospectively from the date of acquisition. See Note 5, “Business Combination, Goodwill and Intangible Assets” to the consolidated financial statements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Goodwill is not amortized, but is assessed for potential impairment at least annually during the fourth quarter of each fiscal year or between annual tests if an event occurs or circumstances change that would indicate the carrying amount may be impaired.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Intangible assets include patents, customer relationships and other purchased intangible assets. Intangible assets with finite lives are amortized on a straight-line basis, with estimated useful lives ranging from 3 to 5 years. Indefinite-lived intangible assets are tested for impairment annually, and are tested for impairment between annual tests if an event occurs or circumstances change that would indicate that the carrying amount may be impaired. Intangible assets with a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has been no impairment of intangible assets in any of the years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Company’s warranty accrual provides for the replacement of microinverter units that fail during the product’s warranty term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used by the Company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18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b w:val="1"/>
          <w:bCs w:val="1"/>
          <w:i w:val="1"/>
          <w:iCs w:val="1"/>
          <w:color w:val="auto"/>
        </w:rPr>
        <w:t>Estimated Failure Rates—</w:t>
      </w:r>
      <w:r>
        <w:rPr>
          <w:rFonts w:ascii="Arial" w:cs="Arial" w:eastAsia="Arial" w:hAnsi="Arial"/>
          <w:sz w:val="17"/>
          <w:szCs w:val="17"/>
          <w:color w:val="auto"/>
        </w:rPr>
        <w:t>The Company’s Quality and Reliability department has primary responsibility to determine the estimated failure rates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generation of microinverter. To establish initial failure rate estimates for each generation of microinverter, the Company’s quality engineers use a combination of industry standard MTBF (Mean Time Between Failure)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via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b w:val="1"/>
          <w:bCs w:val="1"/>
          <w:i w:val="1"/>
          <w:iCs w:val="1"/>
          <w:color w:val="auto"/>
        </w:rPr>
        <w:t>Estimated Claim Rates—</w:t>
      </w:r>
      <w:r>
        <w:rPr>
          <w:rFonts w:ascii="Arial" w:cs="Arial" w:eastAsia="Arial" w:hAnsi="Arial"/>
          <w:sz w:val="18"/>
          <w:szCs w:val="18"/>
          <w:color w:val="auto"/>
        </w:rPr>
        <w:t>Warranty claim rate estimates are based upon assumptions with respect to expected customer behavior over the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As the vast majority of the Company’s 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18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b w:val="1"/>
          <w:bCs w:val="1"/>
          <w:i w:val="1"/>
          <w:iCs w:val="1"/>
          <w:color w:val="auto"/>
        </w:rPr>
        <w:t>Estimated Replacement Costs—</w:t>
      </w:r>
      <w:r>
        <w:rPr>
          <w:rFonts w:ascii="Arial" w:cs="Arial" w:eastAsia="Arial" w:hAnsi="Arial"/>
          <w:sz w:val="17"/>
          <w:szCs w:val="17"/>
          <w:color w:val="auto"/>
        </w:rPr>
        <w:t>three factors are considered in the Company’s analysis of estimated replacement cost: (1) the estimated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182"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If actual failure rates, claim rates, or replacement costs differ from the Company’s estimates in future periods, changes to these estimates would be required, resulting in increases or decreases in the Company’s warranty obligations. Such increases or decreases could be material.</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17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1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profit element and risk premium required of a market participant to assume the obligation and a discount rate based on the Company’s credit-adjusted risk-free rate. See Note 8, (“Fair Value Measurements”) for additional information.</w:t>
      </w:r>
    </w:p>
    <w:p>
      <w:pPr>
        <w:spacing w:after="0" w:line="116"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Warranty for Other Products</w:t>
      </w:r>
    </w:p>
    <w:p>
      <w:pPr>
        <w:spacing w:after="0" w:line="22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typically offers a one year warranty for its Envoy communications gateway. The terms of the warranty do not provide the Company the right to assign its warranty obligations to a third-party. As such, the fair value option is not available and warranty obligations related to sales for Envoy communications gateway devices will continue to be accounted for on an undiscounted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Company expenses research and development costs as incurred. Research and development costs totaled $50.8 million, $45.4 million and $34.5 million in 2015, 2014 and 2013,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Stock-based compensation, net of estimated forfeitures, is recognized on a straight-line basis over the requisite service period, which is typically four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Comprehensive loss consists of two components, net loss and other comprehensive income (loss). Other comprehensive income (loss) refers to gains and losses that are recorded as an element of stockholders’ equity but are excluded from net income. The Company’s other comprehensive income (loss) consists of foreign currency translation adjustments for all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00"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Liability</w:t>
      </w:r>
    </w:p>
    <w:p>
      <w:pPr>
        <w:spacing w:after="0" w:line="171"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The estimated fair value of the contingent consideration liability, initially measured and recorded on the acquisition date, is reviewed at each reporting period and revalued to its then fair value until the contingency is resolved. Increases or decreases in the fair value of the contingent consideration liability subsequent to the acquisition date can result from changes in the assumed probabilities applied to the achievement of certain revenue targets and the corresponding payout amounts. These changes in the fair value will be recognized in the consolidated statements of operations for the period in which the estimated fair value changes.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November 2015, the FASB issued ASU 2015-17, “Balance Sheet Classification of Deferred Taxes,” to simplify the presentation of deferred income taxes. The amendments in this update require that deferred tax liabilities and assets be classified as noncurrent in a classified statement of financial position. The amendments in this update apply to all entities that present a classified statement of financial position. The current requirement that deferred tax liabilities and assets of a tax-paying component of an entity be offset and presented as a single amount is not affected by the amendments in this update. The Company adopted ASU 2015-17 during the fourth quarter of 2015 and applied it retrospectively to all periods presented. The adoption of this update did not have a material impact on the consolidated balance sheets for all periods presented and had no impact on the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71"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In May 2014, the FASB issued ASU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The Company has not yet selected a transition method and is currently evaluating the impact of adoption on the consolidated financial statements.</w:t>
      </w:r>
    </w:p>
    <w:p>
      <w:pPr>
        <w:spacing w:after="0" w:line="113"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this update are effective for the annual period ending after December 15, 2016, and for annual periods and interim periods thereafter. The Company is currently evaluating the impact of adoption on the consolidated financial statements.</w:t>
      </w:r>
    </w:p>
    <w:p>
      <w:pPr>
        <w:spacing w:after="0" w:line="124"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The Company is currently evaluating the impact of adoption on the consolidated financial statements.</w:t>
      </w:r>
    </w:p>
    <w:p>
      <w:pPr>
        <w:spacing w:after="0" w:line="113" w:lineRule="exact"/>
        <w:rPr>
          <w:sz w:val="20"/>
          <w:szCs w:val="20"/>
          <w:color w:val="auto"/>
        </w:rPr>
      </w:pPr>
    </w:p>
    <w:p>
      <w:pPr>
        <w:ind w:right="40" w:firstLine="446"/>
        <w:spacing w:after="0" w:line="283" w:lineRule="auto"/>
        <w:rPr>
          <w:sz w:val="20"/>
          <w:szCs w:val="20"/>
          <w:color w:val="auto"/>
        </w:rPr>
      </w:pPr>
      <w:r>
        <w:rPr>
          <w:rFonts w:ascii="Arial" w:cs="Arial" w:eastAsia="Arial" w:hAnsi="Arial"/>
          <w:sz w:val="16"/>
          <w:szCs w:val="16"/>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w:t>
      </w:r>
    </w:p>
    <w:p>
      <w:pPr>
        <w:spacing w:after="0" w:line="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from instrument-specific credit risk in other comprehensive income. The Company is currently evaluating the impact of adoption on our consolidated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The Company is currently evaluating the impact of adoption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December 31, 2015 and 2014,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38,598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18,161</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40,800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21,590</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2014, property and equipment consists of the following (in thousands):</w:t>
      </w:r>
    </w:p>
    <w:p>
      <w:pPr>
        <w:spacing w:after="0" w:line="38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5720" w:type="dxa"/>
            <w:vAlign w:val="bottom"/>
          </w:tcPr>
          <w:p>
            <w:pPr>
              <w:spacing w:after="0"/>
              <w:rPr>
                <w:sz w:val="4"/>
                <w:szCs w:val="4"/>
                <w:color w:val="auto"/>
              </w:rPr>
            </w:pPr>
          </w:p>
        </w:tc>
        <w:tc>
          <w:tcPr>
            <w:tcW w:w="264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and machinery</w:t>
            </w:r>
          </w:p>
        </w:tc>
        <w:tc>
          <w:tcPr>
            <w:tcW w:w="2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5–7</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Capitalized software costs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3–5</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4–10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(23,777)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60" w:firstLine="446"/>
        <w:spacing w:after="0" w:line="277" w:lineRule="auto"/>
        <w:rPr>
          <w:sz w:val="20"/>
          <w:szCs w:val="20"/>
          <w:color w:val="auto"/>
        </w:rPr>
      </w:pPr>
      <w:r>
        <w:rPr>
          <w:rFonts w:ascii="Arial" w:cs="Arial" w:eastAsia="Arial" w:hAnsi="Arial"/>
          <w:sz w:val="18"/>
          <w:szCs w:val="18"/>
          <w:color w:val="auto"/>
        </w:rPr>
        <w:t>Depreciation and amortization expense for property and equipment was $10.0 million, $8.1 million and $7.0 million, in 2015, 2014 and 2013,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2014, unamortized capitalized software costs were $3.3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On December 12, 2014, the Company acquired substantially all of the assets of Next Phase Solar, Inc. (“NPS”). Founded in 2009 and based in Berkeley, California, NPS is a provider of services designed specifically for the solar industry. The acquisition complemented the Company’s then existing asset management and operations and maintenance service offering.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the allocation of the total purchase price to acquired tangible and identifiable intangible assets based on their estimated fair values as of the date of acquisition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2,300</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purchase consideration</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4,835</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9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w:t>
            </w:r>
          </w:p>
        </w:tc>
      </w:tr>
      <w:tr>
        <w:trPr>
          <w:trHeight w:val="244"/>
        </w:trPr>
        <w:tc>
          <w:tcPr>
            <w:tcW w:w="9940" w:type="dxa"/>
            <w:vAlign w:val="bottom"/>
          </w:tcPr>
          <w:p>
            <w:pPr>
              <w:ind w:left="180"/>
              <w:spacing w:after="0"/>
              <w:rPr>
                <w:sz w:val="20"/>
                <w:szCs w:val="20"/>
                <w:color w:val="auto"/>
              </w:rPr>
            </w:pPr>
            <w:r>
              <w:rPr>
                <w:rFonts w:ascii="Arial" w:cs="Arial" w:eastAsia="Arial" w:hAnsi="Arial"/>
                <w:sz w:val="16"/>
                <w:szCs w:val="16"/>
                <w:color w:val="auto"/>
              </w:rPr>
              <w:t>Net assets acquired</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4,835</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This acquisition has been accounted for as a business combination. The total purchase consideration of $4.8 million consisted of $2.5 million in cash (of which $0.3 million was held back for potential breaches of representations and warranties) and $2.3 million of contingent consideration (described below). The indemnity holdback was released in 2015 and has been reflected as a cash outflow from financing activities in the statement of cash flows</w:t>
      </w:r>
    </w:p>
    <w:p>
      <w:pPr>
        <w:spacing w:after="0" w:line="39"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The fair values assigned to the net assets acquired are based on management’s estimates and assumptions. The goodwill of $3.7 million is attributable to the value of the synergies expected to arise upon the integration of NPS into the Company’s operations and the value of the acquired workforce. A portion of goodwill related to this acquisition is deductible for income tax purposes.</w:t>
      </w:r>
    </w:p>
    <w:p>
      <w:pPr>
        <w:spacing w:after="0" w:line="7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fair value of the acquired customer relationships was calculated by discounting the projected discrete after-tax cash flows from these existing customers (less an anticipated customer attrition rate) to its present value.</w:t>
      </w:r>
    </w:p>
    <w:p>
      <w:pPr>
        <w:spacing w:after="0" w:line="6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purchase consideration includes a contingent consideration arrangement that requires additional cash payments by the Company based on certain defined 2015 and 2016 revenue targets. Amounts are payable in early 2016 and 2017. The range of the undiscounted amounts the Company could pay under the contingent consideration arrangement is between zero and $5.5 million. The fair value of the contingent consideration was estimated based on significant inputs not observed in the market and thus represents a Level 3 input as defined in connection with the fair value hierarchy. See Note 8, “Fair Value Measurements” for further discussion. Any future change in the estimated fair value of the contingent consideration will be recognized in the consolidated statements of operations for the period in which the estimated fair value changes. Amounts earned for achieving 2015 revenue targets were not material. As of December 31, 2015, the estimated fair value of contingent consideration relates to achieving 2016 revenue targets (see Note 8).</w:t>
      </w:r>
    </w:p>
    <w:p>
      <w:pPr>
        <w:spacing w:after="0" w:line="5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acquisition was not material to the Company’s financial position or results of operations, and therefore proforma operating results for NPS have not been presented. The results of operations of NPS have been included in the Company’s consolidated results prospectively from the date of acquisition. The Company recognized approximately $0.2 million of acquisition related costs in 2014, which were recorded in general and administrative expenses in the Company’s consolidated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2015</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Intangibles assets with finite lives: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Patents and licensed technology</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purchased intangibles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The customer relationship intangible resulted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the Company’s NPS acquisition and is being amortized on a straight-line basis over its estimated useful life of 5 years. In October 2015, the Company licensed certain technology related to ASIC development for a 3-year term.</w:t>
      </w:r>
    </w:p>
    <w:p>
      <w:pPr>
        <w:spacing w:after="0" w:line="62" w:lineRule="exact"/>
        <w:rPr>
          <w:sz w:val="20"/>
          <w:szCs w:val="20"/>
          <w:color w:val="auto"/>
        </w:rPr>
      </w:pPr>
    </w:p>
    <w:p>
      <w:pPr>
        <w:ind w:right="660" w:firstLine="486"/>
        <w:spacing w:after="0" w:line="342" w:lineRule="auto"/>
        <w:rPr>
          <w:sz w:val="20"/>
          <w:szCs w:val="20"/>
          <w:color w:val="auto"/>
        </w:rPr>
      </w:pPr>
      <w:r>
        <w:rPr>
          <w:rFonts w:ascii="Arial" w:cs="Arial" w:eastAsia="Arial" w:hAnsi="Arial"/>
          <w:sz w:val="16"/>
          <w:szCs w:val="16"/>
          <w:color w:val="auto"/>
        </w:rPr>
        <w:t>The aggregate amortization expense for intangibles assets was $0.5 million and $0.1 million for the years ended December 31, 2015 and 2014, respectively. As of December 31, 2015, estimated future amortization expense related to finite-lived intangible assets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CCEEFF"/>
          </w:tcPr>
          <w:p>
            <w:pPr>
              <w:spacing w:after="0"/>
              <w:rPr>
                <w:sz w:val="22"/>
                <w:szCs w:val="22"/>
                <w:color w:val="auto"/>
              </w:rPr>
            </w:pP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6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5,402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14,871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Customer rebates and sales incentives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6"/>
                <w:szCs w:val="16"/>
                <w:color w:val="auto"/>
              </w:rPr>
              <w:t>8,274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6"/>
                <w:szCs w:val="16"/>
                <w:color w:val="auto"/>
              </w:rPr>
              <w:t>5,083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Freight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3,063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1,917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6"/>
                <w:szCs w:val="16"/>
                <w:color w:val="auto"/>
              </w:rPr>
              <w:t>2,553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6"/>
                <w:szCs w:val="16"/>
                <w:color w:val="auto"/>
              </w:rPr>
              <w:t>4,165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color w:val="auto"/>
              </w:rPr>
              <w:t>19,292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6"/>
                <w:szCs w:val="16"/>
                <w:color w:val="auto"/>
              </w:rPr>
              <w:t>26,036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WARRANTY OBLIGATIONS</w:t>
            </w: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8260" w:type="dxa"/>
            <w:vAlign w:val="bottom"/>
            <w:gridSpan w:val="4"/>
          </w:tcPr>
          <w:p>
            <w:pPr>
              <w:ind w:left="400"/>
              <w:spacing w:after="0"/>
              <w:rPr>
                <w:sz w:val="20"/>
                <w:szCs w:val="20"/>
                <w:color w:val="auto"/>
              </w:rPr>
            </w:pPr>
            <w:r>
              <w:rPr>
                <w:rFonts w:ascii="Arial" w:cs="Arial" w:eastAsia="Arial" w:hAnsi="Arial"/>
                <w:sz w:val="18"/>
                <w:szCs w:val="18"/>
                <w:color w:val="auto"/>
              </w:rPr>
              <w:t>The Company’s warranty activities during 2015, 2014 and 2013 were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6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30,432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80" w:type="dxa"/>
            <w:vAlign w:val="bottom"/>
          </w:tcPr>
          <w:p>
            <w:pPr>
              <w:ind w:left="260"/>
              <w:spacing w:after="0"/>
              <w:rPr>
                <w:sz w:val="20"/>
                <w:szCs w:val="20"/>
                <w:color w:val="auto"/>
              </w:rPr>
            </w:pPr>
            <w:r>
              <w:rPr>
                <w:rFonts w:ascii="Arial" w:cs="Arial" w:eastAsia="Arial" w:hAnsi="Arial"/>
                <w:sz w:val="18"/>
                <w:szCs w:val="18"/>
                <w:color w:val="auto"/>
              </w:rPr>
              <w:t>Accruals for warranties issued during the year</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6,303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estimates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8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due to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80" w:type="dxa"/>
            <w:vAlign w:val="bottom"/>
          </w:tcPr>
          <w:p>
            <w:pPr>
              <w:ind w:left="260"/>
              <w:spacing w:after="0"/>
              <w:rPr>
                <w:sz w:val="20"/>
                <w:szCs w:val="20"/>
                <w:color w:val="auto"/>
              </w:rPr>
            </w:pPr>
            <w:r>
              <w:rPr>
                <w:rFonts w:ascii="Arial" w:cs="Arial" w:eastAsia="Arial" w:hAnsi="Arial"/>
                <w:sz w:val="18"/>
                <w:szCs w:val="18"/>
                <w:color w:val="auto"/>
              </w:rPr>
              <w:t>Fair value adjustments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33,940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26,333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The Company sold approximately 1.0 million first and second generation microinverters from 2008 through mid-2012. The Company has sold approximately 3.9 million third generation microinverters since mid-2012 through mid-2015. The Company has sold 5.4 million fourth generation microinverters since mid-2013 and continues to sell the fourth generation microinverters. In the fourth quarter of 2015, the Company started selling its fifth generation microinverters.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w:t>
      </w:r>
    </w:p>
    <w:p>
      <w:pPr>
        <w:spacing w:after="0" w:line="17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On a quarterly basis, the Company uses the best and most complete underlying information available, following a consistent, systematic and rational methodology to determine its warranty obligations. The Company considers all available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27"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In 2015, primarily in the fourth quarter, the Company implemented product-cost reduction initiatives for its fourth generation microinverters, which are backwards compatible with prior microinverter generations and are used to fulfill warranty obligations for all microinverter generations in the field. This resulted in a $1.5 million decrease to warranty expense related to estimated future replacement costs. This decrease was offset by an increase to warranty expense of $0.7 million for an increase in labor reimbursement costs expected to be paid to third party installers performing replacement services for its second generation product. In addition, the Company recorded additional warranty expense of $0.8 million based on continuing analysis of field performance data and diagnostic root-cause failure analysis performed on returned units of its second generation product.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27"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 2014, primarily in the second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$8.6 million in 2014. In addition, net changes in estimates related to replacement costs reduced warranty expense for all product generations by $0.2 million and were comprised of increased estimates of certain labor reimbursement costs expected to be paid to third party installers performing replacement services for its second generation product of $1.3 million, offset by a $1.5 million decrease to estimated costs of replacement microinverter units for all product generations.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75"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In 2013, primarily in the second, third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$19.5 million in 2013. During the third quarter of 2013, the Company recorded a reduction to warranty expense of $3.1 million related to a decrease in the expected failure rate of the Company’s third generation product. The Company concluded that there was sufficient historical data of actual field performance of previously sold third generation products to support a lower estimated failure rate.</w:t>
      </w:r>
    </w:p>
    <w:p>
      <w:pPr>
        <w:spacing w:after="0" w:line="124"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In addition, the Company updated its estimated claim rates for its second and third generation products resulting in a decrease to warranty expense of $4.2 million. The revision to estimated claim rates was based on the Company’s observed historical end user behavior and assumptions with respect to expected customer behavior over the 15 or 25 year warranty term.</w:t>
      </w:r>
    </w:p>
    <w:p>
      <w:pPr>
        <w:spacing w:after="0" w:line="12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Also, the Company decreased warranty expense by $1.9 million primarily to reflect estimated lower costs to produce fourth generation microinverters to fulfill warranty obligations for second and third generation microinverters.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94" w:lineRule="exact"/>
        <w:rPr>
          <w:sz w:val="20"/>
          <w:szCs w:val="20"/>
          <w:color w:val="auto"/>
        </w:rPr>
      </w:pPr>
    </w:p>
    <w:p>
      <w:pPr>
        <w:ind w:right="22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2" w:right="27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following table presents the Company’s assets and liabilities that were measured at fair value on a recurring basis and its categorization within the fair value hierarchy at December 31, 2015 and 2014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74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76</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3</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3,562</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2,300</w:t>
            </w:r>
          </w:p>
        </w:tc>
      </w:tr>
      <w:tr>
        <w:trPr>
          <w:trHeight w:val="27"/>
        </w:trPr>
        <w:tc>
          <w:tcPr>
            <w:tcW w:w="7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7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Company utilizes foreign currency forward contracts from time to time to reduce the impact of foreign currency fluctuations arising from both sales and purchases denominated in Euros and the British Pound Sterling.</w:t>
      </w:r>
    </w:p>
    <w:p>
      <w:pPr>
        <w:spacing w:after="0" w:line="116"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As of December 31, 2015 and 2014, the aggregate gross notional amounts of outstanding foreign currency forward contracts, all with maturities of less than one year, were $2.4 million and $1.5 million, respectively.</w:t>
      </w:r>
    </w:p>
    <w:p>
      <w:pPr>
        <w:spacing w:after="0" w:line="116"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Company recorded $0.3 million and $0.3 million of net gains in 2015 and 2014, respectively, and $0.4 million of net losses in 2013 related to foreign currency forward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5"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warranty obligations measured at fair value for the periods indicated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2015</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6,182</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The fair value of the contingent consideration recognized on the acquisition date of $2.3 million was estimated by applying the income approach. That measure is based on significant Level 3 inputs not observable in the market. Key assumptions include (1) probability adjusted level of revenues between $2.6 million and $17.0 million and the resultant payout; and (2) a risk-adjusted discount rate was estimated using a capital asset pricing model, which reflects an expected rate of return required by a market participant holding a similarly risky asset.</w:t>
      </w:r>
    </w:p>
    <w:p>
      <w:pPr>
        <w:spacing w:after="0" w:line="79"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contingent consideration measured at fair value for the periods indicated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2014</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 to contingent consideration</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Balance—December 31, 2015</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The decrease in fair value of contingent consideration was due to amounts earned for achieving 2015 revenue targets was lower than originally forecasted and revisions to sales projections related to achieving 2016 revenue targets.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2015, the significant unobservable inputs used in the fair value measurement of the Company’s liabilities designated as Level 3 are as follows:</w:t>
      </w:r>
    </w:p>
    <w:p>
      <w:pPr>
        <w:sectPr>
          <w:pgSz w:w="11900" w:h="16838" w:orient="portrait"/>
          <w:cols w:equalWidth="0" w:num="1">
            <w:col w:w="11420"/>
          </w:cols>
          <w:pgMar w:left="240" w:top="122"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95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8" w:lineRule="exact"/>
        <w:rPr>
          <w:sz w:val="20"/>
          <w:szCs w:val="20"/>
          <w:color w:val="auto"/>
        </w:rPr>
      </w:pPr>
    </w:p>
    <w:p>
      <w:pPr>
        <w:ind w:left="40"/>
        <w:spacing w:after="0" w:line="278"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Contingent consideration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Valuation Technique</w:t>
            </w:r>
          </w:p>
        </w:tc>
        <w:tc>
          <w:tcPr>
            <w:tcW w:w="120" w:type="dxa"/>
            <w:vAlign w:val="bottom"/>
            <w:vMerge w:val="restart"/>
          </w:tcPr>
          <w:p>
            <w:pPr>
              <w:spacing w:after="0"/>
              <w:rPr>
                <w:sz w:val="14"/>
                <w:szCs w:val="14"/>
                <w:color w:val="auto"/>
              </w:rPr>
            </w:pP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 of Significant Unobservable Input</w:t>
            </w:r>
          </w:p>
        </w:tc>
        <w:tc>
          <w:tcPr>
            <w:tcW w:w="100" w:type="dxa"/>
            <w:vAlign w:val="bottom"/>
            <w:vMerge w:val="restart"/>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Percent Used</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(Weighted-Average)</w:t>
            </w: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2"/>
              </w:rPr>
              <w:t>Discounted cash flows</w:t>
            </w: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Profit element and risk premium</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176"/>
        </w:trPr>
        <w:tc>
          <w:tcPr>
            <w:tcW w:w="2640" w:type="dxa"/>
            <w:vAlign w:val="bottom"/>
            <w:gridSpan w:val="2"/>
            <w:vMerge w:val="continue"/>
          </w:tcPr>
          <w:p>
            <w:pPr>
              <w:spacing w:after="0"/>
              <w:rPr>
                <w:sz w:val="15"/>
                <w:szCs w:val="15"/>
                <w:color w:val="auto"/>
              </w:rPr>
            </w:pPr>
          </w:p>
        </w:tc>
        <w:tc>
          <w:tcPr>
            <w:tcW w:w="45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2"/>
              </w:rPr>
              <w:t>Credit-adjusted risk-free rate</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3"/>
              </w:rPr>
              <w:t>25%</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Probability-weighted discounted cash</w:t>
            </w:r>
          </w:p>
        </w:tc>
        <w:tc>
          <w:tcPr>
            <w:tcW w:w="45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1"/>
              </w:rPr>
              <w:t>Risk-adjusted discount rate</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98"/>
        </w:trPr>
        <w:tc>
          <w:tcPr>
            <w:tcW w:w="26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8"/>
              </w:rPr>
              <w:t>flows</w:t>
            </w:r>
          </w:p>
        </w:tc>
        <w:tc>
          <w:tcPr>
            <w:tcW w:w="45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-269875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380" w:space="260"/>
            <w:col w:w="87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7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risk-free rate is determined by reference to the Company’s own credit standing at the fair value measurement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date. Increasing (decreasing) the profit element and risk premium input by 100 basis points would not have a material impact on the fair value measurement of the liability. Increasing (decreasing) the discount rate by 100 basis points would result in a ($162,000) $173,000 (decrease) increase, respectively, to the fair value measurement of the liability.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Changes in assumed probability adjustments with respect to achievement of target metric can materially impact the fair value measurement of contingent consideration as of the acquisition date and for each subsequent period. Assumptions about the probability and amount of payout will require less subjectivity over the course of the earnout period as management refines estimates based on actual events. Due to the short duration of the remaining earnout period of one year, increasing (decreasing) the risk-adjusted discount rate by 100 basis points would not have a material impact on the fair value measurement of 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REVOLVING CREDIT FACILITY</w:t>
      </w:r>
    </w:p>
    <w:p>
      <w:pPr>
        <w:spacing w:after="0" w:line="17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Company maintains a $50.0 million revolving credit facility with Wells Fargo Bank, N.A. (“Wells Fargo”) that was entered into on November 7, 2012, as first amended on February 14, 2014. On December 18, 2015, the Company entered into an amended and restated revolving credit agreement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171"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the Company’s option, either LIBOR or a “base rate” that is comprised of, among other things, the prime rate, plus a margin that is between 1.0% and 3.75% depending on the currency borrowed and the specific term of repayment. The Revolver requires the Company to pay a commitment fee between 0.25% and 0.375% based on the average daily unused portion of the revolving credit commitment.</w:t>
      </w:r>
    </w:p>
    <w:p>
      <w:pPr>
        <w:spacing w:after="0" w:line="17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Revolver is secured by a pledge of substantially all assets of the Company other than intellectual property and contains customary affirmative and negative covenants (including restrictions on the Company’s ability to make dividend payments) and events of default. In addition, the Revolver requires the Company to maintain at least $15.0 million of liquidity at all times, of which at least $5.0 million must be undrawn availability. As of December 31, 2015, the Company was in compliance with such covenants under the Revolver.</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2015, the amount outstanding under the Revolver was $17.0 million leaving an unused borrowing capacity of $27.7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interest rate related to these borrowings was 4.3%. No amounts were outstanding under the Revolver at December 31, 2014.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31" w:lineRule="exact"/>
        <w:rPr>
          <w:sz w:val="20"/>
          <w:szCs w:val="20"/>
          <w:color w:val="auto"/>
        </w:rPr>
      </w:pPr>
    </w:p>
    <w:p>
      <w:pPr>
        <w:jc w:val="both"/>
        <w:ind w:right="40" w:firstLine="446"/>
        <w:spacing w:after="0" w:line="289" w:lineRule="auto"/>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17"/>
          <w:szCs w:val="17"/>
          <w:color w:val="auto"/>
        </w:rPr>
        <w:t>—The Company leases office facilities under noncancelable operating leases that expire on various dates through 2022.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2015, 2014 and 2013 was $3.2 million, $2.6 million and $2.4 million, respectively.</w:t>
      </w:r>
    </w:p>
    <w:p>
      <w:pPr>
        <w:spacing w:after="0" w:line="13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Company’s minimum lease payments under noncancelable operating leases, exclusive of executory costs, as of December 31, 2015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2017</w:t>
            </w:r>
          </w:p>
        </w:tc>
        <w:tc>
          <w:tcPr>
            <w:tcW w:w="5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2019</w:t>
            </w:r>
          </w:p>
        </w:tc>
        <w:tc>
          <w:tcPr>
            <w:tcW w:w="5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minimum lease payments</w:t>
            </w:r>
          </w:p>
        </w:tc>
        <w:tc>
          <w:tcPr>
            <w:tcW w:w="6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62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8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right="80" w:firstLine="446"/>
        <w:spacing w:after="0" w:line="289" w:lineRule="auto"/>
        <w:rPr>
          <w:sz w:val="20"/>
          <w:szCs w:val="20"/>
          <w:color w:val="auto"/>
        </w:rPr>
      </w:pPr>
      <w:r>
        <w:rPr>
          <w:rFonts w:ascii="Arial" w:cs="Arial" w:eastAsia="Arial" w:hAnsi="Arial"/>
          <w:sz w:val="17"/>
          <w:szCs w:val="17"/>
          <w:b w:val="1"/>
          <w:bCs w:val="1"/>
          <w:color w:val="auto"/>
        </w:rPr>
        <w:t>Purchase Obligations</w:t>
      </w:r>
      <w:r>
        <w:rPr>
          <w:rFonts w:ascii="Arial" w:cs="Arial" w:eastAsia="Arial" w:hAnsi="Arial"/>
          <w:sz w:val="17"/>
          <w:szCs w:val="17"/>
          <w:color w:val="auto"/>
        </w:rPr>
        <w:t>—The Company has contractual obligations related to component inventory that our primary contract manufacturer procures on</w:t>
      </w:r>
      <w:r>
        <w:rPr>
          <w:rFonts w:ascii="Arial" w:cs="Arial" w:eastAsia="Arial" w:hAnsi="Arial"/>
          <w:sz w:val="17"/>
          <w:szCs w:val="17"/>
          <w:b w:val="1"/>
          <w:bCs w:val="1"/>
          <w:color w:val="auto"/>
        </w:rPr>
        <w:t xml:space="preserve"> </w:t>
      </w:r>
      <w:r>
        <w:rPr>
          <w:rFonts w:ascii="Arial" w:cs="Arial" w:eastAsia="Arial" w:hAnsi="Arial"/>
          <w:sz w:val="17"/>
          <w:szCs w:val="17"/>
          <w:color w:val="auto"/>
        </w:rPr>
        <w:t>our behalf in accordance with our production forecast and a take-or-pay supply agreement for the purchase of silicone encapsulates that expires on December 31, 2018. As of December 31, 2015, these purchase obligations totaled approximately $51.0 million.</w:t>
      </w:r>
    </w:p>
    <w:p>
      <w:pPr>
        <w:spacing w:after="0" w:line="104" w:lineRule="exact"/>
        <w:rPr>
          <w:sz w:val="20"/>
          <w:szCs w:val="20"/>
          <w:color w:val="auto"/>
        </w:rPr>
      </w:pPr>
    </w:p>
    <w:p>
      <w:pPr>
        <w:ind w:right="200" w:firstLine="446"/>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be involved in litigation relating to claims arising out of its operations. The Company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Plan</w:t>
      </w:r>
    </w:p>
    <w:p>
      <w:pPr>
        <w:spacing w:after="0" w:line="17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Under the Company’s 2006 Equity Incentive Plan (the “2006 Plan”), equity awards granted generally vest over a four-year period from the date of grant with a contractual term of up to 10 years. As of December 31, 2015, there were 3.5 million shares of options outstanding under the 2006 Plan. No further stock options or other stock awards may be granted under the 2006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Plan</w:t>
      </w:r>
    </w:p>
    <w:p>
      <w:pPr>
        <w:spacing w:after="0" w:line="17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Under the 2011 Equity Incentive Plan (the “2011 Plan”), the Company may, initially, issue up to 2,643,171 shares of its common stock pursuant to stock options, stock appreciation rights, restricted stock awards, restricted stock unit awards, performance-based stock awards,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four-year period from the date of grant based on continued employment. The number of shares of the Company’s common stock authorized for issuance under the 2011 Plan will automatically increase, on each January 1, by 4.5% of the total number of shares of the Company’s common stock outstanding on December 31 of the preceding calendar year, or such lesser number of shares of common stock as determined by the board of directors. As of December 31, 2015, 1,035,944 shares of common stock remained available for issuance pursuant to future grants under the 2011 Plan. On January 1, 2016, the shares authorized for issuance under the 2011 Plan automatically increased by 2,061,949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Employee Stock Purchase Plan</w:t>
      </w:r>
    </w:p>
    <w:p>
      <w:pPr>
        <w:spacing w:after="0" w:line="171" w:lineRule="exact"/>
        <w:rPr>
          <w:sz w:val="20"/>
          <w:szCs w:val="20"/>
          <w:color w:val="auto"/>
        </w:rPr>
      </w:pPr>
    </w:p>
    <w:p>
      <w:pPr>
        <w:jc w:val="both"/>
        <w:ind w:right="140" w:firstLine="446"/>
        <w:spacing w:after="0" w:line="302" w:lineRule="auto"/>
        <w:rPr>
          <w:sz w:val="20"/>
          <w:szCs w:val="20"/>
          <w:color w:val="auto"/>
        </w:rPr>
      </w:pPr>
      <w:r>
        <w:rPr>
          <w:rFonts w:ascii="Arial" w:cs="Arial" w:eastAsia="Arial" w:hAnsi="Arial"/>
          <w:sz w:val="16"/>
          <w:szCs w:val="16"/>
          <w:color w:val="auto"/>
        </w:rPr>
        <w:t>The 2011 Employee Stock Purchase Plan (“ESPP”) became effective immediately upon the execution and delivery of the underwriting agreement for the Company’s IPO on March 29, 2012. The ESPP initially authorizes the issuance of 669,603 shares of the Company’s common stock pursuant to purchase rights granted to employees. The number of shares of common stock reserved for issuance will automatically increase, on each January 1, by 330,396 shares of the Company’s common stock or a lesser number of shares of common stock as determined by the Company’s board of directors.</w:t>
      </w:r>
    </w:p>
    <w:p>
      <w:pPr>
        <w:spacing w:after="0" w:line="100"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ESPP is implemented by concurrent offering periods and each offering period may contain up to four interim purchase periods. In general, offering periods consists of the 24 months periods commencing on each May 1 and November 1 of a calendar year.</w:t>
      </w:r>
    </w:p>
    <w:p>
      <w:pPr>
        <w:spacing w:after="0" w:line="11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Generally, all full 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 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shares of common stock having a value greater than $25,000, based on the fair market value per share of the common stock at the beginning of an offering period.</w:t>
      </w:r>
    </w:p>
    <w:p>
      <w:pPr>
        <w:spacing w:after="0" w:line="116"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As of December 31, 2015, there were 366,432 shares of the Company’s common stock available for issuance under the ESPP. On January 1, 2016, the shares authorized for issuance under the ESPP automatically increased by 330,396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was estimated on the date of grant using the Black-Scholes option-pricing model with the following assumptions:</w:t>
      </w:r>
    </w:p>
    <w:p>
      <w:pPr>
        <w:spacing w:after="0" w:line="140" w:lineRule="exact"/>
        <w:rPr>
          <w:sz w:val="20"/>
          <w:szCs w:val="20"/>
          <w:color w:val="auto"/>
        </w:rPr>
      </w:pPr>
    </w:p>
    <w:p>
      <w:pPr>
        <w:ind w:left="660" w:hanging="328"/>
        <w:spacing w:after="0" w:line="259" w:lineRule="auto"/>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option awards represents the period of time between the grant date of the option awards and the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78" w:lineRule="exact"/>
        <w:rPr>
          <w:rFonts w:ascii="Arial" w:cs="Arial" w:eastAsia="Arial" w:hAnsi="Arial"/>
          <w:sz w:val="18"/>
          <w:szCs w:val="18"/>
          <w:i w:val="1"/>
          <w:iCs w:val="1"/>
          <w:color w:val="auto"/>
        </w:rPr>
      </w:pPr>
    </w:p>
    <w:p>
      <w:pPr>
        <w:ind w:left="660" w:right="60" w:hanging="328"/>
        <w:spacing w:after="0" w:line="297" w:lineRule="auto"/>
        <w:tabs>
          <w:tab w:leader="none" w:pos="6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The expected stock price volatility for option awards granted prior to March 31, 2014 was determined based on an average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historical volatilities of the common stock of several peer companies with characteristics similar to those of the Company. For option awards granted after March 31, 2014, the Company used a blended volatility estimate consisting of its own historical share price volatility (as the Company had at least two years of historical stock price data) augmented with historical volatility of peer companies for periods preceding the Company’s initial public offering such that the time period over which historical volatility data used was at least equal to the expected term of the option award.</w:t>
      </w:r>
    </w:p>
    <w:p>
      <w:pPr>
        <w:spacing w:after="0" w:line="50" w:lineRule="exact"/>
        <w:rPr>
          <w:rFonts w:ascii="Arial" w:cs="Arial" w:eastAsia="Arial" w:hAnsi="Arial"/>
          <w:sz w:val="16"/>
          <w:szCs w:val="16"/>
          <w:i w:val="1"/>
          <w:iCs w:val="1"/>
          <w:color w:val="auto"/>
        </w:rPr>
      </w:pPr>
    </w:p>
    <w:p>
      <w:pPr>
        <w:ind w:left="660" w:right="180" w:hanging="328"/>
        <w:spacing w:after="0" w:line="309"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 a maturity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the Company’s expected term.</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The dividend yield was based on the Company’s dividend history and the anticipated dividend payout over its expected term.</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2" w:right="27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weighted-average assumptions used to estimate the fair values of the stock options granted during the periods presented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on grant date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4.68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3.84</w:t>
            </w:r>
          </w:p>
        </w:tc>
      </w:tr>
      <w:tr>
        <w:trPr>
          <w:trHeight w:val="27"/>
        </w:trPr>
        <w:tc>
          <w:tcPr>
            <w:tcW w:w="6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The Compensation cost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8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6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2,110</w:t>
            </w:r>
          </w:p>
        </w:tc>
      </w:tr>
      <w:tr>
        <w:trPr>
          <w:trHeight w:val="27"/>
        </w:trPr>
        <w:tc>
          <w:tcPr>
            <w:tcW w:w="6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2,489</w:t>
            </w:r>
          </w:p>
        </w:tc>
      </w:tr>
      <w:tr>
        <w:trPr>
          <w:trHeight w:val="27"/>
        </w:trPr>
        <w:tc>
          <w:tcPr>
            <w:tcW w:w="6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6,849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stock-based compensation expense associated with each type of award for the periods presented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ESPP</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535</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6,849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As of December 31, 2015, there was approximately $18.6 million of total unrecognized compensation cost related to unvested equity awards, net of expected forfeitures, which is expected to be recognized over a weighted-average period of 2.5 years.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stock option activity for the periods presented is as follows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2012</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8,169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ind w:right="45"/>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2013</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8,509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ind w:right="45"/>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2014</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ind w:right="45"/>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2015</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8,170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8340" w:type="dxa"/>
            <w:vAlign w:val="bottom"/>
            <w:gridSpan w:val="9"/>
            <w:vMerge w:val="restart"/>
          </w:tcPr>
          <w:p>
            <w:pPr>
              <w:ind w:left="460"/>
              <w:spacing w:after="0"/>
              <w:rPr>
                <w:sz w:val="20"/>
                <w:szCs w:val="20"/>
                <w:color w:val="auto"/>
              </w:rPr>
            </w:pPr>
            <w:r>
              <w:rPr>
                <w:rFonts w:ascii="Arial" w:cs="Arial" w:eastAsia="Arial" w:hAnsi="Arial"/>
                <w:sz w:val="18"/>
                <w:szCs w:val="18"/>
                <w:color w:val="auto"/>
                <w:w w:val="99"/>
              </w:rPr>
              <w:t>The following table summarizes information about stock options outstanding at December 31, 2015:</w:t>
            </w: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3"/>
                <w:szCs w:val="13"/>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$0.27 —– $1.63</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2,995</w:t>
            </w:r>
          </w:p>
        </w:tc>
        <w:tc>
          <w:tcPr>
            <w:tcW w:w="16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2,995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43"/>
        </w:trPr>
        <w:tc>
          <w:tcPr>
            <w:tcW w:w="3560" w:type="dxa"/>
            <w:vAlign w:val="bottom"/>
            <w:gridSpan w:val="2"/>
          </w:tcPr>
          <w:p>
            <w:pPr>
              <w:jc w:val="center"/>
              <w:ind w:left="31"/>
              <w:spacing w:after="0"/>
              <w:rPr>
                <w:sz w:val="20"/>
                <w:szCs w:val="20"/>
                <w:color w:val="auto"/>
              </w:rPr>
            </w:pPr>
            <w:r>
              <w:rPr>
                <w:rFonts w:ascii="Arial" w:cs="Arial" w:eastAsia="Arial" w:hAnsi="Arial"/>
                <w:sz w:val="18"/>
                <w:szCs w:val="18"/>
                <w:color w:val="auto"/>
                <w:w w:val="90"/>
              </w:rPr>
              <w:t>$1.88 —– $6.90</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1,853</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$6.98 —– $8.57</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1,667</w:t>
            </w:r>
          </w:p>
        </w:tc>
        <w:tc>
          <w:tcPr>
            <w:tcW w:w="16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3560" w:type="dxa"/>
            <w:vAlign w:val="bottom"/>
            <w:gridSpan w:val="2"/>
          </w:tcPr>
          <w:p>
            <w:pPr>
              <w:jc w:val="center"/>
              <w:ind w:left="51"/>
              <w:spacing w:after="0"/>
              <w:rPr>
                <w:sz w:val="20"/>
                <w:szCs w:val="20"/>
                <w:color w:val="auto"/>
              </w:rPr>
            </w:pPr>
            <w:r>
              <w:rPr>
                <w:rFonts w:ascii="Arial" w:cs="Arial" w:eastAsia="Arial" w:hAnsi="Arial"/>
                <w:sz w:val="18"/>
                <w:szCs w:val="18"/>
                <w:color w:val="auto"/>
                <w:w w:val="91"/>
              </w:rPr>
              <w:t>$8.58 —– $15.15</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1,525</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21"/>
                <w:szCs w:val="21"/>
                <w:color w:val="auto"/>
              </w:rPr>
            </w:pP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1"/>
              </w:rPr>
              <w:t>$16.01 —– $16.01</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w:t>
            </w:r>
          </w:p>
        </w:tc>
        <w:tc>
          <w:tcPr>
            <w:tcW w:w="16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16.01</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57"/>
        </w:trPr>
        <w:tc>
          <w:tcPr>
            <w:tcW w:w="35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8,170</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46"/>
        <w:spacing w:after="0" w:line="302" w:lineRule="auto"/>
        <w:rPr>
          <w:sz w:val="20"/>
          <w:szCs w:val="20"/>
          <w:color w:val="auto"/>
        </w:rPr>
      </w:pPr>
      <w:r>
        <w:rPr>
          <w:rFonts w:ascii="Arial" w:cs="Arial" w:eastAsia="Arial" w:hAnsi="Arial"/>
          <w:sz w:val="16"/>
          <w:szCs w:val="16"/>
          <w:color w:val="auto"/>
        </w:rPr>
        <w:t>The intrinsic value of options exercised in 2015, 2014 and 2013 was $4.9 million, $5.5 million and $3.2 million, respectively. As of December 31, 2015, there were 8.0 million options outstanding that were vested and expected to vest. Such options have a weighted-average exercise price of $5.31 and a weighted-average remaining contractual term of 4.7 years. As of December 31, 2015, the aggregate intrinsic value was $7.8 million for the 6.0 million exercisable shares. The intrinsic value is based on the Company’s common stock fair value of $3.51 per share as of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periods presented is as follows: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446"/>
        <w:spacing w:after="0" w:line="264" w:lineRule="auto"/>
        <w:rPr>
          <w:sz w:val="20"/>
          <w:szCs w:val="20"/>
          <w:color w:val="auto"/>
        </w:rPr>
      </w:pPr>
      <w:r>
        <w:rPr>
          <w:rFonts w:ascii="Arial" w:cs="Arial" w:eastAsia="Arial" w:hAnsi="Arial"/>
          <w:sz w:val="18"/>
          <w:szCs w:val="18"/>
          <w:color w:val="auto"/>
        </w:rPr>
        <w:t>The intrinsic value of restricted stock units vested during 2015, 2014 and 2013 was $4.2 million, $3.2 million and $0.8, respectively. As of December 31, 2015, the restricted stock units outstanding had a weighted average remaining contractual term of 1.4 years with an intrinsic value of $4.6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ESPP activity for the years presented is as follows: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common stock issued under ESPP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Shares of common stock issued</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5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domestic and foreign components of loss before provision for income taxes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1,068</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20" w:type="dxa"/>
            <w:vAlign w:val="bottom"/>
          </w:tcPr>
          <w:p>
            <w:pPr>
              <w:jc w:val="right"/>
              <w:ind w:right="714"/>
              <w:spacing w:after="0"/>
              <w:rPr>
                <w:sz w:val="20"/>
                <w:szCs w:val="20"/>
                <w:color w:val="auto"/>
              </w:rPr>
            </w:pPr>
            <w:r>
              <w:rPr>
                <w:rFonts w:ascii="Arial" w:cs="Arial" w:eastAsia="Arial" w:hAnsi="Arial"/>
                <w:sz w:val="18"/>
                <w:szCs w:val="18"/>
                <w:color w:val="auto"/>
              </w:rPr>
              <w:t>67</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provision for income taxes for the years presented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statutory federal income tax rate of 34% to loss before income taxes for the years presented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23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federal rate</w:t>
            </w:r>
          </w:p>
        </w:tc>
        <w:tc>
          <w:tcPr>
            <w:tcW w:w="330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(7,039)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2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tax rate and tax law differential</w:t>
            </w:r>
          </w:p>
        </w:tc>
        <w:tc>
          <w:tcPr>
            <w:tcW w:w="2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permanent items</w:t>
            </w:r>
          </w:p>
        </w:tc>
        <w:tc>
          <w:tcPr>
            <w:tcW w:w="2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nondeductible/nontaxable items</w:t>
            </w:r>
          </w:p>
        </w:tc>
        <w:tc>
          <w:tcPr>
            <w:tcW w:w="2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2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3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vMerge w:val="restart"/>
          </w:tcPr>
          <w:p>
            <w:pPr>
              <w:jc w:val="right"/>
              <w:ind w:right="850"/>
              <w:spacing w:after="0"/>
              <w:rPr>
                <w:sz w:val="20"/>
                <w:szCs w:val="20"/>
                <w:color w:val="auto"/>
              </w:rPr>
            </w:pPr>
            <w:r>
              <w:rPr>
                <w:rFonts w:ascii="Arial" w:cs="Arial" w:eastAsia="Arial" w:hAnsi="Arial"/>
                <w:sz w:val="18"/>
                <w:szCs w:val="18"/>
                <w:color w:val="auto"/>
              </w:rPr>
              <w:t>68</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2015 and 2014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Allowances and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14,639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Fixed assets and intangibles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80,629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64,465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(64,428)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Net deferred tax asset/(liability)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46"/>
        <w:spacing w:after="0" w:line="270" w:lineRule="auto"/>
        <w:rPr>
          <w:sz w:val="20"/>
          <w:szCs w:val="20"/>
          <w:color w:val="auto"/>
        </w:rPr>
      </w:pPr>
      <w:r>
        <w:rPr>
          <w:rFonts w:ascii="Arial" w:cs="Arial" w:eastAsia="Arial" w:hAnsi="Arial"/>
          <w:sz w:val="17"/>
          <w:szCs w:val="17"/>
          <w:color w:val="auto"/>
        </w:rPr>
        <w:t>Accounting for income taxes requires that companies assess whether valuation allowances should be established against their deferred tax assets based on consideration of all available evidence, both positive and negative, using a “more likely than not” standard. This assessment considers, among other matters, the nature, frequency and amount of recent losses, the duration of statutory carryforward periods, and tax planning strategies. In making such judgments, significant weight is given to evidence that can be objectively verified. Due to the history of losses the Company has generated in the United States since inception, the Company believes that it is more-likely-than-not that all of its U.S. and state deferred tax assets will not be realized as of December 31, 2015. Therefore, the Company has recorded a full valuation allowance on its U.S. and state deferred tax assets at December 31, 2015. Should the Company determine that it would be able to realize its deferred tax assets in the foreseeable future, an adjustment to the deferred tax assets may cause a material increase to income in the period such determination is made. Significant management judgment is required in determining the period in which the reversal of a valuation allowance should occur.</w:t>
      </w:r>
    </w:p>
    <w:p>
      <w:pPr>
        <w:spacing w:after="0" w:line="128"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The Company considers the earnings of certain non-U.S. subsidiaries to be indefinitely invested outside the United States on the basis of estimates that future domestic cash generation will be sufficient to meet future domestic cash needs and the Company’s specific plans for reinvestment of those subsidiary earnings. Accordingly, the Company has not recorded a deferred tax liability related to the U.S. federal and state income taxes and foreign withholding taxes on approximately $3.5 million of undistributed earnings of foreign subsidiaries indefinitely invested outside the United States. If such earnings were repatriated, additional tax provisions may result.</w:t>
      </w:r>
    </w:p>
    <w:p>
      <w:pPr>
        <w:spacing w:after="0" w:line="134" w:lineRule="exact"/>
        <w:rPr>
          <w:sz w:val="20"/>
          <w:szCs w:val="20"/>
          <w:color w:val="auto"/>
        </w:rPr>
      </w:pPr>
    </w:p>
    <w:p>
      <w:pPr>
        <w:ind w:right="140" w:firstLine="446"/>
        <w:spacing w:after="0" w:line="272" w:lineRule="auto"/>
        <w:rPr>
          <w:sz w:val="20"/>
          <w:szCs w:val="20"/>
          <w:color w:val="auto"/>
        </w:rPr>
      </w:pPr>
      <w:r>
        <w:rPr>
          <w:rFonts w:ascii="Arial" w:cs="Arial" w:eastAsia="Arial" w:hAnsi="Arial"/>
          <w:sz w:val="17"/>
          <w:szCs w:val="17"/>
          <w:color w:val="auto"/>
        </w:rPr>
        <w:t>The Company has net operating loss carryforwards for federal and California income tax purposes of approximately $83.2 million and $78.3 million, respectively, as of December 31, 2015. The federal and state net operating loss carryforwards, if not utilized, will expire beginning in 2026 and 2016, respectively. Utilization of the net operating loss carryforwards may be subject to a substantial annual limitation due to the ownership change limitations provided by the Internal Revenue Code of 1986, as amended (the “Code”), and similar state provisions. The annual limitation may result in the expiration of net operating losses before utilization. The Company has completed a study to assess whether an ownership change has occurred or whether there have been multiple ownership changes since the Company became a loss corporation under the Code. However, the Company does not anticipate these limitations will significantly impact its ability to utilize the net operating losses and tax credit carryforwards.</w:t>
      </w:r>
    </w:p>
    <w:p>
      <w:pPr>
        <w:spacing w:after="0" w:line="124"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color w:val="auto"/>
        </w:rPr>
        <w:t>The Company has approximately $7.2 million of federal research credit and $7.1 million of state research credit carryforwards. The federal credits begin to expire in 2026 and the state credits can be carried forward indefinitely.</w:t>
      </w:r>
    </w:p>
    <w:p>
      <w:pPr>
        <w:spacing w:after="0" w:line="116"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As a result of certain realization requirements under income tax accounting for stock-based compensation, the table of deferred tax assets and liabilities shown above does not include certain deferred tax assets as of December 31, 2015 and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arose directly from tax deductions related to equity compensation greater than compensation recognized for financial reporting. Equity will be increased by $6.0 million if and when such deferred tax assets are ultimately realized.</w:t>
      </w:r>
    </w:p>
    <w:p>
      <w:pPr>
        <w:spacing w:after="0" w:line="116"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There were no significant unrecognized tax benefits recorded upon adoption and the increase to the unrecognized tax benefits in 2015 was $1.1 million.</w:t>
      </w:r>
    </w:p>
    <w:p>
      <w:pPr>
        <w:spacing w:after="0" w:line="117"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 The Company recognizes interest and penalties related to uncertain tax positions in income tax expense.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tabular reconciliation of the total amounts of unrecognized tax benefits for the years presented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benefits—at beginning of year</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4,426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Increases in balances related to tax positions taken in prior years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in balances related to tax positions taken in current year</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Lapses in statutes of limitations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benefits—at end of year</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5,482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46"/>
        <w:spacing w:after="0" w:line="342" w:lineRule="auto"/>
        <w:rPr>
          <w:sz w:val="20"/>
          <w:szCs w:val="20"/>
          <w:color w:val="auto"/>
        </w:rPr>
      </w:pPr>
      <w:r>
        <w:rPr>
          <w:rFonts w:ascii="Arial" w:cs="Arial" w:eastAsia="Arial" w:hAnsi="Arial"/>
          <w:sz w:val="16"/>
          <w:szCs w:val="16"/>
          <w:color w:val="auto"/>
        </w:rPr>
        <w:t>The Company’s tax returns continue to remain subject to examination by U.S. federal authorities for the years 2006 through 2015 and by California state authorities for the years 2006 through 2015 due to the use of net operating losses generated in tax years prior to the statutory three-year limit.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CONCENTRATION OF CREDIT RISK AND MAJOR CUSTOMERS</w:t>
      </w:r>
    </w:p>
    <w:p>
      <w:pPr>
        <w:spacing w:after="0" w:line="175" w:lineRule="exact"/>
        <w:rPr>
          <w:sz w:val="20"/>
          <w:szCs w:val="20"/>
          <w:color w:val="auto"/>
        </w:rPr>
      </w:pPr>
    </w:p>
    <w:p>
      <w:pPr>
        <w:ind w:right="120" w:firstLine="446"/>
        <w:spacing w:after="0" w:line="293" w:lineRule="auto"/>
        <w:rPr>
          <w:sz w:val="20"/>
          <w:szCs w:val="20"/>
          <w:color w:val="auto"/>
        </w:rPr>
      </w:pPr>
      <w:r>
        <w:rPr>
          <w:rFonts w:ascii="Arial" w:cs="Arial" w:eastAsia="Arial" w:hAnsi="Arial"/>
          <w:sz w:val="16"/>
          <w:szCs w:val="16"/>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 Accounts receivable can be potentially exposed to a concentration of credit risk with its major customers. As of December 31, 2015, amounts due from one customer represented 15% of the total accounts receivable balance. As of December 31, 2014, the Company’s two largest accounts receivable balances represented 15% and 11% of the total accounts receivable balance. In 2015, two customers accounted for 17% and 12% of total net revenues. In 2014, two customers accounted for 24% and 16% of total net revenues. In 2013, three customers accounted for 15%, 14% and 11% of total net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33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for the period. Diluted net loss per share is calculated by dividing net loss by the weighted average number of common shares and potential dilutive common share equivalents outstanding during the period if the effect is dilutive. The Company’s potentially dilutive common shares include outstanding stock options and warrants and non-vested restricted stock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to purchase common stock</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8,646</w:t>
            </w:r>
          </w:p>
        </w:tc>
        <w:tc>
          <w:tcPr>
            <w:tcW w:w="16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Unvested restricted stock units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1,506</w:t>
            </w:r>
          </w:p>
        </w:tc>
        <w:tc>
          <w:tcPr>
            <w:tcW w:w="1600" w:type="dxa"/>
            <w:vAlign w:val="bottom"/>
            <w:gridSpan w:val="2"/>
          </w:tcPr>
          <w:p>
            <w:pPr>
              <w:jc w:val="right"/>
              <w:ind w:right="19"/>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6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10,263</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8,885</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75"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100"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following tables present net revenues (based on the destination of shipments) and long-lived assets by geographic region as of and for the periods presented (in thousands):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303,195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294,549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192,881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49,355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39,965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357,249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343,904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232,846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32,118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30,824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24,853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283"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tables show a summary of the Company’s quarterly financial information for each of the four quarters of 2015 and 2014 (in thousands, except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Years Ended December 31, 2015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5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0"/>
                <w:szCs w:val="20"/>
                <w:color w:val="auto"/>
              </w:rPr>
            </w:pPr>
          </w:p>
        </w:tc>
        <w:tc>
          <w:tcPr>
            <w:tcW w:w="128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December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6"/>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58,629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69,066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49,929</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10,922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7,405</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30,871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5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70"/>
        </w:trPr>
        <w:tc>
          <w:tcPr>
            <w:tcW w:w="5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6"/>
                <w:szCs w:val="16"/>
                <w:b w:val="1"/>
                <w:bCs w:val="1"/>
                <w:color w:val="auto"/>
              </w:rPr>
              <w:t>Years Ended December 31, 2014</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31"/>
        </w:trPr>
        <w:tc>
          <w:tcPr>
            <w:tcW w:w="5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8"/>
              </w:rPr>
              <w:t>December 31</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38,925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66,592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70,172</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11,798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33,084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919"/>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31, 2015 based on criteria set forth in Internal Control – Integrated Framework issued by the Committee of Sponsoring Organizations of the Treadway Commission (2013). As a result of this assessment, management concluded that, as of December 31, 2015, our internal control over financial reporting was effective.</w:t>
      </w:r>
    </w:p>
    <w:p>
      <w:pPr>
        <w:spacing w:after="0" w:line="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As a result, we are exempt from the auditor attestation requirements related to internal controls over financial reporting pursuant to Section 404 of the Sarbanes-Oxley Act. In addition, for as long as we remain an “emerging growth company,” we will continue to be exempt from the auditor attestation requirement in the assessment of the effectiveness of our internal control over financial reporting through the end of fiscal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ended December 31, 2015 that materially affected, or are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2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the section entitled “Proposal 1-Election of Directors” in our definitive Proxy Statement for the 2016 Annual Meeting of Stockholders (our “Proxy Statement”), a copy of which will be filed with the Securities and Exchange Commission on or before April 30, 2016.</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70"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http://investor.enphase.com/governance.cfm</w:t>
      </w:r>
      <w:r>
        <w:rPr>
          <w:rFonts w:ascii="Arial" w:cs="Arial" w:eastAsia="Arial" w:hAnsi="Arial"/>
          <w:sz w:val="18"/>
          <w:szCs w:val="18"/>
          <w:color w:val="auto"/>
        </w:rPr>
        <w:t>. A copy of our Code of Conduct may also be obtained free of charge by writing to our Assistant Secretary, Enphase Energy, Inc., 1420 N. McDowell Blvd., Petaluma, CA 94954.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“Director Compensation,” “Compensation Committee Report” and “Compensation Committee Interlocks and Insider Participation” in our Proxy Statement.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“Employee Benefit Plans”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is incorporated herein by reference from the information contained in the sections entitled “Principal Accountant Fees and Services” and “Pre-Approval Policies and Procedures” in the section entitled “Proposal 3-Ratification of Selection of Independent Registered Public Accounting Firm” in our Proxy Statement.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8"/>
          <w:szCs w:val="18"/>
          <w:i w:val="1"/>
          <w:iCs w:val="1"/>
          <w:color w:val="auto"/>
        </w:rPr>
        <w:t>Consolidated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 2016.</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Enphase Energy, Inc.</w:t>
      </w:r>
    </w:p>
    <w:p>
      <w:pPr>
        <w:spacing w:after="0" w:line="337"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152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Paul B. Nahi and Kris Sennesael,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4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r>
      <w:tr>
        <w:trPr>
          <w:trHeight w:val="54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PAUL B. NAHI</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w w:val="97"/>
              </w:rPr>
              <w:t>President and Chief Executive Officer (Principal Executive</w:t>
            </w:r>
          </w:p>
        </w:tc>
        <w:tc>
          <w:tcPr>
            <w:tcW w:w="2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March 1, 2016</w:t>
            </w: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3"/>
              </w:rPr>
              <w:t>Paul B. Nahi</w:t>
            </w:r>
          </w:p>
        </w:tc>
        <w:tc>
          <w:tcPr>
            <w:tcW w:w="12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2060" w:type="dxa"/>
            <w:vAlign w:val="bottom"/>
          </w:tcPr>
          <w:p>
            <w:pPr>
              <w:spacing w:after="0"/>
              <w:rPr>
                <w:sz w:val="20"/>
                <w:szCs w:val="20"/>
                <w:color w:val="auto"/>
              </w:rPr>
            </w:pPr>
          </w:p>
        </w:tc>
      </w:tr>
      <w:tr>
        <w:trPr>
          <w:trHeight w:val="419"/>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 SENNESAEL</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Vice President and Chief Financial Officer (Principal</w:t>
            </w:r>
          </w:p>
        </w:tc>
        <w:tc>
          <w:tcPr>
            <w:tcW w:w="2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March 1, 2016</w:t>
            </w: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7"/>
              </w:rPr>
              <w:t>Kris Sennesael</w:t>
            </w:r>
          </w:p>
        </w:tc>
        <w:tc>
          <w:tcPr>
            <w:tcW w:w="12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Financial and Accounting Officer)</w:t>
            </w:r>
          </w:p>
        </w:tc>
        <w:tc>
          <w:tcPr>
            <w:tcW w:w="2060" w:type="dxa"/>
            <w:vAlign w:val="bottom"/>
          </w:tcPr>
          <w:p>
            <w:pPr>
              <w:spacing w:after="0"/>
              <w:rPr>
                <w:sz w:val="20"/>
                <w:szCs w:val="20"/>
                <w:color w:val="auto"/>
              </w:rPr>
            </w:pPr>
          </w:p>
        </w:tc>
      </w:tr>
      <w:tr>
        <w:trPr>
          <w:trHeight w:val="392"/>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NEAL DEMPSEY</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 2016</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9"/>
              </w:rPr>
              <w:t>Neal Dempsey</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STEVEN J. GOMO</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 2016</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Steven J. Gomo</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BENJAMIN KORTLANG</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 2016</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3"/>
              </w:rPr>
              <w:t>Benjamin Kortlang</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700" w:type="dxa"/>
            <w:vAlign w:val="bottom"/>
          </w:tcPr>
          <w:p>
            <w:pPr>
              <w:jc w:val="center"/>
              <w:spacing w:after="0"/>
              <w:rPr>
                <w:sz w:val="20"/>
                <w:szCs w:val="20"/>
                <w:color w:val="auto"/>
              </w:rPr>
            </w:pPr>
            <w:r>
              <w:rPr>
                <w:rFonts w:ascii="Arial" w:cs="Arial" w:eastAsia="Arial" w:hAnsi="Arial"/>
                <w:sz w:val="18"/>
                <w:szCs w:val="18"/>
                <w:color w:val="auto"/>
                <w:w w:val="95"/>
              </w:rPr>
              <w:t>/s/ JAMESON J. MCJUNKIN</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 2016</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Jameson J. McJunkin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RICHARD MORA</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 2016</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4"/>
              </w:rPr>
              <w:t>Richard Mora</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4700" w:type="dxa"/>
            <w:vAlign w:val="bottom"/>
          </w:tcPr>
          <w:p>
            <w:pPr>
              <w:jc w:val="center"/>
              <w:spacing w:after="0"/>
              <w:rPr>
                <w:sz w:val="20"/>
                <w:szCs w:val="20"/>
                <w:color w:val="auto"/>
              </w:rPr>
            </w:pPr>
            <w:r>
              <w:rPr>
                <w:rFonts w:ascii="Arial" w:cs="Arial" w:eastAsia="Arial" w:hAnsi="Arial"/>
                <w:sz w:val="18"/>
                <w:szCs w:val="18"/>
                <w:color w:val="auto"/>
                <w:w w:val="94"/>
              </w:rPr>
              <w:t>/s/ JOHN H. WEBER</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500"/>
              <w:spacing w:after="0"/>
              <w:rPr>
                <w:sz w:val="20"/>
                <w:szCs w:val="20"/>
                <w:color w:val="auto"/>
              </w:rPr>
            </w:pPr>
            <w:r>
              <w:rPr>
                <w:rFonts w:ascii="Arial" w:cs="Arial" w:eastAsia="Arial" w:hAnsi="Arial"/>
                <w:sz w:val="18"/>
                <w:szCs w:val="18"/>
                <w:color w:val="auto"/>
              </w:rPr>
              <w:t>March 1, 2016</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John H. Weber</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86"/>
        </w:trPr>
        <w:tc>
          <w:tcPr>
            <w:tcW w:w="4700" w:type="dxa"/>
            <w:vAlign w:val="bottom"/>
          </w:tcPr>
          <w:p>
            <w:pPr>
              <w:spacing w:after="0"/>
              <w:rPr>
                <w:sz w:val="24"/>
                <w:szCs w:val="24"/>
                <w:color w:val="auto"/>
              </w:rPr>
            </w:pPr>
          </w:p>
        </w:tc>
        <w:tc>
          <w:tcPr>
            <w:tcW w:w="4560" w:type="dxa"/>
            <w:vAlign w:val="bottom"/>
            <w:gridSpan w:val="2"/>
          </w:tcPr>
          <w:p>
            <w:pPr>
              <w:jc w:val="right"/>
              <w:ind w:right="337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80" w:type="dxa"/>
            <w:vAlign w:val="bottom"/>
            <w:gridSpan w:val="6"/>
          </w:tcPr>
          <w:p>
            <w:pPr>
              <w:ind w:left="2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040" w:type="dxa"/>
            <w:vAlign w:val="bottom"/>
            <w:gridSpan w:val="2"/>
            <w:vMerge w:val="continue"/>
          </w:tcPr>
          <w:p>
            <w:pPr>
              <w:spacing w:after="0"/>
              <w:rPr>
                <w:sz w:val="11"/>
                <w:szCs w:val="11"/>
                <w:color w:val="auto"/>
              </w:rPr>
            </w:pPr>
          </w:p>
        </w:tc>
        <w:tc>
          <w:tcPr>
            <w:tcW w:w="4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SEC File No.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vMerge w:val="restart"/>
          </w:tcPr>
          <w:p>
            <w:pPr>
              <w:spacing w:after="0"/>
              <w:rPr>
                <w:sz w:val="10"/>
                <w:szCs w:val="10"/>
                <w:color w:val="auto"/>
              </w:rPr>
            </w:pPr>
          </w:p>
        </w:tc>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2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458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2" w:right="239" w:bottom="0" w:gutter="0" w:footer="0" w:header="0"/>
        </w:sectPr>
      </w:pPr>
    </w:p>
    <w:p>
      <w:pPr>
        <w:spacing w:after="0" w:line="1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w:t>
      </w:r>
    </w:p>
    <w:p>
      <w:pPr>
        <w:spacing w:after="0" w:line="32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4.1</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Amended and Restated Certificate of Incorporation of Enphase Energy,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Enphase Energy, Inc.</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Specimen Common Stock Certificate of Enphase Energy, Inc.</w:t>
      </w:r>
    </w:p>
    <w:p>
      <w:pPr>
        <w:spacing w:after="0" w:line="20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2010 Amended and Restated Investors’ Rights Agreement by and between Enphase Energy, Inc. and the investors listed on Exhibit A thereto, dated March 15, 2010, as amended.</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Form of June 2011 Warrant to Purchase Common Stock of Enphase Energy, Inc., pursuant to that certain Amended and Restated Subordinated Convertible Loan Facility and Security Agreement.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of November 2011 Warrant to Purchase Common Stock of Enphase Energy, Inc., pursuant to that certain Amended and Restated Subordinated Convertible Loan Facility and Security Agreement.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4/6/2012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39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932"/>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r>
        <w:trPr>
          <w:trHeight w:val="104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3/12/2012</w:t>
            </w:r>
          </w:p>
        </w:tc>
      </w:tr>
    </w:tbl>
    <w:p>
      <w:pPr>
        <w:spacing w:after="0" w:line="484" w:lineRule="exact"/>
        <w:rPr>
          <w:sz w:val="20"/>
          <w:szCs w:val="20"/>
          <w:color w:val="auto"/>
        </w:rPr>
      </w:pPr>
    </w:p>
    <w:p>
      <w:pPr>
        <w:sectPr>
          <w:pgSz w:w="11900" w:h="16838" w:orient="portrait"/>
          <w:cols w:equalWidth="0" w:num="3">
            <w:col w:w="580" w:space="500"/>
            <w:col w:w="4500" w:space="360"/>
            <w:col w:w="5480"/>
          </w:cols>
          <w:pgMar w:left="240" w:top="122" w:right="239" w:bottom="0" w:gutter="0" w:footer="0" w:header="0"/>
          <w:type w:val="continuous"/>
        </w:sectPr>
      </w:pPr>
    </w:p>
    <w:tbl>
      <w:tblPr>
        <w:tblLayout w:type="fixed"/>
        <w:tblInd w:w="260" w:type="dxa"/>
        <w:tblCellMar>
          <w:top w:w="0" w:type="dxa"/>
          <w:left w:w="0" w:type="dxa"/>
          <w:bottom w:w="0" w:type="dxa"/>
          <w:right w:w="0" w:type="dxa"/>
        </w:tblCellMar>
      </w:tblPr>
      <w:tr>
        <w:trPr>
          <w:trHeight w:val="216"/>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84"/>
              </w:rPr>
              <w:t>10.1</w:t>
            </w:r>
            <w:r>
              <w:rPr>
                <w:rFonts w:ascii="Arial" w:cs="Arial" w:eastAsia="Arial" w:hAnsi="Arial"/>
                <w:sz w:val="25"/>
                <w:szCs w:val="25"/>
                <w:color w:val="auto"/>
                <w:w w:val="84"/>
                <w:vertAlign w:val="superscript"/>
              </w:rPr>
              <w:t>+</w:t>
            </w:r>
          </w:p>
        </w:tc>
        <w:tc>
          <w:tcPr>
            <w:tcW w:w="4680" w:type="dxa"/>
            <w:vAlign w:val="bottom"/>
          </w:tcPr>
          <w:p>
            <w:pPr>
              <w:ind w:left="200"/>
              <w:spacing w:after="0"/>
              <w:rPr>
                <w:sz w:val="20"/>
                <w:szCs w:val="20"/>
                <w:color w:val="auto"/>
              </w:rPr>
            </w:pPr>
            <w:r>
              <w:rPr>
                <w:rFonts w:ascii="Arial" w:cs="Arial" w:eastAsia="Arial" w:hAnsi="Arial"/>
                <w:sz w:val="18"/>
                <w:szCs w:val="18"/>
                <w:color w:val="auto"/>
                <w:w w:val="91"/>
              </w:rPr>
              <w:t>Form of Indemnification Agreement by and between Enphase</w:t>
            </w: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Energy, Inc. and each of its directors and officers.</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84"/>
              </w:rPr>
              <w:t>10.2</w:t>
            </w:r>
            <w:r>
              <w:rPr>
                <w:rFonts w:ascii="Arial" w:cs="Arial" w:eastAsia="Arial" w:hAnsi="Arial"/>
                <w:sz w:val="25"/>
                <w:szCs w:val="25"/>
                <w:color w:val="auto"/>
                <w:w w:val="84"/>
                <w:vertAlign w:val="superscript"/>
              </w:rPr>
              <w:t>+</w:t>
            </w:r>
          </w:p>
        </w:tc>
        <w:tc>
          <w:tcPr>
            <w:tcW w:w="4680" w:type="dxa"/>
            <w:vAlign w:val="bottom"/>
          </w:tcPr>
          <w:p>
            <w:pPr>
              <w:ind w:left="200"/>
              <w:spacing w:after="0"/>
              <w:rPr>
                <w:sz w:val="20"/>
                <w:szCs w:val="20"/>
                <w:color w:val="auto"/>
              </w:rPr>
            </w:pPr>
            <w:r>
              <w:rPr>
                <w:rFonts w:ascii="Arial" w:cs="Arial" w:eastAsia="Arial" w:hAnsi="Arial"/>
                <w:sz w:val="18"/>
                <w:szCs w:val="18"/>
                <w:color w:val="auto"/>
              </w:rPr>
              <w:t>2006 Equity Incentive Plan, as amended, and related</w:t>
            </w: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84"/>
              </w:rPr>
              <w:t>10.3</w:t>
            </w:r>
            <w:r>
              <w:rPr>
                <w:rFonts w:ascii="Arial" w:cs="Arial" w:eastAsia="Arial" w:hAnsi="Arial"/>
                <w:sz w:val="25"/>
                <w:szCs w:val="25"/>
                <w:color w:val="auto"/>
                <w:w w:val="84"/>
                <w:vertAlign w:val="superscript"/>
              </w:rPr>
              <w:t>+</w:t>
            </w:r>
          </w:p>
        </w:tc>
        <w:tc>
          <w:tcPr>
            <w:tcW w:w="4680" w:type="dxa"/>
            <w:vAlign w:val="bottom"/>
          </w:tcPr>
          <w:p>
            <w:pPr>
              <w:ind w:left="200"/>
              <w:spacing w:after="0"/>
              <w:rPr>
                <w:sz w:val="20"/>
                <w:szCs w:val="20"/>
                <w:color w:val="auto"/>
              </w:rPr>
            </w:pPr>
            <w:r>
              <w:rPr>
                <w:rFonts w:ascii="Arial" w:cs="Arial" w:eastAsia="Arial" w:hAnsi="Arial"/>
                <w:sz w:val="18"/>
                <w:szCs w:val="18"/>
                <w:color w:val="auto"/>
              </w:rPr>
              <w:t>2011 Equity Incentive Plan and forms of agreement</w:t>
            </w: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thereunder.</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4"/>
              </w:rPr>
              <w:t>10.4</w:t>
            </w:r>
            <w:r>
              <w:rPr>
                <w:rFonts w:ascii="Arial" w:cs="Arial" w:eastAsia="Arial" w:hAnsi="Arial"/>
                <w:sz w:val="25"/>
                <w:szCs w:val="25"/>
                <w:color w:val="auto"/>
                <w:w w:val="84"/>
                <w:vertAlign w:val="superscript"/>
              </w:rPr>
              <w:t>+</w:t>
            </w:r>
          </w:p>
        </w:tc>
        <w:tc>
          <w:tcPr>
            <w:tcW w:w="4680" w:type="dxa"/>
            <w:vAlign w:val="bottom"/>
          </w:tcPr>
          <w:p>
            <w:pPr>
              <w:ind w:left="200"/>
              <w:spacing w:after="0"/>
              <w:rPr>
                <w:sz w:val="20"/>
                <w:szCs w:val="20"/>
                <w:color w:val="auto"/>
              </w:rPr>
            </w:pPr>
            <w:r>
              <w:rPr>
                <w:rFonts w:ascii="Arial" w:cs="Arial" w:eastAsia="Arial" w:hAnsi="Arial"/>
                <w:sz w:val="18"/>
                <w:szCs w:val="18"/>
                <w:color w:val="auto"/>
              </w:rPr>
              <w:t>2011 Employee Stock Purchase Plan.</w:t>
            </w:r>
          </w:p>
        </w:tc>
        <w:tc>
          <w:tcPr>
            <w:tcW w:w="0" w:type="dxa"/>
            <w:vAlign w:val="bottom"/>
          </w:tcPr>
          <w:p>
            <w:pPr>
              <w:spacing w:after="0"/>
              <w:rPr>
                <w:sz w:val="1"/>
                <w:szCs w:val="1"/>
                <w:color w:val="auto"/>
              </w:rPr>
            </w:pPr>
          </w:p>
        </w:tc>
      </w:tr>
      <w:tr>
        <w:trPr>
          <w:trHeight w:val="279"/>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84"/>
              </w:rPr>
              <w:t>10.5</w:t>
            </w:r>
            <w:r>
              <w:rPr>
                <w:rFonts w:ascii="Arial" w:cs="Arial" w:eastAsia="Arial" w:hAnsi="Arial"/>
                <w:sz w:val="25"/>
                <w:szCs w:val="25"/>
                <w:color w:val="auto"/>
                <w:w w:val="84"/>
                <w:vertAlign w:val="superscript"/>
              </w:rPr>
              <w:t>+</w:t>
            </w:r>
          </w:p>
        </w:tc>
        <w:tc>
          <w:tcPr>
            <w:tcW w:w="4680" w:type="dxa"/>
            <w:vAlign w:val="bottom"/>
          </w:tcPr>
          <w:p>
            <w:pPr>
              <w:ind w:left="200"/>
              <w:spacing w:after="0"/>
              <w:rPr>
                <w:sz w:val="20"/>
                <w:szCs w:val="20"/>
                <w:color w:val="auto"/>
              </w:rPr>
            </w:pPr>
            <w:r>
              <w:rPr>
                <w:rFonts w:ascii="Arial" w:cs="Arial" w:eastAsia="Arial" w:hAnsi="Arial"/>
                <w:sz w:val="18"/>
                <w:szCs w:val="18"/>
                <w:color w:val="auto"/>
                <w:w w:val="89"/>
              </w:rPr>
              <w:t>Offer Letter by and between Enphase Energy, Inc. and Paul B.</w:t>
            </w: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Nahi, dated January 1, 2007, as amended.</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620" w:type="dxa"/>
            <w:vAlign w:val="bottom"/>
            <w:vMerge w:val="restart"/>
          </w:tcPr>
          <w:p>
            <w:pPr>
              <w:jc w:val="center"/>
              <w:ind w:right="110"/>
              <w:spacing w:after="0"/>
              <w:rPr>
                <w:sz w:val="20"/>
                <w:szCs w:val="20"/>
                <w:color w:val="auto"/>
              </w:rPr>
            </w:pPr>
            <w:r>
              <w:rPr>
                <w:rFonts w:ascii="Arial" w:cs="Arial" w:eastAsia="Arial" w:hAnsi="Arial"/>
                <w:sz w:val="18"/>
                <w:szCs w:val="18"/>
                <w:color w:val="auto"/>
                <w:w w:val="84"/>
              </w:rPr>
              <w:t>10.6</w:t>
            </w:r>
            <w:r>
              <w:rPr>
                <w:rFonts w:ascii="Arial" w:cs="Arial" w:eastAsia="Arial" w:hAnsi="Arial"/>
                <w:sz w:val="25"/>
                <w:szCs w:val="25"/>
                <w:color w:val="auto"/>
                <w:w w:val="84"/>
                <w:vertAlign w:val="superscript"/>
              </w:rPr>
              <w:t>+</w:t>
            </w:r>
          </w:p>
        </w:tc>
        <w:tc>
          <w:tcPr>
            <w:tcW w:w="4680" w:type="dxa"/>
            <w:vAlign w:val="bottom"/>
          </w:tcPr>
          <w:p>
            <w:pPr>
              <w:ind w:left="200"/>
              <w:spacing w:after="0"/>
              <w:rPr>
                <w:sz w:val="20"/>
                <w:szCs w:val="20"/>
                <w:color w:val="auto"/>
              </w:rPr>
            </w:pPr>
            <w:r>
              <w:rPr>
                <w:rFonts w:ascii="Arial" w:cs="Arial" w:eastAsia="Arial" w:hAnsi="Arial"/>
                <w:sz w:val="18"/>
                <w:szCs w:val="18"/>
                <w:color w:val="auto"/>
                <w:w w:val="95"/>
              </w:rPr>
              <w:t>Offer Letter by and between Enphase Energy, Inc. and Jeff</w:t>
            </w:r>
          </w:p>
        </w:tc>
        <w:tc>
          <w:tcPr>
            <w:tcW w:w="0" w:type="dxa"/>
            <w:vAlign w:val="bottom"/>
          </w:tcPr>
          <w:p>
            <w:pPr>
              <w:spacing w:after="0"/>
              <w:rPr>
                <w:sz w:val="1"/>
                <w:szCs w:val="1"/>
                <w:color w:val="auto"/>
              </w:rPr>
            </w:pPr>
          </w:p>
        </w:tc>
      </w:tr>
      <w:tr>
        <w:trPr>
          <w:trHeight w:val="176"/>
        </w:trPr>
        <w:tc>
          <w:tcPr>
            <w:tcW w:w="620" w:type="dxa"/>
            <w:vAlign w:val="bottom"/>
            <w:vMerge w:val="continue"/>
          </w:tcPr>
          <w:p>
            <w:pPr>
              <w:spacing w:after="0"/>
              <w:rPr>
                <w:sz w:val="15"/>
                <w:szCs w:val="15"/>
                <w:color w:val="auto"/>
              </w:rPr>
            </w:pPr>
          </w:p>
        </w:tc>
        <w:tc>
          <w:tcPr>
            <w:tcW w:w="4680" w:type="dxa"/>
            <w:vAlign w:val="bottom"/>
            <w:vMerge w:val="restart"/>
          </w:tcPr>
          <w:p>
            <w:pPr>
              <w:ind w:left="200"/>
              <w:spacing w:after="0"/>
              <w:rPr>
                <w:sz w:val="20"/>
                <w:szCs w:val="20"/>
                <w:color w:val="auto"/>
              </w:rPr>
            </w:pPr>
            <w:r>
              <w:rPr>
                <w:rFonts w:ascii="Arial" w:cs="Arial" w:eastAsia="Arial" w:hAnsi="Arial"/>
                <w:sz w:val="18"/>
                <w:szCs w:val="18"/>
                <w:color w:val="auto"/>
              </w:rPr>
              <w:t>Loebbaka, dated April 19, 2010.</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88"/>
              </w:rPr>
              <w:t>Redwood Business Park NNN Lease by and between Enphase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1"/>
              </w:rPr>
              <w:t>10.7</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Energy, Inc. and Sequoia Center LLC, dated June 3, 2011</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(1400 North McDowell Boulevard), as amended.</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7"/>
              </w:rPr>
              <w:t>First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1"/>
              </w:rPr>
              <w:t>10.8</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January 12, 2012.</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2"/>
              </w:rPr>
              <w:t>Second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1"/>
              </w:rPr>
              <w:t>10.9</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January 13, 2014.</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Third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10.10</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September 25, 2014.</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4"/>
              </w:rPr>
              <w:t>Fourth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10.11</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(1400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December 30, 2014.</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88"/>
              </w:rPr>
              <w:t>Redwood Business Park NNN Lease by and between Enphase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10.12</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Energy, Inc. and Sequoia Center LLC, dated June 3, 2011</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(1420 North McDowell Boulevard), as amended.</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7"/>
              </w:rPr>
              <w:t>First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10.13</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(1420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January 12, 2012.</w:t>
            </w:r>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2"/>
              </w:rPr>
              <w:t>Second Amendment to Redwood Business Park NNN Lease</w:t>
            </w:r>
          </w:p>
        </w:tc>
        <w:tc>
          <w:tcPr>
            <w:tcW w:w="0" w:type="dxa"/>
            <w:vAlign w:val="bottom"/>
          </w:tcPr>
          <w:p>
            <w:pPr>
              <w:spacing w:after="0"/>
              <w:rPr>
                <w:sz w:val="1"/>
                <w:szCs w:val="1"/>
                <w:color w:val="auto"/>
              </w:rPr>
            </w:pPr>
          </w:p>
        </w:tc>
      </w:tr>
      <w:tr>
        <w:trPr>
          <w:trHeight w:val="216"/>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10.14</w:t>
            </w:r>
          </w:p>
        </w:tc>
        <w:tc>
          <w:tcPr>
            <w:tcW w:w="4680" w:type="dxa"/>
            <w:vAlign w:val="bottom"/>
          </w:tcPr>
          <w:p>
            <w:pPr>
              <w:ind w:left="200"/>
              <w:spacing w:after="0"/>
              <w:rPr>
                <w:sz w:val="20"/>
                <w:szCs w:val="20"/>
                <w:color w:val="auto"/>
              </w:rPr>
            </w:pPr>
            <w:r>
              <w:rPr>
                <w:rFonts w:ascii="Arial" w:cs="Arial" w:eastAsia="Arial" w:hAnsi="Arial"/>
                <w:sz w:val="18"/>
                <w:szCs w:val="18"/>
                <w:color w:val="auto"/>
                <w:w w:val="93"/>
              </w:rPr>
              <w:t>(1420 North McDowell Blvd), between Enphase Energy, Inc.</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&amp; Sequoia Center LLC, dated July 3, 2012.</w:t>
            </w:r>
          </w:p>
        </w:tc>
        <w:tc>
          <w:tcPr>
            <w:tcW w:w="0" w:type="dxa"/>
            <w:vAlign w:val="bottom"/>
          </w:tcPr>
          <w:p>
            <w:pPr>
              <w:spacing w:after="0"/>
              <w:rPr>
                <w:sz w:val="1"/>
                <w:szCs w:val="1"/>
                <w:color w:val="auto"/>
              </w:rPr>
            </w:pPr>
          </w:p>
        </w:tc>
      </w:tr>
      <w:tr>
        <w:trPr>
          <w:trHeight w:val="392"/>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88"/>
              </w:rPr>
              <w:t>10.15</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Third Amendment to Redwood Business Park NNN Lease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S-8</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333-181382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5/14/2012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S-8</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333-181382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5/14/2012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S-8</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333-181382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5/14/2012</w:t>
            </w:r>
          </w:p>
        </w:tc>
      </w:tr>
      <w:tr>
        <w:trPr>
          <w:trHeight w:val="50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3/12/2012</w:t>
            </w:r>
          </w:p>
        </w:tc>
      </w:tr>
      <w:tr>
        <w:trPr>
          <w:trHeight w:val="716"/>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3/12/2012</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3/4/2015</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3/4/2015</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3/4/2015</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3/4/2015</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3/12/2012</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3/4/2015</w:t>
            </w:r>
          </w:p>
        </w:tc>
      </w:tr>
      <w:tr>
        <w:trPr>
          <w:trHeight w:val="8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11/13/2012</w:t>
            </w:r>
          </w:p>
        </w:tc>
      </w:tr>
      <w:tr>
        <w:trPr>
          <w:trHeight w:val="608"/>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3/4/2015</w:t>
            </w:r>
          </w:p>
        </w:tc>
      </w:tr>
    </w:tbl>
    <w:p>
      <w:pPr>
        <w:sectPr>
          <w:pgSz w:w="11900" w:h="16838" w:orient="portrait"/>
          <w:cols w:equalWidth="0" w:num="2">
            <w:col w:w="5560" w:space="380"/>
            <w:col w:w="5480"/>
          </w:cols>
          <w:pgMar w:left="240" w:top="122" w:right="239" w:bottom="0" w:gutter="0" w:footer="0" w:header="0"/>
          <w:type w:val="continuous"/>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(1420 North McDowell Blvd), between Enphase Energy, Inc.</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&amp; Sequoia Center LLC dated May 14, 2014.</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Cooperation Agreement “AC cabling system for solar micro-</w:t>
            </w:r>
          </w:p>
        </w:tc>
        <w:tc>
          <w:tcPr>
            <w:tcW w:w="0" w:type="dxa"/>
            <w:vAlign w:val="bottom"/>
          </w:tcPr>
          <w:p>
            <w:pPr>
              <w:spacing w:after="0"/>
              <w:rPr>
                <w:sz w:val="1"/>
                <w:szCs w:val="1"/>
                <w:color w:val="auto"/>
              </w:rPr>
            </w:pPr>
          </w:p>
        </w:tc>
      </w:tr>
      <w:tr>
        <w:trPr>
          <w:trHeight w:val="216"/>
        </w:trPr>
        <w:tc>
          <w:tcPr>
            <w:tcW w:w="800" w:type="dxa"/>
            <w:vAlign w:val="bottom"/>
            <w:vMerge w:val="restart"/>
          </w:tcPr>
          <w:p>
            <w:pPr>
              <w:jc w:val="center"/>
              <w:ind w:right="50"/>
              <w:spacing w:after="0"/>
              <w:rPr>
                <w:sz w:val="20"/>
                <w:szCs w:val="20"/>
                <w:color w:val="auto"/>
              </w:rPr>
            </w:pPr>
            <w:r>
              <w:rPr>
                <w:rFonts w:ascii="Arial" w:cs="Arial" w:eastAsia="Arial" w:hAnsi="Arial"/>
                <w:sz w:val="18"/>
                <w:szCs w:val="18"/>
                <w:color w:val="auto"/>
                <w:w w:val="84"/>
              </w:rPr>
              <w:t>10.16</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inverter” by and among Enphase Energy, Inc., and Phoenix</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w w:val="97"/>
              </w:rPr>
              <w:t>Contact GmbH &amp; Co. KG and Phoenix Contact USA, Inc.,</w:t>
            </w: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4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dated December 7, 2010.</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6"/>
              </w:rPr>
              <w:t>Flextronics Logistics Services Agreement by and between</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10.17</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5"/>
              </w:rPr>
              <w:t>Enphase Energy, Inc. and Flextronics America, LLC, dated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May 1, 2009.</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Flextronics Manufacturing Services Agreement by and</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10.18</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between Enphase Energy, Inc. and Flextronics Industrial, Ltd.,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dated March 1, 2009, as amended.</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Master Development and Production Agreement by and</w:t>
            </w:r>
          </w:p>
        </w:tc>
        <w:tc>
          <w:tcPr>
            <w:tcW w:w="0" w:type="dxa"/>
            <w:vAlign w:val="bottom"/>
          </w:tcPr>
          <w:p>
            <w:pPr>
              <w:spacing w:after="0"/>
              <w:rPr>
                <w:sz w:val="1"/>
                <w:szCs w:val="1"/>
                <w:color w:val="auto"/>
              </w:rPr>
            </w:pPr>
          </w:p>
        </w:tc>
      </w:tr>
      <w:tr>
        <w:trPr>
          <w:trHeight w:val="216"/>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88"/>
              </w:rPr>
              <w:t>10.19</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between Enphase Energy, Inc. and Fujitsu Microelectronics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America, Inc., dated August 19, 2009.</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License and Technology Transfer Agreement by and between</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10.20</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Enphase Energy, Inc. and Ariane Controls, Inc., dated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December 21, 2007.</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Software License Agreement by and between PVI Solutions,</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10.21</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Inc. (subsequently known as Enphase Energy, Inc.) and DCD,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Digital Core Design, dated May 8, 2007, as amended.</w:t>
            </w:r>
          </w:p>
        </w:tc>
        <w:tc>
          <w:tcPr>
            <w:tcW w:w="0" w:type="dxa"/>
            <w:vAlign w:val="bottom"/>
          </w:tcPr>
          <w:p>
            <w:pPr>
              <w:spacing w:after="0"/>
              <w:rPr>
                <w:sz w:val="1"/>
                <w:szCs w:val="1"/>
                <w:color w:val="auto"/>
              </w:rPr>
            </w:pPr>
          </w:p>
        </w:tc>
      </w:tr>
      <w:tr>
        <w:trPr>
          <w:trHeight w:val="490"/>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87"/>
              </w:rPr>
              <w:t>10.22</w:t>
            </w:r>
            <w:r>
              <w:rPr>
                <w:rFonts w:ascii="Arial" w:cs="Arial" w:eastAsia="Arial" w:hAnsi="Arial"/>
                <w:sz w:val="25"/>
                <w:szCs w:val="25"/>
                <w:color w:val="auto"/>
                <w:w w:val="87"/>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279"/>
        </w:trPr>
        <w:tc>
          <w:tcPr>
            <w:tcW w:w="800" w:type="dxa"/>
            <w:vAlign w:val="bottom"/>
            <w:vMerge w:val="restart"/>
          </w:tcPr>
          <w:p>
            <w:pPr>
              <w:jc w:val="center"/>
              <w:ind w:right="70"/>
              <w:spacing w:after="0"/>
              <w:rPr>
                <w:sz w:val="20"/>
                <w:szCs w:val="20"/>
                <w:color w:val="auto"/>
              </w:rPr>
            </w:pPr>
            <w:r>
              <w:rPr>
                <w:rFonts w:ascii="Arial" w:cs="Arial" w:eastAsia="Arial" w:hAnsi="Arial"/>
                <w:sz w:val="18"/>
                <w:szCs w:val="18"/>
                <w:color w:val="auto"/>
                <w:w w:val="87"/>
              </w:rPr>
              <w:t>10.23</w:t>
            </w:r>
            <w:r>
              <w:rPr>
                <w:rFonts w:ascii="Arial" w:cs="Arial" w:eastAsia="Arial" w:hAnsi="Arial"/>
                <w:sz w:val="25"/>
                <w:szCs w:val="25"/>
                <w:color w:val="auto"/>
                <w:w w:val="87"/>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Offer Letter by and between Enphase Energy, Inc. and Kris</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Sennesael, dated September 17, 2012.</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4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Amended and Restated Credit Agreement by and among the</w:t>
            </w:r>
          </w:p>
        </w:tc>
        <w:tc>
          <w:tcPr>
            <w:tcW w:w="0" w:type="dxa"/>
            <w:vAlign w:val="bottom"/>
          </w:tcPr>
          <w:p>
            <w:pPr>
              <w:spacing w:after="0"/>
              <w:rPr>
                <w:sz w:val="1"/>
                <w:szCs w:val="1"/>
                <w:color w:val="auto"/>
              </w:rPr>
            </w:pPr>
          </w:p>
        </w:tc>
      </w:tr>
      <w:tr>
        <w:trPr>
          <w:trHeight w:val="216"/>
        </w:trPr>
        <w:tc>
          <w:tcPr>
            <w:tcW w:w="800" w:type="dxa"/>
            <w:vAlign w:val="bottom"/>
            <w:vMerge w:val="restart"/>
          </w:tcPr>
          <w:p>
            <w:pPr>
              <w:jc w:val="center"/>
              <w:ind w:right="70"/>
              <w:spacing w:after="0"/>
              <w:rPr>
                <w:sz w:val="20"/>
                <w:szCs w:val="20"/>
                <w:color w:val="auto"/>
              </w:rPr>
            </w:pPr>
            <w:r>
              <w:rPr>
                <w:rFonts w:ascii="Arial" w:cs="Arial" w:eastAsia="Arial" w:hAnsi="Arial"/>
                <w:sz w:val="18"/>
                <w:szCs w:val="18"/>
                <w:color w:val="auto"/>
                <w:w w:val="88"/>
              </w:rPr>
              <w:t>10.24</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lenders identified on the signature pages thereof, Wells Fargo</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w w:val="90"/>
              </w:rPr>
              <w:t>Bank, N.A., as an agent for the lenders, and Enphase Energy,</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Inc. dated December 18, 2015.</w:t>
            </w:r>
          </w:p>
        </w:tc>
        <w:tc>
          <w:tcPr>
            <w:tcW w:w="0" w:type="dxa"/>
            <w:vAlign w:val="bottom"/>
          </w:tcPr>
          <w:p>
            <w:pPr>
              <w:spacing w:after="0"/>
              <w:rPr>
                <w:sz w:val="1"/>
                <w:szCs w:val="1"/>
                <w:color w:val="auto"/>
              </w:rPr>
            </w:pPr>
          </w:p>
        </w:tc>
      </w:tr>
      <w:tr>
        <w:trPr>
          <w:trHeight w:val="490"/>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87"/>
              </w:rPr>
              <w:t>10.25</w:t>
            </w:r>
            <w:r>
              <w:rPr>
                <w:rFonts w:ascii="Arial" w:cs="Arial" w:eastAsia="Arial" w:hAnsi="Arial"/>
                <w:sz w:val="25"/>
                <w:szCs w:val="25"/>
                <w:color w:val="auto"/>
                <w:w w:val="87"/>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2015 Performance Bonus Program Summary.</w:t>
            </w:r>
          </w:p>
        </w:tc>
        <w:tc>
          <w:tcPr>
            <w:tcW w:w="0" w:type="dxa"/>
            <w:vAlign w:val="bottom"/>
          </w:tcPr>
          <w:p>
            <w:pPr>
              <w:spacing w:after="0"/>
              <w:rPr>
                <w:sz w:val="1"/>
                <w:szCs w:val="1"/>
                <w:color w:val="auto"/>
              </w:rPr>
            </w:pPr>
          </w:p>
        </w:tc>
      </w:tr>
      <w:tr>
        <w:trPr>
          <w:trHeight w:val="392"/>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87"/>
              </w:rPr>
              <w:t>10.26</w:t>
            </w:r>
            <w:r>
              <w:rPr>
                <w:rFonts w:ascii="Arial" w:cs="Arial" w:eastAsia="Arial" w:hAnsi="Arial"/>
                <w:sz w:val="25"/>
                <w:szCs w:val="25"/>
                <w:color w:val="auto"/>
                <w:w w:val="87"/>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Severance and Change in Control Benefit Plan.</w:t>
            </w:r>
          </w:p>
        </w:tc>
        <w:tc>
          <w:tcPr>
            <w:tcW w:w="0" w:type="dxa"/>
            <w:vAlign w:val="bottom"/>
          </w:tcPr>
          <w:p>
            <w:pPr>
              <w:spacing w:after="0"/>
              <w:rPr>
                <w:sz w:val="1"/>
                <w:szCs w:val="1"/>
                <w:color w:val="auto"/>
              </w:rPr>
            </w:pPr>
          </w:p>
        </w:tc>
      </w:tr>
      <w:tr>
        <w:trPr>
          <w:trHeight w:val="279"/>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Development and Supply Agreement, by and between</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10.27</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rPr>
              <w:t>Enphase Energy, Inc. and Eliiy Power Co., Ltd., dated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September 29, 2015.</w:t>
            </w:r>
          </w:p>
        </w:tc>
        <w:tc>
          <w:tcPr>
            <w:tcW w:w="0" w:type="dxa"/>
            <w:vAlign w:val="bottom"/>
          </w:tcPr>
          <w:p>
            <w:pPr>
              <w:spacing w:after="0"/>
              <w:rPr>
                <w:sz w:val="1"/>
                <w:szCs w:val="1"/>
                <w:color w:val="auto"/>
              </w:rPr>
            </w:pPr>
          </w:p>
        </w:tc>
      </w:tr>
      <w:tr>
        <w:trPr>
          <w:trHeight w:val="377"/>
        </w:trPr>
        <w:tc>
          <w:tcPr>
            <w:tcW w:w="800" w:type="dxa"/>
            <w:vAlign w:val="bottom"/>
            <w:vMerge w:val="restart"/>
          </w:tcPr>
          <w:p>
            <w:pPr>
              <w:jc w:val="center"/>
              <w:ind w:right="50"/>
              <w:spacing w:after="0"/>
              <w:rPr>
                <w:sz w:val="20"/>
                <w:szCs w:val="20"/>
                <w:color w:val="auto"/>
              </w:rPr>
            </w:pPr>
            <w:r>
              <w:rPr>
                <w:rFonts w:ascii="Arial" w:cs="Arial" w:eastAsia="Arial" w:hAnsi="Arial"/>
                <w:sz w:val="18"/>
                <w:szCs w:val="18"/>
                <w:color w:val="auto"/>
                <w:w w:val="84"/>
              </w:rPr>
              <w:t>10.28</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89"/>
              </w:rPr>
              <w:t>Supply Agreement, by and between Enphase Energy, Inc. and</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Dow Corning Corporation, dated April 22, 2014.</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4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First Amendment to the Supply Agreement, by and between</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10.29</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Enphase Energy, Inc. and Dow Corning Corporation, dated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August 1, 2014.</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Second Amendment to the Supply Agreement, by and</w:t>
            </w:r>
          </w:p>
        </w:tc>
        <w:tc>
          <w:tcPr>
            <w:tcW w:w="0" w:type="dxa"/>
            <w:vAlign w:val="bottom"/>
          </w:tcPr>
          <w:p>
            <w:pPr>
              <w:spacing w:after="0"/>
              <w:rPr>
                <w:sz w:val="1"/>
                <w:szCs w:val="1"/>
                <w:color w:val="auto"/>
              </w:rPr>
            </w:pPr>
          </w:p>
        </w:tc>
      </w:tr>
      <w:tr>
        <w:trPr>
          <w:trHeight w:val="216"/>
        </w:trPr>
        <w:tc>
          <w:tcPr>
            <w:tcW w:w="800" w:type="dxa"/>
            <w:vAlign w:val="bottom"/>
          </w:tcPr>
          <w:p>
            <w:pPr>
              <w:jc w:val="center"/>
              <w:ind w:right="50"/>
              <w:spacing w:after="0" w:line="216" w:lineRule="exact"/>
              <w:rPr>
                <w:sz w:val="20"/>
                <w:szCs w:val="20"/>
                <w:color w:val="auto"/>
              </w:rPr>
            </w:pPr>
            <w:r>
              <w:rPr>
                <w:rFonts w:ascii="Arial" w:cs="Arial" w:eastAsia="Arial" w:hAnsi="Arial"/>
                <w:sz w:val="18"/>
                <w:szCs w:val="18"/>
                <w:color w:val="auto"/>
                <w:w w:val="84"/>
              </w:rPr>
              <w:t>10.30</w:t>
            </w:r>
            <w:r>
              <w:rPr>
                <w:rFonts w:ascii="Arial" w:cs="Arial" w:eastAsia="Arial" w:hAnsi="Arial"/>
                <w:sz w:val="25"/>
                <w:szCs w:val="25"/>
                <w:color w:val="auto"/>
                <w:w w:val="84"/>
                <w:vertAlign w:val="superscript"/>
              </w:rPr>
              <w:t>†</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between Enphase Energy, Inc. and Dow Corning Corporation,</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dated August 1, 2014.</w:t>
            </w:r>
          </w:p>
        </w:tc>
        <w:tc>
          <w:tcPr>
            <w:tcW w:w="0" w:type="dxa"/>
            <w:vAlign w:val="bottom"/>
          </w:tcPr>
          <w:p>
            <w:pPr>
              <w:spacing w:after="0"/>
              <w:rPr>
                <w:sz w:val="1"/>
                <w:szCs w:val="1"/>
                <w:color w:val="auto"/>
              </w:rPr>
            </w:pPr>
          </w:p>
        </w:tc>
      </w:tr>
      <w:tr>
        <w:trPr>
          <w:trHeight w:val="392"/>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91"/>
              </w:rPr>
              <w:t>12.1</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Statement of Computation of Ratio Earnings to Fixed Charges</w:t>
            </w:r>
          </w:p>
        </w:tc>
        <w:tc>
          <w:tcPr>
            <w:tcW w:w="0" w:type="dxa"/>
            <w:vAlign w:val="bottom"/>
          </w:tcPr>
          <w:p>
            <w:pPr>
              <w:spacing w:after="0"/>
              <w:rPr>
                <w:sz w:val="1"/>
                <w:szCs w:val="1"/>
                <w:color w:val="auto"/>
              </w:rPr>
            </w:pPr>
          </w:p>
        </w:tc>
      </w:tr>
      <w:tr>
        <w:trPr>
          <w:trHeight w:val="392"/>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91"/>
              </w:rPr>
              <w:t>21.1</w:t>
            </w:r>
          </w:p>
        </w:tc>
        <w:tc>
          <w:tcPr>
            <w:tcW w:w="4620" w:type="dxa"/>
            <w:vAlign w:val="bottom"/>
          </w:tcPr>
          <w:p>
            <w:pPr>
              <w:ind w:left="14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77"/>
        </w:trPr>
        <w:tc>
          <w:tcPr>
            <w:tcW w:w="80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23.1</w:t>
            </w:r>
          </w:p>
        </w:tc>
        <w:tc>
          <w:tcPr>
            <w:tcW w:w="4620" w:type="dxa"/>
            <w:vAlign w:val="bottom"/>
          </w:tcPr>
          <w:p>
            <w:pPr>
              <w:ind w:left="140"/>
              <w:spacing w:after="0"/>
              <w:rPr>
                <w:sz w:val="20"/>
                <w:szCs w:val="20"/>
                <w:color w:val="auto"/>
              </w:rPr>
            </w:pPr>
            <w:r>
              <w:rPr>
                <w:rFonts w:ascii="Arial" w:cs="Arial" w:eastAsia="Arial" w:hAnsi="Arial"/>
                <w:sz w:val="18"/>
                <w:szCs w:val="18"/>
                <w:color w:val="auto"/>
                <w:w w:val="94"/>
              </w:rPr>
              <w:t>Consent of Deloitte &amp; Touche LLP, Independent Registered</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Public Accounting Firm</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0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24.1</w:t>
            </w:r>
          </w:p>
        </w:tc>
        <w:tc>
          <w:tcPr>
            <w:tcW w:w="4620" w:type="dxa"/>
            <w:vAlign w:val="bottom"/>
          </w:tcPr>
          <w:p>
            <w:pPr>
              <w:ind w:left="140"/>
              <w:spacing w:after="0"/>
              <w:rPr>
                <w:sz w:val="20"/>
                <w:szCs w:val="20"/>
                <w:color w:val="auto"/>
              </w:rPr>
            </w:pPr>
            <w:r>
              <w:rPr>
                <w:rFonts w:ascii="Arial" w:cs="Arial" w:eastAsia="Arial" w:hAnsi="Arial"/>
                <w:sz w:val="18"/>
                <w:szCs w:val="18"/>
                <w:color w:val="auto"/>
                <w:w w:val="91"/>
              </w:rPr>
              <w:t>Power of Attorney (incorporated by reference to the signature</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page of this Annual Report on Form 10-K).</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0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31.1</w:t>
            </w:r>
          </w:p>
        </w:tc>
        <w:tc>
          <w:tcPr>
            <w:tcW w:w="4620" w:type="dxa"/>
            <w:vAlign w:val="bottom"/>
          </w:tcPr>
          <w:p>
            <w:pPr>
              <w:ind w:left="140"/>
              <w:spacing w:after="0"/>
              <w:rPr>
                <w:sz w:val="20"/>
                <w:szCs w:val="20"/>
                <w:color w:val="auto"/>
              </w:rPr>
            </w:pPr>
            <w:r>
              <w:rPr>
                <w:rFonts w:ascii="Arial" w:cs="Arial" w:eastAsia="Arial" w:hAnsi="Arial"/>
                <w:sz w:val="18"/>
                <w:szCs w:val="18"/>
                <w:color w:val="auto"/>
                <w:w w:val="92"/>
              </w:rPr>
              <w:t>Certification of Chief Executive Officer pursuant to Rule 13a-</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14(a)/15d-14(a).</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0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31.2</w:t>
            </w: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Certification of Chief Financial Officer pursuant to Rule 13a-</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4620" w:type="dxa"/>
            <w:vAlign w:val="bottom"/>
            <w:vMerge w:val="restart"/>
          </w:tcPr>
          <w:p>
            <w:pPr>
              <w:ind w:left="140"/>
              <w:spacing w:after="0"/>
              <w:rPr>
                <w:sz w:val="20"/>
                <w:szCs w:val="20"/>
                <w:color w:val="auto"/>
              </w:rPr>
            </w:pPr>
            <w:r>
              <w:rPr>
                <w:rFonts w:ascii="Arial" w:cs="Arial" w:eastAsia="Arial" w:hAnsi="Arial"/>
                <w:sz w:val="18"/>
                <w:szCs w:val="18"/>
                <w:color w:val="auto"/>
              </w:rPr>
              <w:t>14(a)/15d-14(a).</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6"/>
              </w:rPr>
              <w:t>Certification of Chief Executive Officer and Chief Financial</w:t>
            </w:r>
          </w:p>
        </w:tc>
        <w:tc>
          <w:tcPr>
            <w:tcW w:w="0" w:type="dxa"/>
            <w:vAlign w:val="bottom"/>
          </w:tcPr>
          <w:p>
            <w:pPr>
              <w:spacing w:after="0"/>
              <w:rPr>
                <w:sz w:val="1"/>
                <w:szCs w:val="1"/>
                <w:color w:val="auto"/>
              </w:rPr>
            </w:pPr>
          </w:p>
        </w:tc>
      </w:tr>
      <w:tr>
        <w:trPr>
          <w:trHeight w:val="216"/>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95"/>
              </w:rPr>
              <w:t>32.1*</w:t>
            </w:r>
          </w:p>
        </w:tc>
        <w:tc>
          <w:tcPr>
            <w:tcW w:w="4620" w:type="dxa"/>
            <w:vAlign w:val="bottom"/>
          </w:tcPr>
          <w:p>
            <w:pPr>
              <w:ind w:left="140"/>
              <w:spacing w:after="0"/>
              <w:rPr>
                <w:sz w:val="20"/>
                <w:szCs w:val="20"/>
                <w:color w:val="auto"/>
              </w:rPr>
            </w:pPr>
            <w:r>
              <w:rPr>
                <w:rFonts w:ascii="Arial" w:cs="Arial" w:eastAsia="Arial" w:hAnsi="Arial"/>
                <w:sz w:val="18"/>
                <w:szCs w:val="18"/>
                <w:color w:val="auto"/>
              </w:rPr>
              <w:t>Officer pursuant to 18 U.S.C. Section 1350 as Adopted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Pursuant to Section 906 of the Sarbanes-Oxley Act of 2002.</w:t>
            </w:r>
          </w:p>
        </w:tc>
        <w:tc>
          <w:tcPr>
            <w:tcW w:w="0" w:type="dxa"/>
            <w:vAlign w:val="bottom"/>
          </w:tcPr>
          <w:p>
            <w:pPr>
              <w:spacing w:after="0"/>
              <w:rPr>
                <w:sz w:val="1"/>
                <w:szCs w:val="1"/>
                <w:color w:val="auto"/>
              </w:rPr>
            </w:pPr>
          </w:p>
        </w:tc>
      </w:tr>
      <w:tr>
        <w:trPr>
          <w:trHeight w:val="392"/>
        </w:trPr>
        <w:tc>
          <w:tcPr>
            <w:tcW w:w="80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462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0"/>
              </w:rPr>
              <w:t>101.SCH</w:t>
            </w:r>
          </w:p>
        </w:tc>
        <w:tc>
          <w:tcPr>
            <w:tcW w:w="46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932"/>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5/6/2015</w:t>
            </w:r>
          </w:p>
        </w:tc>
      </w:tr>
      <w:tr>
        <w:trPr>
          <w:trHeight w:val="82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824"/>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333-174925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89"/>
              </w:rPr>
              <w:t>6/15/2011</w:t>
            </w:r>
          </w:p>
        </w:tc>
      </w:tr>
      <w:tr>
        <w:trPr>
          <w:trHeight w:val="608"/>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5/8/2013</w:t>
            </w:r>
          </w:p>
        </w:tc>
      </w:tr>
      <w:tr>
        <w:trPr>
          <w:trHeight w:val="50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001-35480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11/13/2012</w:t>
            </w:r>
          </w:p>
        </w:tc>
      </w:tr>
    </w:tbl>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001-35480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6/19/2015</w:t>
            </w:r>
          </w:p>
        </w:tc>
      </w:tr>
      <w:tr>
        <w:trPr>
          <w:trHeight w:val="392"/>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001-35480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5/8/2013</w:t>
            </w:r>
          </w:p>
        </w:tc>
      </w:tr>
      <w:tr>
        <w:trPr>
          <w:trHeight w:val="608"/>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001-35480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11/4/2015</w:t>
            </w:r>
          </w:p>
        </w:tc>
      </w:tr>
      <w:tr>
        <w:trPr>
          <w:trHeight w:val="716"/>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001-35480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8/5/2015</w:t>
            </w:r>
          </w:p>
        </w:tc>
      </w:tr>
      <w:tr>
        <w:trPr>
          <w:trHeight w:val="716"/>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001-35480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8/5/2015</w:t>
            </w:r>
          </w:p>
        </w:tc>
      </w:tr>
      <w:tr>
        <w:trPr>
          <w:trHeight w:val="824"/>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001-35480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8/5/2015</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420" w:space="400"/>
            <w:col w:w="5020"/>
          </w:cols>
          <w:pgMar w:left="380" w:top="125" w:right="67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72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2780" w:type="dxa"/>
            <w:vAlign w:val="bottom"/>
          </w:tcPr>
          <w:p>
            <w:pPr>
              <w:ind w:left="2640"/>
              <w:spacing w:after="0"/>
              <w:rPr>
                <w:sz w:val="20"/>
                <w:szCs w:val="20"/>
                <w:color w:val="auto"/>
              </w:rPr>
            </w:pPr>
            <w:r>
              <w:rPr>
                <w:rFonts w:ascii="Arial" w:cs="Arial" w:eastAsia="Arial" w:hAnsi="Arial"/>
                <w:sz w:val="18"/>
                <w:szCs w:val="18"/>
                <w:color w:val="auto"/>
                <w:w w:val="99"/>
              </w:rPr>
              <w:t>X</w:t>
            </w: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101.DEF</w:t>
            </w:r>
          </w:p>
        </w:tc>
        <w:tc>
          <w:tcPr>
            <w:tcW w:w="72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2780" w:type="dxa"/>
            <w:vAlign w:val="bottom"/>
          </w:tcPr>
          <w:p>
            <w:pPr>
              <w:ind w:left="2640"/>
              <w:spacing w:after="0"/>
              <w:rPr>
                <w:sz w:val="20"/>
                <w:szCs w:val="20"/>
                <w:color w:val="auto"/>
              </w:rPr>
            </w:pPr>
            <w:r>
              <w:rPr>
                <w:rFonts w:ascii="Arial" w:cs="Arial" w:eastAsia="Arial" w:hAnsi="Arial"/>
                <w:sz w:val="18"/>
                <w:szCs w:val="18"/>
                <w:color w:val="auto"/>
                <w:w w:val="99"/>
              </w:rPr>
              <w:t>X</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72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2780" w:type="dxa"/>
            <w:vAlign w:val="bottom"/>
          </w:tcPr>
          <w:p>
            <w:pPr>
              <w:ind w:left="2640"/>
              <w:spacing w:after="0"/>
              <w:rPr>
                <w:sz w:val="20"/>
                <w:szCs w:val="20"/>
                <w:color w:val="auto"/>
              </w:rPr>
            </w:pPr>
            <w:r>
              <w:rPr>
                <w:rFonts w:ascii="Arial" w:cs="Arial" w:eastAsia="Arial" w:hAnsi="Arial"/>
                <w:sz w:val="18"/>
                <w:szCs w:val="18"/>
                <w:color w:val="auto"/>
                <w:w w:val="99"/>
              </w:rPr>
              <w:t>X</w:t>
            </w:r>
          </w:p>
        </w:tc>
      </w:tr>
      <w:tr>
        <w:trPr>
          <w:trHeight w:val="392"/>
        </w:trPr>
        <w:tc>
          <w:tcPr>
            <w:tcW w:w="820" w:type="dxa"/>
            <w:vAlign w:val="bottom"/>
          </w:tcPr>
          <w:p>
            <w:pPr>
              <w:ind w:left="20"/>
              <w:spacing w:after="0"/>
              <w:rPr>
                <w:sz w:val="20"/>
                <w:szCs w:val="20"/>
                <w:color w:val="auto"/>
              </w:rPr>
            </w:pPr>
            <w:r>
              <w:rPr>
                <w:rFonts w:ascii="Arial" w:cs="Arial" w:eastAsia="Arial" w:hAnsi="Arial"/>
                <w:sz w:val="18"/>
                <w:szCs w:val="18"/>
                <w:color w:val="auto"/>
              </w:rPr>
              <w:t>101.PRE</w:t>
            </w:r>
          </w:p>
        </w:tc>
        <w:tc>
          <w:tcPr>
            <w:tcW w:w="7260" w:type="dxa"/>
            <w:vAlign w:val="bottom"/>
          </w:tcPr>
          <w:p>
            <w:pPr>
              <w:ind w:left="140"/>
              <w:spacing w:after="0"/>
              <w:rPr>
                <w:sz w:val="20"/>
                <w:szCs w:val="20"/>
                <w:color w:val="auto"/>
              </w:rPr>
            </w:pPr>
            <w:r>
              <w:rPr>
                <w:rFonts w:ascii="Arial" w:cs="Arial" w:eastAsia="Arial" w:hAnsi="Arial"/>
                <w:sz w:val="18"/>
                <w:szCs w:val="18"/>
                <w:color w:val="auto"/>
              </w:rPr>
              <w:t>XBRL Taxonomy Extension Presentation Document.</w:t>
            </w:r>
          </w:p>
        </w:tc>
        <w:tc>
          <w:tcPr>
            <w:tcW w:w="2780" w:type="dxa"/>
            <w:vAlign w:val="bottom"/>
          </w:tcPr>
          <w:p>
            <w:pPr>
              <w:ind w:left="2640"/>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94615</wp:posOffset>
            </wp:positionV>
            <wp:extent cx="660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82" w:lineRule="exact"/>
        <w:rPr>
          <w:sz w:val="20"/>
          <w:szCs w:val="20"/>
          <w:color w:val="auto"/>
        </w:rPr>
      </w:pPr>
    </w:p>
    <w:p>
      <w:pPr>
        <w:ind w:left="1260" w:hanging="494"/>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58" w:lineRule="exact"/>
        <w:rPr>
          <w:sz w:val="20"/>
          <w:szCs w:val="20"/>
          <w:color w:val="auto"/>
        </w:rPr>
      </w:pPr>
    </w:p>
    <w:p>
      <w:pPr>
        <w:ind w:left="1260" w:right="540" w:hanging="494"/>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 Omitted information has been filed separately with the Securities and Exchange Commission.</w:t>
      </w:r>
    </w:p>
    <w:p>
      <w:pPr>
        <w:spacing w:after="0" w:line="170" w:lineRule="exact"/>
        <w:rPr>
          <w:sz w:val="20"/>
          <w:szCs w:val="20"/>
          <w:color w:val="auto"/>
        </w:rPr>
      </w:pPr>
    </w:p>
    <w:p>
      <w:pPr>
        <w:ind w:left="1260" w:right="380" w:hanging="494"/>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portions of this exhibit. Omitted information has been filed separately with the Securities and Exchange Commission.</w:t>
      </w:r>
    </w:p>
    <w:p>
      <w:pPr>
        <w:spacing w:after="0" w:line="170" w:lineRule="exact"/>
        <w:rPr>
          <w:sz w:val="20"/>
          <w:szCs w:val="20"/>
          <w:color w:val="auto"/>
        </w:rPr>
      </w:pPr>
    </w:p>
    <w:p>
      <w:pPr>
        <w:ind w:left="1260" w:hanging="494"/>
        <w:spacing w:after="0" w:line="264"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60"/>
          </w:cols>
          <w:pgMar w:left="360" w:top="125" w:right="37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808990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826135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sz w:val="1"/>
          <w:szCs w:val="1"/>
          <w:color w:val="auto"/>
        </w:rPr>
        <w:drawing>
          <wp:inline distT="0" distB="0" distL="0" distR="0">
            <wp:extent cx="702945" cy="7029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 cy="702945"/>
                    </a:xfrm>
                    <a:prstGeom prst="rect">
                      <a:avLst/>
                    </a:prstGeom>
                    <a:noFill/>
                    <a:ln>
                      <a:noFill/>
                    </a:ln>
                  </pic:spPr>
                </pic:pic>
              </a:graphicData>
            </a:graphic>
          </wp:inline>
        </w:drawing>
      </w:r>
      <w:r>
        <w:rPr>
          <w:rFonts w:ascii="Arial" w:cs="Arial" w:eastAsia="Arial" w:hAnsi="Arial"/>
          <w:sz w:val="19"/>
          <w:szCs w:val="19"/>
          <w:b w:val="1"/>
          <w:bCs w:val="1"/>
          <w:color w:val="auto"/>
        </w:rPr>
        <w:t>AMENDED AND RESTATED 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Administrative Agent,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 THAT ARE PARTIES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the Lenders,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ENPHASE ENERGY,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Borrower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443230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jc w:val="center"/>
        <w:ind w:right="-224"/>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6654800</wp:posOffset>
            </wp:positionH>
            <wp:positionV relativeFrom="paragraph">
              <wp:posOffset>27305</wp:posOffset>
            </wp:positionV>
            <wp:extent cx="5746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4" w:lineRule="exact"/>
        <w:rPr>
          <w:sz w:val="20"/>
          <w:szCs w:val="20"/>
          <w:color w:val="auto"/>
        </w:rPr>
      </w:pPr>
    </w:p>
    <w:p>
      <w:pPr>
        <w:ind w:left="1145" w:hanging="1145"/>
        <w:spacing w:after="0"/>
        <w:tabs>
          <w:tab w:leader="none" w:pos="1145"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DEFINITIONS AND CONSTRUCTION.</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1.1</w:t>
            </w:r>
          </w:p>
        </w:tc>
        <w:tc>
          <w:tcPr>
            <w:tcW w:w="2300" w:type="dxa"/>
            <w:vAlign w:val="bottom"/>
          </w:tcPr>
          <w:p>
            <w:pPr>
              <w:ind w:left="440"/>
              <w:spacing w:after="0"/>
              <w:rPr>
                <w:sz w:val="20"/>
                <w:szCs w:val="20"/>
                <w:color w:val="auto"/>
              </w:rPr>
            </w:pPr>
            <w:r>
              <w:rPr>
                <w:rFonts w:ascii="Arial" w:cs="Arial" w:eastAsia="Arial" w:hAnsi="Arial"/>
                <w:sz w:val="20"/>
                <w:szCs w:val="20"/>
                <w:color w:val="auto"/>
              </w:rPr>
              <w:t>Definitions</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1.2</w:t>
            </w:r>
          </w:p>
        </w:tc>
        <w:tc>
          <w:tcPr>
            <w:tcW w:w="2300" w:type="dxa"/>
            <w:vAlign w:val="bottom"/>
          </w:tcPr>
          <w:p>
            <w:pPr>
              <w:ind w:left="440"/>
              <w:spacing w:after="0"/>
              <w:rPr>
                <w:sz w:val="20"/>
                <w:szCs w:val="20"/>
                <w:color w:val="auto"/>
              </w:rPr>
            </w:pPr>
            <w:r>
              <w:rPr>
                <w:rFonts w:ascii="Arial" w:cs="Arial" w:eastAsia="Arial" w:hAnsi="Arial"/>
                <w:sz w:val="20"/>
                <w:szCs w:val="20"/>
                <w:color w:val="auto"/>
              </w:rPr>
              <w:t>Accounting Terms</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1.3</w:t>
            </w:r>
          </w:p>
        </w:tc>
        <w:tc>
          <w:tcPr>
            <w:tcW w:w="2300" w:type="dxa"/>
            <w:vAlign w:val="bottom"/>
          </w:tcPr>
          <w:p>
            <w:pPr>
              <w:ind w:left="440"/>
              <w:spacing w:after="0"/>
              <w:rPr>
                <w:sz w:val="20"/>
                <w:szCs w:val="20"/>
                <w:color w:val="auto"/>
              </w:rPr>
            </w:pPr>
            <w:r>
              <w:rPr>
                <w:rFonts w:ascii="Arial" w:cs="Arial" w:eastAsia="Arial" w:hAnsi="Arial"/>
                <w:sz w:val="20"/>
                <w:szCs w:val="20"/>
                <w:color w:val="auto"/>
              </w:rPr>
              <w:t>Code</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1.4</w:t>
            </w:r>
          </w:p>
        </w:tc>
        <w:tc>
          <w:tcPr>
            <w:tcW w:w="2300" w:type="dxa"/>
            <w:vAlign w:val="bottom"/>
          </w:tcPr>
          <w:p>
            <w:pPr>
              <w:ind w:left="440"/>
              <w:spacing w:after="0"/>
              <w:rPr>
                <w:sz w:val="20"/>
                <w:szCs w:val="20"/>
                <w:color w:val="auto"/>
              </w:rPr>
            </w:pPr>
            <w:r>
              <w:rPr>
                <w:rFonts w:ascii="Arial" w:cs="Arial" w:eastAsia="Arial" w:hAnsi="Arial"/>
                <w:sz w:val="20"/>
                <w:szCs w:val="20"/>
                <w:color w:val="auto"/>
              </w:rPr>
              <w:t>Construction</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1.5</w:t>
            </w:r>
          </w:p>
        </w:tc>
        <w:tc>
          <w:tcPr>
            <w:tcW w:w="2300" w:type="dxa"/>
            <w:vAlign w:val="bottom"/>
          </w:tcPr>
          <w:p>
            <w:pPr>
              <w:ind w:left="440"/>
              <w:spacing w:after="0"/>
              <w:rPr>
                <w:sz w:val="20"/>
                <w:szCs w:val="20"/>
                <w:color w:val="auto"/>
              </w:rPr>
            </w:pPr>
            <w:r>
              <w:rPr>
                <w:rFonts w:ascii="Arial" w:cs="Arial" w:eastAsia="Arial" w:hAnsi="Arial"/>
                <w:sz w:val="20"/>
                <w:szCs w:val="20"/>
                <w:color w:val="auto"/>
              </w:rPr>
              <w:t>Time References</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1.6</w:t>
            </w:r>
          </w:p>
        </w:tc>
        <w:tc>
          <w:tcPr>
            <w:tcW w:w="2300" w:type="dxa"/>
            <w:vAlign w:val="bottom"/>
          </w:tcPr>
          <w:p>
            <w:pPr>
              <w:ind w:left="440"/>
              <w:spacing w:after="0"/>
              <w:rPr>
                <w:sz w:val="20"/>
                <w:szCs w:val="20"/>
                <w:color w:val="auto"/>
              </w:rPr>
            </w:pPr>
            <w:r>
              <w:rPr>
                <w:rFonts w:ascii="Arial" w:cs="Arial" w:eastAsia="Arial" w:hAnsi="Arial"/>
                <w:sz w:val="20"/>
                <w:szCs w:val="20"/>
                <w:color w:val="auto"/>
                <w:w w:val="94"/>
              </w:rPr>
              <w:t>Currency Translations</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1.7</w:t>
            </w:r>
          </w:p>
        </w:tc>
        <w:tc>
          <w:tcPr>
            <w:tcW w:w="2300" w:type="dxa"/>
            <w:vAlign w:val="bottom"/>
          </w:tcPr>
          <w:p>
            <w:pPr>
              <w:ind w:left="440"/>
              <w:spacing w:after="0"/>
              <w:rPr>
                <w:sz w:val="20"/>
                <w:szCs w:val="20"/>
                <w:color w:val="auto"/>
              </w:rPr>
            </w:pPr>
            <w:r>
              <w:rPr>
                <w:rFonts w:ascii="Arial" w:cs="Arial" w:eastAsia="Arial" w:hAnsi="Arial"/>
                <w:sz w:val="20"/>
                <w:szCs w:val="20"/>
                <w:color w:val="auto"/>
                <w:w w:val="88"/>
              </w:rPr>
              <w:t>Schedules and Exhibits</w:t>
            </w:r>
          </w:p>
        </w:tc>
      </w:tr>
    </w:tbl>
    <w:p>
      <w:pPr>
        <w:spacing w:after="0" w:line="33" w:lineRule="exact"/>
        <w:rPr>
          <w:sz w:val="20"/>
          <w:szCs w:val="20"/>
          <w:color w:val="auto"/>
        </w:rPr>
      </w:pPr>
    </w:p>
    <w:p>
      <w:pPr>
        <w:ind w:left="1145" w:hanging="1145"/>
        <w:spacing w:after="0"/>
        <w:tabs>
          <w:tab w:leader="none" w:pos="11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LOANS AND TERMS OF PAYMENT.</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2.1</w:t>
            </w:r>
          </w:p>
        </w:tc>
        <w:tc>
          <w:tcPr>
            <w:tcW w:w="6280" w:type="dxa"/>
            <w:vAlign w:val="bottom"/>
          </w:tcPr>
          <w:p>
            <w:pPr>
              <w:ind w:left="400"/>
              <w:spacing w:after="0"/>
              <w:rPr>
                <w:sz w:val="20"/>
                <w:szCs w:val="20"/>
                <w:color w:val="auto"/>
              </w:rPr>
            </w:pPr>
            <w:r>
              <w:rPr>
                <w:rFonts w:ascii="Arial" w:cs="Arial" w:eastAsia="Arial" w:hAnsi="Arial"/>
                <w:sz w:val="20"/>
                <w:szCs w:val="20"/>
                <w:color w:val="auto"/>
              </w:rPr>
              <w:t>Revolving Loans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2.2</w:t>
            </w:r>
          </w:p>
        </w:tc>
        <w:tc>
          <w:tcPr>
            <w:tcW w:w="6280" w:type="dxa"/>
            <w:vAlign w:val="bottom"/>
          </w:tcPr>
          <w:p>
            <w:pPr>
              <w:ind w:left="400"/>
              <w:spacing w:after="0"/>
              <w:rPr>
                <w:sz w:val="20"/>
                <w:szCs w:val="20"/>
                <w:color w:val="auto"/>
              </w:rPr>
            </w:pPr>
            <w:r>
              <w:rPr>
                <w:rFonts w:ascii="Arial" w:cs="Arial" w:eastAsia="Arial" w:hAnsi="Arial"/>
                <w:sz w:val="20"/>
                <w:szCs w:val="20"/>
                <w:color w:val="auto"/>
              </w:rPr>
              <w:t>[Reserved</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2.3</w:t>
            </w:r>
          </w:p>
        </w:tc>
        <w:tc>
          <w:tcPr>
            <w:tcW w:w="6280" w:type="dxa"/>
            <w:vAlign w:val="bottom"/>
          </w:tcPr>
          <w:p>
            <w:pPr>
              <w:ind w:left="400"/>
              <w:spacing w:after="0"/>
              <w:rPr>
                <w:sz w:val="20"/>
                <w:szCs w:val="20"/>
                <w:color w:val="auto"/>
              </w:rPr>
            </w:pPr>
            <w:r>
              <w:rPr>
                <w:rFonts w:ascii="Arial" w:cs="Arial" w:eastAsia="Arial" w:hAnsi="Arial"/>
                <w:sz w:val="20"/>
                <w:szCs w:val="20"/>
                <w:color w:val="auto"/>
              </w:rPr>
              <w:t>Borrowing Procedures and Settlements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2.4</w:t>
            </w:r>
          </w:p>
        </w:tc>
        <w:tc>
          <w:tcPr>
            <w:tcW w:w="6280" w:type="dxa"/>
            <w:vAlign w:val="bottom"/>
          </w:tcPr>
          <w:p>
            <w:pPr>
              <w:ind w:left="400"/>
              <w:spacing w:after="0"/>
              <w:rPr>
                <w:sz w:val="20"/>
                <w:szCs w:val="20"/>
                <w:color w:val="auto"/>
              </w:rPr>
            </w:pPr>
            <w:r>
              <w:rPr>
                <w:rFonts w:ascii="Arial" w:cs="Arial" w:eastAsia="Arial" w:hAnsi="Arial"/>
                <w:sz w:val="20"/>
                <w:szCs w:val="20"/>
                <w:color w:val="auto"/>
              </w:rPr>
              <w:t>Payments; Reductions of Commitments; Prepayments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2.5</w:t>
            </w:r>
          </w:p>
        </w:tc>
        <w:tc>
          <w:tcPr>
            <w:tcW w:w="6280" w:type="dxa"/>
            <w:vAlign w:val="bottom"/>
          </w:tcPr>
          <w:p>
            <w:pPr>
              <w:ind w:left="400"/>
              <w:spacing w:after="0"/>
              <w:rPr>
                <w:sz w:val="20"/>
                <w:szCs w:val="20"/>
                <w:color w:val="auto"/>
              </w:rPr>
            </w:pPr>
            <w:r>
              <w:rPr>
                <w:rFonts w:ascii="Arial" w:cs="Arial" w:eastAsia="Arial" w:hAnsi="Arial"/>
                <w:sz w:val="20"/>
                <w:szCs w:val="20"/>
                <w:color w:val="auto"/>
              </w:rPr>
              <w:t>Promise to Pay; Promissory Notes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2.6</w:t>
            </w:r>
          </w:p>
        </w:tc>
        <w:tc>
          <w:tcPr>
            <w:tcW w:w="6280" w:type="dxa"/>
            <w:vAlign w:val="bottom"/>
          </w:tcPr>
          <w:p>
            <w:pPr>
              <w:ind w:left="400"/>
              <w:spacing w:after="0"/>
              <w:rPr>
                <w:sz w:val="20"/>
                <w:szCs w:val="20"/>
                <w:color w:val="auto"/>
              </w:rPr>
            </w:pPr>
            <w:r>
              <w:rPr>
                <w:rFonts w:ascii="Arial" w:cs="Arial" w:eastAsia="Arial" w:hAnsi="Arial"/>
                <w:sz w:val="20"/>
                <w:szCs w:val="20"/>
                <w:color w:val="auto"/>
                <w:w w:val="88"/>
              </w:rPr>
              <w:t>Interest Rates and Letter of Credit Fee: Rates, Payments, and Calculations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2.7</w:t>
            </w:r>
          </w:p>
        </w:tc>
        <w:tc>
          <w:tcPr>
            <w:tcW w:w="6280" w:type="dxa"/>
            <w:vAlign w:val="bottom"/>
          </w:tcPr>
          <w:p>
            <w:pPr>
              <w:ind w:left="400"/>
              <w:spacing w:after="0"/>
              <w:rPr>
                <w:sz w:val="20"/>
                <w:szCs w:val="20"/>
                <w:color w:val="auto"/>
              </w:rPr>
            </w:pPr>
            <w:r>
              <w:rPr>
                <w:rFonts w:ascii="Arial" w:cs="Arial" w:eastAsia="Arial" w:hAnsi="Arial"/>
                <w:sz w:val="20"/>
                <w:szCs w:val="20"/>
                <w:color w:val="auto"/>
              </w:rPr>
              <w:t>Crediting Payments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2.8</w:t>
            </w:r>
          </w:p>
        </w:tc>
        <w:tc>
          <w:tcPr>
            <w:tcW w:w="6280" w:type="dxa"/>
            <w:vAlign w:val="bottom"/>
          </w:tcPr>
          <w:p>
            <w:pPr>
              <w:ind w:left="400"/>
              <w:spacing w:after="0"/>
              <w:rPr>
                <w:sz w:val="20"/>
                <w:szCs w:val="20"/>
                <w:color w:val="auto"/>
              </w:rPr>
            </w:pPr>
            <w:r>
              <w:rPr>
                <w:rFonts w:ascii="Arial" w:cs="Arial" w:eastAsia="Arial" w:hAnsi="Arial"/>
                <w:sz w:val="20"/>
                <w:szCs w:val="20"/>
                <w:color w:val="auto"/>
              </w:rPr>
              <w:t>Designated Account</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2.9</w:t>
            </w:r>
          </w:p>
        </w:tc>
        <w:tc>
          <w:tcPr>
            <w:tcW w:w="6280" w:type="dxa"/>
            <w:vAlign w:val="bottom"/>
          </w:tcPr>
          <w:p>
            <w:pPr>
              <w:ind w:left="400"/>
              <w:spacing w:after="0"/>
              <w:rPr>
                <w:sz w:val="20"/>
                <w:szCs w:val="20"/>
                <w:color w:val="auto"/>
              </w:rPr>
            </w:pPr>
            <w:r>
              <w:rPr>
                <w:rFonts w:ascii="Arial" w:cs="Arial" w:eastAsia="Arial" w:hAnsi="Arial"/>
                <w:sz w:val="20"/>
                <w:szCs w:val="20"/>
                <w:color w:val="auto"/>
              </w:rPr>
              <w:t>Maintenance of Loan Account; Statements of Obligations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2.10</w:t>
            </w:r>
          </w:p>
        </w:tc>
        <w:tc>
          <w:tcPr>
            <w:tcW w:w="6280" w:type="dxa"/>
            <w:vAlign w:val="bottom"/>
          </w:tcPr>
          <w:p>
            <w:pPr>
              <w:ind w:left="400"/>
              <w:spacing w:after="0"/>
              <w:rPr>
                <w:sz w:val="20"/>
                <w:szCs w:val="20"/>
                <w:color w:val="auto"/>
              </w:rPr>
            </w:pPr>
            <w:r>
              <w:rPr>
                <w:rFonts w:ascii="Arial" w:cs="Arial" w:eastAsia="Arial" w:hAnsi="Arial"/>
                <w:sz w:val="20"/>
                <w:szCs w:val="20"/>
                <w:color w:val="auto"/>
              </w:rPr>
              <w:t>Fees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2.11</w:t>
            </w:r>
          </w:p>
        </w:tc>
        <w:tc>
          <w:tcPr>
            <w:tcW w:w="6280" w:type="dxa"/>
            <w:vAlign w:val="bottom"/>
          </w:tcPr>
          <w:p>
            <w:pPr>
              <w:ind w:left="400"/>
              <w:spacing w:after="0"/>
              <w:rPr>
                <w:sz w:val="20"/>
                <w:szCs w:val="20"/>
                <w:color w:val="auto"/>
              </w:rPr>
            </w:pPr>
            <w:r>
              <w:rPr>
                <w:rFonts w:ascii="Arial" w:cs="Arial" w:eastAsia="Arial" w:hAnsi="Arial"/>
                <w:sz w:val="20"/>
                <w:szCs w:val="20"/>
                <w:color w:val="auto"/>
              </w:rPr>
              <w:t>Letters of Credit</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2.12</w:t>
            </w:r>
          </w:p>
        </w:tc>
        <w:tc>
          <w:tcPr>
            <w:tcW w:w="6280" w:type="dxa"/>
            <w:vAlign w:val="bottom"/>
          </w:tcPr>
          <w:p>
            <w:pPr>
              <w:ind w:left="400"/>
              <w:spacing w:after="0"/>
              <w:rPr>
                <w:sz w:val="20"/>
                <w:szCs w:val="20"/>
                <w:color w:val="auto"/>
              </w:rPr>
            </w:pPr>
            <w:r>
              <w:rPr>
                <w:rFonts w:ascii="Arial" w:cs="Arial" w:eastAsia="Arial" w:hAnsi="Arial"/>
                <w:sz w:val="20"/>
                <w:szCs w:val="20"/>
                <w:color w:val="auto"/>
              </w:rPr>
              <w:t>Interest Rate Election</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2.13</w:t>
            </w:r>
          </w:p>
        </w:tc>
        <w:tc>
          <w:tcPr>
            <w:tcW w:w="6280" w:type="dxa"/>
            <w:vAlign w:val="bottom"/>
          </w:tcPr>
          <w:p>
            <w:pPr>
              <w:ind w:left="400"/>
              <w:spacing w:after="0"/>
              <w:rPr>
                <w:sz w:val="20"/>
                <w:szCs w:val="20"/>
                <w:color w:val="auto"/>
              </w:rPr>
            </w:pPr>
            <w:r>
              <w:rPr>
                <w:rFonts w:ascii="Arial" w:cs="Arial" w:eastAsia="Arial" w:hAnsi="Arial"/>
                <w:sz w:val="20"/>
                <w:szCs w:val="20"/>
                <w:color w:val="auto"/>
              </w:rPr>
              <w:t>Capital Requirements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2.14</w:t>
            </w:r>
          </w:p>
        </w:tc>
        <w:tc>
          <w:tcPr>
            <w:tcW w:w="6280" w:type="dxa"/>
            <w:vAlign w:val="bottom"/>
          </w:tcPr>
          <w:p>
            <w:pPr>
              <w:ind w:left="400"/>
              <w:spacing w:after="0"/>
              <w:rPr>
                <w:sz w:val="20"/>
                <w:szCs w:val="20"/>
                <w:color w:val="auto"/>
              </w:rPr>
            </w:pPr>
            <w:r>
              <w:rPr>
                <w:rFonts w:ascii="Arial" w:cs="Arial" w:eastAsia="Arial" w:hAnsi="Arial"/>
                <w:sz w:val="20"/>
                <w:szCs w:val="20"/>
                <w:color w:val="auto"/>
              </w:rPr>
              <w:t>Change of Lending Office</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2.15</w:t>
            </w:r>
          </w:p>
        </w:tc>
        <w:tc>
          <w:tcPr>
            <w:tcW w:w="6280" w:type="dxa"/>
            <w:vAlign w:val="bottom"/>
          </w:tcPr>
          <w:p>
            <w:pPr>
              <w:ind w:left="400"/>
              <w:spacing w:after="0"/>
              <w:rPr>
                <w:sz w:val="20"/>
                <w:szCs w:val="20"/>
                <w:color w:val="auto"/>
              </w:rPr>
            </w:pPr>
            <w:r>
              <w:rPr>
                <w:rFonts w:ascii="Arial" w:cs="Arial" w:eastAsia="Arial" w:hAnsi="Arial"/>
                <w:sz w:val="20"/>
                <w:szCs w:val="20"/>
                <w:color w:val="auto"/>
              </w:rPr>
              <w:t>Accordion</w:t>
            </w:r>
          </w:p>
        </w:tc>
      </w:tr>
    </w:tbl>
    <w:p>
      <w:pPr>
        <w:spacing w:after="0" w:line="33" w:lineRule="exact"/>
        <w:rPr>
          <w:sz w:val="20"/>
          <w:szCs w:val="20"/>
          <w:color w:val="auto"/>
        </w:rPr>
      </w:pPr>
    </w:p>
    <w:p>
      <w:pPr>
        <w:ind w:left="1145" w:hanging="1145"/>
        <w:spacing w:after="0"/>
        <w:tabs>
          <w:tab w:leader="none" w:pos="1145"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CONDITIONS; TERM OF AGREEMENT.</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3.1</w:t>
            </w:r>
          </w:p>
        </w:tc>
        <w:tc>
          <w:tcPr>
            <w:tcW w:w="4760" w:type="dxa"/>
            <w:vAlign w:val="bottom"/>
          </w:tcPr>
          <w:p>
            <w:pPr>
              <w:ind w:left="440"/>
              <w:spacing w:after="0"/>
              <w:rPr>
                <w:sz w:val="20"/>
                <w:szCs w:val="20"/>
                <w:color w:val="auto"/>
              </w:rPr>
            </w:pPr>
            <w:r>
              <w:rPr>
                <w:rFonts w:ascii="Arial" w:cs="Arial" w:eastAsia="Arial" w:hAnsi="Arial"/>
                <w:sz w:val="20"/>
                <w:szCs w:val="20"/>
                <w:color w:val="auto"/>
                <w:w w:val="90"/>
              </w:rPr>
              <w:t>Conditions Precedent to the Initial Extension of Credit</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3.2</w:t>
            </w:r>
          </w:p>
        </w:tc>
        <w:tc>
          <w:tcPr>
            <w:tcW w:w="4760" w:type="dxa"/>
            <w:vAlign w:val="bottom"/>
          </w:tcPr>
          <w:p>
            <w:pPr>
              <w:ind w:left="440"/>
              <w:spacing w:after="0"/>
              <w:rPr>
                <w:sz w:val="20"/>
                <w:szCs w:val="20"/>
                <w:color w:val="auto"/>
              </w:rPr>
            </w:pPr>
            <w:r>
              <w:rPr>
                <w:rFonts w:ascii="Arial" w:cs="Arial" w:eastAsia="Arial" w:hAnsi="Arial"/>
                <w:sz w:val="20"/>
                <w:szCs w:val="20"/>
                <w:color w:val="auto"/>
              </w:rPr>
              <w:t>Conditions Precedent to all Extensions of Credit</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3.3</w:t>
            </w:r>
          </w:p>
        </w:tc>
        <w:tc>
          <w:tcPr>
            <w:tcW w:w="4760" w:type="dxa"/>
            <w:vAlign w:val="bottom"/>
          </w:tcPr>
          <w:p>
            <w:pPr>
              <w:ind w:left="440"/>
              <w:spacing w:after="0"/>
              <w:rPr>
                <w:sz w:val="20"/>
                <w:szCs w:val="20"/>
                <w:color w:val="auto"/>
              </w:rPr>
            </w:pPr>
            <w:r>
              <w:rPr>
                <w:rFonts w:ascii="Arial" w:cs="Arial" w:eastAsia="Arial" w:hAnsi="Arial"/>
                <w:sz w:val="20"/>
                <w:szCs w:val="20"/>
                <w:color w:val="auto"/>
              </w:rPr>
              <w:t>Maturity</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3.4</w:t>
            </w:r>
          </w:p>
        </w:tc>
        <w:tc>
          <w:tcPr>
            <w:tcW w:w="4760" w:type="dxa"/>
            <w:vAlign w:val="bottom"/>
          </w:tcPr>
          <w:p>
            <w:pPr>
              <w:ind w:left="440"/>
              <w:spacing w:after="0"/>
              <w:rPr>
                <w:sz w:val="20"/>
                <w:szCs w:val="20"/>
                <w:color w:val="auto"/>
              </w:rPr>
            </w:pPr>
            <w:r>
              <w:rPr>
                <w:rFonts w:ascii="Arial" w:cs="Arial" w:eastAsia="Arial" w:hAnsi="Arial"/>
                <w:sz w:val="20"/>
                <w:szCs w:val="20"/>
                <w:color w:val="auto"/>
              </w:rPr>
              <w:t>Effect of Maturity</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3.5</w:t>
            </w:r>
          </w:p>
        </w:tc>
        <w:tc>
          <w:tcPr>
            <w:tcW w:w="4760" w:type="dxa"/>
            <w:vAlign w:val="bottom"/>
          </w:tcPr>
          <w:p>
            <w:pPr>
              <w:ind w:left="440"/>
              <w:spacing w:after="0"/>
              <w:rPr>
                <w:sz w:val="20"/>
                <w:szCs w:val="20"/>
                <w:color w:val="auto"/>
              </w:rPr>
            </w:pPr>
            <w:r>
              <w:rPr>
                <w:rFonts w:ascii="Arial" w:cs="Arial" w:eastAsia="Arial" w:hAnsi="Arial"/>
                <w:sz w:val="20"/>
                <w:szCs w:val="20"/>
                <w:color w:val="auto"/>
              </w:rPr>
              <w:t>Early Termination by Borrower</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3.6</w:t>
            </w:r>
          </w:p>
        </w:tc>
        <w:tc>
          <w:tcPr>
            <w:tcW w:w="4760" w:type="dxa"/>
            <w:vAlign w:val="bottom"/>
          </w:tcPr>
          <w:p>
            <w:pPr>
              <w:ind w:left="440"/>
              <w:spacing w:after="0"/>
              <w:rPr>
                <w:sz w:val="20"/>
                <w:szCs w:val="20"/>
                <w:color w:val="auto"/>
              </w:rPr>
            </w:pPr>
            <w:r>
              <w:rPr>
                <w:rFonts w:ascii="Arial" w:cs="Arial" w:eastAsia="Arial" w:hAnsi="Arial"/>
                <w:sz w:val="20"/>
                <w:szCs w:val="20"/>
                <w:color w:val="auto"/>
              </w:rPr>
              <w:t>Conditions Subsequent</w:t>
            </w:r>
          </w:p>
        </w:tc>
      </w:tr>
    </w:tbl>
    <w:p>
      <w:pPr>
        <w:spacing w:after="0" w:line="33" w:lineRule="exact"/>
        <w:rPr>
          <w:sz w:val="20"/>
          <w:szCs w:val="20"/>
          <w:color w:val="auto"/>
        </w:rPr>
      </w:pPr>
    </w:p>
    <w:p>
      <w:pPr>
        <w:ind w:left="1145" w:hanging="1145"/>
        <w:spacing w:after="0"/>
        <w:tabs>
          <w:tab w:leader="none" w:pos="1145"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REPRESENTATIONS AND WARRANTIES.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4.1</w:t>
            </w:r>
          </w:p>
        </w:tc>
        <w:tc>
          <w:tcPr>
            <w:tcW w:w="4360" w:type="dxa"/>
            <w:vAlign w:val="bottom"/>
          </w:tcPr>
          <w:p>
            <w:pPr>
              <w:ind w:left="440"/>
              <w:spacing w:after="0"/>
              <w:rPr>
                <w:sz w:val="20"/>
                <w:szCs w:val="20"/>
                <w:color w:val="auto"/>
              </w:rPr>
            </w:pPr>
            <w:r>
              <w:rPr>
                <w:rFonts w:ascii="Arial" w:cs="Arial" w:eastAsia="Arial" w:hAnsi="Arial"/>
                <w:sz w:val="20"/>
                <w:szCs w:val="20"/>
                <w:color w:val="auto"/>
                <w:w w:val="90"/>
              </w:rPr>
              <w:t>Due Organization and Qualification; Subsidiaries</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4.2</w:t>
            </w:r>
          </w:p>
        </w:tc>
        <w:tc>
          <w:tcPr>
            <w:tcW w:w="4360" w:type="dxa"/>
            <w:vAlign w:val="bottom"/>
          </w:tcPr>
          <w:p>
            <w:pPr>
              <w:ind w:left="440"/>
              <w:spacing w:after="0"/>
              <w:rPr>
                <w:sz w:val="20"/>
                <w:szCs w:val="20"/>
                <w:color w:val="auto"/>
              </w:rPr>
            </w:pPr>
            <w:r>
              <w:rPr>
                <w:rFonts w:ascii="Arial" w:cs="Arial" w:eastAsia="Arial" w:hAnsi="Arial"/>
                <w:sz w:val="20"/>
                <w:szCs w:val="20"/>
                <w:color w:val="auto"/>
              </w:rPr>
              <w:t>Due Authorization; No Conflict</w:t>
            </w:r>
          </w:p>
        </w:tc>
      </w:tr>
    </w:tbl>
    <w:p>
      <w:pPr>
        <w:sectPr>
          <w:pgSz w:w="11900" w:h="16838" w:orient="portrait"/>
          <w:cols w:equalWidth="0" w:num="1">
            <w:col w:w="11125"/>
          </w:cols>
          <w:pgMar w:left="275" w:top="819" w:right="499" w:bottom="1440" w:gutter="0" w:footer="0" w:header="0"/>
        </w:sectPr>
      </w:pPr>
    </w:p>
    <w:bookmarkStart w:id="84" w:name="page85"/>
    <w:bookmarkEnd w:id="84"/>
    <w:p>
      <w:pPr>
        <w:spacing w:after="0" w:line="1"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4.3</w:t>
            </w:r>
          </w:p>
        </w:tc>
        <w:tc>
          <w:tcPr>
            <w:tcW w:w="3360" w:type="dxa"/>
            <w:vAlign w:val="bottom"/>
          </w:tcPr>
          <w:p>
            <w:pPr>
              <w:ind w:left="400"/>
              <w:spacing w:after="0"/>
              <w:rPr>
                <w:sz w:val="20"/>
                <w:szCs w:val="20"/>
                <w:color w:val="auto"/>
              </w:rPr>
            </w:pPr>
            <w:r>
              <w:rPr>
                <w:rFonts w:ascii="Arial" w:cs="Arial" w:eastAsia="Arial" w:hAnsi="Arial"/>
                <w:sz w:val="20"/>
                <w:szCs w:val="20"/>
                <w:color w:val="auto"/>
              </w:rPr>
              <w:t>Governmental Consents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4.4</w:t>
            </w:r>
          </w:p>
        </w:tc>
        <w:tc>
          <w:tcPr>
            <w:tcW w:w="3360" w:type="dxa"/>
            <w:vAlign w:val="bottom"/>
          </w:tcPr>
          <w:p>
            <w:pPr>
              <w:ind w:left="400"/>
              <w:spacing w:after="0"/>
              <w:rPr>
                <w:sz w:val="20"/>
                <w:szCs w:val="20"/>
                <w:color w:val="auto"/>
              </w:rPr>
            </w:pPr>
            <w:r>
              <w:rPr>
                <w:rFonts w:ascii="Arial" w:cs="Arial" w:eastAsia="Arial" w:hAnsi="Arial"/>
                <w:sz w:val="20"/>
                <w:szCs w:val="20"/>
                <w:color w:val="auto"/>
                <w:w w:val="91"/>
              </w:rPr>
              <w:t>Binding Obligations; Perfected Liens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4.5</w:t>
            </w:r>
          </w:p>
        </w:tc>
        <w:tc>
          <w:tcPr>
            <w:tcW w:w="3360" w:type="dxa"/>
            <w:vAlign w:val="bottom"/>
          </w:tcPr>
          <w:p>
            <w:pPr>
              <w:ind w:left="400"/>
              <w:spacing w:after="0"/>
              <w:rPr>
                <w:sz w:val="20"/>
                <w:szCs w:val="20"/>
                <w:color w:val="auto"/>
              </w:rPr>
            </w:pPr>
            <w:r>
              <w:rPr>
                <w:rFonts w:ascii="Arial" w:cs="Arial" w:eastAsia="Arial" w:hAnsi="Arial"/>
                <w:sz w:val="20"/>
                <w:szCs w:val="20"/>
                <w:color w:val="auto"/>
                <w:w w:val="97"/>
              </w:rPr>
              <w:t>Title to Assets; No Encumbrances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4.6</w:t>
            </w:r>
          </w:p>
        </w:tc>
        <w:tc>
          <w:tcPr>
            <w:tcW w:w="3360" w:type="dxa"/>
            <w:vAlign w:val="bottom"/>
          </w:tcPr>
          <w:p>
            <w:pPr>
              <w:ind w:left="400"/>
              <w:spacing w:after="0"/>
              <w:rPr>
                <w:sz w:val="20"/>
                <w:szCs w:val="20"/>
                <w:color w:val="auto"/>
              </w:rPr>
            </w:pPr>
            <w:r>
              <w:rPr>
                <w:rFonts w:ascii="Arial" w:cs="Arial" w:eastAsia="Arial" w:hAnsi="Arial"/>
                <w:sz w:val="20"/>
                <w:szCs w:val="20"/>
                <w:color w:val="auto"/>
              </w:rPr>
              <w:t>Litigation</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4.7</w:t>
            </w:r>
          </w:p>
        </w:tc>
        <w:tc>
          <w:tcPr>
            <w:tcW w:w="3360" w:type="dxa"/>
            <w:vAlign w:val="bottom"/>
          </w:tcPr>
          <w:p>
            <w:pPr>
              <w:ind w:left="400"/>
              <w:spacing w:after="0"/>
              <w:rPr>
                <w:sz w:val="20"/>
                <w:szCs w:val="20"/>
                <w:color w:val="auto"/>
              </w:rPr>
            </w:pPr>
            <w:r>
              <w:rPr>
                <w:rFonts w:ascii="Arial" w:cs="Arial" w:eastAsia="Arial" w:hAnsi="Arial"/>
                <w:sz w:val="20"/>
                <w:szCs w:val="20"/>
                <w:color w:val="auto"/>
              </w:rPr>
              <w:t>Compliance with Laws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4.8</w:t>
            </w:r>
          </w:p>
        </w:tc>
        <w:tc>
          <w:tcPr>
            <w:tcW w:w="3360" w:type="dxa"/>
            <w:vAlign w:val="bottom"/>
          </w:tcPr>
          <w:p>
            <w:pPr>
              <w:ind w:left="400"/>
              <w:spacing w:after="0"/>
              <w:rPr>
                <w:sz w:val="20"/>
                <w:szCs w:val="20"/>
                <w:color w:val="auto"/>
              </w:rPr>
            </w:pPr>
            <w:r>
              <w:rPr>
                <w:rFonts w:ascii="Arial" w:cs="Arial" w:eastAsia="Arial" w:hAnsi="Arial"/>
                <w:sz w:val="20"/>
                <w:szCs w:val="20"/>
                <w:color w:val="auto"/>
              </w:rPr>
              <w:t>No Material Adverse Effect</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4.9</w:t>
            </w:r>
          </w:p>
        </w:tc>
        <w:tc>
          <w:tcPr>
            <w:tcW w:w="3360" w:type="dxa"/>
            <w:vAlign w:val="bottom"/>
          </w:tcPr>
          <w:p>
            <w:pPr>
              <w:ind w:left="400"/>
              <w:spacing w:after="0"/>
              <w:rPr>
                <w:sz w:val="20"/>
                <w:szCs w:val="20"/>
                <w:color w:val="auto"/>
              </w:rPr>
            </w:pPr>
            <w:r>
              <w:rPr>
                <w:rFonts w:ascii="Arial" w:cs="Arial" w:eastAsia="Arial" w:hAnsi="Arial"/>
                <w:sz w:val="20"/>
                <w:szCs w:val="20"/>
                <w:color w:val="auto"/>
              </w:rPr>
              <w:t>Solvency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4.10</w:t>
            </w:r>
          </w:p>
        </w:tc>
        <w:tc>
          <w:tcPr>
            <w:tcW w:w="3360" w:type="dxa"/>
            <w:vAlign w:val="bottom"/>
          </w:tcPr>
          <w:p>
            <w:pPr>
              <w:ind w:left="400"/>
              <w:spacing w:after="0"/>
              <w:rPr>
                <w:sz w:val="20"/>
                <w:szCs w:val="20"/>
                <w:color w:val="auto"/>
              </w:rPr>
            </w:pPr>
            <w:r>
              <w:rPr>
                <w:rFonts w:ascii="Arial" w:cs="Arial" w:eastAsia="Arial" w:hAnsi="Arial"/>
                <w:sz w:val="20"/>
                <w:szCs w:val="20"/>
                <w:color w:val="auto"/>
              </w:rPr>
              <w:t>Employee Benefits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4.11</w:t>
            </w:r>
          </w:p>
        </w:tc>
        <w:tc>
          <w:tcPr>
            <w:tcW w:w="3360" w:type="dxa"/>
            <w:vAlign w:val="bottom"/>
          </w:tcPr>
          <w:p>
            <w:pPr>
              <w:ind w:left="400"/>
              <w:spacing w:after="0"/>
              <w:rPr>
                <w:sz w:val="20"/>
                <w:szCs w:val="20"/>
                <w:color w:val="auto"/>
              </w:rPr>
            </w:pPr>
            <w:r>
              <w:rPr>
                <w:rFonts w:ascii="Arial" w:cs="Arial" w:eastAsia="Arial" w:hAnsi="Arial"/>
                <w:sz w:val="20"/>
                <w:szCs w:val="20"/>
                <w:color w:val="auto"/>
              </w:rPr>
              <w:t>Environmental Condition</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4.12</w:t>
            </w:r>
          </w:p>
        </w:tc>
        <w:tc>
          <w:tcPr>
            <w:tcW w:w="3360" w:type="dxa"/>
            <w:vAlign w:val="bottom"/>
          </w:tcPr>
          <w:p>
            <w:pPr>
              <w:ind w:left="400"/>
              <w:spacing w:after="0"/>
              <w:rPr>
                <w:sz w:val="20"/>
                <w:szCs w:val="20"/>
                <w:color w:val="auto"/>
              </w:rPr>
            </w:pPr>
            <w:r>
              <w:rPr>
                <w:rFonts w:ascii="Arial" w:cs="Arial" w:eastAsia="Arial" w:hAnsi="Arial"/>
                <w:sz w:val="20"/>
                <w:szCs w:val="20"/>
                <w:color w:val="auto"/>
              </w:rPr>
              <w:t>Complete Disclosure</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4.13</w:t>
            </w:r>
          </w:p>
        </w:tc>
        <w:tc>
          <w:tcPr>
            <w:tcW w:w="3360" w:type="dxa"/>
            <w:vAlign w:val="bottom"/>
          </w:tcPr>
          <w:p>
            <w:pPr>
              <w:ind w:left="400"/>
              <w:spacing w:after="0"/>
              <w:rPr>
                <w:sz w:val="20"/>
                <w:szCs w:val="20"/>
                <w:color w:val="auto"/>
              </w:rPr>
            </w:pPr>
            <w:r>
              <w:rPr>
                <w:rFonts w:ascii="Arial" w:cs="Arial" w:eastAsia="Arial" w:hAnsi="Arial"/>
                <w:sz w:val="20"/>
                <w:szCs w:val="20"/>
                <w:color w:val="auto"/>
              </w:rPr>
              <w:t>Patriot Act</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4.14</w:t>
            </w:r>
          </w:p>
        </w:tc>
        <w:tc>
          <w:tcPr>
            <w:tcW w:w="3360" w:type="dxa"/>
            <w:vAlign w:val="bottom"/>
          </w:tcPr>
          <w:p>
            <w:pPr>
              <w:ind w:left="400"/>
              <w:spacing w:after="0"/>
              <w:rPr>
                <w:sz w:val="20"/>
                <w:szCs w:val="20"/>
                <w:color w:val="auto"/>
              </w:rPr>
            </w:pPr>
            <w:r>
              <w:rPr>
                <w:rFonts w:ascii="Arial" w:cs="Arial" w:eastAsia="Arial" w:hAnsi="Arial"/>
                <w:sz w:val="20"/>
                <w:szCs w:val="20"/>
                <w:color w:val="auto"/>
              </w:rPr>
              <w:t>Indebtedness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4.15</w:t>
            </w:r>
          </w:p>
        </w:tc>
        <w:tc>
          <w:tcPr>
            <w:tcW w:w="3360" w:type="dxa"/>
            <w:vAlign w:val="bottom"/>
          </w:tcPr>
          <w:p>
            <w:pPr>
              <w:ind w:left="400"/>
              <w:spacing w:after="0"/>
              <w:rPr>
                <w:sz w:val="20"/>
                <w:szCs w:val="20"/>
                <w:color w:val="auto"/>
              </w:rPr>
            </w:pPr>
            <w:r>
              <w:rPr>
                <w:rFonts w:ascii="Arial" w:cs="Arial" w:eastAsia="Arial" w:hAnsi="Arial"/>
                <w:sz w:val="20"/>
                <w:szCs w:val="20"/>
                <w:color w:val="auto"/>
              </w:rPr>
              <w:t>Payment of Taxes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4.16</w:t>
            </w:r>
          </w:p>
        </w:tc>
        <w:tc>
          <w:tcPr>
            <w:tcW w:w="3360" w:type="dxa"/>
            <w:vAlign w:val="bottom"/>
          </w:tcPr>
          <w:p>
            <w:pPr>
              <w:ind w:left="400"/>
              <w:spacing w:after="0"/>
              <w:rPr>
                <w:sz w:val="20"/>
                <w:szCs w:val="20"/>
                <w:color w:val="auto"/>
              </w:rPr>
            </w:pPr>
            <w:r>
              <w:rPr>
                <w:rFonts w:ascii="Arial" w:cs="Arial" w:eastAsia="Arial" w:hAnsi="Arial"/>
                <w:sz w:val="20"/>
                <w:szCs w:val="20"/>
                <w:color w:val="auto"/>
              </w:rPr>
              <w:t>Margin Stock</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4.17</w:t>
            </w:r>
          </w:p>
        </w:tc>
        <w:tc>
          <w:tcPr>
            <w:tcW w:w="3360" w:type="dxa"/>
            <w:vAlign w:val="bottom"/>
          </w:tcPr>
          <w:p>
            <w:pPr>
              <w:ind w:left="400"/>
              <w:spacing w:after="0"/>
              <w:rPr>
                <w:sz w:val="20"/>
                <w:szCs w:val="20"/>
                <w:color w:val="auto"/>
              </w:rPr>
            </w:pPr>
            <w:r>
              <w:rPr>
                <w:rFonts w:ascii="Arial" w:cs="Arial" w:eastAsia="Arial" w:hAnsi="Arial"/>
                <w:sz w:val="20"/>
                <w:szCs w:val="20"/>
                <w:color w:val="auto"/>
              </w:rPr>
              <w:t>Governmental Regulation</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4.18</w:t>
            </w:r>
          </w:p>
        </w:tc>
        <w:tc>
          <w:tcPr>
            <w:tcW w:w="3360" w:type="dxa"/>
            <w:vAlign w:val="bottom"/>
          </w:tcPr>
          <w:p>
            <w:pPr>
              <w:ind w:left="400"/>
              <w:spacing w:after="0"/>
              <w:rPr>
                <w:sz w:val="20"/>
                <w:szCs w:val="20"/>
                <w:color w:val="auto"/>
              </w:rPr>
            </w:pPr>
            <w:r>
              <w:rPr>
                <w:rFonts w:ascii="Arial" w:cs="Arial" w:eastAsia="Arial" w:hAnsi="Arial"/>
                <w:sz w:val="20"/>
                <w:szCs w:val="20"/>
                <w:color w:val="auto"/>
              </w:rPr>
              <w:t>OFAC</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4.19</w:t>
            </w:r>
          </w:p>
        </w:tc>
        <w:tc>
          <w:tcPr>
            <w:tcW w:w="3360" w:type="dxa"/>
            <w:vAlign w:val="bottom"/>
          </w:tcPr>
          <w:p>
            <w:pPr>
              <w:ind w:left="400"/>
              <w:spacing w:after="0"/>
              <w:rPr>
                <w:sz w:val="20"/>
                <w:szCs w:val="20"/>
                <w:color w:val="auto"/>
              </w:rPr>
            </w:pPr>
            <w:r>
              <w:rPr>
                <w:rFonts w:ascii="Arial" w:cs="Arial" w:eastAsia="Arial" w:hAnsi="Arial"/>
                <w:sz w:val="20"/>
                <w:szCs w:val="20"/>
                <w:color w:val="auto"/>
              </w:rPr>
              <w:t>Employee and Labor Matters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4.20</w:t>
            </w:r>
          </w:p>
        </w:tc>
        <w:tc>
          <w:tcPr>
            <w:tcW w:w="3360" w:type="dxa"/>
            <w:vAlign w:val="bottom"/>
          </w:tcPr>
          <w:p>
            <w:pPr>
              <w:ind w:left="400"/>
              <w:spacing w:after="0"/>
              <w:rPr>
                <w:sz w:val="20"/>
                <w:szCs w:val="20"/>
                <w:color w:val="auto"/>
              </w:rPr>
            </w:pPr>
            <w:r>
              <w:rPr>
                <w:rFonts w:ascii="Arial" w:cs="Arial" w:eastAsia="Arial" w:hAnsi="Arial"/>
                <w:sz w:val="20"/>
                <w:szCs w:val="20"/>
                <w:color w:val="auto"/>
              </w:rPr>
              <w:t>[Reserved]</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4.21</w:t>
            </w:r>
          </w:p>
        </w:tc>
        <w:tc>
          <w:tcPr>
            <w:tcW w:w="3360" w:type="dxa"/>
            <w:vAlign w:val="bottom"/>
          </w:tcPr>
          <w:p>
            <w:pPr>
              <w:ind w:left="400"/>
              <w:spacing w:after="0"/>
              <w:rPr>
                <w:sz w:val="20"/>
                <w:szCs w:val="20"/>
                <w:color w:val="auto"/>
              </w:rPr>
            </w:pPr>
            <w:r>
              <w:rPr>
                <w:rFonts w:ascii="Arial" w:cs="Arial" w:eastAsia="Arial" w:hAnsi="Arial"/>
                <w:sz w:val="20"/>
                <w:szCs w:val="20"/>
                <w:color w:val="auto"/>
              </w:rPr>
              <w:t>Leases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4.22</w:t>
            </w:r>
          </w:p>
        </w:tc>
        <w:tc>
          <w:tcPr>
            <w:tcW w:w="3360" w:type="dxa"/>
            <w:vAlign w:val="bottom"/>
          </w:tcPr>
          <w:p>
            <w:pPr>
              <w:ind w:left="400"/>
              <w:spacing w:after="0"/>
              <w:rPr>
                <w:sz w:val="20"/>
                <w:szCs w:val="20"/>
                <w:color w:val="auto"/>
              </w:rPr>
            </w:pPr>
            <w:r>
              <w:rPr>
                <w:rFonts w:ascii="Arial" w:cs="Arial" w:eastAsia="Arial" w:hAnsi="Arial"/>
                <w:sz w:val="20"/>
                <w:szCs w:val="20"/>
                <w:color w:val="auto"/>
              </w:rPr>
              <w:t>Eligible Accounts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4.23</w:t>
            </w:r>
          </w:p>
        </w:tc>
        <w:tc>
          <w:tcPr>
            <w:tcW w:w="3360" w:type="dxa"/>
            <w:vAlign w:val="bottom"/>
          </w:tcPr>
          <w:p>
            <w:pPr>
              <w:ind w:left="400"/>
              <w:spacing w:after="0"/>
              <w:rPr>
                <w:sz w:val="20"/>
                <w:szCs w:val="20"/>
                <w:color w:val="auto"/>
              </w:rPr>
            </w:pPr>
            <w:r>
              <w:rPr>
                <w:rFonts w:ascii="Arial" w:cs="Arial" w:eastAsia="Arial" w:hAnsi="Arial"/>
                <w:sz w:val="20"/>
                <w:szCs w:val="20"/>
                <w:color w:val="auto"/>
              </w:rPr>
              <w:t>Eligible Inventory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4.24</w:t>
            </w:r>
          </w:p>
        </w:tc>
        <w:tc>
          <w:tcPr>
            <w:tcW w:w="3360" w:type="dxa"/>
            <w:vAlign w:val="bottom"/>
          </w:tcPr>
          <w:p>
            <w:pPr>
              <w:ind w:left="400"/>
              <w:spacing w:after="0"/>
              <w:rPr>
                <w:sz w:val="20"/>
                <w:szCs w:val="20"/>
                <w:color w:val="auto"/>
              </w:rPr>
            </w:pPr>
            <w:r>
              <w:rPr>
                <w:rFonts w:ascii="Arial" w:cs="Arial" w:eastAsia="Arial" w:hAnsi="Arial"/>
                <w:sz w:val="20"/>
                <w:szCs w:val="20"/>
                <w:color w:val="auto"/>
              </w:rPr>
              <w:t>Location of Inventory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4.25</w:t>
            </w:r>
          </w:p>
        </w:tc>
        <w:tc>
          <w:tcPr>
            <w:tcW w:w="3360" w:type="dxa"/>
            <w:vAlign w:val="bottom"/>
          </w:tcPr>
          <w:p>
            <w:pPr>
              <w:ind w:left="400"/>
              <w:spacing w:after="0"/>
              <w:rPr>
                <w:sz w:val="20"/>
                <w:szCs w:val="20"/>
                <w:color w:val="auto"/>
              </w:rPr>
            </w:pPr>
            <w:r>
              <w:rPr>
                <w:rFonts w:ascii="Arial" w:cs="Arial" w:eastAsia="Arial" w:hAnsi="Arial"/>
                <w:sz w:val="20"/>
                <w:szCs w:val="20"/>
                <w:color w:val="auto"/>
              </w:rPr>
              <w:t>Inventory Records</w:t>
            </w:r>
          </w:p>
        </w:tc>
      </w:tr>
    </w:tbl>
    <w:p>
      <w:pPr>
        <w:spacing w:after="0" w:line="33" w:lineRule="exact"/>
        <w:rPr>
          <w:sz w:val="20"/>
          <w:szCs w:val="20"/>
          <w:color w:val="auto"/>
        </w:rPr>
      </w:pPr>
    </w:p>
    <w:p>
      <w:pPr>
        <w:ind w:left="1145" w:hanging="1145"/>
        <w:spacing w:after="0"/>
        <w:tabs>
          <w:tab w:leader="none" w:pos="1145" w:val="left"/>
        </w:tabs>
        <w:numPr>
          <w:ilvl w:val="0"/>
          <w:numId w:val="35"/>
        </w:numPr>
        <w:rPr>
          <w:rFonts w:ascii="Arial" w:cs="Arial" w:eastAsia="Arial" w:hAnsi="Arial"/>
          <w:sz w:val="20"/>
          <w:szCs w:val="20"/>
          <w:color w:val="auto"/>
        </w:rPr>
      </w:pPr>
      <w:r>
        <w:rPr>
          <w:rFonts w:ascii="Arial" w:cs="Arial" w:eastAsia="Arial" w:hAnsi="Arial"/>
          <w:sz w:val="20"/>
          <w:szCs w:val="20"/>
          <w:color w:val="auto"/>
        </w:rPr>
        <w:t>AFFIRMATIVE COVENANTS.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5.1</w:t>
            </w:r>
          </w:p>
        </w:tc>
        <w:tc>
          <w:tcPr>
            <w:tcW w:w="3780" w:type="dxa"/>
            <w:vAlign w:val="bottom"/>
          </w:tcPr>
          <w:p>
            <w:pPr>
              <w:ind w:left="400"/>
              <w:spacing w:after="0"/>
              <w:rPr>
                <w:sz w:val="20"/>
                <w:szCs w:val="20"/>
                <w:color w:val="auto"/>
              </w:rPr>
            </w:pPr>
            <w:r>
              <w:rPr>
                <w:rFonts w:ascii="Arial" w:cs="Arial" w:eastAsia="Arial" w:hAnsi="Arial"/>
                <w:sz w:val="20"/>
                <w:szCs w:val="20"/>
                <w:color w:val="auto"/>
                <w:w w:val="88"/>
              </w:rPr>
              <w:t>Financial Statements, Reports, Certificates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5.2</w:t>
            </w:r>
          </w:p>
        </w:tc>
        <w:tc>
          <w:tcPr>
            <w:tcW w:w="3780" w:type="dxa"/>
            <w:vAlign w:val="bottom"/>
          </w:tcPr>
          <w:p>
            <w:pPr>
              <w:ind w:left="400"/>
              <w:spacing w:after="0"/>
              <w:rPr>
                <w:sz w:val="20"/>
                <w:szCs w:val="20"/>
                <w:color w:val="auto"/>
              </w:rPr>
            </w:pPr>
            <w:r>
              <w:rPr>
                <w:rFonts w:ascii="Arial" w:cs="Arial" w:eastAsia="Arial" w:hAnsi="Arial"/>
                <w:sz w:val="20"/>
                <w:szCs w:val="20"/>
                <w:color w:val="auto"/>
              </w:rPr>
              <w:t>Reporting</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5.3</w:t>
            </w:r>
          </w:p>
        </w:tc>
        <w:tc>
          <w:tcPr>
            <w:tcW w:w="3780" w:type="dxa"/>
            <w:vAlign w:val="bottom"/>
          </w:tcPr>
          <w:p>
            <w:pPr>
              <w:ind w:left="400"/>
              <w:spacing w:after="0"/>
              <w:rPr>
                <w:sz w:val="20"/>
                <w:szCs w:val="20"/>
                <w:color w:val="auto"/>
              </w:rPr>
            </w:pPr>
            <w:r>
              <w:rPr>
                <w:rFonts w:ascii="Arial" w:cs="Arial" w:eastAsia="Arial" w:hAnsi="Arial"/>
                <w:sz w:val="20"/>
                <w:szCs w:val="20"/>
                <w:color w:val="auto"/>
              </w:rPr>
              <w:t>Existence</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5.4</w:t>
            </w:r>
          </w:p>
        </w:tc>
        <w:tc>
          <w:tcPr>
            <w:tcW w:w="3780" w:type="dxa"/>
            <w:vAlign w:val="bottom"/>
          </w:tcPr>
          <w:p>
            <w:pPr>
              <w:ind w:left="400"/>
              <w:spacing w:after="0"/>
              <w:rPr>
                <w:sz w:val="20"/>
                <w:szCs w:val="20"/>
                <w:color w:val="auto"/>
              </w:rPr>
            </w:pPr>
            <w:r>
              <w:rPr>
                <w:rFonts w:ascii="Arial" w:cs="Arial" w:eastAsia="Arial" w:hAnsi="Arial"/>
                <w:sz w:val="20"/>
                <w:szCs w:val="20"/>
                <w:color w:val="auto"/>
              </w:rPr>
              <w:t>Maintenance of Properties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5.5</w:t>
            </w:r>
          </w:p>
        </w:tc>
        <w:tc>
          <w:tcPr>
            <w:tcW w:w="3780" w:type="dxa"/>
            <w:vAlign w:val="bottom"/>
          </w:tcPr>
          <w:p>
            <w:pPr>
              <w:ind w:left="400"/>
              <w:spacing w:after="0"/>
              <w:rPr>
                <w:sz w:val="20"/>
                <w:szCs w:val="20"/>
                <w:color w:val="auto"/>
              </w:rPr>
            </w:pPr>
            <w:r>
              <w:rPr>
                <w:rFonts w:ascii="Arial" w:cs="Arial" w:eastAsia="Arial" w:hAnsi="Arial"/>
                <w:sz w:val="20"/>
                <w:szCs w:val="20"/>
                <w:color w:val="auto"/>
              </w:rPr>
              <w:t>Taxes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5.6</w:t>
            </w:r>
          </w:p>
        </w:tc>
        <w:tc>
          <w:tcPr>
            <w:tcW w:w="3780" w:type="dxa"/>
            <w:vAlign w:val="bottom"/>
          </w:tcPr>
          <w:p>
            <w:pPr>
              <w:ind w:left="400"/>
              <w:spacing w:after="0"/>
              <w:rPr>
                <w:sz w:val="20"/>
                <w:szCs w:val="20"/>
                <w:color w:val="auto"/>
              </w:rPr>
            </w:pPr>
            <w:r>
              <w:rPr>
                <w:rFonts w:ascii="Arial" w:cs="Arial" w:eastAsia="Arial" w:hAnsi="Arial"/>
                <w:sz w:val="20"/>
                <w:szCs w:val="20"/>
                <w:color w:val="auto"/>
              </w:rPr>
              <w:t>Insurance</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5.7</w:t>
            </w:r>
          </w:p>
        </w:tc>
        <w:tc>
          <w:tcPr>
            <w:tcW w:w="3780" w:type="dxa"/>
            <w:vAlign w:val="bottom"/>
          </w:tcPr>
          <w:p>
            <w:pPr>
              <w:ind w:left="400"/>
              <w:spacing w:after="0"/>
              <w:rPr>
                <w:sz w:val="20"/>
                <w:szCs w:val="20"/>
                <w:color w:val="auto"/>
              </w:rPr>
            </w:pPr>
            <w:r>
              <w:rPr>
                <w:rFonts w:ascii="Arial" w:cs="Arial" w:eastAsia="Arial" w:hAnsi="Arial"/>
                <w:sz w:val="20"/>
                <w:szCs w:val="20"/>
                <w:color w:val="auto"/>
              </w:rPr>
              <w:t>Inspection</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5.8</w:t>
            </w:r>
          </w:p>
        </w:tc>
        <w:tc>
          <w:tcPr>
            <w:tcW w:w="3780" w:type="dxa"/>
            <w:vAlign w:val="bottom"/>
          </w:tcPr>
          <w:p>
            <w:pPr>
              <w:ind w:left="400"/>
              <w:spacing w:after="0"/>
              <w:rPr>
                <w:sz w:val="20"/>
                <w:szCs w:val="20"/>
                <w:color w:val="auto"/>
              </w:rPr>
            </w:pPr>
            <w:r>
              <w:rPr>
                <w:rFonts w:ascii="Arial" w:cs="Arial" w:eastAsia="Arial" w:hAnsi="Arial"/>
                <w:sz w:val="20"/>
                <w:szCs w:val="20"/>
                <w:color w:val="auto"/>
              </w:rPr>
              <w:t>Compliance with Laws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5.9</w:t>
            </w:r>
          </w:p>
        </w:tc>
        <w:tc>
          <w:tcPr>
            <w:tcW w:w="3780" w:type="dxa"/>
            <w:vAlign w:val="bottom"/>
          </w:tcPr>
          <w:p>
            <w:pPr>
              <w:ind w:left="400"/>
              <w:spacing w:after="0"/>
              <w:rPr>
                <w:sz w:val="20"/>
                <w:szCs w:val="20"/>
                <w:color w:val="auto"/>
              </w:rPr>
            </w:pPr>
            <w:r>
              <w:rPr>
                <w:rFonts w:ascii="Arial" w:cs="Arial" w:eastAsia="Arial" w:hAnsi="Arial"/>
                <w:sz w:val="20"/>
                <w:szCs w:val="20"/>
                <w:color w:val="auto"/>
              </w:rPr>
              <w:t>Environmental</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5.10</w:t>
            </w:r>
          </w:p>
        </w:tc>
        <w:tc>
          <w:tcPr>
            <w:tcW w:w="3780" w:type="dxa"/>
            <w:vAlign w:val="bottom"/>
          </w:tcPr>
          <w:p>
            <w:pPr>
              <w:ind w:left="400"/>
              <w:spacing w:after="0"/>
              <w:rPr>
                <w:sz w:val="20"/>
                <w:szCs w:val="20"/>
                <w:color w:val="auto"/>
              </w:rPr>
            </w:pPr>
            <w:r>
              <w:rPr>
                <w:rFonts w:ascii="Arial" w:cs="Arial" w:eastAsia="Arial" w:hAnsi="Arial"/>
                <w:sz w:val="20"/>
                <w:szCs w:val="20"/>
                <w:color w:val="auto"/>
              </w:rPr>
              <w:t>Disclosure Updates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5.11</w:t>
            </w:r>
          </w:p>
        </w:tc>
        <w:tc>
          <w:tcPr>
            <w:tcW w:w="3780" w:type="dxa"/>
            <w:vAlign w:val="bottom"/>
          </w:tcPr>
          <w:p>
            <w:pPr>
              <w:ind w:left="400"/>
              <w:spacing w:after="0"/>
              <w:rPr>
                <w:sz w:val="20"/>
                <w:szCs w:val="20"/>
                <w:color w:val="auto"/>
              </w:rPr>
            </w:pPr>
            <w:r>
              <w:rPr>
                <w:rFonts w:ascii="Arial" w:cs="Arial" w:eastAsia="Arial" w:hAnsi="Arial"/>
                <w:sz w:val="20"/>
                <w:szCs w:val="20"/>
                <w:color w:val="auto"/>
              </w:rPr>
              <w:t>Formation of Subsidiaries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5.12</w:t>
            </w:r>
          </w:p>
        </w:tc>
        <w:tc>
          <w:tcPr>
            <w:tcW w:w="3780" w:type="dxa"/>
            <w:vAlign w:val="bottom"/>
          </w:tcPr>
          <w:p>
            <w:pPr>
              <w:ind w:left="400"/>
              <w:spacing w:after="0"/>
              <w:rPr>
                <w:sz w:val="20"/>
                <w:szCs w:val="20"/>
                <w:color w:val="auto"/>
              </w:rPr>
            </w:pPr>
            <w:r>
              <w:rPr>
                <w:rFonts w:ascii="Arial" w:cs="Arial" w:eastAsia="Arial" w:hAnsi="Arial"/>
                <w:sz w:val="20"/>
                <w:szCs w:val="20"/>
                <w:color w:val="auto"/>
              </w:rPr>
              <w:t>Further Assurances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5.13</w:t>
            </w:r>
          </w:p>
        </w:tc>
        <w:tc>
          <w:tcPr>
            <w:tcW w:w="3780" w:type="dxa"/>
            <w:vAlign w:val="bottom"/>
          </w:tcPr>
          <w:p>
            <w:pPr>
              <w:ind w:left="400"/>
              <w:spacing w:after="0"/>
              <w:rPr>
                <w:sz w:val="20"/>
                <w:szCs w:val="20"/>
                <w:color w:val="auto"/>
              </w:rPr>
            </w:pPr>
            <w:r>
              <w:rPr>
                <w:rFonts w:ascii="Arial" w:cs="Arial" w:eastAsia="Arial" w:hAnsi="Arial"/>
                <w:sz w:val="20"/>
                <w:szCs w:val="20"/>
                <w:color w:val="auto"/>
              </w:rPr>
              <w:t>Lender Meetings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5.14</w:t>
            </w:r>
          </w:p>
        </w:tc>
        <w:tc>
          <w:tcPr>
            <w:tcW w:w="3780" w:type="dxa"/>
            <w:vAlign w:val="bottom"/>
          </w:tcPr>
          <w:p>
            <w:pPr>
              <w:ind w:left="400"/>
              <w:spacing w:after="0"/>
              <w:rPr>
                <w:sz w:val="20"/>
                <w:szCs w:val="20"/>
                <w:color w:val="auto"/>
              </w:rPr>
            </w:pPr>
            <w:r>
              <w:rPr>
                <w:rFonts w:ascii="Arial" w:cs="Arial" w:eastAsia="Arial" w:hAnsi="Arial"/>
                <w:sz w:val="20"/>
                <w:szCs w:val="20"/>
                <w:color w:val="auto"/>
              </w:rPr>
              <w:t>Compliance with ERISA and the IRC</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5.15</w:t>
            </w:r>
          </w:p>
        </w:tc>
        <w:tc>
          <w:tcPr>
            <w:tcW w:w="3780" w:type="dxa"/>
            <w:vAlign w:val="bottom"/>
          </w:tcPr>
          <w:p>
            <w:pPr>
              <w:ind w:left="400"/>
              <w:spacing w:after="0"/>
              <w:rPr>
                <w:sz w:val="20"/>
                <w:szCs w:val="20"/>
                <w:color w:val="auto"/>
              </w:rPr>
            </w:pPr>
            <w:r>
              <w:rPr>
                <w:rFonts w:ascii="Arial" w:cs="Arial" w:eastAsia="Arial" w:hAnsi="Arial"/>
                <w:sz w:val="20"/>
                <w:szCs w:val="20"/>
                <w:color w:val="auto"/>
              </w:rPr>
              <w:t>Location of Inventory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5.16</w:t>
            </w:r>
          </w:p>
        </w:tc>
        <w:tc>
          <w:tcPr>
            <w:tcW w:w="3780" w:type="dxa"/>
            <w:vAlign w:val="bottom"/>
          </w:tcPr>
          <w:p>
            <w:pPr>
              <w:ind w:left="400"/>
              <w:spacing w:after="0"/>
              <w:rPr>
                <w:sz w:val="20"/>
                <w:szCs w:val="20"/>
                <w:color w:val="auto"/>
              </w:rPr>
            </w:pPr>
            <w:r>
              <w:rPr>
                <w:rFonts w:ascii="Arial" w:cs="Arial" w:eastAsia="Arial" w:hAnsi="Arial"/>
                <w:sz w:val="20"/>
                <w:szCs w:val="20"/>
                <w:color w:val="auto"/>
              </w:rPr>
              <w:t>Cash Dominion</w:t>
            </w:r>
          </w:p>
        </w:tc>
      </w:tr>
    </w:tbl>
    <w:p>
      <w:pPr>
        <w:spacing w:after="0" w:line="249" w:lineRule="exact"/>
        <w:rPr>
          <w:sz w:val="20"/>
          <w:szCs w:val="20"/>
          <w:color w:val="auto"/>
        </w:rPr>
      </w:pPr>
    </w:p>
    <w:p>
      <w:pPr>
        <w:jc w:val="right"/>
        <w:ind w:right="23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84"/>
          </w:cols>
          <w:pgMar w:left="275" w:top="987" w:right="1440" w:bottom="1440" w:gutter="0" w:footer="0" w:header="0"/>
        </w:sectPr>
      </w:pPr>
    </w:p>
    <w:bookmarkStart w:id="85" w:name="page86"/>
    <w:bookmarkEnd w:id="85"/>
    <w:p>
      <w:pPr>
        <w:ind w:left="1145" w:hanging="1145"/>
        <w:spacing w:after="0"/>
        <w:tabs>
          <w:tab w:leader="none" w:pos="1145"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NEGATIVE COVENANTS.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6.1</w:t>
            </w:r>
          </w:p>
        </w:tc>
        <w:tc>
          <w:tcPr>
            <w:tcW w:w="3740" w:type="dxa"/>
            <w:vAlign w:val="bottom"/>
          </w:tcPr>
          <w:p>
            <w:pPr>
              <w:ind w:left="400"/>
              <w:spacing w:after="0"/>
              <w:rPr>
                <w:sz w:val="20"/>
                <w:szCs w:val="20"/>
                <w:color w:val="auto"/>
              </w:rPr>
            </w:pPr>
            <w:r>
              <w:rPr>
                <w:rFonts w:ascii="Arial" w:cs="Arial" w:eastAsia="Arial" w:hAnsi="Arial"/>
                <w:sz w:val="20"/>
                <w:szCs w:val="20"/>
                <w:color w:val="auto"/>
              </w:rPr>
              <w:t>Indebtedness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6.2</w:t>
            </w:r>
          </w:p>
        </w:tc>
        <w:tc>
          <w:tcPr>
            <w:tcW w:w="3740" w:type="dxa"/>
            <w:vAlign w:val="bottom"/>
          </w:tcPr>
          <w:p>
            <w:pPr>
              <w:ind w:left="400"/>
              <w:spacing w:after="0"/>
              <w:rPr>
                <w:sz w:val="20"/>
                <w:szCs w:val="20"/>
                <w:color w:val="auto"/>
              </w:rPr>
            </w:pPr>
            <w:r>
              <w:rPr>
                <w:rFonts w:ascii="Arial" w:cs="Arial" w:eastAsia="Arial" w:hAnsi="Arial"/>
                <w:sz w:val="20"/>
                <w:szCs w:val="20"/>
                <w:color w:val="auto"/>
              </w:rPr>
              <w:t>Liens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6.3</w:t>
            </w:r>
          </w:p>
        </w:tc>
        <w:tc>
          <w:tcPr>
            <w:tcW w:w="3740" w:type="dxa"/>
            <w:vAlign w:val="bottom"/>
          </w:tcPr>
          <w:p>
            <w:pPr>
              <w:ind w:left="400"/>
              <w:spacing w:after="0"/>
              <w:rPr>
                <w:sz w:val="20"/>
                <w:szCs w:val="20"/>
                <w:color w:val="auto"/>
              </w:rPr>
            </w:pPr>
            <w:r>
              <w:rPr>
                <w:rFonts w:ascii="Arial" w:cs="Arial" w:eastAsia="Arial" w:hAnsi="Arial"/>
                <w:sz w:val="20"/>
                <w:szCs w:val="20"/>
                <w:color w:val="auto"/>
                <w:w w:val="97"/>
              </w:rPr>
              <w:t>Restrictions on Fundamental Changes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6.4</w:t>
            </w:r>
          </w:p>
        </w:tc>
        <w:tc>
          <w:tcPr>
            <w:tcW w:w="3740" w:type="dxa"/>
            <w:vAlign w:val="bottom"/>
          </w:tcPr>
          <w:p>
            <w:pPr>
              <w:ind w:left="400"/>
              <w:spacing w:after="0"/>
              <w:rPr>
                <w:sz w:val="20"/>
                <w:szCs w:val="20"/>
                <w:color w:val="auto"/>
              </w:rPr>
            </w:pPr>
            <w:r>
              <w:rPr>
                <w:rFonts w:ascii="Arial" w:cs="Arial" w:eastAsia="Arial" w:hAnsi="Arial"/>
                <w:sz w:val="20"/>
                <w:szCs w:val="20"/>
                <w:color w:val="auto"/>
              </w:rPr>
              <w:t>Disposal of Assets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6.5</w:t>
            </w:r>
          </w:p>
        </w:tc>
        <w:tc>
          <w:tcPr>
            <w:tcW w:w="3740" w:type="dxa"/>
            <w:vAlign w:val="bottom"/>
          </w:tcPr>
          <w:p>
            <w:pPr>
              <w:ind w:left="400"/>
              <w:spacing w:after="0"/>
              <w:rPr>
                <w:sz w:val="20"/>
                <w:szCs w:val="20"/>
                <w:color w:val="auto"/>
              </w:rPr>
            </w:pPr>
            <w:r>
              <w:rPr>
                <w:rFonts w:ascii="Arial" w:cs="Arial" w:eastAsia="Arial" w:hAnsi="Arial"/>
                <w:sz w:val="20"/>
                <w:szCs w:val="20"/>
                <w:color w:val="auto"/>
              </w:rPr>
              <w:t>Nature of Business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6.6</w:t>
            </w:r>
          </w:p>
        </w:tc>
        <w:tc>
          <w:tcPr>
            <w:tcW w:w="3740" w:type="dxa"/>
            <w:vAlign w:val="bottom"/>
          </w:tcPr>
          <w:p>
            <w:pPr>
              <w:ind w:left="400"/>
              <w:spacing w:after="0"/>
              <w:rPr>
                <w:sz w:val="20"/>
                <w:szCs w:val="20"/>
                <w:color w:val="auto"/>
              </w:rPr>
            </w:pPr>
            <w:r>
              <w:rPr>
                <w:rFonts w:ascii="Arial" w:cs="Arial" w:eastAsia="Arial" w:hAnsi="Arial"/>
                <w:sz w:val="20"/>
                <w:szCs w:val="20"/>
                <w:color w:val="auto"/>
              </w:rPr>
              <w:t>Prepayments and Amendments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6.7</w:t>
            </w:r>
          </w:p>
        </w:tc>
        <w:tc>
          <w:tcPr>
            <w:tcW w:w="3740" w:type="dxa"/>
            <w:vAlign w:val="bottom"/>
          </w:tcPr>
          <w:p>
            <w:pPr>
              <w:ind w:left="400"/>
              <w:spacing w:after="0"/>
              <w:rPr>
                <w:sz w:val="20"/>
                <w:szCs w:val="20"/>
                <w:color w:val="auto"/>
              </w:rPr>
            </w:pPr>
            <w:r>
              <w:rPr>
                <w:rFonts w:ascii="Arial" w:cs="Arial" w:eastAsia="Arial" w:hAnsi="Arial"/>
                <w:sz w:val="20"/>
                <w:szCs w:val="20"/>
                <w:color w:val="auto"/>
              </w:rPr>
              <w:t>Restricted Payments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6.8</w:t>
            </w:r>
          </w:p>
        </w:tc>
        <w:tc>
          <w:tcPr>
            <w:tcW w:w="3740" w:type="dxa"/>
            <w:vAlign w:val="bottom"/>
          </w:tcPr>
          <w:p>
            <w:pPr>
              <w:ind w:left="400"/>
              <w:spacing w:after="0"/>
              <w:rPr>
                <w:sz w:val="20"/>
                <w:szCs w:val="20"/>
                <w:color w:val="auto"/>
              </w:rPr>
            </w:pPr>
            <w:r>
              <w:rPr>
                <w:rFonts w:ascii="Arial" w:cs="Arial" w:eastAsia="Arial" w:hAnsi="Arial"/>
                <w:sz w:val="20"/>
                <w:szCs w:val="20"/>
                <w:color w:val="auto"/>
              </w:rPr>
              <w:t>Accounting Methods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6.9</w:t>
            </w:r>
          </w:p>
        </w:tc>
        <w:tc>
          <w:tcPr>
            <w:tcW w:w="3740" w:type="dxa"/>
            <w:vAlign w:val="bottom"/>
          </w:tcPr>
          <w:p>
            <w:pPr>
              <w:ind w:left="400"/>
              <w:spacing w:after="0"/>
              <w:rPr>
                <w:sz w:val="20"/>
                <w:szCs w:val="20"/>
                <w:color w:val="auto"/>
              </w:rPr>
            </w:pPr>
            <w:r>
              <w:rPr>
                <w:rFonts w:ascii="Arial" w:cs="Arial" w:eastAsia="Arial" w:hAnsi="Arial"/>
                <w:sz w:val="20"/>
                <w:szCs w:val="20"/>
                <w:color w:val="auto"/>
              </w:rPr>
              <w:t>Investments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6.10</w:t>
            </w:r>
          </w:p>
        </w:tc>
        <w:tc>
          <w:tcPr>
            <w:tcW w:w="3740" w:type="dxa"/>
            <w:vAlign w:val="bottom"/>
          </w:tcPr>
          <w:p>
            <w:pPr>
              <w:ind w:left="400"/>
              <w:spacing w:after="0"/>
              <w:rPr>
                <w:sz w:val="20"/>
                <w:szCs w:val="20"/>
                <w:color w:val="auto"/>
              </w:rPr>
            </w:pPr>
            <w:r>
              <w:rPr>
                <w:rFonts w:ascii="Arial" w:cs="Arial" w:eastAsia="Arial" w:hAnsi="Arial"/>
                <w:sz w:val="20"/>
                <w:szCs w:val="20"/>
                <w:color w:val="auto"/>
              </w:rPr>
              <w:t>Transactions with Affiliates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6.11</w:t>
            </w:r>
          </w:p>
        </w:tc>
        <w:tc>
          <w:tcPr>
            <w:tcW w:w="3740" w:type="dxa"/>
            <w:vAlign w:val="bottom"/>
          </w:tcPr>
          <w:p>
            <w:pPr>
              <w:ind w:left="400"/>
              <w:spacing w:after="0"/>
              <w:rPr>
                <w:sz w:val="20"/>
                <w:szCs w:val="20"/>
                <w:color w:val="auto"/>
              </w:rPr>
            </w:pPr>
            <w:r>
              <w:rPr>
                <w:rFonts w:ascii="Arial" w:cs="Arial" w:eastAsia="Arial" w:hAnsi="Arial"/>
                <w:sz w:val="20"/>
                <w:szCs w:val="20"/>
                <w:color w:val="auto"/>
              </w:rPr>
              <w:t>Use of Proceeds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6.12</w:t>
            </w:r>
          </w:p>
        </w:tc>
        <w:tc>
          <w:tcPr>
            <w:tcW w:w="3740" w:type="dxa"/>
            <w:vAlign w:val="bottom"/>
          </w:tcPr>
          <w:p>
            <w:pPr>
              <w:ind w:left="400"/>
              <w:spacing w:after="0"/>
              <w:rPr>
                <w:sz w:val="20"/>
                <w:szCs w:val="20"/>
                <w:color w:val="auto"/>
              </w:rPr>
            </w:pPr>
            <w:r>
              <w:rPr>
                <w:rFonts w:ascii="Arial" w:cs="Arial" w:eastAsia="Arial" w:hAnsi="Arial"/>
                <w:sz w:val="20"/>
                <w:szCs w:val="20"/>
                <w:color w:val="auto"/>
                <w:w w:val="91"/>
              </w:rPr>
              <w:t>Limitation on Issuance of Equity Interests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6.13</w:t>
            </w:r>
          </w:p>
        </w:tc>
        <w:tc>
          <w:tcPr>
            <w:tcW w:w="3740" w:type="dxa"/>
            <w:vAlign w:val="bottom"/>
          </w:tcPr>
          <w:p>
            <w:pPr>
              <w:ind w:left="400"/>
              <w:spacing w:after="0"/>
              <w:rPr>
                <w:sz w:val="20"/>
                <w:szCs w:val="20"/>
                <w:color w:val="auto"/>
              </w:rPr>
            </w:pPr>
            <w:r>
              <w:rPr>
                <w:rFonts w:ascii="Arial" w:cs="Arial" w:eastAsia="Arial" w:hAnsi="Arial"/>
                <w:sz w:val="20"/>
                <w:szCs w:val="20"/>
                <w:color w:val="auto"/>
              </w:rPr>
              <w:t>[Reserved]</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6.14</w:t>
            </w:r>
          </w:p>
        </w:tc>
        <w:tc>
          <w:tcPr>
            <w:tcW w:w="3740" w:type="dxa"/>
            <w:vAlign w:val="bottom"/>
          </w:tcPr>
          <w:p>
            <w:pPr>
              <w:ind w:left="400"/>
              <w:spacing w:after="0"/>
              <w:rPr>
                <w:sz w:val="20"/>
                <w:szCs w:val="20"/>
                <w:color w:val="auto"/>
              </w:rPr>
            </w:pPr>
            <w:r>
              <w:rPr>
                <w:rFonts w:ascii="Arial" w:cs="Arial" w:eastAsia="Arial" w:hAnsi="Arial"/>
                <w:sz w:val="20"/>
                <w:szCs w:val="20"/>
                <w:color w:val="auto"/>
              </w:rPr>
              <w:t>Employee Benefits</w:t>
            </w:r>
          </w:p>
        </w:tc>
      </w:tr>
    </w:tbl>
    <w:p>
      <w:pPr>
        <w:spacing w:after="0" w:line="33" w:lineRule="exact"/>
        <w:rPr>
          <w:sz w:val="20"/>
          <w:szCs w:val="20"/>
          <w:color w:val="auto"/>
        </w:rPr>
      </w:pPr>
    </w:p>
    <w:p>
      <w:pPr>
        <w:ind w:left="1145" w:hanging="1145"/>
        <w:spacing w:after="0"/>
        <w:tabs>
          <w:tab w:leader="none" w:pos="1145" w:val="left"/>
        </w:tabs>
        <w:numPr>
          <w:ilvl w:val="0"/>
          <w:numId w:val="37"/>
        </w:numPr>
        <w:rPr>
          <w:rFonts w:ascii="Arial" w:cs="Arial" w:eastAsia="Arial" w:hAnsi="Arial"/>
          <w:sz w:val="20"/>
          <w:szCs w:val="20"/>
          <w:color w:val="auto"/>
        </w:rPr>
      </w:pPr>
      <w:r>
        <w:rPr>
          <w:rFonts w:ascii="Arial" w:cs="Arial" w:eastAsia="Arial" w:hAnsi="Arial"/>
          <w:sz w:val="20"/>
          <w:szCs w:val="20"/>
          <w:color w:val="auto"/>
        </w:rPr>
        <w:t>FINANCIAL COVENANTS.</w:t>
      </w:r>
    </w:p>
    <w:p>
      <w:pPr>
        <w:spacing w:after="0" w:line="53" w:lineRule="exact"/>
        <w:rPr>
          <w:rFonts w:ascii="Arial" w:cs="Arial" w:eastAsia="Arial" w:hAnsi="Arial"/>
          <w:sz w:val="20"/>
          <w:szCs w:val="20"/>
          <w:color w:val="auto"/>
        </w:rPr>
      </w:pPr>
    </w:p>
    <w:p>
      <w:pPr>
        <w:ind w:left="1145" w:hanging="1145"/>
        <w:spacing w:after="0"/>
        <w:tabs>
          <w:tab w:leader="none" w:pos="1145" w:val="left"/>
        </w:tabs>
        <w:numPr>
          <w:ilvl w:val="0"/>
          <w:numId w:val="37"/>
        </w:numPr>
        <w:rPr>
          <w:rFonts w:ascii="Arial" w:cs="Arial" w:eastAsia="Arial" w:hAnsi="Arial"/>
          <w:sz w:val="20"/>
          <w:szCs w:val="20"/>
          <w:color w:val="auto"/>
        </w:rPr>
      </w:pPr>
      <w:r>
        <w:rPr>
          <w:rFonts w:ascii="Arial" w:cs="Arial" w:eastAsia="Arial" w:hAnsi="Arial"/>
          <w:sz w:val="20"/>
          <w:szCs w:val="20"/>
          <w:color w:val="auto"/>
        </w:rPr>
        <w:t>EVENTS OF DEFAULT.</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8.1</w:t>
            </w:r>
          </w:p>
        </w:tc>
        <w:tc>
          <w:tcPr>
            <w:tcW w:w="3040" w:type="dxa"/>
            <w:vAlign w:val="bottom"/>
          </w:tcPr>
          <w:p>
            <w:pPr>
              <w:ind w:left="400"/>
              <w:spacing w:after="0"/>
              <w:rPr>
                <w:sz w:val="20"/>
                <w:szCs w:val="20"/>
                <w:color w:val="auto"/>
              </w:rPr>
            </w:pPr>
            <w:r>
              <w:rPr>
                <w:rFonts w:ascii="Arial" w:cs="Arial" w:eastAsia="Arial" w:hAnsi="Arial"/>
                <w:sz w:val="20"/>
                <w:szCs w:val="20"/>
                <w:color w:val="auto"/>
              </w:rPr>
              <w:t>Payments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8.2</w:t>
            </w:r>
          </w:p>
        </w:tc>
        <w:tc>
          <w:tcPr>
            <w:tcW w:w="3040" w:type="dxa"/>
            <w:vAlign w:val="bottom"/>
          </w:tcPr>
          <w:p>
            <w:pPr>
              <w:ind w:left="400"/>
              <w:spacing w:after="0"/>
              <w:rPr>
                <w:sz w:val="20"/>
                <w:szCs w:val="20"/>
                <w:color w:val="auto"/>
              </w:rPr>
            </w:pPr>
            <w:r>
              <w:rPr>
                <w:rFonts w:ascii="Arial" w:cs="Arial" w:eastAsia="Arial" w:hAnsi="Arial"/>
                <w:sz w:val="20"/>
                <w:szCs w:val="20"/>
                <w:color w:val="auto"/>
              </w:rPr>
              <w:t>Covenants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8.3</w:t>
            </w:r>
          </w:p>
        </w:tc>
        <w:tc>
          <w:tcPr>
            <w:tcW w:w="3040" w:type="dxa"/>
            <w:vAlign w:val="bottom"/>
          </w:tcPr>
          <w:p>
            <w:pPr>
              <w:ind w:left="400"/>
              <w:spacing w:after="0"/>
              <w:rPr>
                <w:sz w:val="20"/>
                <w:szCs w:val="20"/>
                <w:color w:val="auto"/>
              </w:rPr>
            </w:pPr>
            <w:r>
              <w:rPr>
                <w:rFonts w:ascii="Arial" w:cs="Arial" w:eastAsia="Arial" w:hAnsi="Arial"/>
                <w:sz w:val="20"/>
                <w:szCs w:val="20"/>
                <w:color w:val="auto"/>
              </w:rPr>
              <w:t>Judgments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8.4</w:t>
            </w:r>
          </w:p>
        </w:tc>
        <w:tc>
          <w:tcPr>
            <w:tcW w:w="3040" w:type="dxa"/>
            <w:vAlign w:val="bottom"/>
          </w:tcPr>
          <w:p>
            <w:pPr>
              <w:ind w:left="400"/>
              <w:spacing w:after="0"/>
              <w:rPr>
                <w:sz w:val="20"/>
                <w:szCs w:val="20"/>
                <w:color w:val="auto"/>
              </w:rPr>
            </w:pPr>
            <w:r>
              <w:rPr>
                <w:rFonts w:ascii="Arial" w:cs="Arial" w:eastAsia="Arial" w:hAnsi="Arial"/>
                <w:sz w:val="20"/>
                <w:szCs w:val="20"/>
                <w:color w:val="auto"/>
              </w:rPr>
              <w:t>Voluntary Bankruptcy, etc</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8.5</w:t>
            </w:r>
          </w:p>
        </w:tc>
        <w:tc>
          <w:tcPr>
            <w:tcW w:w="3040" w:type="dxa"/>
            <w:vAlign w:val="bottom"/>
          </w:tcPr>
          <w:p>
            <w:pPr>
              <w:ind w:left="400"/>
              <w:spacing w:after="0"/>
              <w:rPr>
                <w:sz w:val="20"/>
                <w:szCs w:val="20"/>
                <w:color w:val="auto"/>
              </w:rPr>
            </w:pPr>
            <w:r>
              <w:rPr>
                <w:rFonts w:ascii="Arial" w:cs="Arial" w:eastAsia="Arial" w:hAnsi="Arial"/>
                <w:sz w:val="20"/>
                <w:szCs w:val="20"/>
                <w:color w:val="auto"/>
              </w:rPr>
              <w:t>Involuntary Bankruptcy, etc</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8.6</w:t>
            </w:r>
          </w:p>
        </w:tc>
        <w:tc>
          <w:tcPr>
            <w:tcW w:w="3040" w:type="dxa"/>
            <w:vAlign w:val="bottom"/>
          </w:tcPr>
          <w:p>
            <w:pPr>
              <w:ind w:left="400"/>
              <w:spacing w:after="0"/>
              <w:rPr>
                <w:sz w:val="20"/>
                <w:szCs w:val="20"/>
                <w:color w:val="auto"/>
              </w:rPr>
            </w:pPr>
            <w:r>
              <w:rPr>
                <w:rFonts w:ascii="Arial" w:cs="Arial" w:eastAsia="Arial" w:hAnsi="Arial"/>
                <w:sz w:val="20"/>
                <w:szCs w:val="20"/>
                <w:color w:val="auto"/>
                <w:w w:val="89"/>
              </w:rPr>
              <w:t>Default Under Other Agreements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8.7</w:t>
            </w:r>
          </w:p>
        </w:tc>
        <w:tc>
          <w:tcPr>
            <w:tcW w:w="3040" w:type="dxa"/>
            <w:vAlign w:val="bottom"/>
          </w:tcPr>
          <w:p>
            <w:pPr>
              <w:ind w:left="400"/>
              <w:spacing w:after="0"/>
              <w:rPr>
                <w:sz w:val="20"/>
                <w:szCs w:val="20"/>
                <w:color w:val="auto"/>
              </w:rPr>
            </w:pPr>
            <w:r>
              <w:rPr>
                <w:rFonts w:ascii="Arial" w:cs="Arial" w:eastAsia="Arial" w:hAnsi="Arial"/>
                <w:sz w:val="20"/>
                <w:szCs w:val="20"/>
                <w:color w:val="auto"/>
              </w:rPr>
              <w:t>Representations, etc</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8.8</w:t>
            </w:r>
          </w:p>
        </w:tc>
        <w:tc>
          <w:tcPr>
            <w:tcW w:w="3040" w:type="dxa"/>
            <w:vAlign w:val="bottom"/>
          </w:tcPr>
          <w:p>
            <w:pPr>
              <w:ind w:left="400"/>
              <w:spacing w:after="0"/>
              <w:rPr>
                <w:sz w:val="20"/>
                <w:szCs w:val="20"/>
                <w:color w:val="auto"/>
              </w:rPr>
            </w:pPr>
            <w:r>
              <w:rPr>
                <w:rFonts w:ascii="Arial" w:cs="Arial" w:eastAsia="Arial" w:hAnsi="Arial"/>
                <w:sz w:val="20"/>
                <w:szCs w:val="20"/>
                <w:color w:val="auto"/>
              </w:rPr>
              <w:t>Guaranty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8.9</w:t>
            </w:r>
          </w:p>
        </w:tc>
        <w:tc>
          <w:tcPr>
            <w:tcW w:w="3040" w:type="dxa"/>
            <w:vAlign w:val="bottom"/>
          </w:tcPr>
          <w:p>
            <w:pPr>
              <w:ind w:left="400"/>
              <w:spacing w:after="0"/>
              <w:rPr>
                <w:sz w:val="20"/>
                <w:szCs w:val="20"/>
                <w:color w:val="auto"/>
              </w:rPr>
            </w:pPr>
            <w:r>
              <w:rPr>
                <w:rFonts w:ascii="Arial" w:cs="Arial" w:eastAsia="Arial" w:hAnsi="Arial"/>
                <w:sz w:val="20"/>
                <w:szCs w:val="20"/>
                <w:color w:val="auto"/>
              </w:rPr>
              <w:t>Security Documents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8.10</w:t>
            </w:r>
          </w:p>
        </w:tc>
        <w:tc>
          <w:tcPr>
            <w:tcW w:w="3040" w:type="dxa"/>
            <w:vAlign w:val="bottom"/>
          </w:tcPr>
          <w:p>
            <w:pPr>
              <w:ind w:left="400"/>
              <w:spacing w:after="0"/>
              <w:rPr>
                <w:sz w:val="20"/>
                <w:szCs w:val="20"/>
                <w:color w:val="auto"/>
              </w:rPr>
            </w:pPr>
            <w:r>
              <w:rPr>
                <w:rFonts w:ascii="Arial" w:cs="Arial" w:eastAsia="Arial" w:hAnsi="Arial"/>
                <w:sz w:val="20"/>
                <w:szCs w:val="20"/>
                <w:color w:val="auto"/>
              </w:rPr>
              <w:t>Loan Documents</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8.11</w:t>
            </w:r>
          </w:p>
        </w:tc>
        <w:tc>
          <w:tcPr>
            <w:tcW w:w="3040" w:type="dxa"/>
            <w:vAlign w:val="bottom"/>
          </w:tcPr>
          <w:p>
            <w:pPr>
              <w:ind w:left="400"/>
              <w:spacing w:after="0"/>
              <w:rPr>
                <w:sz w:val="20"/>
                <w:szCs w:val="20"/>
                <w:color w:val="auto"/>
              </w:rPr>
            </w:pPr>
            <w:r>
              <w:rPr>
                <w:rFonts w:ascii="Arial" w:cs="Arial" w:eastAsia="Arial" w:hAnsi="Arial"/>
                <w:sz w:val="20"/>
                <w:szCs w:val="20"/>
                <w:color w:val="auto"/>
              </w:rPr>
              <w:t>Change of Control</w:t>
            </w:r>
          </w:p>
        </w:tc>
      </w:tr>
    </w:tbl>
    <w:p>
      <w:pPr>
        <w:spacing w:after="0" w:line="33" w:lineRule="exact"/>
        <w:rPr>
          <w:sz w:val="20"/>
          <w:szCs w:val="20"/>
          <w:color w:val="auto"/>
        </w:rPr>
      </w:pPr>
    </w:p>
    <w:p>
      <w:pPr>
        <w:ind w:left="1145" w:hanging="1145"/>
        <w:spacing w:after="0"/>
        <w:tabs>
          <w:tab w:leader="none" w:pos="1145" w:val="left"/>
        </w:tabs>
        <w:numPr>
          <w:ilvl w:val="0"/>
          <w:numId w:val="38"/>
        </w:numPr>
        <w:rPr>
          <w:rFonts w:ascii="Arial" w:cs="Arial" w:eastAsia="Arial" w:hAnsi="Arial"/>
          <w:sz w:val="20"/>
          <w:szCs w:val="20"/>
          <w:color w:val="auto"/>
        </w:rPr>
      </w:pPr>
      <w:r>
        <w:rPr>
          <w:rFonts w:ascii="Arial" w:cs="Arial" w:eastAsia="Arial" w:hAnsi="Arial"/>
          <w:sz w:val="20"/>
          <w:szCs w:val="20"/>
          <w:color w:val="auto"/>
        </w:rPr>
        <w:t>RIGHTS AND REMEDIES.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9.1</w:t>
            </w:r>
          </w:p>
        </w:tc>
        <w:tc>
          <w:tcPr>
            <w:tcW w:w="2200" w:type="dxa"/>
            <w:vAlign w:val="bottom"/>
          </w:tcPr>
          <w:p>
            <w:pPr>
              <w:ind w:left="440"/>
              <w:spacing w:after="0"/>
              <w:rPr>
                <w:sz w:val="20"/>
                <w:szCs w:val="20"/>
                <w:color w:val="auto"/>
              </w:rPr>
            </w:pPr>
            <w:r>
              <w:rPr>
                <w:rFonts w:ascii="Arial" w:cs="Arial" w:eastAsia="Arial" w:hAnsi="Arial"/>
                <w:sz w:val="20"/>
                <w:szCs w:val="20"/>
                <w:color w:val="auto"/>
                <w:w w:val="90"/>
              </w:rPr>
              <w:t>Rights and Remedies</w:t>
            </w:r>
          </w:p>
        </w:tc>
      </w:tr>
      <w:tr>
        <w:trPr>
          <w:trHeight w:val="284"/>
        </w:trPr>
        <w:tc>
          <w:tcPr>
            <w:tcW w:w="700" w:type="dxa"/>
            <w:vAlign w:val="bottom"/>
          </w:tcPr>
          <w:p>
            <w:pPr>
              <w:jc w:val="right"/>
              <w:ind w:right="361"/>
              <w:spacing w:after="0"/>
              <w:rPr>
                <w:sz w:val="20"/>
                <w:szCs w:val="20"/>
                <w:color w:val="auto"/>
              </w:rPr>
            </w:pPr>
            <w:r>
              <w:rPr>
                <w:rFonts w:ascii="Arial" w:cs="Arial" w:eastAsia="Arial" w:hAnsi="Arial"/>
                <w:sz w:val="20"/>
                <w:szCs w:val="20"/>
                <w:color w:val="auto"/>
                <w:w w:val="78"/>
              </w:rPr>
              <w:t>9.2</w:t>
            </w:r>
          </w:p>
        </w:tc>
        <w:tc>
          <w:tcPr>
            <w:tcW w:w="2200" w:type="dxa"/>
            <w:vAlign w:val="bottom"/>
          </w:tcPr>
          <w:p>
            <w:pPr>
              <w:ind w:left="440"/>
              <w:spacing w:after="0"/>
              <w:rPr>
                <w:sz w:val="20"/>
                <w:szCs w:val="20"/>
                <w:color w:val="auto"/>
              </w:rPr>
            </w:pPr>
            <w:r>
              <w:rPr>
                <w:rFonts w:ascii="Arial" w:cs="Arial" w:eastAsia="Arial" w:hAnsi="Arial"/>
                <w:sz w:val="20"/>
                <w:szCs w:val="20"/>
                <w:color w:val="auto"/>
                <w:w w:val="88"/>
              </w:rPr>
              <w:t>Remedies Cumulative</w:t>
            </w:r>
          </w:p>
        </w:tc>
      </w:tr>
    </w:tbl>
    <w:p>
      <w:pPr>
        <w:spacing w:after="0" w:line="33" w:lineRule="exact"/>
        <w:rPr>
          <w:sz w:val="20"/>
          <w:szCs w:val="20"/>
          <w:color w:val="auto"/>
        </w:rPr>
      </w:pPr>
    </w:p>
    <w:p>
      <w:pPr>
        <w:ind w:left="1145" w:hanging="1145"/>
        <w:spacing w:after="0"/>
        <w:tabs>
          <w:tab w:leader="none" w:pos="1145" w:val="left"/>
        </w:tabs>
        <w:numPr>
          <w:ilvl w:val="0"/>
          <w:numId w:val="39"/>
        </w:numPr>
        <w:rPr>
          <w:rFonts w:ascii="Arial" w:cs="Arial" w:eastAsia="Arial" w:hAnsi="Arial"/>
          <w:sz w:val="20"/>
          <w:szCs w:val="20"/>
          <w:color w:val="auto"/>
        </w:rPr>
      </w:pPr>
      <w:r>
        <w:rPr>
          <w:rFonts w:ascii="Arial" w:cs="Arial" w:eastAsia="Arial" w:hAnsi="Arial"/>
          <w:sz w:val="20"/>
          <w:szCs w:val="20"/>
          <w:color w:val="auto"/>
        </w:rPr>
        <w:t>WAIVERS; INDEMNIFICATION.</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10.1</w:t>
            </w:r>
          </w:p>
        </w:tc>
        <w:tc>
          <w:tcPr>
            <w:tcW w:w="3860" w:type="dxa"/>
            <w:vAlign w:val="bottom"/>
          </w:tcPr>
          <w:p>
            <w:pPr>
              <w:ind w:left="400"/>
              <w:spacing w:after="0"/>
              <w:rPr>
                <w:sz w:val="20"/>
                <w:szCs w:val="20"/>
                <w:color w:val="auto"/>
              </w:rPr>
            </w:pPr>
            <w:r>
              <w:rPr>
                <w:rFonts w:ascii="Arial" w:cs="Arial" w:eastAsia="Arial" w:hAnsi="Arial"/>
                <w:sz w:val="20"/>
                <w:szCs w:val="20"/>
                <w:color w:val="auto"/>
              </w:rPr>
              <w:t>Demand; Protest; etc</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10.2</w:t>
            </w:r>
          </w:p>
        </w:tc>
        <w:tc>
          <w:tcPr>
            <w:tcW w:w="3860" w:type="dxa"/>
            <w:vAlign w:val="bottom"/>
          </w:tcPr>
          <w:p>
            <w:pPr>
              <w:ind w:left="400"/>
              <w:spacing w:after="0"/>
              <w:rPr>
                <w:sz w:val="20"/>
                <w:szCs w:val="20"/>
                <w:color w:val="auto"/>
              </w:rPr>
            </w:pPr>
            <w:r>
              <w:rPr>
                <w:rFonts w:ascii="Arial" w:cs="Arial" w:eastAsia="Arial" w:hAnsi="Arial"/>
                <w:sz w:val="20"/>
                <w:szCs w:val="20"/>
                <w:color w:val="auto"/>
                <w:w w:val="93"/>
              </w:rPr>
              <w:t>The Lender Group’s Liability for Collateral</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10.3</w:t>
            </w:r>
          </w:p>
        </w:tc>
        <w:tc>
          <w:tcPr>
            <w:tcW w:w="3860" w:type="dxa"/>
            <w:vAlign w:val="bottom"/>
          </w:tcPr>
          <w:p>
            <w:pPr>
              <w:ind w:left="400"/>
              <w:spacing w:after="0"/>
              <w:rPr>
                <w:sz w:val="20"/>
                <w:szCs w:val="20"/>
                <w:color w:val="auto"/>
              </w:rPr>
            </w:pPr>
            <w:r>
              <w:rPr>
                <w:rFonts w:ascii="Arial" w:cs="Arial" w:eastAsia="Arial" w:hAnsi="Arial"/>
                <w:sz w:val="20"/>
                <w:szCs w:val="20"/>
                <w:color w:val="auto"/>
              </w:rPr>
              <w:t>Indemnification</w:t>
            </w:r>
          </w:p>
        </w:tc>
      </w:tr>
    </w:tbl>
    <w:p>
      <w:pPr>
        <w:spacing w:after="0" w:line="33" w:lineRule="exact"/>
        <w:rPr>
          <w:sz w:val="20"/>
          <w:szCs w:val="20"/>
          <w:color w:val="auto"/>
        </w:rPr>
      </w:pPr>
    </w:p>
    <w:p>
      <w:pPr>
        <w:ind w:left="1145" w:hanging="1145"/>
        <w:spacing w:after="0"/>
        <w:tabs>
          <w:tab w:leader="none" w:pos="1145"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NOTICES.</w:t>
      </w:r>
    </w:p>
    <w:p>
      <w:pPr>
        <w:spacing w:after="0" w:line="53" w:lineRule="exact"/>
        <w:rPr>
          <w:rFonts w:ascii="Arial" w:cs="Arial" w:eastAsia="Arial" w:hAnsi="Arial"/>
          <w:sz w:val="20"/>
          <w:szCs w:val="20"/>
          <w:color w:val="auto"/>
        </w:rPr>
      </w:pPr>
    </w:p>
    <w:p>
      <w:pPr>
        <w:ind w:left="1145" w:hanging="1145"/>
        <w:spacing w:after="0"/>
        <w:tabs>
          <w:tab w:leader="none" w:pos="1145"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CHOICE OF LAW AND VENUE; JURY TRIAL WAIVER; JUDICIAL REFERENCE PROVISION.</w:t>
      </w:r>
    </w:p>
    <w:p>
      <w:pPr>
        <w:spacing w:after="0" w:line="65" w:lineRule="exact"/>
        <w:rPr>
          <w:rFonts w:ascii="Arial" w:cs="Arial" w:eastAsia="Arial" w:hAnsi="Arial"/>
          <w:sz w:val="19"/>
          <w:szCs w:val="19"/>
          <w:color w:val="auto"/>
        </w:rPr>
      </w:pPr>
    </w:p>
    <w:p>
      <w:pPr>
        <w:ind w:left="1145" w:hanging="1145"/>
        <w:spacing w:after="0"/>
        <w:tabs>
          <w:tab w:leader="none" w:pos="1145" w:val="left"/>
        </w:tabs>
        <w:numPr>
          <w:ilvl w:val="0"/>
          <w:numId w:val="40"/>
        </w:numPr>
        <w:rPr>
          <w:rFonts w:ascii="Arial" w:cs="Arial" w:eastAsia="Arial" w:hAnsi="Arial"/>
          <w:sz w:val="20"/>
          <w:szCs w:val="20"/>
          <w:color w:val="auto"/>
        </w:rPr>
      </w:pPr>
      <w:r>
        <w:rPr>
          <w:rFonts w:ascii="Arial" w:cs="Arial" w:eastAsia="Arial" w:hAnsi="Arial"/>
          <w:sz w:val="20"/>
          <w:szCs w:val="20"/>
          <w:color w:val="auto"/>
        </w:rPr>
        <w:t>ASSIGNMENTS AND PARTICIPATIONS; SUCCESSORS.</w:t>
      </w:r>
    </w:p>
    <w:p>
      <w:pPr>
        <w:spacing w:after="0" w:line="54" w:lineRule="exact"/>
        <w:rPr>
          <w:sz w:val="20"/>
          <w:szCs w:val="20"/>
          <w:color w:val="auto"/>
        </w:rPr>
      </w:pPr>
    </w:p>
    <w:p>
      <w:pPr>
        <w:ind w:left="245"/>
        <w:spacing w:after="0"/>
        <w:tabs>
          <w:tab w:leader="none" w:pos="1365"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color w:val="auto"/>
        </w:rPr>
        <w:t>Assignments and Participations</w:t>
      </w:r>
    </w:p>
    <w:p>
      <w:pPr>
        <w:spacing w:after="0" w:line="270" w:lineRule="exact"/>
        <w:rPr>
          <w:sz w:val="20"/>
          <w:szCs w:val="20"/>
          <w:color w:val="auto"/>
        </w:rPr>
      </w:pPr>
    </w:p>
    <w:p>
      <w:pPr>
        <w:ind w:left="7745"/>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84"/>
          </w:cols>
          <w:pgMar w:left="275" w:top="987" w:right="1440" w:bottom="1440" w:gutter="0" w:footer="0" w:header="0"/>
        </w:sectPr>
      </w:pPr>
    </w:p>
    <w:bookmarkStart w:id="86" w:name="page87"/>
    <w:bookmarkEnd w:id="86"/>
    <w:p>
      <w:pPr>
        <w:ind w:left="245"/>
        <w:spacing w:after="0"/>
        <w:tabs>
          <w:tab w:leader="none" w:pos="1365"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color w:val="auto"/>
        </w:rPr>
        <w:t>Successors</w:t>
      </w:r>
    </w:p>
    <w:p>
      <w:pPr>
        <w:spacing w:after="0" w:line="54" w:lineRule="exact"/>
        <w:rPr>
          <w:sz w:val="20"/>
          <w:szCs w:val="20"/>
          <w:color w:val="auto"/>
        </w:rPr>
      </w:pPr>
    </w:p>
    <w:p>
      <w:pPr>
        <w:ind w:left="1145" w:hanging="1145"/>
        <w:spacing w:after="0"/>
        <w:tabs>
          <w:tab w:leader="none" w:pos="1145" w:val="left"/>
        </w:tabs>
        <w:numPr>
          <w:ilvl w:val="0"/>
          <w:numId w:val="41"/>
        </w:numPr>
        <w:rPr>
          <w:rFonts w:ascii="Arial" w:cs="Arial" w:eastAsia="Arial" w:hAnsi="Arial"/>
          <w:sz w:val="20"/>
          <w:szCs w:val="20"/>
          <w:color w:val="auto"/>
        </w:rPr>
      </w:pPr>
      <w:r>
        <w:rPr>
          <w:rFonts w:ascii="Arial" w:cs="Arial" w:eastAsia="Arial" w:hAnsi="Arial"/>
          <w:sz w:val="20"/>
          <w:szCs w:val="20"/>
          <w:color w:val="auto"/>
        </w:rPr>
        <w:t>AMENDMENTS; WAIVERS.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14.1</w:t>
            </w:r>
          </w:p>
        </w:tc>
        <w:tc>
          <w:tcPr>
            <w:tcW w:w="3200" w:type="dxa"/>
            <w:vAlign w:val="bottom"/>
          </w:tcPr>
          <w:p>
            <w:pPr>
              <w:ind w:left="400"/>
              <w:spacing w:after="0"/>
              <w:rPr>
                <w:sz w:val="20"/>
                <w:szCs w:val="20"/>
                <w:color w:val="auto"/>
              </w:rPr>
            </w:pPr>
            <w:r>
              <w:rPr>
                <w:rFonts w:ascii="Arial" w:cs="Arial" w:eastAsia="Arial" w:hAnsi="Arial"/>
                <w:sz w:val="20"/>
                <w:szCs w:val="20"/>
                <w:color w:val="auto"/>
              </w:rPr>
              <w:t>Amendments and Waivers</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14.2</w:t>
            </w:r>
          </w:p>
        </w:tc>
        <w:tc>
          <w:tcPr>
            <w:tcW w:w="3200" w:type="dxa"/>
            <w:vAlign w:val="bottom"/>
          </w:tcPr>
          <w:p>
            <w:pPr>
              <w:ind w:left="400"/>
              <w:spacing w:after="0"/>
              <w:rPr>
                <w:sz w:val="20"/>
                <w:szCs w:val="20"/>
                <w:color w:val="auto"/>
              </w:rPr>
            </w:pPr>
            <w:r>
              <w:rPr>
                <w:rFonts w:ascii="Arial" w:cs="Arial" w:eastAsia="Arial" w:hAnsi="Arial"/>
                <w:sz w:val="20"/>
                <w:szCs w:val="20"/>
                <w:color w:val="auto"/>
                <w:w w:val="96"/>
              </w:rPr>
              <w:t>Replacement of Certain Lenders</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14.3</w:t>
            </w:r>
          </w:p>
        </w:tc>
        <w:tc>
          <w:tcPr>
            <w:tcW w:w="3200" w:type="dxa"/>
            <w:vAlign w:val="bottom"/>
          </w:tcPr>
          <w:p>
            <w:pPr>
              <w:ind w:left="400"/>
              <w:spacing w:after="0"/>
              <w:rPr>
                <w:sz w:val="20"/>
                <w:szCs w:val="20"/>
                <w:color w:val="auto"/>
              </w:rPr>
            </w:pPr>
            <w:r>
              <w:rPr>
                <w:rFonts w:ascii="Arial" w:cs="Arial" w:eastAsia="Arial" w:hAnsi="Arial"/>
                <w:sz w:val="20"/>
                <w:szCs w:val="20"/>
                <w:color w:val="auto"/>
                <w:w w:val="89"/>
              </w:rPr>
              <w:t>No Waivers; Cumulative Remedies</w:t>
            </w:r>
          </w:p>
        </w:tc>
      </w:tr>
    </w:tbl>
    <w:p>
      <w:pPr>
        <w:spacing w:after="0" w:line="33" w:lineRule="exact"/>
        <w:rPr>
          <w:sz w:val="20"/>
          <w:szCs w:val="20"/>
          <w:color w:val="auto"/>
        </w:rPr>
      </w:pPr>
    </w:p>
    <w:p>
      <w:pPr>
        <w:ind w:left="1145" w:hanging="1145"/>
        <w:spacing w:after="0"/>
        <w:tabs>
          <w:tab w:leader="none" w:pos="1145" w:val="left"/>
        </w:tabs>
        <w:numPr>
          <w:ilvl w:val="0"/>
          <w:numId w:val="42"/>
        </w:numPr>
        <w:rPr>
          <w:rFonts w:ascii="Arial" w:cs="Arial" w:eastAsia="Arial" w:hAnsi="Arial"/>
          <w:sz w:val="20"/>
          <w:szCs w:val="20"/>
          <w:color w:val="auto"/>
        </w:rPr>
      </w:pPr>
      <w:r>
        <w:rPr>
          <w:rFonts w:ascii="Arial" w:cs="Arial" w:eastAsia="Arial" w:hAnsi="Arial"/>
          <w:sz w:val="20"/>
          <w:szCs w:val="20"/>
          <w:color w:val="auto"/>
        </w:rPr>
        <w:t>AGENT; THE LENDER GROUP.</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15.1</w:t>
            </w:r>
          </w:p>
        </w:tc>
        <w:tc>
          <w:tcPr>
            <w:tcW w:w="8320" w:type="dxa"/>
            <w:vAlign w:val="bottom"/>
          </w:tcPr>
          <w:p>
            <w:pPr>
              <w:ind w:left="340"/>
              <w:spacing w:after="0"/>
              <w:rPr>
                <w:sz w:val="20"/>
                <w:szCs w:val="20"/>
                <w:color w:val="auto"/>
              </w:rPr>
            </w:pPr>
            <w:r>
              <w:rPr>
                <w:rFonts w:ascii="Arial" w:cs="Arial" w:eastAsia="Arial" w:hAnsi="Arial"/>
                <w:sz w:val="20"/>
                <w:szCs w:val="20"/>
                <w:color w:val="auto"/>
              </w:rPr>
              <w:t>Appointment and Authorization of Agent</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15.2</w:t>
            </w:r>
          </w:p>
        </w:tc>
        <w:tc>
          <w:tcPr>
            <w:tcW w:w="8320" w:type="dxa"/>
            <w:vAlign w:val="bottom"/>
          </w:tcPr>
          <w:p>
            <w:pPr>
              <w:ind w:left="340"/>
              <w:spacing w:after="0"/>
              <w:rPr>
                <w:sz w:val="20"/>
                <w:szCs w:val="20"/>
                <w:color w:val="auto"/>
              </w:rPr>
            </w:pPr>
            <w:r>
              <w:rPr>
                <w:rFonts w:ascii="Arial" w:cs="Arial" w:eastAsia="Arial" w:hAnsi="Arial"/>
                <w:sz w:val="20"/>
                <w:szCs w:val="20"/>
                <w:color w:val="auto"/>
              </w:rPr>
              <w:t>Delegation of Duties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15.3</w:t>
            </w:r>
          </w:p>
        </w:tc>
        <w:tc>
          <w:tcPr>
            <w:tcW w:w="8320" w:type="dxa"/>
            <w:vAlign w:val="bottom"/>
          </w:tcPr>
          <w:p>
            <w:pPr>
              <w:ind w:left="340"/>
              <w:spacing w:after="0"/>
              <w:rPr>
                <w:sz w:val="20"/>
                <w:szCs w:val="20"/>
                <w:color w:val="auto"/>
              </w:rPr>
            </w:pPr>
            <w:r>
              <w:rPr>
                <w:rFonts w:ascii="Arial" w:cs="Arial" w:eastAsia="Arial" w:hAnsi="Arial"/>
                <w:sz w:val="20"/>
                <w:szCs w:val="20"/>
                <w:color w:val="auto"/>
              </w:rPr>
              <w:t>Liability of Agent</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15.4</w:t>
            </w:r>
          </w:p>
        </w:tc>
        <w:tc>
          <w:tcPr>
            <w:tcW w:w="8320" w:type="dxa"/>
            <w:vAlign w:val="bottom"/>
          </w:tcPr>
          <w:p>
            <w:pPr>
              <w:ind w:left="340"/>
              <w:spacing w:after="0"/>
              <w:rPr>
                <w:sz w:val="20"/>
                <w:szCs w:val="20"/>
                <w:color w:val="auto"/>
              </w:rPr>
            </w:pPr>
            <w:r>
              <w:rPr>
                <w:rFonts w:ascii="Arial" w:cs="Arial" w:eastAsia="Arial" w:hAnsi="Arial"/>
                <w:sz w:val="20"/>
                <w:szCs w:val="20"/>
                <w:color w:val="auto"/>
              </w:rPr>
              <w:t>Reliance by Agent</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15.5</w:t>
            </w:r>
          </w:p>
        </w:tc>
        <w:tc>
          <w:tcPr>
            <w:tcW w:w="8320" w:type="dxa"/>
            <w:vAlign w:val="bottom"/>
          </w:tcPr>
          <w:p>
            <w:pPr>
              <w:ind w:left="340"/>
              <w:spacing w:after="0"/>
              <w:rPr>
                <w:sz w:val="20"/>
                <w:szCs w:val="20"/>
                <w:color w:val="auto"/>
              </w:rPr>
            </w:pPr>
            <w:r>
              <w:rPr>
                <w:rFonts w:ascii="Arial" w:cs="Arial" w:eastAsia="Arial" w:hAnsi="Arial"/>
                <w:sz w:val="20"/>
                <w:szCs w:val="20"/>
                <w:color w:val="auto"/>
              </w:rPr>
              <w:t>Notice of Default or Event of Default</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15.6</w:t>
            </w:r>
          </w:p>
        </w:tc>
        <w:tc>
          <w:tcPr>
            <w:tcW w:w="8320" w:type="dxa"/>
            <w:vAlign w:val="bottom"/>
          </w:tcPr>
          <w:p>
            <w:pPr>
              <w:ind w:left="340"/>
              <w:spacing w:after="0"/>
              <w:rPr>
                <w:sz w:val="20"/>
                <w:szCs w:val="20"/>
                <w:color w:val="auto"/>
              </w:rPr>
            </w:pPr>
            <w:r>
              <w:rPr>
                <w:rFonts w:ascii="Arial" w:cs="Arial" w:eastAsia="Arial" w:hAnsi="Arial"/>
                <w:sz w:val="20"/>
                <w:szCs w:val="20"/>
                <w:color w:val="auto"/>
              </w:rPr>
              <w:t>Credit Decision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15.7</w:t>
            </w:r>
          </w:p>
        </w:tc>
        <w:tc>
          <w:tcPr>
            <w:tcW w:w="8320" w:type="dxa"/>
            <w:vAlign w:val="bottom"/>
          </w:tcPr>
          <w:p>
            <w:pPr>
              <w:ind w:left="340"/>
              <w:spacing w:after="0"/>
              <w:rPr>
                <w:sz w:val="20"/>
                <w:szCs w:val="20"/>
                <w:color w:val="auto"/>
              </w:rPr>
            </w:pPr>
            <w:r>
              <w:rPr>
                <w:rFonts w:ascii="Arial" w:cs="Arial" w:eastAsia="Arial" w:hAnsi="Arial"/>
                <w:sz w:val="20"/>
                <w:szCs w:val="20"/>
                <w:color w:val="auto"/>
              </w:rPr>
              <w:t>Costs and Expenses; Indemnification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15.8</w:t>
            </w:r>
          </w:p>
        </w:tc>
        <w:tc>
          <w:tcPr>
            <w:tcW w:w="8320" w:type="dxa"/>
            <w:vAlign w:val="bottom"/>
          </w:tcPr>
          <w:p>
            <w:pPr>
              <w:ind w:left="340"/>
              <w:spacing w:after="0"/>
              <w:rPr>
                <w:sz w:val="20"/>
                <w:szCs w:val="20"/>
                <w:color w:val="auto"/>
              </w:rPr>
            </w:pPr>
            <w:r>
              <w:rPr>
                <w:rFonts w:ascii="Arial" w:cs="Arial" w:eastAsia="Arial" w:hAnsi="Arial"/>
                <w:sz w:val="20"/>
                <w:szCs w:val="20"/>
                <w:color w:val="auto"/>
              </w:rPr>
              <w:t>Agent in Individual Capacity</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15.9</w:t>
            </w:r>
          </w:p>
        </w:tc>
        <w:tc>
          <w:tcPr>
            <w:tcW w:w="8320" w:type="dxa"/>
            <w:vAlign w:val="bottom"/>
          </w:tcPr>
          <w:p>
            <w:pPr>
              <w:ind w:left="340"/>
              <w:spacing w:after="0"/>
              <w:rPr>
                <w:sz w:val="20"/>
                <w:szCs w:val="20"/>
                <w:color w:val="auto"/>
              </w:rPr>
            </w:pPr>
            <w:r>
              <w:rPr>
                <w:rFonts w:ascii="Arial" w:cs="Arial" w:eastAsia="Arial" w:hAnsi="Arial"/>
                <w:sz w:val="20"/>
                <w:szCs w:val="20"/>
                <w:color w:val="auto"/>
              </w:rPr>
              <w:t>Successor Agent</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15.10</w:t>
            </w:r>
          </w:p>
        </w:tc>
        <w:tc>
          <w:tcPr>
            <w:tcW w:w="8320" w:type="dxa"/>
            <w:vAlign w:val="bottom"/>
          </w:tcPr>
          <w:p>
            <w:pPr>
              <w:ind w:left="340"/>
              <w:spacing w:after="0"/>
              <w:rPr>
                <w:sz w:val="20"/>
                <w:szCs w:val="20"/>
                <w:color w:val="auto"/>
              </w:rPr>
            </w:pPr>
            <w:r>
              <w:rPr>
                <w:rFonts w:ascii="Arial" w:cs="Arial" w:eastAsia="Arial" w:hAnsi="Arial"/>
                <w:sz w:val="20"/>
                <w:szCs w:val="20"/>
                <w:color w:val="auto"/>
              </w:rPr>
              <w:t>Lender in Individual Capacity</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15.11</w:t>
            </w:r>
          </w:p>
        </w:tc>
        <w:tc>
          <w:tcPr>
            <w:tcW w:w="8320" w:type="dxa"/>
            <w:vAlign w:val="bottom"/>
          </w:tcPr>
          <w:p>
            <w:pPr>
              <w:ind w:left="340"/>
              <w:spacing w:after="0"/>
              <w:rPr>
                <w:sz w:val="20"/>
                <w:szCs w:val="20"/>
                <w:color w:val="auto"/>
              </w:rPr>
            </w:pPr>
            <w:r>
              <w:rPr>
                <w:rFonts w:ascii="Arial" w:cs="Arial" w:eastAsia="Arial" w:hAnsi="Arial"/>
                <w:sz w:val="20"/>
                <w:szCs w:val="20"/>
                <w:color w:val="auto"/>
              </w:rPr>
              <w:t>Collateral Matters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15.12</w:t>
            </w:r>
          </w:p>
        </w:tc>
        <w:tc>
          <w:tcPr>
            <w:tcW w:w="8320" w:type="dxa"/>
            <w:vAlign w:val="bottom"/>
          </w:tcPr>
          <w:p>
            <w:pPr>
              <w:ind w:left="340"/>
              <w:spacing w:after="0"/>
              <w:rPr>
                <w:sz w:val="20"/>
                <w:szCs w:val="20"/>
                <w:color w:val="auto"/>
              </w:rPr>
            </w:pPr>
            <w:r>
              <w:rPr>
                <w:rFonts w:ascii="Arial" w:cs="Arial" w:eastAsia="Arial" w:hAnsi="Arial"/>
                <w:sz w:val="20"/>
                <w:szCs w:val="20"/>
                <w:color w:val="auto"/>
              </w:rPr>
              <w:t>Restrictions on Actions by Lenders; Sharing of Payments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15.13</w:t>
            </w:r>
          </w:p>
        </w:tc>
        <w:tc>
          <w:tcPr>
            <w:tcW w:w="8320" w:type="dxa"/>
            <w:vAlign w:val="bottom"/>
          </w:tcPr>
          <w:p>
            <w:pPr>
              <w:ind w:left="340"/>
              <w:spacing w:after="0"/>
              <w:rPr>
                <w:sz w:val="20"/>
                <w:szCs w:val="20"/>
                <w:color w:val="auto"/>
              </w:rPr>
            </w:pPr>
            <w:r>
              <w:rPr>
                <w:rFonts w:ascii="Arial" w:cs="Arial" w:eastAsia="Arial" w:hAnsi="Arial"/>
                <w:sz w:val="20"/>
                <w:szCs w:val="20"/>
                <w:color w:val="auto"/>
              </w:rPr>
              <w:t>Agency for Perfection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15.14</w:t>
            </w:r>
          </w:p>
        </w:tc>
        <w:tc>
          <w:tcPr>
            <w:tcW w:w="8320" w:type="dxa"/>
            <w:vAlign w:val="bottom"/>
          </w:tcPr>
          <w:p>
            <w:pPr>
              <w:ind w:left="340"/>
              <w:spacing w:after="0"/>
              <w:rPr>
                <w:sz w:val="20"/>
                <w:szCs w:val="20"/>
                <w:color w:val="auto"/>
              </w:rPr>
            </w:pPr>
            <w:r>
              <w:rPr>
                <w:rFonts w:ascii="Arial" w:cs="Arial" w:eastAsia="Arial" w:hAnsi="Arial"/>
                <w:sz w:val="20"/>
                <w:szCs w:val="20"/>
                <w:color w:val="auto"/>
              </w:rPr>
              <w:t>Payments by Agent to the Lenders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15.15</w:t>
            </w:r>
          </w:p>
        </w:tc>
        <w:tc>
          <w:tcPr>
            <w:tcW w:w="8320" w:type="dxa"/>
            <w:vAlign w:val="bottom"/>
          </w:tcPr>
          <w:p>
            <w:pPr>
              <w:ind w:left="340"/>
              <w:spacing w:after="0"/>
              <w:rPr>
                <w:sz w:val="20"/>
                <w:szCs w:val="20"/>
                <w:color w:val="auto"/>
              </w:rPr>
            </w:pPr>
            <w:r>
              <w:rPr>
                <w:rFonts w:ascii="Arial" w:cs="Arial" w:eastAsia="Arial" w:hAnsi="Arial"/>
                <w:sz w:val="20"/>
                <w:szCs w:val="20"/>
                <w:color w:val="auto"/>
              </w:rPr>
              <w:t>Concerning the Collateral and Related Loan Documents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15.16</w:t>
            </w:r>
          </w:p>
        </w:tc>
        <w:tc>
          <w:tcPr>
            <w:tcW w:w="8320" w:type="dxa"/>
            <w:vAlign w:val="bottom"/>
          </w:tcPr>
          <w:p>
            <w:pPr>
              <w:ind w:left="340"/>
              <w:spacing w:after="0"/>
              <w:rPr>
                <w:sz w:val="20"/>
                <w:szCs w:val="20"/>
                <w:color w:val="auto"/>
              </w:rPr>
            </w:pPr>
            <w:r>
              <w:rPr>
                <w:rFonts w:ascii="Arial" w:cs="Arial" w:eastAsia="Arial" w:hAnsi="Arial"/>
                <w:sz w:val="20"/>
                <w:szCs w:val="20"/>
                <w:color w:val="auto"/>
                <w:w w:val="91"/>
              </w:rPr>
              <w:t>Field Examination Reports; Confidentiality; Disclaimers by Lenders; Other Reports and Information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15.17</w:t>
            </w:r>
          </w:p>
        </w:tc>
        <w:tc>
          <w:tcPr>
            <w:tcW w:w="8320" w:type="dxa"/>
            <w:vAlign w:val="bottom"/>
          </w:tcPr>
          <w:p>
            <w:pPr>
              <w:ind w:left="340"/>
              <w:spacing w:after="0"/>
              <w:rPr>
                <w:sz w:val="20"/>
                <w:szCs w:val="20"/>
                <w:color w:val="auto"/>
              </w:rPr>
            </w:pPr>
            <w:r>
              <w:rPr>
                <w:rFonts w:ascii="Arial" w:cs="Arial" w:eastAsia="Arial" w:hAnsi="Arial"/>
                <w:sz w:val="20"/>
                <w:szCs w:val="20"/>
                <w:color w:val="auto"/>
              </w:rPr>
              <w:t>Several Obligations; No Liability</w:t>
            </w:r>
          </w:p>
        </w:tc>
      </w:tr>
    </w:tbl>
    <w:p>
      <w:pPr>
        <w:spacing w:after="0" w:line="33" w:lineRule="exact"/>
        <w:rPr>
          <w:sz w:val="20"/>
          <w:szCs w:val="20"/>
          <w:color w:val="auto"/>
        </w:rPr>
      </w:pPr>
    </w:p>
    <w:p>
      <w:pPr>
        <w:ind w:left="1145" w:hanging="1145"/>
        <w:spacing w:after="0"/>
        <w:tabs>
          <w:tab w:leader="none" w:pos="1145" w:val="left"/>
        </w:tabs>
        <w:numPr>
          <w:ilvl w:val="0"/>
          <w:numId w:val="43"/>
        </w:numPr>
        <w:rPr>
          <w:rFonts w:ascii="Arial" w:cs="Arial" w:eastAsia="Arial" w:hAnsi="Arial"/>
          <w:sz w:val="20"/>
          <w:szCs w:val="20"/>
          <w:color w:val="auto"/>
        </w:rPr>
      </w:pPr>
      <w:r>
        <w:rPr>
          <w:rFonts w:ascii="Arial" w:cs="Arial" w:eastAsia="Arial" w:hAnsi="Arial"/>
          <w:sz w:val="20"/>
          <w:szCs w:val="20"/>
          <w:color w:val="auto"/>
        </w:rPr>
        <w:t>WITHHOLDING TAXES.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16.1</w:t>
            </w:r>
          </w:p>
        </w:tc>
        <w:tc>
          <w:tcPr>
            <w:tcW w:w="1360" w:type="dxa"/>
            <w:vAlign w:val="bottom"/>
          </w:tcPr>
          <w:p>
            <w:pPr>
              <w:ind w:left="400"/>
              <w:spacing w:after="0"/>
              <w:rPr>
                <w:sz w:val="20"/>
                <w:szCs w:val="20"/>
                <w:color w:val="auto"/>
              </w:rPr>
            </w:pPr>
            <w:r>
              <w:rPr>
                <w:rFonts w:ascii="Arial" w:cs="Arial" w:eastAsia="Arial" w:hAnsi="Arial"/>
                <w:sz w:val="20"/>
                <w:szCs w:val="20"/>
                <w:color w:val="auto"/>
              </w:rPr>
              <w:t>Payments</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16.2</w:t>
            </w:r>
          </w:p>
        </w:tc>
        <w:tc>
          <w:tcPr>
            <w:tcW w:w="1360" w:type="dxa"/>
            <w:vAlign w:val="bottom"/>
          </w:tcPr>
          <w:p>
            <w:pPr>
              <w:ind w:left="400"/>
              <w:spacing w:after="0"/>
              <w:rPr>
                <w:sz w:val="20"/>
                <w:szCs w:val="20"/>
                <w:color w:val="auto"/>
              </w:rPr>
            </w:pPr>
            <w:r>
              <w:rPr>
                <w:rFonts w:ascii="Arial" w:cs="Arial" w:eastAsia="Arial" w:hAnsi="Arial"/>
                <w:sz w:val="20"/>
                <w:szCs w:val="20"/>
                <w:color w:val="auto"/>
                <w:w w:val="89"/>
              </w:rPr>
              <w:t>Exemptions</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16.3</w:t>
            </w:r>
          </w:p>
        </w:tc>
        <w:tc>
          <w:tcPr>
            <w:tcW w:w="1360" w:type="dxa"/>
            <w:vAlign w:val="bottom"/>
          </w:tcPr>
          <w:p>
            <w:pPr>
              <w:ind w:left="400"/>
              <w:spacing w:after="0"/>
              <w:rPr>
                <w:sz w:val="20"/>
                <w:szCs w:val="20"/>
                <w:color w:val="auto"/>
              </w:rPr>
            </w:pPr>
            <w:r>
              <w:rPr>
                <w:rFonts w:ascii="Arial" w:cs="Arial" w:eastAsia="Arial" w:hAnsi="Arial"/>
                <w:sz w:val="20"/>
                <w:szCs w:val="20"/>
                <w:color w:val="auto"/>
                <w:w w:val="93"/>
              </w:rPr>
              <w:t>Reductions</w:t>
            </w:r>
          </w:p>
        </w:tc>
      </w:tr>
      <w:tr>
        <w:trPr>
          <w:trHeight w:val="284"/>
        </w:trPr>
        <w:tc>
          <w:tcPr>
            <w:tcW w:w="740" w:type="dxa"/>
            <w:vAlign w:val="bottom"/>
          </w:tcPr>
          <w:p>
            <w:pPr>
              <w:jc w:val="right"/>
              <w:ind w:right="301"/>
              <w:spacing w:after="0"/>
              <w:rPr>
                <w:sz w:val="20"/>
                <w:szCs w:val="20"/>
                <w:color w:val="auto"/>
              </w:rPr>
            </w:pPr>
            <w:r>
              <w:rPr>
                <w:rFonts w:ascii="Arial" w:cs="Arial" w:eastAsia="Arial" w:hAnsi="Arial"/>
                <w:sz w:val="20"/>
                <w:szCs w:val="20"/>
                <w:color w:val="auto"/>
                <w:w w:val="82"/>
              </w:rPr>
              <w:t>16.4</w:t>
            </w:r>
          </w:p>
        </w:tc>
        <w:tc>
          <w:tcPr>
            <w:tcW w:w="1360" w:type="dxa"/>
            <w:vAlign w:val="bottom"/>
          </w:tcPr>
          <w:p>
            <w:pPr>
              <w:ind w:left="400"/>
              <w:spacing w:after="0"/>
              <w:rPr>
                <w:sz w:val="20"/>
                <w:szCs w:val="20"/>
                <w:color w:val="auto"/>
              </w:rPr>
            </w:pPr>
            <w:r>
              <w:rPr>
                <w:rFonts w:ascii="Arial" w:cs="Arial" w:eastAsia="Arial" w:hAnsi="Arial"/>
                <w:sz w:val="20"/>
                <w:szCs w:val="20"/>
                <w:color w:val="auto"/>
              </w:rPr>
              <w:t>Refunds</w:t>
            </w:r>
          </w:p>
        </w:tc>
      </w:tr>
    </w:tbl>
    <w:p>
      <w:pPr>
        <w:spacing w:after="0" w:line="33" w:lineRule="exact"/>
        <w:rPr>
          <w:sz w:val="20"/>
          <w:szCs w:val="20"/>
          <w:color w:val="auto"/>
        </w:rPr>
      </w:pPr>
    </w:p>
    <w:p>
      <w:pPr>
        <w:ind w:left="1145" w:hanging="1145"/>
        <w:spacing w:after="0"/>
        <w:tabs>
          <w:tab w:leader="none" w:pos="1145" w:val="left"/>
        </w:tabs>
        <w:numPr>
          <w:ilvl w:val="0"/>
          <w:numId w:val="44"/>
        </w:numPr>
        <w:rPr>
          <w:rFonts w:ascii="Arial" w:cs="Arial" w:eastAsia="Arial" w:hAnsi="Arial"/>
          <w:sz w:val="20"/>
          <w:szCs w:val="20"/>
          <w:color w:val="auto"/>
        </w:rPr>
      </w:pPr>
      <w:r>
        <w:rPr>
          <w:rFonts w:ascii="Arial" w:cs="Arial" w:eastAsia="Arial" w:hAnsi="Arial"/>
          <w:sz w:val="20"/>
          <w:szCs w:val="20"/>
          <w:color w:val="auto"/>
        </w:rPr>
        <w:t>GENERAL PROVISIONS.</w:t>
      </w:r>
    </w:p>
    <w:p>
      <w:pPr>
        <w:spacing w:after="0" w:line="54" w:lineRule="exact"/>
        <w:rPr>
          <w:sz w:val="20"/>
          <w:szCs w:val="20"/>
          <w:color w:val="auto"/>
        </w:rPr>
      </w:pPr>
    </w:p>
    <w:tbl>
      <w:tblPr>
        <w:tblLayout w:type="fixed"/>
        <w:tblInd w:w="245"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17.1</w:t>
            </w:r>
          </w:p>
        </w:tc>
        <w:tc>
          <w:tcPr>
            <w:tcW w:w="5040" w:type="dxa"/>
            <w:vAlign w:val="bottom"/>
          </w:tcPr>
          <w:p>
            <w:pPr>
              <w:ind w:left="340"/>
              <w:spacing w:after="0"/>
              <w:rPr>
                <w:sz w:val="20"/>
                <w:szCs w:val="20"/>
                <w:color w:val="auto"/>
              </w:rPr>
            </w:pPr>
            <w:r>
              <w:rPr>
                <w:rFonts w:ascii="Arial" w:cs="Arial" w:eastAsia="Arial" w:hAnsi="Arial"/>
                <w:sz w:val="20"/>
                <w:szCs w:val="20"/>
                <w:color w:val="auto"/>
              </w:rPr>
              <w:t>Effectiveness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17.2</w:t>
            </w:r>
          </w:p>
        </w:tc>
        <w:tc>
          <w:tcPr>
            <w:tcW w:w="5040" w:type="dxa"/>
            <w:vAlign w:val="bottom"/>
          </w:tcPr>
          <w:p>
            <w:pPr>
              <w:ind w:left="340"/>
              <w:spacing w:after="0"/>
              <w:rPr>
                <w:sz w:val="20"/>
                <w:szCs w:val="20"/>
                <w:color w:val="auto"/>
              </w:rPr>
            </w:pPr>
            <w:r>
              <w:rPr>
                <w:rFonts w:ascii="Arial" w:cs="Arial" w:eastAsia="Arial" w:hAnsi="Arial"/>
                <w:sz w:val="20"/>
                <w:szCs w:val="20"/>
                <w:color w:val="auto"/>
              </w:rPr>
              <w:t>Section Headings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17.3</w:t>
            </w:r>
          </w:p>
        </w:tc>
        <w:tc>
          <w:tcPr>
            <w:tcW w:w="5040" w:type="dxa"/>
            <w:vAlign w:val="bottom"/>
          </w:tcPr>
          <w:p>
            <w:pPr>
              <w:ind w:left="340"/>
              <w:spacing w:after="0"/>
              <w:rPr>
                <w:sz w:val="20"/>
                <w:szCs w:val="20"/>
                <w:color w:val="auto"/>
              </w:rPr>
            </w:pPr>
            <w:r>
              <w:rPr>
                <w:rFonts w:ascii="Arial" w:cs="Arial" w:eastAsia="Arial" w:hAnsi="Arial"/>
                <w:sz w:val="20"/>
                <w:szCs w:val="20"/>
                <w:color w:val="auto"/>
              </w:rPr>
              <w:t>Interpretation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17.4</w:t>
            </w:r>
          </w:p>
        </w:tc>
        <w:tc>
          <w:tcPr>
            <w:tcW w:w="5040" w:type="dxa"/>
            <w:vAlign w:val="bottom"/>
          </w:tcPr>
          <w:p>
            <w:pPr>
              <w:ind w:left="340"/>
              <w:spacing w:after="0"/>
              <w:rPr>
                <w:sz w:val="20"/>
                <w:szCs w:val="20"/>
                <w:color w:val="auto"/>
              </w:rPr>
            </w:pPr>
            <w:r>
              <w:rPr>
                <w:rFonts w:ascii="Arial" w:cs="Arial" w:eastAsia="Arial" w:hAnsi="Arial"/>
                <w:sz w:val="20"/>
                <w:szCs w:val="20"/>
                <w:color w:val="auto"/>
              </w:rPr>
              <w:t>Severability of Provisions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17.5</w:t>
            </w:r>
          </w:p>
        </w:tc>
        <w:tc>
          <w:tcPr>
            <w:tcW w:w="5040" w:type="dxa"/>
            <w:vAlign w:val="bottom"/>
          </w:tcPr>
          <w:p>
            <w:pPr>
              <w:ind w:left="340"/>
              <w:spacing w:after="0"/>
              <w:rPr>
                <w:sz w:val="20"/>
                <w:szCs w:val="20"/>
                <w:color w:val="auto"/>
              </w:rPr>
            </w:pPr>
            <w:r>
              <w:rPr>
                <w:rFonts w:ascii="Arial" w:cs="Arial" w:eastAsia="Arial" w:hAnsi="Arial"/>
                <w:sz w:val="20"/>
                <w:szCs w:val="20"/>
                <w:color w:val="auto"/>
              </w:rPr>
              <w:t>Bank Product Providers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17.6</w:t>
            </w:r>
          </w:p>
        </w:tc>
        <w:tc>
          <w:tcPr>
            <w:tcW w:w="5040" w:type="dxa"/>
            <w:vAlign w:val="bottom"/>
          </w:tcPr>
          <w:p>
            <w:pPr>
              <w:ind w:left="340"/>
              <w:spacing w:after="0"/>
              <w:rPr>
                <w:sz w:val="20"/>
                <w:szCs w:val="20"/>
                <w:color w:val="auto"/>
              </w:rPr>
            </w:pPr>
            <w:r>
              <w:rPr>
                <w:rFonts w:ascii="Arial" w:cs="Arial" w:eastAsia="Arial" w:hAnsi="Arial"/>
                <w:sz w:val="20"/>
                <w:szCs w:val="20"/>
                <w:color w:val="auto"/>
              </w:rPr>
              <w:t>Debtor-Creditor Relationship</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17.7</w:t>
            </w:r>
          </w:p>
        </w:tc>
        <w:tc>
          <w:tcPr>
            <w:tcW w:w="5040" w:type="dxa"/>
            <w:vAlign w:val="bottom"/>
          </w:tcPr>
          <w:p>
            <w:pPr>
              <w:ind w:left="340"/>
              <w:spacing w:after="0"/>
              <w:rPr>
                <w:sz w:val="20"/>
                <w:szCs w:val="20"/>
                <w:color w:val="auto"/>
              </w:rPr>
            </w:pPr>
            <w:r>
              <w:rPr>
                <w:rFonts w:ascii="Arial" w:cs="Arial" w:eastAsia="Arial" w:hAnsi="Arial"/>
                <w:sz w:val="20"/>
                <w:szCs w:val="20"/>
                <w:color w:val="auto"/>
              </w:rPr>
              <w:t>Counterparts; Electronic Execution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17.8</w:t>
            </w:r>
          </w:p>
        </w:tc>
        <w:tc>
          <w:tcPr>
            <w:tcW w:w="5040" w:type="dxa"/>
            <w:vAlign w:val="bottom"/>
          </w:tcPr>
          <w:p>
            <w:pPr>
              <w:ind w:left="340"/>
              <w:spacing w:after="0"/>
              <w:rPr>
                <w:sz w:val="20"/>
                <w:szCs w:val="20"/>
                <w:color w:val="auto"/>
              </w:rPr>
            </w:pPr>
            <w:r>
              <w:rPr>
                <w:rFonts w:ascii="Arial" w:cs="Arial" w:eastAsia="Arial" w:hAnsi="Arial"/>
                <w:sz w:val="20"/>
                <w:szCs w:val="20"/>
                <w:color w:val="auto"/>
                <w:w w:val="89"/>
              </w:rPr>
              <w:t>Revival and Reinstatement of Obligations; Certain Waivers</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17.9</w:t>
            </w:r>
          </w:p>
        </w:tc>
        <w:tc>
          <w:tcPr>
            <w:tcW w:w="5040" w:type="dxa"/>
            <w:vAlign w:val="bottom"/>
          </w:tcPr>
          <w:p>
            <w:pPr>
              <w:ind w:left="340"/>
              <w:spacing w:after="0"/>
              <w:rPr>
                <w:sz w:val="20"/>
                <w:szCs w:val="20"/>
                <w:color w:val="auto"/>
              </w:rPr>
            </w:pPr>
            <w:r>
              <w:rPr>
                <w:rFonts w:ascii="Arial" w:cs="Arial" w:eastAsia="Arial" w:hAnsi="Arial"/>
                <w:sz w:val="20"/>
                <w:szCs w:val="20"/>
                <w:color w:val="auto"/>
              </w:rPr>
              <w:t>Confidentiality</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17.10</w:t>
            </w:r>
          </w:p>
        </w:tc>
        <w:tc>
          <w:tcPr>
            <w:tcW w:w="5040" w:type="dxa"/>
            <w:vAlign w:val="bottom"/>
          </w:tcPr>
          <w:p>
            <w:pPr>
              <w:ind w:left="340"/>
              <w:spacing w:after="0"/>
              <w:rPr>
                <w:sz w:val="20"/>
                <w:szCs w:val="20"/>
                <w:color w:val="auto"/>
              </w:rPr>
            </w:pPr>
            <w:r>
              <w:rPr>
                <w:rFonts w:ascii="Arial" w:cs="Arial" w:eastAsia="Arial" w:hAnsi="Arial"/>
                <w:sz w:val="20"/>
                <w:szCs w:val="20"/>
                <w:color w:val="auto"/>
              </w:rPr>
              <w:t>Survival</w:t>
            </w:r>
          </w:p>
        </w:tc>
      </w:tr>
    </w:tbl>
    <w:p>
      <w:pPr>
        <w:spacing w:after="0" w:line="249" w:lineRule="exact"/>
        <w:rPr>
          <w:sz w:val="20"/>
          <w:szCs w:val="20"/>
          <w:color w:val="auto"/>
        </w:rPr>
      </w:pPr>
    </w:p>
    <w:p>
      <w:pPr>
        <w:ind w:left="7745"/>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84"/>
          </w:cols>
          <w:pgMar w:left="275" w:top="987"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17.11</w:t>
            </w:r>
          </w:p>
        </w:tc>
        <w:tc>
          <w:tcPr>
            <w:tcW w:w="5080" w:type="dxa"/>
            <w:vAlign w:val="bottom"/>
          </w:tcPr>
          <w:p>
            <w:pPr>
              <w:ind w:left="340"/>
              <w:spacing w:after="0"/>
              <w:rPr>
                <w:sz w:val="20"/>
                <w:szCs w:val="20"/>
                <w:color w:val="auto"/>
              </w:rPr>
            </w:pPr>
            <w:r>
              <w:rPr>
                <w:rFonts w:ascii="Arial" w:cs="Arial" w:eastAsia="Arial" w:hAnsi="Arial"/>
                <w:sz w:val="20"/>
                <w:szCs w:val="20"/>
                <w:color w:val="auto"/>
              </w:rPr>
              <w:t>Patriot Act</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17.12</w:t>
            </w:r>
          </w:p>
        </w:tc>
        <w:tc>
          <w:tcPr>
            <w:tcW w:w="5080" w:type="dxa"/>
            <w:vAlign w:val="bottom"/>
          </w:tcPr>
          <w:p>
            <w:pPr>
              <w:ind w:left="340"/>
              <w:spacing w:after="0"/>
              <w:rPr>
                <w:sz w:val="20"/>
                <w:szCs w:val="20"/>
                <w:color w:val="auto"/>
              </w:rPr>
            </w:pPr>
            <w:r>
              <w:rPr>
                <w:rFonts w:ascii="Arial" w:cs="Arial" w:eastAsia="Arial" w:hAnsi="Arial"/>
                <w:sz w:val="20"/>
                <w:szCs w:val="20"/>
                <w:color w:val="auto"/>
              </w:rPr>
              <w:t>Integration</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17.13</w:t>
            </w:r>
          </w:p>
        </w:tc>
        <w:tc>
          <w:tcPr>
            <w:tcW w:w="5080" w:type="dxa"/>
            <w:vAlign w:val="bottom"/>
          </w:tcPr>
          <w:p>
            <w:pPr>
              <w:ind w:left="340"/>
              <w:spacing w:after="0"/>
              <w:rPr>
                <w:sz w:val="20"/>
                <w:szCs w:val="20"/>
                <w:color w:val="auto"/>
              </w:rPr>
            </w:pPr>
            <w:r>
              <w:rPr>
                <w:rFonts w:ascii="Arial" w:cs="Arial" w:eastAsia="Arial" w:hAnsi="Arial"/>
                <w:sz w:val="20"/>
                <w:szCs w:val="20"/>
                <w:color w:val="auto"/>
              </w:rPr>
              <w:t>Currency Indemnity</w:t>
            </w:r>
          </w:p>
        </w:tc>
      </w:tr>
      <w:tr>
        <w:trPr>
          <w:trHeight w:val="284"/>
        </w:trPr>
        <w:tc>
          <w:tcPr>
            <w:tcW w:w="800" w:type="dxa"/>
            <w:vAlign w:val="bottom"/>
          </w:tcPr>
          <w:p>
            <w:pPr>
              <w:spacing w:after="0"/>
              <w:rPr>
                <w:sz w:val="20"/>
                <w:szCs w:val="20"/>
                <w:color w:val="auto"/>
              </w:rPr>
            </w:pPr>
            <w:r>
              <w:rPr>
                <w:rFonts w:ascii="Arial" w:cs="Arial" w:eastAsia="Arial" w:hAnsi="Arial"/>
                <w:sz w:val="20"/>
                <w:szCs w:val="20"/>
                <w:color w:val="auto"/>
              </w:rPr>
              <w:t>17.14</w:t>
            </w:r>
          </w:p>
        </w:tc>
        <w:tc>
          <w:tcPr>
            <w:tcW w:w="5080" w:type="dxa"/>
            <w:vAlign w:val="bottom"/>
          </w:tcPr>
          <w:p>
            <w:pPr>
              <w:ind w:left="340"/>
              <w:spacing w:after="0"/>
              <w:rPr>
                <w:sz w:val="20"/>
                <w:szCs w:val="20"/>
                <w:color w:val="auto"/>
              </w:rPr>
            </w:pPr>
            <w:r>
              <w:rPr>
                <w:rFonts w:ascii="Arial" w:cs="Arial" w:eastAsia="Arial" w:hAnsi="Arial"/>
                <w:sz w:val="20"/>
                <w:szCs w:val="20"/>
                <w:color w:val="auto"/>
                <w:w w:val="89"/>
              </w:rPr>
              <w:t>Amendment and Restatement of Existing Credit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3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939"/>
          </w:cols>
          <w:pgMar w:left="520" w:top="987" w:right="1440" w:bottom="1440" w:gutter="0" w:footer="0" w:header="0"/>
        </w:sectPr>
      </w:pPr>
    </w:p>
    <w:bookmarkStart w:id="88" w:name="page89"/>
    <w:bookmarkEnd w:id="88"/>
    <w:p>
      <w:pPr>
        <w:jc w:val="right"/>
        <w:ind w:right="3159"/>
        <w:spacing w:after="0"/>
        <w:rPr>
          <w:sz w:val="20"/>
          <w:szCs w:val="20"/>
          <w:color w:val="auto"/>
        </w:rPr>
      </w:pPr>
      <w:r>
        <w:rPr>
          <w:rFonts w:ascii="Arial" w:cs="Arial" w:eastAsia="Arial" w:hAnsi="Arial"/>
          <w:sz w:val="20"/>
          <w:szCs w:val="20"/>
          <w:b w:val="1"/>
          <w:bCs w:val="1"/>
          <w:color w:val="auto"/>
        </w:rPr>
        <w:t>EXHIBITS AND SCHEDULES</w:t>
      </w: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A-1</w:t>
      </w:r>
      <w:r>
        <w:rPr>
          <w:sz w:val="20"/>
          <w:szCs w:val="20"/>
          <w:color w:val="auto"/>
        </w:rPr>
        <w:tab/>
      </w:r>
      <w:r>
        <w:rPr>
          <w:rFonts w:ascii="Arial" w:cs="Arial" w:eastAsia="Arial" w:hAnsi="Arial"/>
          <w:sz w:val="18"/>
          <w:szCs w:val="18"/>
          <w:color w:val="auto"/>
        </w:rPr>
        <w:t>Form of Assignment and Acceptance</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B-1</w:t>
      </w:r>
      <w:r>
        <w:rPr>
          <w:sz w:val="20"/>
          <w:szCs w:val="20"/>
          <w:color w:val="auto"/>
        </w:rPr>
        <w:tab/>
      </w:r>
      <w:r>
        <w:rPr>
          <w:rFonts w:ascii="Arial" w:cs="Arial" w:eastAsia="Arial" w:hAnsi="Arial"/>
          <w:sz w:val="18"/>
          <w:szCs w:val="18"/>
          <w:color w:val="auto"/>
        </w:rPr>
        <w:t>Form of Borrowing Base Certificate</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B-2</w:t>
      </w:r>
      <w:r>
        <w:rPr>
          <w:sz w:val="20"/>
          <w:szCs w:val="20"/>
          <w:color w:val="auto"/>
        </w:rPr>
        <w:tab/>
      </w:r>
      <w:r>
        <w:rPr>
          <w:rFonts w:ascii="Arial" w:cs="Arial" w:eastAsia="Arial" w:hAnsi="Arial"/>
          <w:sz w:val="18"/>
          <w:szCs w:val="18"/>
          <w:color w:val="auto"/>
        </w:rPr>
        <w:t>Form of Bank Product Provider Agreement</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C-1</w:t>
      </w:r>
      <w:r>
        <w:rPr>
          <w:sz w:val="20"/>
          <w:szCs w:val="20"/>
          <w:color w:val="auto"/>
        </w:rPr>
        <w:tab/>
      </w:r>
      <w:r>
        <w:rPr>
          <w:rFonts w:ascii="Arial" w:cs="Arial" w:eastAsia="Arial" w:hAnsi="Arial"/>
          <w:sz w:val="18"/>
          <w:szCs w:val="18"/>
          <w:color w:val="auto"/>
        </w:rPr>
        <w:t>Form of Compliance Certificate</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color w:val="auto"/>
        </w:rPr>
        <w:t>Exhibit L-1</w:t>
      </w:r>
      <w:r>
        <w:rPr>
          <w:sz w:val="20"/>
          <w:szCs w:val="20"/>
          <w:color w:val="auto"/>
        </w:rPr>
        <w:tab/>
      </w:r>
      <w:r>
        <w:rPr>
          <w:rFonts w:ascii="Arial" w:cs="Arial" w:eastAsia="Arial" w:hAnsi="Arial"/>
          <w:sz w:val="16"/>
          <w:szCs w:val="16"/>
          <w:color w:val="auto"/>
        </w:rPr>
        <w:t>Form of Interest Election Request</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color w:val="auto"/>
        </w:rPr>
        <w:t>Exhibit P-1</w:t>
      </w:r>
      <w:r>
        <w:rPr>
          <w:sz w:val="20"/>
          <w:szCs w:val="20"/>
          <w:color w:val="auto"/>
        </w:rPr>
        <w:tab/>
      </w:r>
      <w:r>
        <w:rPr>
          <w:rFonts w:ascii="Arial" w:cs="Arial" w:eastAsia="Arial" w:hAnsi="Arial"/>
          <w:sz w:val="18"/>
          <w:szCs w:val="18"/>
          <w:color w:val="auto"/>
        </w:rPr>
        <w:t>Form of Perfection Certificate</w:t>
      </w:r>
    </w:p>
    <w:p>
      <w:pPr>
        <w:spacing w:after="0" w:line="200" w:lineRule="exact"/>
        <w:rPr>
          <w:sz w:val="20"/>
          <w:szCs w:val="20"/>
          <w:color w:val="auto"/>
        </w:rPr>
      </w:pPr>
    </w:p>
    <w:p>
      <w:pPr>
        <w:spacing w:after="0" w:line="35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Schedule A-1</w:t>
      </w:r>
      <w:r>
        <w:rPr>
          <w:sz w:val="20"/>
          <w:szCs w:val="20"/>
          <w:color w:val="auto"/>
        </w:rPr>
        <w:tab/>
      </w:r>
      <w:r>
        <w:rPr>
          <w:rFonts w:ascii="Arial" w:cs="Arial" w:eastAsia="Arial" w:hAnsi="Arial"/>
          <w:sz w:val="18"/>
          <w:szCs w:val="18"/>
          <w:color w:val="auto"/>
        </w:rPr>
        <w:t>Agent’s Account</w:t>
      </w:r>
    </w:p>
    <w:p>
      <w:pPr>
        <w:spacing w:after="0" w:line="16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Schedule A-2</w:t>
      </w:r>
      <w:r>
        <w:rPr>
          <w:sz w:val="20"/>
          <w:szCs w:val="20"/>
          <w:color w:val="auto"/>
        </w:rPr>
        <w:tab/>
      </w:r>
      <w:r>
        <w:rPr>
          <w:rFonts w:ascii="Arial" w:cs="Arial" w:eastAsia="Arial" w:hAnsi="Arial"/>
          <w:sz w:val="16"/>
          <w:szCs w:val="16"/>
          <w:color w:val="auto"/>
        </w:rPr>
        <w:t>Authorized Persons</w:t>
      </w:r>
    </w:p>
    <w:p>
      <w:pPr>
        <w:spacing w:after="0" w:line="162"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Schedule C-1</w:t>
      </w:r>
      <w:r>
        <w:rPr>
          <w:sz w:val="20"/>
          <w:szCs w:val="20"/>
          <w:color w:val="auto"/>
        </w:rPr>
        <w:tab/>
      </w:r>
      <w:r>
        <w:rPr>
          <w:rFonts w:ascii="Arial" w:cs="Arial" w:eastAsia="Arial" w:hAnsi="Arial"/>
          <w:sz w:val="18"/>
          <w:szCs w:val="18"/>
          <w:color w:val="auto"/>
        </w:rPr>
        <w:t>Commitments</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1.1</w:t>
      </w:r>
      <w:r>
        <w:rPr>
          <w:sz w:val="20"/>
          <w:szCs w:val="20"/>
          <w:color w:val="auto"/>
        </w:rPr>
        <w:tab/>
      </w:r>
      <w:r>
        <w:rPr>
          <w:rFonts w:ascii="Arial" w:cs="Arial" w:eastAsia="Arial" w:hAnsi="Arial"/>
          <w:sz w:val="16"/>
          <w:szCs w:val="16"/>
          <w:color w:val="auto"/>
        </w:rPr>
        <w:t>Defined Terms</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3.1</w:t>
      </w:r>
      <w:r>
        <w:rPr>
          <w:sz w:val="20"/>
          <w:szCs w:val="20"/>
          <w:color w:val="auto"/>
        </w:rPr>
        <w:tab/>
      </w:r>
      <w:r>
        <w:rPr>
          <w:rFonts w:ascii="Arial" w:cs="Arial" w:eastAsia="Arial" w:hAnsi="Arial"/>
          <w:sz w:val="16"/>
          <w:szCs w:val="16"/>
          <w:color w:val="auto"/>
        </w:rPr>
        <w:t>Conditions Precedent</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3.6</w:t>
      </w:r>
      <w:r>
        <w:rPr>
          <w:sz w:val="20"/>
          <w:szCs w:val="20"/>
          <w:color w:val="auto"/>
        </w:rPr>
        <w:tab/>
      </w:r>
      <w:r>
        <w:rPr>
          <w:rFonts w:ascii="Arial" w:cs="Arial" w:eastAsia="Arial" w:hAnsi="Arial"/>
          <w:sz w:val="16"/>
          <w:szCs w:val="16"/>
          <w:color w:val="auto"/>
        </w:rPr>
        <w:t>Conditions Subsequent</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5.1</w:t>
      </w:r>
      <w:r>
        <w:rPr>
          <w:sz w:val="20"/>
          <w:szCs w:val="20"/>
          <w:color w:val="auto"/>
        </w:rPr>
        <w:tab/>
      </w:r>
      <w:r>
        <w:rPr>
          <w:rFonts w:ascii="Arial" w:cs="Arial" w:eastAsia="Arial" w:hAnsi="Arial"/>
          <w:sz w:val="16"/>
          <w:szCs w:val="16"/>
          <w:color w:val="auto"/>
        </w:rPr>
        <w:t>Financial Statements, Reports, Certificates</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Schedule 5.2</w:t>
      </w:r>
      <w:r>
        <w:rPr>
          <w:sz w:val="20"/>
          <w:szCs w:val="20"/>
          <w:color w:val="auto"/>
        </w:rPr>
        <w:tab/>
      </w:r>
      <w:r>
        <w:rPr>
          <w:rFonts w:ascii="Arial" w:cs="Arial" w:eastAsia="Arial" w:hAnsi="Arial"/>
          <w:sz w:val="18"/>
          <w:szCs w:val="18"/>
          <w:color w:val="auto"/>
        </w:rPr>
        <w:t>Collateral Reporting</w:t>
      </w:r>
    </w:p>
    <w:p>
      <w:pPr>
        <w:sectPr>
          <w:pgSz w:w="11900" w:h="16838" w:orient="portrait"/>
          <w:cols w:equalWidth="0" w:num="1">
            <w:col w:w="10219"/>
          </w:cols>
          <w:pgMar w:left="240" w:top="819"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10.24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1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THIS AMENDED AND RESTATED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December 18, 2015,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lenders identified on the signature pages hereof (each of such lenders, together with its successors and permitted assigns, is referred to hereinafter as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as that term is hereinafter further defined),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administrative agent for each member of the Lender Group and the Bank Product Providers (in such capacity, together with its successors and assigns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and Enphase Energy,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Wells Fargo Bank, National Association, as administrative agent and sole lender, on the one hand, and Borrower on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hand, are parties to that certain Credit Agreement, dated as of November 7, 2012 (as amended, supplemented, or otherwise modified from time to time prior to the Restatement Closing Date,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Borrower has requested Agent and Lenders amend and restate the Existing Credit Agreement to, among other things,</w:t>
      </w:r>
      <w:r>
        <w:rPr>
          <w:rFonts w:ascii="Arial" w:cs="Arial" w:eastAsia="Arial" w:hAnsi="Arial"/>
          <w:sz w:val="20"/>
          <w:szCs w:val="20"/>
          <w:b w:val="1"/>
          <w:bCs w:val="1"/>
          <w:color w:val="auto"/>
        </w:rPr>
        <w:t xml:space="preserve"> </w:t>
      </w:r>
      <w:r>
        <w:rPr>
          <w:rFonts w:ascii="Arial" w:cs="Arial" w:eastAsia="Arial" w:hAnsi="Arial"/>
          <w:sz w:val="20"/>
          <w:szCs w:val="20"/>
          <w:color w:val="auto"/>
        </w:rPr>
        <w:t>increase the Maximum Revolver Amount thereunder, and make certain other changes to the terms thereof;</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Agent and the Lenders are willing to so amend and restate the Existing Credit Agreement in accordance with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hereof; it being understood that no repayment of the outstanding amounts payable under the Existing Credit Agreement as of the Restatement Closing Date is being effected hereby but this Agreement is merely an amendment and restatement in accordance with the terms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agree as follows:</w:t>
      </w:r>
    </w:p>
    <w:p>
      <w:pPr>
        <w:spacing w:after="0" w:line="223"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CONSTRUCTION.</w:t>
      </w:r>
    </w:p>
    <w:p>
      <w:pPr>
        <w:spacing w:after="0" w:line="22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Capitalized terms used in this Agreement shall have the meanings specified therefor on Schedule 1.1.</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u w:val="single" w:color="auto"/>
          <w:color w:val="auto"/>
        </w:rPr>
        <w:t>Accounting Terms</w:t>
      </w:r>
      <w:r>
        <w:rPr>
          <w:rFonts w:ascii="Arial" w:cs="Arial" w:eastAsia="Arial" w:hAnsi="Arial"/>
          <w:sz w:val="19"/>
          <w:szCs w:val="19"/>
          <w:color w:val="auto"/>
        </w:rPr>
        <w:t>. All accounting terms not specifically defined herein shall be construed in accordance with GAAP; provided, that if Borrower notifies Agent that Borrower requests an amendment to any provision hereof to eliminate the effect of any Accounting Change occurring after the Restatement Closing Date or in the application thereof on the operation of such provision (or if Agent notifies Borrower that the Required Lenders request an amendment to any provision hereof for such purpose), regardless of whether any such notice is given before or after such Accounting Change or in the application thereof, then Agent and Borrower agree that they will negotiate in good faith amendments to the provisions of this Agreement that are directly affected by such Accounting Change with the intent of having the respective positions of the Lenders and Borrower after such Accounting Change conform as nearly as possible to their respective positions as of the date of this Agreement and, until any such amendments have been agreed upon and agreed to by the Required Lenders, the provisions in this Agreement shall be calculated as if no such Accounting Change had occurred. Notwithstanding anything in this Agreement to the contrary, for the purposes of calculating compliance with the financial covenants of this Agreement, no effect shall be given to any change in GAAP arising out of a change described in the Proposed Accounting Standards Update to Leases (Topic 840) dated August 17, 2010 or a substantially similar pronouncement. When used herein, the term “financial statements” shall include the notes and schedules thereto. Whenever the term “Borrower”</w:t>
      </w:r>
    </w:p>
    <w:p>
      <w:pPr>
        <w:sectPr>
          <w:pgSz w:w="11900" w:h="16838" w:orient="portrait"/>
          <w:cols w:equalWidth="0" w:num="1">
            <w:col w:w="11420"/>
          </w:cols>
          <w:pgMar w:left="240" w:top="819" w:right="239" w:bottom="1440" w:gutter="0" w:footer="0" w:header="0"/>
        </w:sectPr>
      </w:pPr>
    </w:p>
    <w:bookmarkStart w:id="90" w:name="page91"/>
    <w:bookmarkEnd w:id="90"/>
    <w:p>
      <w:pPr>
        <w:jc w:val="both"/>
        <w:spacing w:after="0" w:line="274" w:lineRule="auto"/>
        <w:rPr>
          <w:sz w:val="20"/>
          <w:szCs w:val="20"/>
          <w:color w:val="auto"/>
        </w:rPr>
      </w:pPr>
      <w:r>
        <w:rPr>
          <w:rFonts w:ascii="Arial" w:cs="Arial" w:eastAsia="Arial" w:hAnsi="Arial"/>
          <w:sz w:val="18"/>
          <w:szCs w:val="18"/>
          <w:color w:val="auto"/>
        </w:rPr>
        <w:t>is used in respect of a financial covenant or a related definition, it shall be understood to mean Borrower and its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w:t>
      </w:r>
    </w:p>
    <w:p>
      <w:pPr>
        <w:spacing w:after="0" w:line="1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Any terms used in this Agreement that are defined in the Code shall be construed and defined as set forth in the Code unless otherwise defined herein; provided, that to the extent that the Code is used to define any term herein and such term is defined differently in different Articles of the Code, the definition of such term contained in Article 9 of the Code shall govern.</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w:t>
      </w:r>
    </w:p>
    <w:p>
      <w:pPr>
        <w:spacing w:after="0" w:line="200" w:lineRule="exact"/>
        <w:rPr>
          <w:sz w:val="20"/>
          <w:szCs w:val="20"/>
          <w:color w:val="auto"/>
        </w:rPr>
      </w:pPr>
    </w:p>
    <w:p>
      <w:pPr>
        <w:spacing w:after="0" w:line="227"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25" w:right="2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0"/>
          <w:szCs w:val="20"/>
          <w:color w:val="auto"/>
        </w:rPr>
        <w:t>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b w:val="1"/>
          <w:bCs w:val="1"/>
          <w:u w:val="single" w:color="auto"/>
          <w:color w:val="auto"/>
        </w:rPr>
        <w:t>Time References</w:t>
      </w:r>
      <w:r>
        <w:rPr>
          <w:rFonts w:ascii="Arial" w:cs="Arial" w:eastAsia="Arial" w:hAnsi="Arial"/>
          <w:sz w:val="20"/>
          <w:szCs w:val="20"/>
          <w:color w:val="auto"/>
        </w:rPr>
        <w:t>. Unless the context of this Agreement or any other Loan Document clearly requires otherwise, all references to time of day refer to (a) the local time in London, with respect to the terms for the receipt of a request to borrow European Denominated Loans, the payment by Loan Parties in respect of European Denominated Loans and (b) Pacific standard time or Pacific daylight saving time, as in effect in Los Angeles, California, with respect to all other matters. For purposes of the computation of a period of time from a specified date to a later specified date, the word “from” means “from and including” and the words “to” and “until” each means “to and including”; provided that, with respect to a computation of fees or interest payable to Agent or any Lender, such period shall in any event consist of at least one full day.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Currency Translations</w:t>
      </w:r>
      <w:r>
        <w:rPr>
          <w:rFonts w:ascii="Arial" w:cs="Arial" w:eastAsia="Arial" w:hAnsi="Arial"/>
          <w:sz w:val="18"/>
          <w:szCs w:val="18"/>
          <w:color w:val="auto"/>
        </w:rPr>
        <w:t>. For purposes of this Agreement and the other Loan Documents, where the permissibility of a transaction or determinations of required actions or circumstances depend upon compliance with, or are determined by reference to, amounts stated in Dollars, unless the context of this Agreement or any other Loan Document clearly requires otherwise or Agent otherwise determines, such amounts shall be deemed to refer to Dollars or US Dollar Equivalents and any requisite currency translation shall be based on the Exchange Rate and the permissibility of actions already taken shall not be affected by subsequent fluctuations in Exchange Rates (provided that if Indebtedness is incurred to refinance or renew other Indebtedness, and such refinancing or renewal would cause the applicable dollar denominated limitation to be exceeded if calculated at the Exchange Rate, such dollar denominated restriction shall be deemed not to have been exceeded so long as (i) such refinancing or renewal Indebtedness is denominated in the same currency as such Indebtedness being refinanced or renewed and (ii) the principal amount of such refinancing or renewal Indebtedness does not exceed the principal amount of such Indebtedness being refinanced or renewed except as permitted under Section 6.1). All certificates, reports and notices delivered under this Agreement, shall express any amounts, calculations or determinations in Dollars or US Dollar Equivalents.</w:t>
      </w:r>
    </w:p>
    <w:p>
      <w:pPr>
        <w:spacing w:after="0" w:line="17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b w:val="1"/>
          <w:bCs w:val="1"/>
          <w:u w:val="single" w:color="auto"/>
          <w:color w:val="auto"/>
        </w:rPr>
        <w:t>Schedules and Exhibits</w:t>
      </w:r>
      <w:r>
        <w:rPr>
          <w:rFonts w:ascii="Arial" w:cs="Arial" w:eastAsia="Arial" w:hAnsi="Arial"/>
          <w:sz w:val="20"/>
          <w:szCs w:val="20"/>
          <w:color w:val="auto"/>
        </w:rPr>
        <w:t>. All of the schedules and exhibits attached to this Agreement shall be deemed incorporated herein by reference.</w:t>
      </w:r>
    </w:p>
    <w:p>
      <w:pPr>
        <w:spacing w:after="0" w:line="164" w:lineRule="exact"/>
        <w:rPr>
          <w:sz w:val="20"/>
          <w:szCs w:val="20"/>
          <w:color w:val="auto"/>
        </w:rPr>
      </w:pPr>
    </w:p>
    <w:p>
      <w:pPr>
        <w:ind w:left="660" w:right="7800" w:hanging="652"/>
        <w:spacing w:after="0" w:line="492" w:lineRule="auto"/>
        <w:tabs>
          <w:tab w:leader="none" w:pos="336"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LOANS AND TERMS OF PAYMENT. </w:t>
      </w:r>
      <w:r>
        <w:rPr>
          <w:rFonts w:ascii="Arial" w:cs="Arial" w:eastAsia="Arial" w:hAnsi="Arial"/>
          <w:sz w:val="19"/>
          <w:szCs w:val="19"/>
          <w:color w:val="auto"/>
        </w:rPr>
        <w:t xml:space="preserve">2.1 </w:t>
      </w:r>
      <w:r>
        <w:rPr>
          <w:rFonts w:ascii="Arial" w:cs="Arial" w:eastAsia="Arial" w:hAnsi="Arial"/>
          <w:sz w:val="19"/>
          <w:szCs w:val="19"/>
          <w:b w:val="1"/>
          <w:bCs w:val="1"/>
          <w:u w:val="single" w:color="auto"/>
          <w:color w:val="auto"/>
        </w:rPr>
        <w:t>Revolving Loans</w:t>
      </w:r>
      <w:r>
        <w:rPr>
          <w:rFonts w:ascii="Arial" w:cs="Arial" w:eastAsia="Arial" w:hAnsi="Arial"/>
          <w:sz w:val="19"/>
          <w:szCs w:val="19"/>
          <w:u w:val="single" w:color="auto"/>
          <w:color w:val="auto"/>
        </w:rPr>
        <w:t>.</w:t>
      </w:r>
    </w:p>
    <w:p>
      <w:pPr>
        <w:spacing w:after="0" w:line="1" w:lineRule="exact"/>
        <w:rPr>
          <w:rFonts w:ascii="Arial" w:cs="Arial" w:eastAsia="Arial" w:hAnsi="Arial"/>
          <w:sz w:val="19"/>
          <w:szCs w:val="19"/>
          <w:b w:val="1"/>
          <w:bCs w:val="1"/>
          <w:color w:val="auto"/>
        </w:rPr>
      </w:pPr>
    </w:p>
    <w:p>
      <w:pPr>
        <w:jc w:val="both"/>
        <w:ind w:firstLine="1305"/>
        <w:spacing w:after="0" w:line="250" w:lineRule="auto"/>
        <w:tabs>
          <w:tab w:leader="none" w:pos="1764" w:val="left"/>
        </w:tabs>
        <w:numPr>
          <w:ilvl w:val="1"/>
          <w:numId w:val="46"/>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during the term of this Agreement, each Revolving Lender agrees (severally, not jointly or jointly and severally) to make revolving loans (“</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to Borrower in an amount at any one time outstanding not to exceed </w:t>
      </w:r>
      <w:r>
        <w:rPr>
          <w:rFonts w:ascii="Arial" w:cs="Arial" w:eastAsia="Arial" w:hAnsi="Arial"/>
          <w:sz w:val="20"/>
          <w:szCs w:val="20"/>
          <w:i w:val="1"/>
          <w:iCs w:val="1"/>
          <w:color w:val="auto"/>
        </w:rPr>
        <w:t>the lesser of</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2320" w:hanging="367"/>
        <w:spacing w:after="0"/>
        <w:tabs>
          <w:tab w:leader="none" w:pos="2320" w:val="left"/>
        </w:tabs>
        <w:numPr>
          <w:ilvl w:val="2"/>
          <w:numId w:val="46"/>
        </w:numPr>
        <w:rPr>
          <w:rFonts w:ascii="Arial" w:cs="Arial" w:eastAsia="Arial" w:hAnsi="Arial"/>
          <w:sz w:val="20"/>
          <w:szCs w:val="20"/>
          <w:color w:val="auto"/>
        </w:rPr>
      </w:pPr>
      <w:r>
        <w:rPr>
          <w:rFonts w:ascii="Arial" w:cs="Arial" w:eastAsia="Arial" w:hAnsi="Arial"/>
          <w:sz w:val="20"/>
          <w:szCs w:val="20"/>
          <w:color w:val="auto"/>
        </w:rPr>
        <w:t>such Lender’s Revolver Commitment, or</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2"/>
          <w:numId w:val="46"/>
        </w:numPr>
        <w:rPr>
          <w:rFonts w:ascii="Arial" w:cs="Arial" w:eastAsia="Arial" w:hAnsi="Arial"/>
          <w:sz w:val="20"/>
          <w:szCs w:val="20"/>
          <w:color w:val="auto"/>
        </w:rPr>
      </w:pPr>
      <w:r>
        <w:rPr>
          <w:rFonts w:ascii="Arial" w:cs="Arial" w:eastAsia="Arial" w:hAnsi="Arial"/>
          <w:sz w:val="20"/>
          <w:szCs w:val="20"/>
          <w:color w:val="auto"/>
        </w:rPr>
        <w:t xml:space="preserve">such Lender’s Pro Rata Share of an amount equal to </w:t>
      </w:r>
      <w:r>
        <w:rPr>
          <w:rFonts w:ascii="Arial" w:cs="Arial" w:eastAsia="Arial" w:hAnsi="Arial"/>
          <w:sz w:val="20"/>
          <w:szCs w:val="20"/>
          <w:i w:val="1"/>
          <w:iCs w:val="1"/>
          <w:color w:val="auto"/>
        </w:rPr>
        <w:t>the lesser of</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2601"/>
        <w:spacing w:after="0" w:line="260" w:lineRule="auto"/>
        <w:tabs>
          <w:tab w:leader="none" w:pos="3129" w:val="left"/>
        </w:tabs>
        <w:numPr>
          <w:ilvl w:val="3"/>
          <w:numId w:val="46"/>
        </w:numPr>
        <w:rPr>
          <w:rFonts w:ascii="Arial" w:cs="Arial" w:eastAsia="Arial" w:hAnsi="Arial"/>
          <w:sz w:val="20"/>
          <w:szCs w:val="20"/>
          <w:color w:val="auto"/>
        </w:rPr>
      </w:pPr>
      <w:r>
        <w:rPr>
          <w:rFonts w:ascii="Arial" w:cs="Arial" w:eastAsia="Arial" w:hAnsi="Arial"/>
          <w:sz w:val="20"/>
          <w:szCs w:val="20"/>
          <w:color w:val="auto"/>
        </w:rPr>
        <w:t>the amount equal to (1) the Maximum Revolver Amount less (2) the sum of (y) the Letter of Credit Usage at such time, plus (z) the principal amount of Swing Loans outstanding at such time, and</w:t>
      </w:r>
    </w:p>
    <w:p>
      <w:pPr>
        <w:spacing w:after="0" w:line="200" w:lineRule="exact"/>
        <w:rPr>
          <w:sz w:val="20"/>
          <w:szCs w:val="20"/>
          <w:color w:val="auto"/>
        </w:rPr>
      </w:pPr>
    </w:p>
    <w:p>
      <w:pPr>
        <w:spacing w:after="0" w:line="220"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25" w:right="239" w:bottom="1440" w:gutter="0" w:footer="0" w:header="0"/>
        </w:sectPr>
      </w:pPr>
    </w:p>
    <w:bookmarkStart w:id="92" w:name="page93"/>
    <w:bookmarkEnd w:id="92"/>
    <w:p>
      <w:pPr>
        <w:jc w:val="both"/>
        <w:ind w:firstLine="2601"/>
        <w:spacing w:after="0" w:line="250" w:lineRule="auto"/>
        <w:tabs>
          <w:tab w:leader="none" w:pos="303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amount equal to (1) the Borrowing Base as of such date (based upon the most recent Borrowing Base Certificate delivered by Borrower to Agent) less (2) the sum of (y) the Letter of Credit Usage at such time, plus (z) the principal amount of Swing Loans outstanding at such time.</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 xml:space="preserve">Each Revolving Loan shall be a Dollar Denominated Loan (which shall either be a Base Rate Loan or a LIBOR Rate Loan) or a European Denominated Loan (which shall either be a Euro Denominated Loan or a Sterling Denominated Loan);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 may not borrow, and Revolving Lenders shall have no obligation to lend, any European Denominated Loans, if the sum of the aggregate outstanding principal amount of all European Denominated Loans exceeds or would exceed the US Dollar Equivalent of the lesser of (x) $10,000,000 and</w:t>
      </w:r>
    </w:p>
    <w:p>
      <w:pPr>
        <w:spacing w:after="0" w:line="2"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20% of the Maximum Revolver Amount.</w:t>
      </w:r>
    </w:p>
    <w:p>
      <w:pPr>
        <w:spacing w:after="0" w:line="148" w:lineRule="exact"/>
        <w:rPr>
          <w:rFonts w:ascii="Arial" w:cs="Arial" w:eastAsia="Arial" w:hAnsi="Arial"/>
          <w:sz w:val="20"/>
          <w:szCs w:val="20"/>
          <w:color w:val="auto"/>
        </w:rPr>
      </w:pPr>
    </w:p>
    <w:p>
      <w:pPr>
        <w:jc w:val="both"/>
        <w:ind w:firstLine="1305"/>
        <w:spacing w:after="0" w:line="246" w:lineRule="auto"/>
        <w:tabs>
          <w:tab w:leader="none" w:pos="1707"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Amounts borrowed pursuant to this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are declared due and payable pursuant to the terms of this Agreement.</w:t>
      </w:r>
    </w:p>
    <w:p>
      <w:pPr>
        <w:spacing w:after="0" w:line="191" w:lineRule="exact"/>
        <w:rPr>
          <w:rFonts w:ascii="Arial" w:cs="Arial" w:eastAsia="Arial" w:hAnsi="Arial"/>
          <w:sz w:val="20"/>
          <w:szCs w:val="20"/>
          <w:color w:val="auto"/>
        </w:rPr>
      </w:pPr>
    </w:p>
    <w:p>
      <w:pPr>
        <w:jc w:val="both"/>
        <w:ind w:firstLine="1305"/>
        <w:spacing w:after="0" w:line="278" w:lineRule="auto"/>
        <w:tabs>
          <w:tab w:leader="none" w:pos="17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Anything to the contrary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notwithstanding, Agent shall have the right (but not the obligation), in the exercise of its Permitted Discretion, to establish and increase or decrease Receivable Reserves, Inventory Reserves, Bank Product Reserves, and other Reserves against the Borrowing Base or the Maximum Revolver Amount. The amount of any Receivable Reserve, Inventory Reserve, Bank Product Reserve, or other Reserve established by Agent shall have a reasonable relationship to the event, condition, other circumstance, or fact that is the basis for such reserve and shall not be duplicative of any other reserve established and currently maintained.</w:t>
      </w:r>
    </w:p>
    <w:p>
      <w:pPr>
        <w:spacing w:after="0" w:line="1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u w:val="single" w:color="auto"/>
          <w:color w:val="auto"/>
        </w:rPr>
        <w:t>.]</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u w:val="single" w:color="auto"/>
          <w:color w:val="auto"/>
        </w:rPr>
        <w:t>Borrowing Procedures and Settlements</w:t>
      </w:r>
      <w:r>
        <w:rPr>
          <w:rFonts w:ascii="Arial" w:cs="Arial" w:eastAsia="Arial" w:hAnsi="Arial"/>
          <w:sz w:val="16"/>
          <w:szCs w:val="16"/>
          <w:u w:val="single" w:color="auto"/>
          <w:color w:val="auto"/>
        </w:rPr>
        <w:t>.</w:t>
      </w:r>
    </w:p>
    <w:p>
      <w:pPr>
        <w:spacing w:after="0" w:line="216" w:lineRule="exact"/>
        <w:rPr>
          <w:sz w:val="20"/>
          <w:szCs w:val="20"/>
          <w:color w:val="auto"/>
        </w:rPr>
      </w:pPr>
    </w:p>
    <w:p>
      <w:pPr>
        <w:jc w:val="both"/>
        <w:ind w:firstLine="1305"/>
        <w:spacing w:after="0" w:line="270" w:lineRule="auto"/>
        <w:tabs>
          <w:tab w:leader="none" w:pos="1777"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Procedure for Borrowing Revolving Loans</w:t>
      </w:r>
      <w:r>
        <w:rPr>
          <w:rFonts w:ascii="Arial" w:cs="Arial" w:eastAsia="Arial" w:hAnsi="Arial"/>
          <w:sz w:val="18"/>
          <w:szCs w:val="18"/>
          <w:color w:val="auto"/>
        </w:rPr>
        <w:t>. Subject to the terms and conditions of this Agreement, each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of a Dollar Denominated Loan (which shall either be a Base Rate Loan or a LIBOR Rate Loan) or a European Denominated Loan (which shall either be a Euro Denominated Loan or a Sterling Denominated Loan). Each Borrowing shall be made by a written request by an Authorized Person delivered to Agent and received by Agent no later than 10:00 a.m. (i) on the Business Day that is the requested Funding Date in the case of a request for a Swing Loan, and (ii) on the Business Day that is 1 Business Day prior to the requested Funding Date in the case of a request for a Dollar Denominated Loan which is a Base Rate Loan, and (iii) on the Business Day that is 3 Business Days prior to the requested Funding Date in the case of all other requests, specifying (A) the amount of such Borrowing, (B) whether the requested Borrowing is for a Dollar Denominated Loan (which shall either be a Base Rate Loan or a LIBOR Rate Loan) or a European Denominated Loan (which shall either be a Euro Denominated Loan or a Sterling Denominated Loan), (C) if the requested Borrowing is for a European Denominated Loan, whether such European Denominated Loan is to be initially maintained as a Euro Denominated Loan or a Sterling Denominated Loan, (D) if the requested Borrowing is for a Dollar Denominated Loan, whether such Dollar Denominated Loan is to be initially maintained as a Base Rate Loan or a LIBOR Rate Loan and (E) the requested Funding Date (which shall be a Business Day); provided, that Agent may, in its sole discretion, elect to accept as timely requests that are received later than 10:00 a.m. on the applicable Business Day. At Agent’s election, in lieu of delivering the above-described written request, any Authorized Person may give Agent telephonic notice of such request by the required time. In such circumstances, Borrower agrees that any such telephonic notice will be confirmed in writing within 24 hours of the giving of such</w:t>
      </w:r>
    </w:p>
    <w:p>
      <w:pPr>
        <w:spacing w:after="0" w:line="200" w:lineRule="exact"/>
        <w:rPr>
          <w:sz w:val="20"/>
          <w:szCs w:val="20"/>
          <w:color w:val="auto"/>
        </w:rPr>
      </w:pPr>
    </w:p>
    <w:p>
      <w:pPr>
        <w:spacing w:after="0" w:line="216"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25" w:right="2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19"/>
          <w:szCs w:val="19"/>
          <w:color w:val="auto"/>
        </w:rPr>
        <w:t>telephonic notice, but the failure to provide such written confirmation shall not affect the validity of the request or give rise to a Default or Event of Default. If Borrower fails to specify whether a requested Loan is to be a Dollar Denominated Loan or a European Denominated Loan, such requested Loan shall be a Dollar Denominated Loan which is a Base Rate Loan. If Borrower specifies that a requested Loan is to be a European Denominated Loan but fails to specify whether such requested Loan is to be initially maintained as a Euro Denominated Loan or a Sterling Denominated Loan, such requested Loan shall be initially maintained as a Euro Denominated Loan.</w:t>
      </w:r>
    </w:p>
    <w:p>
      <w:pPr>
        <w:spacing w:after="0" w:line="175" w:lineRule="exact"/>
        <w:rPr>
          <w:sz w:val="20"/>
          <w:szCs w:val="20"/>
          <w:color w:val="auto"/>
        </w:rPr>
      </w:pPr>
    </w:p>
    <w:p>
      <w:pPr>
        <w:jc w:val="both"/>
        <w:ind w:firstLine="1305"/>
        <w:spacing w:after="0" w:line="270" w:lineRule="auto"/>
        <w:tabs>
          <w:tab w:leader="none" w:pos="1721"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Making of Swing Loans</w:t>
      </w:r>
      <w:r>
        <w:rPr>
          <w:rFonts w:ascii="Arial" w:cs="Arial" w:eastAsia="Arial" w:hAnsi="Arial"/>
          <w:sz w:val="18"/>
          <w:szCs w:val="18"/>
          <w:color w:val="auto"/>
        </w:rPr>
        <w:t>. In the case of a request for a Revolving Loan which is a Dollar Denominated Loan and so long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either (i) the aggregate amount of Swing Loans made since the last Settlement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all payments or other amounts applied to Swing Loans since the last Settlement Date, plus the amount of the requested Swing Loan does not exceed the greater of (x) $5,000,000, and (y) 10% of the Maximum Revolver Amount, or (ii) Swing Lender, in its sole discretion, agrees to make a Swing Loan notwithstanding the foregoing limitation, Swing Lender shall make a Revolving Loan (any such Revolving Loan made by Swing Lender pursuant to this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being referred to as a “</w:t>
      </w:r>
      <w:r>
        <w:rPr>
          <w:rFonts w:ascii="Arial" w:cs="Arial" w:eastAsia="Arial" w:hAnsi="Arial"/>
          <w:sz w:val="18"/>
          <w:szCs w:val="18"/>
          <w:u w:val="single" w:color="auto"/>
          <w:color w:val="auto"/>
        </w:rPr>
        <w:t>Swing Loan</w:t>
      </w:r>
      <w:r>
        <w:rPr>
          <w:rFonts w:ascii="Arial" w:cs="Arial" w:eastAsia="Arial" w:hAnsi="Arial"/>
          <w:sz w:val="18"/>
          <w:szCs w:val="18"/>
          <w:color w:val="auto"/>
        </w:rPr>
        <w:t>” and all such Revolving Loans being referred to as “</w:t>
      </w:r>
      <w:r>
        <w:rPr>
          <w:rFonts w:ascii="Arial" w:cs="Arial" w:eastAsia="Arial" w:hAnsi="Arial"/>
          <w:sz w:val="18"/>
          <w:szCs w:val="18"/>
          <w:u w:val="single" w:color="auto"/>
          <w:color w:val="auto"/>
        </w:rPr>
        <w:t>Swing Loans</w:t>
      </w:r>
      <w:r>
        <w:rPr>
          <w:rFonts w:ascii="Arial" w:cs="Arial" w:eastAsia="Arial" w:hAnsi="Arial"/>
          <w:sz w:val="18"/>
          <w:szCs w:val="18"/>
          <w:color w:val="auto"/>
        </w:rPr>
        <w:t xml:space="preserve">”) available to Borrower on the Funding Date applicable thereto by transferring immediately available funds in the amount of such requested Borrowing to the Designated Account. Each Swing Loan shall be deemed to be a Revolving Loan which is a Dollar Denominated Loan hereunder and shall be subject to all the terms and conditions (including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applicable to other Revolving Loans, except that all payments (including interest) on any Swing Loan shall be payable to Swing Lender solely for its own account. Subject to the provisions of </w:t>
      </w:r>
      <w:r>
        <w:rPr>
          <w:rFonts w:ascii="Arial" w:cs="Arial" w:eastAsia="Arial" w:hAnsi="Arial"/>
          <w:sz w:val="18"/>
          <w:szCs w:val="18"/>
          <w:u w:val="single" w:color="auto"/>
          <w:color w:val="auto"/>
        </w:rPr>
        <w:t>Section 2.3(d)(ii)</w:t>
      </w:r>
      <w:r>
        <w:rPr>
          <w:rFonts w:ascii="Arial" w:cs="Arial" w:eastAsia="Arial" w:hAnsi="Arial"/>
          <w:sz w:val="18"/>
          <w:szCs w:val="18"/>
          <w:color w:val="auto"/>
        </w:rPr>
        <w:t xml:space="preserve">, Swing Lender shall not make and shall not be obligated to make any Swing Loan if Swing Lender has actual knowledge that (i) one or more of the applicable conditions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will not be satisfied on the requested Funding Date for the applicable Borrowing, or (ii) the requested Borrowing would exceed the Availability on such Funding Date. Swing Lender shall not otherwise be required to determine whether the applicable conditions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have been satisfied on the Funding Date applicable thereto prior to making any Swing Loan. The Swing Loans shall be secured by Agent’s Liens, constitute Revolving Loans and Obligations, and bear interest at the rate applicable from time to time to Revolving Loans that are Base Rate Loans.</w:t>
      </w:r>
    </w:p>
    <w:p>
      <w:pPr>
        <w:spacing w:after="0" w:line="163" w:lineRule="exact"/>
        <w:rPr>
          <w:rFonts w:ascii="Arial" w:cs="Arial" w:eastAsia="Arial" w:hAnsi="Arial"/>
          <w:sz w:val="18"/>
          <w:szCs w:val="18"/>
          <w:color w:val="auto"/>
        </w:rPr>
      </w:pPr>
    </w:p>
    <w:p>
      <w:pPr>
        <w:ind w:left="1700" w:hanging="395"/>
        <w:spacing w:after="0"/>
        <w:tabs>
          <w:tab w:leader="none" w:pos="170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Making of Revolving Loans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3"/>
        <w:spacing w:after="0" w:line="271" w:lineRule="auto"/>
        <w:tabs>
          <w:tab w:leader="none" w:pos="2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In the event that Swing Lender is not obligated to make a Swing Loan, then after receipt of a request for a Borrowing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Agent shall notify the Lenders by telecopy, telephone, email, or other electronic form of transmission, of the requested Borrowing; such notification to be sent on the Business Day that is 1 Business Day prior to the requested Funding Date. If Agent has notified the Lenders of a requested Borrowing on the Business Day that is 1 Business Day prior to the Funding Date, then each Lender shall make the amount of such Lender’s Pro Rata Share of the requested Borrowing available to Agent in immediately available funds, to Agent’s Account, not later than 10:00 a.m. on the Business Day that is the requested Funding Date. After Agent’s receipt of the proceeds of such Revolving Loans from the Lenders, Agent shall make the proceeds thereof available to Borrower on the applicable Funding Date by transferring immediately available funds equal to such proceeds received by Agent to the Designated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provisions of </w:t>
      </w:r>
      <w:r>
        <w:rPr>
          <w:rFonts w:ascii="Arial" w:cs="Arial" w:eastAsia="Arial" w:hAnsi="Arial"/>
          <w:sz w:val="18"/>
          <w:szCs w:val="18"/>
          <w:u w:val="single" w:color="auto"/>
          <w:color w:val="auto"/>
        </w:rPr>
        <w:t>Section 2.3(d)(ii)</w:t>
      </w:r>
      <w:r>
        <w:rPr>
          <w:rFonts w:ascii="Arial" w:cs="Arial" w:eastAsia="Arial" w:hAnsi="Arial"/>
          <w:sz w:val="18"/>
          <w:szCs w:val="18"/>
          <w:color w:val="auto"/>
        </w:rPr>
        <w:t xml:space="preserve">, no Lender shall have an obligation to make any Revolving Loan, if (1) one or more of the applicable conditions precedent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 will not be satisfied on the requested Funding Date for the applicable Borrowing unless such condition has been waived, or (2) the requested Borrowing would exceed the Availability on such Funding Date.</w:t>
      </w:r>
    </w:p>
    <w:p>
      <w:pPr>
        <w:spacing w:after="0" w:line="200" w:lineRule="exact"/>
        <w:rPr>
          <w:sz w:val="20"/>
          <w:szCs w:val="20"/>
          <w:color w:val="auto"/>
        </w:rPr>
      </w:pPr>
    </w:p>
    <w:p>
      <w:pPr>
        <w:spacing w:after="0" w:line="214"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25" w:right="239" w:bottom="1440" w:gutter="0" w:footer="0" w:header="0"/>
        </w:sectPr>
      </w:pPr>
    </w:p>
    <w:bookmarkStart w:id="94" w:name="page95"/>
    <w:bookmarkEnd w:id="94"/>
    <w:p>
      <w:pPr>
        <w:jc w:val="both"/>
        <w:ind w:left="-1200" w:firstLine="1953"/>
        <w:spacing w:after="0" w:line="269" w:lineRule="auto"/>
        <w:tabs>
          <w:tab w:leader="none" w:pos="11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 a corresponding amount. If, on the requested Funding Date, any Lender shall not have remitted the full amount that it is required to make available to Agent in immediately available funds and if Agent has made available to Borrower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shall be conclusive, absent manifest error. If the amount that a Lender is required to remit is made available to Agent, then such payment to Agent shall constitute such Lender’s Revolving Loan for all purposes of this Agreement. If such amount is not made available to Agent on the Business Day following the Funding Date, Agent will notify Borrower of such failure to fund and, upon demand by Agent, Borrower shall pay such amount to Agent for Agent’s account, together with interest thereon for each day elapsed since the date of such Borrowing,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interest rate applicable at the time to the Revolving Loans composing such Borrowing.</w:t>
      </w:r>
    </w:p>
    <w:p>
      <w:pPr>
        <w:spacing w:after="0" w:line="164" w:lineRule="exact"/>
        <w:rPr>
          <w:rFonts w:ascii="Arial" w:cs="Arial" w:eastAsia="Arial" w:hAnsi="Arial"/>
          <w:sz w:val="18"/>
          <w:szCs w:val="18"/>
          <w:color w:val="auto"/>
        </w:rPr>
      </w:pPr>
    </w:p>
    <w:p>
      <w:pPr>
        <w:ind w:left="520" w:hanging="415"/>
        <w:spacing w:after="0"/>
        <w:tabs>
          <w:tab w:leader="none" w:pos="52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Protective Advances and Optional Overadvances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1200" w:firstLine="1953"/>
        <w:spacing w:after="0" w:line="256" w:lineRule="auto"/>
        <w:tabs>
          <w:tab w:leader="none" w:pos="1166"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Any contrary provision of this Agreement or any other Loan Document notwithstanding, but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2.3(d)(iv)</w:t>
      </w:r>
      <w:r>
        <w:rPr>
          <w:rFonts w:ascii="Arial" w:cs="Arial" w:eastAsia="Arial" w:hAnsi="Arial"/>
          <w:sz w:val="19"/>
          <w:szCs w:val="19"/>
          <w:color w:val="auto"/>
        </w:rPr>
        <w:t xml:space="preserve">, at any time (A) after the occurrence and during the continuance of a Default or an Event of Default, or (B) that any of the other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not satisfied, Agent hereby is authorized by Borrower and the Lenders, from time to time, in Agent’s sole discretion, to make Revolving Loans to, or for the benefit of, Borrower, on behalf of the Revolving Lenders, that Agent, in its Permitted Discretion, deems necessary or desirable (1) to preserve or protect the Collateral, or any portion thereof, or (2) to enhance the likelihood of repayment of the Obligations (other than the Bank Product Obligations) (the Revolving Loans described in this </w:t>
      </w:r>
      <w:r>
        <w:rPr>
          <w:rFonts w:ascii="Arial" w:cs="Arial" w:eastAsia="Arial" w:hAnsi="Arial"/>
          <w:sz w:val="19"/>
          <w:szCs w:val="19"/>
          <w:u w:val="single" w:color="auto"/>
          <w:color w:val="auto"/>
        </w:rPr>
        <w:t>Section 2.3(d)(i)</w:t>
      </w:r>
      <w:r>
        <w:rPr>
          <w:rFonts w:ascii="Arial" w:cs="Arial" w:eastAsia="Arial" w:hAnsi="Arial"/>
          <w:sz w:val="19"/>
          <w:szCs w:val="19"/>
          <w:color w:val="auto"/>
        </w:rPr>
        <w:t xml:space="preserve"> shall be referred to as “</w:t>
      </w:r>
      <w:r>
        <w:rPr>
          <w:rFonts w:ascii="Arial" w:cs="Arial" w:eastAsia="Arial" w:hAnsi="Arial"/>
          <w:sz w:val="19"/>
          <w:szCs w:val="19"/>
          <w:u w:val="single" w:color="auto"/>
          <w:color w:val="auto"/>
        </w:rPr>
        <w:t>Protective Advances</w:t>
      </w:r>
      <w:r>
        <w:rPr>
          <w:rFonts w:ascii="Arial" w:cs="Arial" w:eastAsia="Arial" w:hAnsi="Arial"/>
          <w:sz w:val="19"/>
          <w:szCs w:val="19"/>
          <w:color w:val="auto"/>
        </w:rPr>
        <w:t xml:space="preserve">”). Notwithstanding the foregoing, the aggregate amount of all Protective Advances outstanding at any one time, when combined with the aggregate amount of outstanding Overadvances permitted under </w:t>
      </w:r>
      <w:r>
        <w:rPr>
          <w:rFonts w:ascii="Arial" w:cs="Arial" w:eastAsia="Arial" w:hAnsi="Arial"/>
          <w:sz w:val="19"/>
          <w:szCs w:val="19"/>
          <w:u w:val="single" w:color="auto"/>
          <w:color w:val="auto"/>
        </w:rPr>
        <w:t>Section 2.3(d)(ii)</w:t>
      </w:r>
      <w:r>
        <w:rPr>
          <w:rFonts w:ascii="Arial" w:cs="Arial" w:eastAsia="Arial" w:hAnsi="Arial"/>
          <w:sz w:val="19"/>
          <w:szCs w:val="19"/>
          <w:color w:val="auto"/>
        </w:rPr>
        <w:t>, shall not exceed 10% of the Maximum Revolver Amount.</w:t>
      </w:r>
    </w:p>
    <w:p>
      <w:pPr>
        <w:spacing w:after="0" w:line="185" w:lineRule="exact"/>
        <w:rPr>
          <w:sz w:val="20"/>
          <w:szCs w:val="20"/>
          <w:color w:val="auto"/>
        </w:rPr>
      </w:pPr>
    </w:p>
    <w:p>
      <w:pPr>
        <w:jc w:val="both"/>
        <w:ind w:left="-1200" w:firstLine="1953"/>
        <w:spacing w:after="0" w:line="274" w:lineRule="auto"/>
        <w:tabs>
          <w:tab w:leader="none" w:pos="12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contrary provision of this Agreement or any other Loan Document notwithstanding, but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2.3(d)(iv)</w:t>
      </w:r>
      <w:r>
        <w:rPr>
          <w:rFonts w:ascii="Arial" w:cs="Arial" w:eastAsia="Arial" w:hAnsi="Arial"/>
          <w:sz w:val="18"/>
          <w:szCs w:val="18"/>
          <w:color w:val="auto"/>
        </w:rPr>
        <w:t xml:space="preserve">, the Lenders hereby authorize Agent or Swing Lender, as applicable, and either Agent or Swing Lender, as applicable, may, but is not obligated to, knowingly and intentionally, continue to make Revolving Loans (including Swing Loans) to Borrower notwithstanding that an Overadvance exists or would be created thereby, so long as (A) after giving effect to such Revolving Loans, the aggregate amount of all Overadvances outstanding at any one time, when combined with the aggregate amount of outstanding Protective Advances permitted under </w:t>
      </w:r>
      <w:r>
        <w:rPr>
          <w:rFonts w:ascii="Arial" w:cs="Arial" w:eastAsia="Arial" w:hAnsi="Arial"/>
          <w:sz w:val="18"/>
          <w:szCs w:val="18"/>
          <w:u w:val="single" w:color="auto"/>
          <w:color w:val="auto"/>
        </w:rPr>
        <w:t>Section 2.3(d)(i)</w:t>
      </w:r>
      <w:r>
        <w:rPr>
          <w:rFonts w:ascii="Arial" w:cs="Arial" w:eastAsia="Arial" w:hAnsi="Arial"/>
          <w:sz w:val="18"/>
          <w:szCs w:val="18"/>
          <w:color w:val="auto"/>
        </w:rPr>
        <w:t>, shall not exceed 10% of the Maximum Revolver Amount, and (B) after giving effect to such Revolving Loans, the outstanding Revolver Usage (except for and excluding amounts charged to the Loan Account for interest, fees, or Lender</w:t>
      </w:r>
    </w:p>
    <w:p>
      <w:pPr>
        <w:spacing w:after="0" w:line="200" w:lineRule="exact"/>
        <w:rPr>
          <w:sz w:val="20"/>
          <w:szCs w:val="20"/>
          <w:color w:val="auto"/>
        </w:rPr>
      </w:pPr>
    </w:p>
    <w:p>
      <w:pPr>
        <w:spacing w:after="0" w:line="212"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20"/>
          </w:cols>
          <w:pgMar w:left="1440" w:top="825" w:right="239" w:bottom="1440" w:gutter="0" w:footer="0" w:header="0"/>
        </w:sectPr>
      </w:pPr>
    </w:p>
    <w:bookmarkStart w:id="95" w:name="page96"/>
    <w:bookmarkEnd w:id="95"/>
    <w:p>
      <w:pPr>
        <w:jc w:val="both"/>
        <w:spacing w:after="0" w:line="270" w:lineRule="auto"/>
        <w:rPr>
          <w:sz w:val="20"/>
          <w:szCs w:val="20"/>
          <w:color w:val="auto"/>
        </w:rPr>
      </w:pPr>
      <w:r>
        <w:rPr>
          <w:rFonts w:ascii="Arial" w:cs="Arial" w:eastAsia="Arial" w:hAnsi="Arial"/>
          <w:sz w:val="18"/>
          <w:szCs w:val="18"/>
          <w:color w:val="auto"/>
        </w:rPr>
        <w:t xml:space="preserve">Group Expenses) does not exceed the Maximum Revolver Amount. In the event Agent obtains actual knowledge that the Revolver Usage exceeds the amounts permitted by the immediately foregoing provisions, regardless of the amount of, or reason for, such excess, Agent shall notify the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Revolver Commitments thereupon shall, together with Agent, jointly determine the terms of arrangements that shall be implemented with Borrower intended to reduce, within a reasonable time, the outstanding principal amount of the Revolving Loans to Borrower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 which shall continue to be bound by the provisions of </w:t>
      </w:r>
      <w:r>
        <w:rPr>
          <w:rFonts w:ascii="Arial" w:cs="Arial" w:eastAsia="Arial" w:hAnsi="Arial"/>
          <w:sz w:val="18"/>
          <w:szCs w:val="18"/>
          <w:u w:val="single" w:color="auto"/>
          <w:color w:val="auto"/>
        </w:rPr>
        <w:t>Section 2.4(e)(i)</w:t>
      </w:r>
      <w:r>
        <w:rPr>
          <w:rFonts w:ascii="Arial" w:cs="Arial" w:eastAsia="Arial" w:hAnsi="Arial"/>
          <w:sz w:val="18"/>
          <w:szCs w:val="18"/>
          <w:color w:val="auto"/>
        </w:rPr>
        <w:t xml:space="preserve">. Each Lender with a Revolver Commitment shall be obligated to settle with Agent as provided in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as applicable) for the amount of such Lender’s Pro Rata Share of any unintentional Overadvances by Agent reported to such Lender, any intentional Overadvances made as permitted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2.3(d)(ii)</w:t>
      </w:r>
      <w:r>
        <w:rPr>
          <w:rFonts w:ascii="Arial" w:cs="Arial" w:eastAsia="Arial" w:hAnsi="Arial"/>
          <w:sz w:val="18"/>
          <w:szCs w:val="18"/>
          <w:color w:val="auto"/>
        </w:rPr>
        <w:t>, and any Overadvances resulting from the charging to the Loan Account of interest, fees, or Lender Group Expenses.</w:t>
      </w:r>
    </w:p>
    <w:p>
      <w:pPr>
        <w:spacing w:after="0" w:line="170" w:lineRule="exact"/>
        <w:rPr>
          <w:sz w:val="20"/>
          <w:szCs w:val="20"/>
          <w:color w:val="auto"/>
        </w:rPr>
      </w:pPr>
    </w:p>
    <w:p>
      <w:pPr>
        <w:jc w:val="both"/>
        <w:ind w:firstLine="1953"/>
        <w:spacing w:after="0" w:line="276" w:lineRule="auto"/>
        <w:tabs>
          <w:tab w:leader="none" w:pos="2489"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Protective Advance and each Overadvance (each, an “</w:t>
      </w:r>
      <w:r>
        <w:rPr>
          <w:rFonts w:ascii="Arial" w:cs="Arial" w:eastAsia="Arial" w:hAnsi="Arial"/>
          <w:sz w:val="18"/>
          <w:szCs w:val="18"/>
          <w:u w:val="single" w:color="auto"/>
          <w:color w:val="auto"/>
        </w:rPr>
        <w:t>Extraordinary Advance</w:t>
      </w:r>
      <w:r>
        <w:rPr>
          <w:rFonts w:ascii="Arial" w:cs="Arial" w:eastAsia="Arial" w:hAnsi="Arial"/>
          <w:sz w:val="18"/>
          <w:szCs w:val="18"/>
          <w:color w:val="auto"/>
        </w:rPr>
        <w:t xml:space="preserve">”) shall be deemed to be a Revolving Loan denominated in Dollars hereunder, except that no Extraordinary Advance shall be eligible to be a LIBOR Rate Loan and, prior to Settlement therefor, all payments on the Extraordinary Advances shall be payable to Agent solely for its own account. The Extraordinary Advances shall be repayable on demand, secured by Agent’s Liens, constitute Obligations hereunder, and bear interest at the rate applicable from time to time to Revolving Loans denominated in Dollars that are Base Rate Loans. The provisions of this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are for the exclusive benefit of Agent, Swing Lender and the Lenders and are not intended to benefit Borrower (or any other Loan Party) in any way.</w:t>
      </w:r>
    </w:p>
    <w:p>
      <w:pPr>
        <w:spacing w:after="0" w:line="165" w:lineRule="exact"/>
        <w:rPr>
          <w:rFonts w:ascii="Arial" w:cs="Arial" w:eastAsia="Arial" w:hAnsi="Arial"/>
          <w:sz w:val="18"/>
          <w:szCs w:val="18"/>
          <w:color w:val="auto"/>
        </w:rPr>
      </w:pPr>
    </w:p>
    <w:p>
      <w:pPr>
        <w:jc w:val="both"/>
        <w:ind w:firstLine="1953"/>
        <w:spacing w:after="0" w:line="243" w:lineRule="auto"/>
        <w:tabs>
          <w:tab w:leader="none" w:pos="2505"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Notwithstanding anything contained in this Agreement or any other Loan Document to the contrary: (A) no Extraordinary Advance may be made by Agent if such Extraordinary Advance would cause the aggregate principal amount of Extraordinary Advances outstanding to exceed an amount equal to 10% of the Maximum Revolver Amount; and (B) to the extent that the making of any Extraordinary Advance causes the aggregate Revolver Usage to exceed the Maximum Revolver Amount, such portion of such Extraordinary Advance shall be for Agent’s sole and separate account and not for the account of any Lender and shall be entitled to priority in repayment in accordance with </w:t>
      </w:r>
      <w:r>
        <w:rPr>
          <w:rFonts w:ascii="Arial" w:cs="Arial" w:eastAsia="Arial" w:hAnsi="Arial"/>
          <w:sz w:val="20"/>
          <w:szCs w:val="20"/>
          <w:u w:val="single" w:color="auto"/>
          <w:color w:val="auto"/>
        </w:rPr>
        <w:t>Section 2.4(b)</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firstLine="1305"/>
        <w:spacing w:after="0" w:line="262" w:lineRule="auto"/>
        <w:tabs>
          <w:tab w:leader="none" w:pos="1710"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It is agreed that each Lender’s funded portion of the Revolving Loans is intended by the Lenders to equal, at</w:t>
      </w:r>
      <w:r>
        <w:rPr>
          <w:rFonts w:ascii="Arial" w:cs="Arial" w:eastAsia="Arial" w:hAnsi="Arial"/>
          <w:sz w:val="19"/>
          <w:szCs w:val="19"/>
          <w:b w:val="1"/>
          <w:bCs w:val="1"/>
          <w:color w:val="auto"/>
        </w:rPr>
        <w:t xml:space="preserve"> </w:t>
      </w:r>
      <w:r>
        <w:rPr>
          <w:rFonts w:ascii="Arial" w:cs="Arial" w:eastAsia="Arial" w:hAnsi="Arial"/>
          <w:sz w:val="19"/>
          <w:szCs w:val="19"/>
          <w:color w:val="auto"/>
        </w:rPr>
        <w:t>all times, such Lender’s Pro Rata Share of the outstanding Revolving Loans. Such agreement notwithstanding, Agent, Swing Lender, and the other Lenders agree (which agreement shall not be for the benefit of Borrower) that in order to facilitate the administration of this Agreement and the other Loan Documents, settlement among the Lenders as to the Revolving Loans, the Swing Loans, and the Extraordinary Advances shall take place on a periodic basis in accordance with the following provisions:</w:t>
      </w:r>
    </w:p>
    <w:p>
      <w:pPr>
        <w:spacing w:after="0" w:line="177" w:lineRule="exact"/>
        <w:rPr>
          <w:rFonts w:ascii="Arial" w:cs="Arial" w:eastAsia="Arial" w:hAnsi="Arial"/>
          <w:sz w:val="19"/>
          <w:szCs w:val="19"/>
          <w:color w:val="auto"/>
        </w:rPr>
      </w:pPr>
    </w:p>
    <w:p>
      <w:pPr>
        <w:jc w:val="both"/>
        <w:ind w:firstLine="1953"/>
        <w:spacing w:after="0" w:line="250" w:lineRule="auto"/>
        <w:tabs>
          <w:tab w:leader="none" w:pos="231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Agent shall request settlement (“</w:t>
      </w:r>
      <w:r>
        <w:rPr>
          <w:rFonts w:ascii="Arial" w:cs="Arial" w:eastAsia="Arial" w:hAnsi="Arial"/>
          <w:sz w:val="20"/>
          <w:szCs w:val="20"/>
          <w:u w:val="single" w:color="auto"/>
          <w:color w:val="auto"/>
        </w:rPr>
        <w:t>Settlement</w:t>
      </w:r>
      <w:r>
        <w:rPr>
          <w:rFonts w:ascii="Arial" w:cs="Arial" w:eastAsia="Arial" w:hAnsi="Arial"/>
          <w:sz w:val="20"/>
          <w:szCs w:val="20"/>
          <w:color w:val="auto"/>
        </w:rPr>
        <w:t>”) with the Lenders on a weekly basis, or on a more frequent basis if so determined by Agent in its sole discretion (1) on behalf of Swing Lender, with respect to the outstanding Swing Loans, (2) for itself, with respect to the outstanding</w:t>
      </w:r>
    </w:p>
    <w:p>
      <w:pPr>
        <w:spacing w:after="0" w:line="200" w:lineRule="exact"/>
        <w:rPr>
          <w:sz w:val="20"/>
          <w:szCs w:val="20"/>
          <w:color w:val="auto"/>
        </w:rPr>
      </w:pPr>
    </w:p>
    <w:p>
      <w:pPr>
        <w:spacing w:after="0" w:line="229"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25" w:right="239" w:bottom="1440" w:gutter="0" w:footer="0" w:header="0"/>
        </w:sectPr>
      </w:pPr>
    </w:p>
    <w:bookmarkStart w:id="96" w:name="page97"/>
    <w:bookmarkEnd w:id="96"/>
    <w:p>
      <w:pPr>
        <w:jc w:val="both"/>
        <w:spacing w:after="0" w:line="268" w:lineRule="auto"/>
        <w:rPr>
          <w:sz w:val="20"/>
          <w:szCs w:val="20"/>
          <w:color w:val="auto"/>
        </w:rPr>
      </w:pPr>
      <w:r>
        <w:rPr>
          <w:rFonts w:ascii="Arial" w:cs="Arial" w:eastAsia="Arial" w:hAnsi="Arial"/>
          <w:sz w:val="18"/>
          <w:szCs w:val="18"/>
          <w:color w:val="auto"/>
        </w:rPr>
        <w:t>Extraordinary Advances, and (3) with respect to Borrower’s or its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Such notice of a Settlement Date shall include a summary statement of the amount and currency of outstanding Revolving Loans, Swing Loans, and Extraordinary Advances for the period since the prior Settlement Date. Subject to the terms and conditions contained herein (including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2.3(g)</w:t>
      </w:r>
      <w:r>
        <w:rPr>
          <w:rFonts w:ascii="Arial" w:cs="Arial" w:eastAsia="Arial" w:hAnsi="Arial"/>
          <w:sz w:val="18"/>
          <w:szCs w:val="18"/>
          <w:color w:val="auto"/>
        </w:rPr>
        <w:t>): (y) if the amount of the Revolving Loans (including Swing Loans, and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 Loans, and Extraordinary Advances), and (z) if the amount of the Revolving Loans (including Swing Loans, and Extraordinary Advances) made by a Lender is less than such Lender’s Pro Rata Share of the Revolving Loans (including Swing Loans, and Extraordinary Advances) as of a Settlement Date, such Lender shall no later than 12:00 p.m. on the Settlement Date transfer in immediately available funds to Agent’s Account, an amount such that each such Lender shall, upon transfer of such amount, have as of the Settlement Date, its Pro Rata Share of the Revolving Loans (including Swing Loans and Extraordinary Advances). Such amounts made available to Agent under clause (z) of the immediately preceding sentence shall be applied against the amounts of the applicable Swing Loans or Extraordinary Advances and, together with the portion of such Swing Loans or Extraordinary Advances representing Swing Lender’s Pro Rata Share thereof, shall constitute Revolving Loans of such Lenders which are denominated in Dollars.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185" w:lineRule="exact"/>
        <w:rPr>
          <w:sz w:val="20"/>
          <w:szCs w:val="20"/>
          <w:color w:val="auto"/>
        </w:rPr>
      </w:pPr>
    </w:p>
    <w:p>
      <w:pPr>
        <w:jc w:val="both"/>
        <w:ind w:firstLine="1953"/>
        <w:spacing w:after="0" w:line="282" w:lineRule="auto"/>
        <w:tabs>
          <w:tab w:leader="none" w:pos="23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determining whether a Lender’s balance of the Revolving Loans, Swing Loans, and Extraordinary Advances is less than, equal to, or greater than such Lender’s Pro Rata Share of the Revolving Loans, Swing Loans, and Extraordinary Advances as of a Settlement Date, Agent shall, as part of the relevant Settlement, apply to such balance the portion of payments actually received in good funds by Agent with respect to principal, interest, fees payable by Borrower and allocable to the Lenders hereunder, and proceeds of Collateral.</w:t>
      </w:r>
    </w:p>
    <w:p>
      <w:pPr>
        <w:spacing w:after="0" w:line="161" w:lineRule="exact"/>
        <w:rPr>
          <w:rFonts w:ascii="Arial" w:cs="Arial" w:eastAsia="Arial" w:hAnsi="Arial"/>
          <w:sz w:val="18"/>
          <w:szCs w:val="18"/>
          <w:color w:val="auto"/>
        </w:rPr>
      </w:pPr>
    </w:p>
    <w:p>
      <w:pPr>
        <w:jc w:val="both"/>
        <w:ind w:firstLine="1953"/>
        <w:spacing w:after="0" w:line="270" w:lineRule="auto"/>
        <w:tabs>
          <w:tab w:leader="none" w:pos="24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Swing Lender any payments or other amounts received by Agent, that in accordance with the terms of this Agreement would be applied to the reduction of the Revolving Loans, for application to Swing Lender’s Pro Rata Share of the Revolving Loans. If, as of any Settlement Date, payments or other amounts of Borrower or its Subsidiaries received since the then immediately preceding Settlement Date have been applied to Swing Lender’s Pro Rata Share of the Revolving Loans other than to Swing Loans, as provided for in the previous sentence, Swing Lender shall pay to Agent for the accounts of the Lenders, and Agent shall pay to the Lenders (other than a Defaulting Lender if Agent has implemented the provisions of </w:t>
      </w:r>
      <w:r>
        <w:rPr>
          <w:rFonts w:ascii="Arial" w:cs="Arial" w:eastAsia="Arial" w:hAnsi="Arial"/>
          <w:sz w:val="18"/>
          <w:szCs w:val="18"/>
          <w:u w:val="single" w:color="auto"/>
          <w:color w:val="auto"/>
        </w:rPr>
        <w:t>Section 2.3(g)</w:t>
      </w:r>
      <w:r>
        <w:rPr>
          <w:rFonts w:ascii="Arial" w:cs="Arial" w:eastAsia="Arial" w:hAnsi="Arial"/>
          <w:sz w:val="18"/>
          <w:szCs w:val="18"/>
          <w:color w:val="auto"/>
        </w:rPr>
        <w:t>), to be applied to the outstanding Revolving Loans of such Lenders, an amount such that each such Lender shall, upon receipt of such amount, have, as of such Settlement Date, its Pro Rata Share of the Revolving Loans. During the period between Settlement Dates, Swing Lender with respect to Swing Loans, Agent with respect to</w:t>
      </w:r>
    </w:p>
    <w:p>
      <w:pPr>
        <w:spacing w:after="0" w:line="200" w:lineRule="exact"/>
        <w:rPr>
          <w:sz w:val="20"/>
          <w:szCs w:val="20"/>
          <w:color w:val="auto"/>
        </w:rPr>
      </w:pPr>
    </w:p>
    <w:p>
      <w:pPr>
        <w:spacing w:after="0" w:line="220"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25" w:right="2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0"/>
          <w:szCs w:val="20"/>
          <w:color w:val="auto"/>
        </w:rPr>
        <w:t>Extraordinary Advances, and each Lender with respect to the Revolving Loans other than Swing Loans and Extraordinary Advances, shall be entitled to interest at the applicable rate or rates payable under this Agreement on the daily amount of funds employed by Swing Lender, Agent, or the Lenders, as applicable.</w:t>
      </w:r>
    </w:p>
    <w:p>
      <w:pPr>
        <w:spacing w:after="0" w:line="186" w:lineRule="exact"/>
        <w:rPr>
          <w:sz w:val="20"/>
          <w:szCs w:val="20"/>
          <w:color w:val="auto"/>
        </w:rPr>
      </w:pPr>
    </w:p>
    <w:p>
      <w:pPr>
        <w:jc w:val="both"/>
        <w:ind w:firstLine="1953"/>
        <w:spacing w:after="0" w:line="250" w:lineRule="auto"/>
        <w:tabs>
          <w:tab w:leader="none" w:pos="2411" w:val="left"/>
        </w:tabs>
        <w:numPr>
          <w:ilvl w:val="1"/>
          <w:numId w:val="57"/>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Arial" w:cs="Arial" w:eastAsia="Arial" w:hAnsi="Arial"/>
          <w:sz w:val="20"/>
          <w:szCs w:val="20"/>
          <w:u w:val="single" w:color="auto"/>
          <w:color w:val="auto"/>
        </w:rPr>
        <w:t>Section 2.3(g)</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jc w:val="both"/>
        <w:ind w:firstLine="1305"/>
        <w:spacing w:after="0" w:line="248" w:lineRule="auto"/>
        <w:tabs>
          <w:tab w:leader="none" w:pos="1742"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Notation</w:t>
      </w:r>
      <w:r>
        <w:rPr>
          <w:rFonts w:ascii="Arial" w:cs="Arial" w:eastAsia="Arial" w:hAnsi="Arial"/>
          <w:sz w:val="20"/>
          <w:szCs w:val="20"/>
          <w:color w:val="auto"/>
        </w:rPr>
        <w:t>. Agent, as a non-fiduciary agent for Borrower, shall maintain a register showing the principal amount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Revolving Loans owing to each Lender, including the Swing Loans owing to Swing Lender, and Extraordinary Advances owing to Agent, and the interests therein of each Lender, from time to time and such register shall, absent manifest error, conclusively be presumed to be correct and accurate.</w:t>
      </w:r>
    </w:p>
    <w:p>
      <w:pPr>
        <w:spacing w:after="0" w:line="183" w:lineRule="exact"/>
        <w:rPr>
          <w:rFonts w:ascii="Arial" w:cs="Arial" w:eastAsia="Arial" w:hAnsi="Arial"/>
          <w:sz w:val="20"/>
          <w:szCs w:val="20"/>
          <w:color w:val="auto"/>
        </w:rPr>
      </w:pPr>
    </w:p>
    <w:p>
      <w:pPr>
        <w:ind w:left="1720" w:hanging="415"/>
        <w:spacing w:after="0"/>
        <w:tabs>
          <w:tab w:leader="none" w:pos="172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Defaulting Lenders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3"/>
        <w:spacing w:after="0" w:line="268" w:lineRule="auto"/>
        <w:tabs>
          <w:tab w:leader="none" w:pos="2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2.4(b)(ii)</w:t>
      </w:r>
      <w:r>
        <w:rPr>
          <w:rFonts w:ascii="Arial" w:cs="Arial" w:eastAsia="Arial" w:hAnsi="Arial"/>
          <w:sz w:val="18"/>
          <w:szCs w:val="18"/>
          <w:color w:val="auto"/>
        </w:rPr>
        <w:t xml:space="preserve">, Agent shall not be obligated to transfer to a Defaulting Lender any payments made by Borrower to Agent for the Defaulting Lender’s benefit or any proceeds of Collateral that would otherwise be remitted hereunder to the Defaulting Lender, and, in the absence of such transfer to the Defaulting Lender, Agent shall transfer any such payments (A) first, to Swing Lender to the extent of any Swing Loans that were made by Swing Lender and that were required to be, but were not, paid by the Defaulting Lender, (B) second, to Issuing Bank, to the extent of the portion of a Letter of Credit Disbursement that was required to be, but was not, paid by the Defaulting Lender, (C) third, to each Non-Defaulting Lender ratably in accordance with their Commitments (but, in each case, only to the extent that such Defaulting Lender’s portion of a Revolving Loan (or other funding obligation) was funded by such other Non-Defaulting Lender), (D) to a suspense account maintained by Agent, the proceeds of which shall be retained by Agent and may be made available to be re-advanced to or for the benefit of Borrower (upon the request of Borrower and subject to the conditions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as if such Defaulting Lender had made its portion of Revolving Loans (or other funding obligations) hereunder, and (E) from and after the date on which all other Obligations have been paid in full, to such Defaulting Lender in accordance with tier (L) of </w:t>
      </w:r>
      <w:r>
        <w:rPr>
          <w:rFonts w:ascii="Arial" w:cs="Arial" w:eastAsia="Arial" w:hAnsi="Arial"/>
          <w:sz w:val="18"/>
          <w:szCs w:val="18"/>
          <w:u w:val="single" w:color="auto"/>
          <w:color w:val="auto"/>
        </w:rPr>
        <w:t>Section 2.4(b)(ii)</w:t>
      </w:r>
      <w:r>
        <w:rPr>
          <w:rFonts w:ascii="Arial" w:cs="Arial" w:eastAsia="Arial" w:hAnsi="Arial"/>
          <w:sz w:val="18"/>
          <w:szCs w:val="18"/>
          <w:color w:val="auto"/>
        </w:rPr>
        <w:t xml:space="preserve">. Subject to the foregoing, Agent may hold and, in its discretion, re-lend to Borrower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such Defaulting Lender shall be deemed not to be a “Lender” and such Lender’s Commitment shall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remain effective with respect to such Defaulting Lender until the earlier of (y) the date on which all of the Non-Defaulting Lenders, Agent, Issuing Bank, and Borrower shall have waived, in writing, the application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2.3(g)(ii)</w:t>
      </w:r>
      <w:r>
        <w:rPr>
          <w:rFonts w:ascii="Arial" w:cs="Arial" w:eastAsia="Arial" w:hAnsi="Arial"/>
          <w:sz w:val="18"/>
          <w:szCs w:val="18"/>
          <w:color w:val="auto"/>
        </w:rPr>
        <w:t xml:space="preserve"> shall be released to Borrower). The operation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Borrower of its</w:t>
      </w:r>
    </w:p>
    <w:p>
      <w:pPr>
        <w:spacing w:after="0" w:line="200" w:lineRule="exact"/>
        <w:rPr>
          <w:sz w:val="20"/>
          <w:szCs w:val="20"/>
          <w:color w:val="auto"/>
        </w:rPr>
      </w:pPr>
    </w:p>
    <w:p>
      <w:pPr>
        <w:spacing w:after="0" w:line="221"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25" w:right="239" w:bottom="1440" w:gutter="0" w:footer="0" w:header="0"/>
        </w:sectPr>
      </w:pPr>
    </w:p>
    <w:bookmarkStart w:id="98" w:name="page99"/>
    <w:bookmarkEnd w:id="98"/>
    <w:p>
      <w:pPr>
        <w:jc w:val="both"/>
        <w:spacing w:after="0" w:line="270" w:lineRule="auto"/>
        <w:rPr>
          <w:sz w:val="20"/>
          <w:szCs w:val="20"/>
          <w:color w:val="auto"/>
        </w:rPr>
      </w:pPr>
      <w:r>
        <w:rPr>
          <w:rFonts w:ascii="Arial" w:cs="Arial" w:eastAsia="Arial" w:hAnsi="Arial"/>
          <w:sz w:val="18"/>
          <w:szCs w:val="18"/>
          <w:color w:val="auto"/>
        </w:rPr>
        <w:t xml:space="preserve">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 at its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control and govern.</w:t>
      </w:r>
    </w:p>
    <w:p>
      <w:pPr>
        <w:spacing w:after="0" w:line="170" w:lineRule="exact"/>
        <w:rPr>
          <w:sz w:val="20"/>
          <w:szCs w:val="20"/>
          <w:color w:val="auto"/>
        </w:rPr>
      </w:pPr>
    </w:p>
    <w:p>
      <w:pPr>
        <w:ind w:left="2380" w:hanging="427"/>
        <w:spacing w:after="0"/>
        <w:tabs>
          <w:tab w:leader="none" w:pos="2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Swing Loan or Letter of Credit is outstanding at the time that a Lender becomes a Defaulting Lender then:</w:t>
      </w:r>
    </w:p>
    <w:p>
      <w:pPr>
        <w:spacing w:after="0" w:line="238" w:lineRule="exact"/>
        <w:rPr>
          <w:rFonts w:ascii="Arial" w:cs="Arial" w:eastAsia="Arial" w:hAnsi="Arial"/>
          <w:sz w:val="18"/>
          <w:szCs w:val="18"/>
          <w:color w:val="auto"/>
        </w:rPr>
      </w:pPr>
    </w:p>
    <w:p>
      <w:pPr>
        <w:jc w:val="both"/>
        <w:ind w:firstLine="2601"/>
        <w:spacing w:after="0" w:line="282" w:lineRule="auto"/>
        <w:tabs>
          <w:tab w:leader="none" w:pos="3169"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such Defaulting Lender’s Swing Loan Exposure and Letter of Credit Exposure shall be reallocated among the Non-Defaulting Lenders in accordance with their respective Pro Rata Shares but only to the extent (x) the sum of all Non-Defaulting Lenders’ Revolving Loan Exposures plus such Defaulting Lender’s Swing Loan Exposure and Letter of Credit Exposure does not exceed the total of all Non-Defaulting Lenders’ Revolver Commitments and (y) the conditions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are satisfied at such time;</w:t>
      </w:r>
    </w:p>
    <w:p>
      <w:pPr>
        <w:spacing w:after="0" w:line="161" w:lineRule="exact"/>
        <w:rPr>
          <w:rFonts w:ascii="Arial" w:cs="Arial" w:eastAsia="Arial" w:hAnsi="Arial"/>
          <w:sz w:val="18"/>
          <w:szCs w:val="18"/>
          <w:color w:val="auto"/>
        </w:rPr>
      </w:pPr>
    </w:p>
    <w:p>
      <w:pPr>
        <w:jc w:val="both"/>
        <w:ind w:firstLine="2601"/>
        <w:spacing w:after="0" w:line="276" w:lineRule="auto"/>
        <w:tabs>
          <w:tab w:leader="none" w:pos="30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(A) above cannot, or can only partially, be effected, Borrower shall within one Business Day following notice by the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 collateral agreement to be entered into in form and substance reasonably satisfactory to the Agent, for so long as such Letter of Credit Exposure is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 shall not be obligated to cash collateralize any Defaulting Lender’s Letter of Credit Exposure if such Defaulting Lender is also the Issuing Bank;</w:t>
      </w:r>
    </w:p>
    <w:p>
      <w:pPr>
        <w:spacing w:after="0" w:line="165" w:lineRule="exact"/>
        <w:rPr>
          <w:rFonts w:ascii="Arial" w:cs="Arial" w:eastAsia="Arial" w:hAnsi="Arial"/>
          <w:sz w:val="18"/>
          <w:szCs w:val="18"/>
          <w:color w:val="auto"/>
        </w:rPr>
      </w:pPr>
    </w:p>
    <w:p>
      <w:pPr>
        <w:jc w:val="both"/>
        <w:ind w:right="20" w:firstLine="2601"/>
        <w:spacing w:after="0" w:line="246" w:lineRule="auto"/>
        <w:tabs>
          <w:tab w:leader="none" w:pos="3185"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if Borrower cash collateralizes any portion of such Defaulting Lender’s Letter of Credit Exposure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Borrower shall not be required to pay any Letter of Credit Fees to Agent for the account of such Defaulting Lender pursuant to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with respect to such cash collateralized portion of such Defaulting Lender’s Letter of Credit Exposure during the period such Letter of Credit Exposure is cash collateralized;</w:t>
      </w:r>
    </w:p>
    <w:p>
      <w:pPr>
        <w:spacing w:after="0" w:line="191" w:lineRule="exact"/>
        <w:rPr>
          <w:rFonts w:ascii="Arial" w:cs="Arial" w:eastAsia="Arial" w:hAnsi="Arial"/>
          <w:sz w:val="20"/>
          <w:szCs w:val="20"/>
          <w:color w:val="auto"/>
        </w:rPr>
      </w:pPr>
    </w:p>
    <w:p>
      <w:pPr>
        <w:jc w:val="both"/>
        <w:ind w:firstLine="2601"/>
        <w:spacing w:after="0" w:line="250" w:lineRule="auto"/>
        <w:tabs>
          <w:tab w:leader="none" w:pos="3075"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to the extent the Letter of Credit Exposure of the Non-Defaulting Lenders is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then the Letter of Credit Fees payable to the Non-Defaulting Lenders pursuant to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shall be adjusted in accordance with such Non-Defaulting Lenders’ Letter of Credit Exposure;</w:t>
      </w:r>
    </w:p>
    <w:p>
      <w:pPr>
        <w:spacing w:after="0" w:line="200" w:lineRule="exact"/>
        <w:rPr>
          <w:sz w:val="20"/>
          <w:szCs w:val="20"/>
          <w:color w:val="auto"/>
        </w:rPr>
      </w:pPr>
    </w:p>
    <w:p>
      <w:pPr>
        <w:spacing w:after="0" w:line="22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25" w:right="239" w:bottom="1440" w:gutter="0" w:footer="0" w:header="0"/>
        </w:sectPr>
      </w:pPr>
    </w:p>
    <w:bookmarkStart w:id="99" w:name="page100"/>
    <w:bookmarkEnd w:id="99"/>
    <w:p>
      <w:pPr>
        <w:jc w:val="both"/>
        <w:ind w:left="-8" w:firstLine="2601"/>
        <w:spacing w:after="0" w:line="244" w:lineRule="auto"/>
        <w:tabs>
          <w:tab w:leader="none" w:pos="3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to the extent any Defaulting Lender’s Letter of Credit Exposure is neither cash collateralized nor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then, without prejudice to any rights or remedies of the Issuing Bank or any Lender hereunder, all Letter of Credit Fees that would have otherwise been payable to such Defaulting Lender under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with respect to such portion of such Letter of Credit Exposure shall instead be payable to the Issuing Bank until such portion of such Defaulting Lender’s Letter of Credit Exposure is cash collateralized or reallocated;</w:t>
      </w:r>
    </w:p>
    <w:p>
      <w:pPr>
        <w:spacing w:after="0" w:line="194" w:lineRule="exact"/>
        <w:rPr>
          <w:rFonts w:ascii="Arial" w:cs="Arial" w:eastAsia="Arial" w:hAnsi="Arial"/>
          <w:sz w:val="20"/>
          <w:szCs w:val="20"/>
          <w:color w:val="auto"/>
        </w:rPr>
      </w:pPr>
    </w:p>
    <w:p>
      <w:pPr>
        <w:jc w:val="both"/>
        <w:ind w:left="-8" w:firstLine="2601"/>
        <w:spacing w:after="0" w:line="243" w:lineRule="auto"/>
        <w:tabs>
          <w:tab w:leader="none" w:pos="30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so long as any Lender is a Defaulting Lender, the Swing Lender shall not be required to make any Swing Loan and the Issuing Bank shall not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or (y) the Swing Lender or Issuing Bank, as applicable, has not otherwise entered into arrangements reasonably satisfactory to the Swing Lender or Issuing Bank, as applicable, and Borrower to eliminate the Swing Lender’s or Issuing Bank’s risk with respect to the Defaulting Lender’s participation in Swing Loans or Letters of Credit; and</w:t>
      </w:r>
    </w:p>
    <w:p>
      <w:pPr>
        <w:spacing w:after="0" w:line="196" w:lineRule="exact"/>
        <w:rPr>
          <w:rFonts w:ascii="Arial" w:cs="Arial" w:eastAsia="Arial" w:hAnsi="Arial"/>
          <w:sz w:val="20"/>
          <w:szCs w:val="20"/>
          <w:color w:val="auto"/>
        </w:rPr>
      </w:pPr>
    </w:p>
    <w:p>
      <w:pPr>
        <w:jc w:val="both"/>
        <w:ind w:left="-8" w:firstLine="2601"/>
        <w:spacing w:after="0" w:line="250" w:lineRule="auto"/>
        <w:tabs>
          <w:tab w:leader="none" w:pos="3107"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Agent may release any cash collateral provided by Borrower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to the Issuing Bank and the Issuing Bank may apply any such cash collateral to the payment of such Defaulting Lender’s Pro Rata Share of any Letter of Credit Disbursement that is not reimbursed by Borrower pursuant to </w:t>
      </w:r>
      <w:r>
        <w:rPr>
          <w:rFonts w:ascii="Arial" w:cs="Arial" w:eastAsia="Arial" w:hAnsi="Arial"/>
          <w:sz w:val="20"/>
          <w:szCs w:val="20"/>
          <w:u w:val="single" w:color="auto"/>
          <w:color w:val="auto"/>
        </w:rPr>
        <w:t>Section 2.11(d)</w:t>
      </w:r>
      <w:r>
        <w:rPr>
          <w:rFonts w:ascii="Arial" w:cs="Arial" w:eastAsia="Arial" w:hAnsi="Arial"/>
          <w:sz w:val="20"/>
          <w:szCs w:val="20"/>
          <w:color w:val="auto"/>
        </w:rPr>
        <w:t>.</w:t>
      </w:r>
    </w:p>
    <w:p>
      <w:pPr>
        <w:spacing w:after="0" w:line="180" w:lineRule="exact"/>
        <w:rPr>
          <w:sz w:val="20"/>
          <w:szCs w:val="20"/>
          <w:color w:val="auto"/>
        </w:rPr>
      </w:pPr>
    </w:p>
    <w:p>
      <w:pPr>
        <w:jc w:val="both"/>
        <w:ind w:left="-8" w:firstLine="1305"/>
        <w:spacing w:after="0" w:line="272" w:lineRule="auto"/>
        <w:tabs>
          <w:tab w:leader="none" w:pos="1713"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Independent Obligations</w:t>
      </w:r>
      <w:r>
        <w:rPr>
          <w:rFonts w:ascii="Arial" w:cs="Arial" w:eastAsia="Arial" w:hAnsi="Arial"/>
          <w:sz w:val="18"/>
          <w:szCs w:val="18"/>
          <w:color w:val="auto"/>
        </w:rPr>
        <w:t>. All Revolving Loans (other than Swing Loans and Extraordinary Advances) shall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w:t>
      </w:r>
    </w:p>
    <w:p>
      <w:pPr>
        <w:spacing w:after="0" w:line="2" w:lineRule="exact"/>
        <w:rPr>
          <w:rFonts w:ascii="Arial" w:cs="Arial" w:eastAsia="Arial" w:hAnsi="Arial"/>
          <w:sz w:val="18"/>
          <w:szCs w:val="18"/>
          <w:color w:val="auto"/>
        </w:rPr>
      </w:pPr>
    </w:p>
    <w:p>
      <w:pPr>
        <w:ind w:left="292" w:hanging="292"/>
        <w:spacing w:after="0"/>
        <w:tabs>
          <w:tab w:leader="none" w:pos="292"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failure by any Lender to perform its obligations hereunder shall excuse any other Lender from its obligations hereunder.</w:t>
      </w:r>
    </w:p>
    <w:p>
      <w:pPr>
        <w:spacing w:after="0" w:line="194" w:lineRule="exact"/>
        <w:rPr>
          <w:sz w:val="20"/>
          <w:szCs w:val="20"/>
          <w:color w:val="auto"/>
        </w:rPr>
      </w:pPr>
    </w:p>
    <w:p>
      <w:pPr>
        <w:ind w:left="652"/>
        <w:spacing w:after="0"/>
        <w:tabs>
          <w:tab w:leader="none" w:pos="1052"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b w:val="1"/>
          <w:bCs w:val="1"/>
          <w:u w:val="single" w:color="auto"/>
          <w:color w:val="auto"/>
        </w:rPr>
        <w:t>Payments; Reductions of Commitments; Prepayments</w:t>
      </w:r>
      <w:r>
        <w:rPr>
          <w:rFonts w:ascii="Arial" w:cs="Arial" w:eastAsia="Arial" w:hAnsi="Arial"/>
          <w:sz w:val="16"/>
          <w:szCs w:val="16"/>
          <w:u w:val="single" w:color="auto"/>
          <w:color w:val="auto"/>
        </w:rPr>
        <w:t>.</w:t>
      </w:r>
    </w:p>
    <w:p>
      <w:pPr>
        <w:spacing w:after="0" w:line="216" w:lineRule="exact"/>
        <w:rPr>
          <w:sz w:val="20"/>
          <w:szCs w:val="20"/>
          <w:color w:val="auto"/>
        </w:rPr>
      </w:pPr>
    </w:p>
    <w:p>
      <w:pPr>
        <w:ind w:left="1692" w:hanging="395"/>
        <w:spacing w:after="0"/>
        <w:tabs>
          <w:tab w:leader="none" w:pos="1692"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Payments by Borrower</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8" w:right="20" w:firstLine="1953"/>
        <w:spacing w:after="0" w:line="328" w:lineRule="auto"/>
        <w:tabs>
          <w:tab w:leader="none" w:pos="2344" w:val="left"/>
        </w:tabs>
        <w:numPr>
          <w:ilvl w:val="1"/>
          <w:numId w:val="63"/>
        </w:numPr>
        <w:rPr>
          <w:rFonts w:ascii="Arial" w:cs="Arial" w:eastAsia="Arial" w:hAnsi="Arial"/>
          <w:sz w:val="16"/>
          <w:szCs w:val="16"/>
          <w:color w:val="auto"/>
        </w:rPr>
      </w:pPr>
      <w:r>
        <w:rPr>
          <w:rFonts w:ascii="Arial" w:cs="Arial" w:eastAsia="Arial" w:hAnsi="Arial"/>
          <w:sz w:val="16"/>
          <w:szCs w:val="16"/>
          <w:color w:val="auto"/>
        </w:rPr>
        <w:t>Except as otherwise expressly provided herein, all payments by Borrower shall be made to Agent’s Account for the account of the Lender Group and shall be made in immediately available funds, no later than 1:30 p.m. on the date specified herein. Any payment received by Agent later than 1:30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128" w:lineRule="exact"/>
        <w:rPr>
          <w:rFonts w:ascii="Arial" w:cs="Arial" w:eastAsia="Arial" w:hAnsi="Arial"/>
          <w:sz w:val="16"/>
          <w:szCs w:val="16"/>
          <w:color w:val="auto"/>
        </w:rPr>
      </w:pPr>
    </w:p>
    <w:p>
      <w:pPr>
        <w:jc w:val="both"/>
        <w:ind w:left="-8" w:firstLine="1953"/>
        <w:spacing w:after="0" w:line="243" w:lineRule="auto"/>
        <w:tabs>
          <w:tab w:leader="none" w:pos="2399" w:val="left"/>
        </w:tabs>
        <w:numPr>
          <w:ilvl w:val="1"/>
          <w:numId w:val="63"/>
        </w:numPr>
        <w:rPr>
          <w:rFonts w:ascii="Arial" w:cs="Arial" w:eastAsia="Arial" w:hAnsi="Arial"/>
          <w:sz w:val="20"/>
          <w:szCs w:val="20"/>
          <w:color w:val="auto"/>
        </w:rPr>
      </w:pPr>
      <w:r>
        <w:rPr>
          <w:rFonts w:ascii="Arial" w:cs="Arial" w:eastAsia="Arial" w:hAnsi="Arial"/>
          <w:sz w:val="20"/>
          <w:szCs w:val="20"/>
          <w:color w:val="auto"/>
        </w:rPr>
        <w:t>Unless Agent receives notice from Borrower prior to the date on which any payment is due to the Lenders that Borrower will not make such payment in full as and when required, Agent may assume that Borrower has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 does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200" w:lineRule="exact"/>
        <w:rPr>
          <w:sz w:val="20"/>
          <w:szCs w:val="20"/>
          <w:color w:val="auto"/>
        </w:rPr>
      </w:pPr>
    </w:p>
    <w:p>
      <w:pPr>
        <w:spacing w:after="0" w:line="236" w:lineRule="exact"/>
        <w:rPr>
          <w:sz w:val="20"/>
          <w:szCs w:val="20"/>
          <w:color w:val="auto"/>
        </w:rPr>
      </w:pPr>
    </w:p>
    <w:p>
      <w:pPr>
        <w:ind w:left="77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12"/>
          </w:cols>
          <w:pgMar w:left="248" w:top="825" w:right="239" w:bottom="1440" w:gutter="0" w:footer="0" w:header="0"/>
        </w:sectPr>
      </w:pPr>
    </w:p>
    <w:bookmarkStart w:id="100" w:name="page101"/>
    <w:bookmarkEnd w:id="100"/>
    <w:p>
      <w:pPr>
        <w:jc w:val="both"/>
        <w:ind w:firstLine="1953"/>
        <w:spacing w:after="0" w:line="260" w:lineRule="auto"/>
        <w:tabs>
          <w:tab w:leader="none" w:pos="2435" w:val="left"/>
        </w:tabs>
        <w:numPr>
          <w:ilvl w:val="1"/>
          <w:numId w:val="64"/>
        </w:numPr>
        <w:rPr>
          <w:rFonts w:ascii="Arial" w:cs="Arial" w:eastAsia="Arial" w:hAnsi="Arial"/>
          <w:sz w:val="19"/>
          <w:szCs w:val="19"/>
          <w:color w:val="auto"/>
        </w:rPr>
      </w:pPr>
      <w:r>
        <w:rPr>
          <w:rFonts w:ascii="Arial" w:cs="Arial" w:eastAsia="Arial" w:hAnsi="Arial"/>
          <w:sz w:val="19"/>
          <w:szCs w:val="19"/>
          <w:color w:val="auto"/>
        </w:rPr>
        <w:t>All payments in respect of the Obligations denominated in a currency other than Dollars shall be applied first to Obligations denominated in the same currency as the payments received and second to the Obligations denominated in the other currencies, if any; provided, that, Agent may, at its option (but is not obligated to), convert such currency received to the currency in which the Obligations are denominated at the Exchange Rate calculated by Agent in good faith on such date and Borrower shall pay the costs of such conversion (or Agent may, at its option, charge such costs to the loan account of Borrower maintained by Agent).</w:t>
      </w:r>
    </w:p>
    <w:p>
      <w:pPr>
        <w:spacing w:after="0" w:line="180" w:lineRule="exact"/>
        <w:rPr>
          <w:rFonts w:ascii="Arial" w:cs="Arial" w:eastAsia="Arial" w:hAnsi="Arial"/>
          <w:sz w:val="19"/>
          <w:szCs w:val="19"/>
          <w:color w:val="auto"/>
        </w:rPr>
      </w:pPr>
    </w:p>
    <w:p>
      <w:pPr>
        <w:jc w:val="both"/>
        <w:ind w:firstLine="1953"/>
        <w:spacing w:after="0" w:line="250" w:lineRule="auto"/>
        <w:tabs>
          <w:tab w:leader="none" w:pos="2438" w:val="left"/>
        </w:tabs>
        <w:numPr>
          <w:ilvl w:val="1"/>
          <w:numId w:val="64"/>
        </w:numPr>
        <w:rPr>
          <w:rFonts w:ascii="Arial" w:cs="Arial" w:eastAsia="Arial" w:hAnsi="Arial"/>
          <w:sz w:val="20"/>
          <w:szCs w:val="20"/>
          <w:color w:val="auto"/>
        </w:rPr>
      </w:pPr>
      <w:r>
        <w:rPr>
          <w:rFonts w:ascii="Arial" w:cs="Arial" w:eastAsia="Arial" w:hAnsi="Arial"/>
          <w:sz w:val="20"/>
          <w:szCs w:val="20"/>
          <w:color w:val="auto"/>
        </w:rPr>
        <w:t>Unless Agent otherwise agrees in writing, all payments of the Obligations shall be made with the Loan Parties’ own funds (including, without limitation, with proceeds of Collateral constituting assets of the Loan Parties and with funds of the Loan Parties representing the repayment of any Permitted Intercompany Advances made by the Loan Parties).</w:t>
      </w:r>
    </w:p>
    <w:p>
      <w:pPr>
        <w:spacing w:after="0" w:line="180" w:lineRule="exact"/>
        <w:rPr>
          <w:rFonts w:ascii="Arial" w:cs="Arial" w:eastAsia="Arial" w:hAnsi="Arial"/>
          <w:sz w:val="20"/>
          <w:szCs w:val="20"/>
          <w:color w:val="auto"/>
        </w:rPr>
      </w:pPr>
    </w:p>
    <w:p>
      <w:pPr>
        <w:ind w:left="1720" w:hanging="415"/>
        <w:spacing w:after="0"/>
        <w:tabs>
          <w:tab w:leader="none" w:pos="172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Apportionment and Application</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firstLine="1953"/>
        <w:spacing w:after="0" w:line="303" w:lineRule="auto"/>
        <w:tabs>
          <w:tab w:leader="none" w:pos="27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 Subject to </w:t>
      </w:r>
      <w:r>
        <w:rPr>
          <w:rFonts w:ascii="Arial" w:cs="Arial" w:eastAsia="Arial" w:hAnsi="Arial"/>
          <w:sz w:val="18"/>
          <w:szCs w:val="18"/>
          <w:u w:val="single" w:color="auto"/>
          <w:color w:val="auto"/>
        </w:rPr>
        <w:t>Section 2.4(b)(iv)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2.4(e)</w:t>
      </w:r>
      <w:r>
        <w:rPr>
          <w:rFonts w:ascii="Arial" w:cs="Arial" w:eastAsia="Arial" w:hAnsi="Arial"/>
          <w:sz w:val="18"/>
          <w:szCs w:val="18"/>
          <w:color w:val="auto"/>
        </w:rPr>
        <w:t>, all payments to be made hereunder by Borrower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 (to be wired to the Designated Account) or such other Person entitled thereto under applicable law.</w:t>
      </w:r>
    </w:p>
    <w:p>
      <w:pPr>
        <w:spacing w:after="0" w:line="173" w:lineRule="exact"/>
        <w:rPr>
          <w:rFonts w:ascii="Arial" w:cs="Arial" w:eastAsia="Arial" w:hAnsi="Arial"/>
          <w:sz w:val="18"/>
          <w:szCs w:val="18"/>
          <w:color w:val="auto"/>
        </w:rPr>
      </w:pPr>
    </w:p>
    <w:p>
      <w:pPr>
        <w:jc w:val="both"/>
        <w:ind w:firstLine="1953"/>
        <w:spacing w:after="0" w:line="278" w:lineRule="auto"/>
        <w:tabs>
          <w:tab w:leader="none" w:pos="2835" w:val="left"/>
        </w:tabs>
        <w:numPr>
          <w:ilvl w:val="1"/>
          <w:numId w:val="65"/>
        </w:numPr>
        <w:rPr>
          <w:rFonts w:ascii="Arial" w:cs="Arial" w:eastAsia="Arial" w:hAnsi="Arial"/>
          <w:sz w:val="20"/>
          <w:szCs w:val="20"/>
          <w:color w:val="auto"/>
        </w:rPr>
      </w:pPr>
      <w:r>
        <w:rPr>
          <w:rFonts w:ascii="Arial" w:cs="Arial" w:eastAsia="Arial" w:hAnsi="Arial"/>
          <w:sz w:val="20"/>
          <w:szCs w:val="20"/>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73" w:lineRule="exact"/>
        <w:rPr>
          <w:rFonts w:ascii="Arial" w:cs="Arial" w:eastAsia="Arial" w:hAnsi="Arial"/>
          <w:sz w:val="20"/>
          <w:szCs w:val="20"/>
          <w:color w:val="auto"/>
        </w:rPr>
      </w:pPr>
    </w:p>
    <w:p>
      <w:pPr>
        <w:ind w:firstLine="2601"/>
        <w:spacing w:after="0" w:line="260" w:lineRule="auto"/>
        <w:tabs>
          <w:tab w:leader="none" w:pos="3061" w:val="left"/>
        </w:tabs>
        <w:numPr>
          <w:ilvl w:val="2"/>
          <w:numId w:val="65"/>
        </w:numPr>
        <w:rPr>
          <w:rFonts w:ascii="Arial" w:cs="Arial" w:eastAsia="Arial" w:hAnsi="Arial"/>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 any Lender Group Expenses (including cost or expense reimbursements) or indemnities then due to Agent under the Loan Documents, until paid in full,</w:t>
      </w:r>
    </w:p>
    <w:p>
      <w:pPr>
        <w:spacing w:after="0" w:line="176" w:lineRule="exact"/>
        <w:rPr>
          <w:rFonts w:ascii="Arial" w:cs="Arial" w:eastAsia="Arial" w:hAnsi="Arial"/>
          <w:sz w:val="20"/>
          <w:szCs w:val="20"/>
          <w:color w:val="auto"/>
        </w:rPr>
      </w:pPr>
    </w:p>
    <w:p>
      <w:pPr>
        <w:ind w:left="3040" w:hanging="439"/>
        <w:spacing w:after="0"/>
        <w:tabs>
          <w:tab w:leader="none" w:pos="3040" w:val="left"/>
        </w:tabs>
        <w:numPr>
          <w:ilvl w:val="2"/>
          <w:numId w:val="65"/>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to pay any fees or premiums then due to Agent under the Loan Documents until paid in full,</w:t>
      </w:r>
    </w:p>
    <w:p>
      <w:pPr>
        <w:spacing w:after="0" w:line="227" w:lineRule="exact"/>
        <w:rPr>
          <w:rFonts w:ascii="Arial" w:cs="Arial" w:eastAsia="Arial" w:hAnsi="Arial"/>
          <w:sz w:val="19"/>
          <w:szCs w:val="19"/>
          <w:color w:val="auto"/>
        </w:rPr>
      </w:pPr>
    </w:p>
    <w:p>
      <w:pPr>
        <w:ind w:left="3040" w:hanging="439"/>
        <w:spacing w:after="0"/>
        <w:tabs>
          <w:tab w:leader="none" w:pos="3040" w:val="left"/>
        </w:tabs>
        <w:numPr>
          <w:ilvl w:val="2"/>
          <w:numId w:val="65"/>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 interest due in respect of all Extraordinary Advances until paid in full,</w:t>
      </w:r>
    </w:p>
    <w:p>
      <w:pPr>
        <w:spacing w:after="0" w:line="215" w:lineRule="exact"/>
        <w:rPr>
          <w:rFonts w:ascii="Arial" w:cs="Arial" w:eastAsia="Arial" w:hAnsi="Arial"/>
          <w:sz w:val="20"/>
          <w:szCs w:val="20"/>
          <w:color w:val="auto"/>
        </w:rPr>
      </w:pPr>
    </w:p>
    <w:p>
      <w:pPr>
        <w:ind w:left="3060" w:hanging="459"/>
        <w:spacing w:after="0"/>
        <w:tabs>
          <w:tab w:leader="none" w:pos="3060" w:val="left"/>
        </w:tabs>
        <w:numPr>
          <w:ilvl w:val="2"/>
          <w:numId w:val="65"/>
        </w:numPr>
        <w:rPr>
          <w:rFonts w:ascii="Arial" w:cs="Arial" w:eastAsia="Arial" w:hAnsi="Arial"/>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 the principal of all Extraordinary Advances until paid in full,</w:t>
      </w:r>
    </w:p>
    <w:p>
      <w:pPr>
        <w:spacing w:after="0" w:line="215" w:lineRule="exact"/>
        <w:rPr>
          <w:rFonts w:ascii="Arial" w:cs="Arial" w:eastAsia="Arial" w:hAnsi="Arial"/>
          <w:sz w:val="20"/>
          <w:szCs w:val="20"/>
          <w:color w:val="auto"/>
        </w:rPr>
      </w:pPr>
    </w:p>
    <w:p>
      <w:pPr>
        <w:ind w:firstLine="2601"/>
        <w:spacing w:after="0" w:line="260" w:lineRule="auto"/>
        <w:tabs>
          <w:tab w:leader="none" w:pos="3201" w:val="left"/>
        </w:tabs>
        <w:numPr>
          <w:ilvl w:val="2"/>
          <w:numId w:val="65"/>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ratably, to pay any Lender Group Expenses (including cost or expense reimbursements) or indemnities then due to any of the Lenders under the Loan Documents, until paid in full,</w:t>
      </w:r>
    </w:p>
    <w:p>
      <w:pPr>
        <w:spacing w:after="0" w:line="176" w:lineRule="exact"/>
        <w:rPr>
          <w:rFonts w:ascii="Arial" w:cs="Arial" w:eastAsia="Arial" w:hAnsi="Arial"/>
          <w:sz w:val="20"/>
          <w:szCs w:val="20"/>
          <w:color w:val="auto"/>
        </w:rPr>
      </w:pPr>
    </w:p>
    <w:p>
      <w:pPr>
        <w:ind w:left="3100" w:hanging="499"/>
        <w:spacing w:after="0"/>
        <w:tabs>
          <w:tab w:leader="none" w:pos="3100"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until paid in full,</w:t>
      </w:r>
    </w:p>
    <w:p>
      <w:pPr>
        <w:spacing w:after="0" w:line="200" w:lineRule="exact"/>
        <w:rPr>
          <w:sz w:val="20"/>
          <w:szCs w:val="20"/>
          <w:color w:val="auto"/>
        </w:rPr>
      </w:pPr>
    </w:p>
    <w:p>
      <w:pPr>
        <w:spacing w:after="0" w:line="243"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825" w:right="239" w:bottom="1440" w:gutter="0" w:footer="0" w:header="0"/>
        </w:sectPr>
      </w:pPr>
    </w:p>
    <w:bookmarkStart w:id="101" w:name="page102"/>
    <w:bookmarkEnd w:id="101"/>
    <w:p>
      <w:pPr>
        <w:ind w:left="3060" w:hanging="459"/>
        <w:spacing w:after="0"/>
        <w:tabs>
          <w:tab w:leader="none" w:pos="306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to pay interest accrued in respect of the Swing Loans until paid in full,</w:t>
      </w:r>
    </w:p>
    <w:p>
      <w:pPr>
        <w:spacing w:after="0" w:line="215" w:lineRule="exact"/>
        <w:rPr>
          <w:rFonts w:ascii="Arial" w:cs="Arial" w:eastAsia="Arial" w:hAnsi="Arial"/>
          <w:sz w:val="20"/>
          <w:szCs w:val="20"/>
          <w:color w:val="auto"/>
        </w:rPr>
      </w:pPr>
    </w:p>
    <w:p>
      <w:pPr>
        <w:ind w:left="3060" w:hanging="459"/>
        <w:spacing w:after="0"/>
        <w:tabs>
          <w:tab w:leader="none" w:pos="306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to pay the principal of all Swing Loans until paid in full,</w:t>
      </w:r>
    </w:p>
    <w:p>
      <w:pPr>
        <w:spacing w:after="0" w:line="215" w:lineRule="exact"/>
        <w:rPr>
          <w:rFonts w:ascii="Arial" w:cs="Arial" w:eastAsia="Arial" w:hAnsi="Arial"/>
          <w:sz w:val="20"/>
          <w:szCs w:val="20"/>
          <w:color w:val="auto"/>
        </w:rPr>
      </w:pPr>
    </w:p>
    <w:p>
      <w:pPr>
        <w:ind w:left="3000" w:hanging="399"/>
        <w:spacing w:after="0"/>
        <w:tabs>
          <w:tab w:leader="none" w:pos="30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Revolving Loans (other than Protective Advances)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until paid in full,</w:t>
      </w:r>
    </w:p>
    <w:p>
      <w:pPr>
        <w:spacing w:after="0" w:line="200" w:lineRule="exact"/>
        <w:rPr>
          <w:sz w:val="20"/>
          <w:szCs w:val="20"/>
          <w:color w:val="auto"/>
        </w:rPr>
      </w:pPr>
    </w:p>
    <w:p>
      <w:pPr>
        <w:ind w:left="2980" w:hanging="379"/>
        <w:spacing w:after="0"/>
        <w:tabs>
          <w:tab w:leader="none" w:pos="2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tenth, ratably</w:t>
      </w:r>
    </w:p>
    <w:p>
      <w:pPr>
        <w:spacing w:after="0" w:line="215" w:lineRule="exact"/>
        <w:rPr>
          <w:rFonts w:ascii="Arial" w:cs="Arial" w:eastAsia="Arial" w:hAnsi="Arial"/>
          <w:sz w:val="20"/>
          <w:szCs w:val="20"/>
          <w:color w:val="auto"/>
        </w:rPr>
      </w:pPr>
    </w:p>
    <w:p>
      <w:pPr>
        <w:ind w:left="3540" w:hanging="291"/>
        <w:spacing w:after="0"/>
        <w:tabs>
          <w:tab w:leader="none" w:pos="35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ratably, to pay the principal of all Revolving Loans until paid in full,</w:t>
      </w:r>
    </w:p>
    <w:p>
      <w:pPr>
        <w:spacing w:after="0" w:line="215" w:lineRule="exact"/>
        <w:rPr>
          <w:rFonts w:ascii="Arial" w:cs="Arial" w:eastAsia="Arial" w:hAnsi="Arial"/>
          <w:sz w:val="20"/>
          <w:szCs w:val="20"/>
          <w:color w:val="auto"/>
        </w:rPr>
      </w:pPr>
    </w:p>
    <w:p>
      <w:pPr>
        <w:jc w:val="both"/>
        <w:ind w:firstLine="3249"/>
        <w:spacing w:after="0" w:line="259" w:lineRule="auto"/>
        <w:tabs>
          <w:tab w:leader="none" w:pos="3608"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to Agent, to be held by Agent, for the benefit of 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Arial" w:cs="Arial" w:eastAsia="Arial" w:hAnsi="Arial"/>
          <w:sz w:val="19"/>
          <w:szCs w:val="19"/>
          <w:u w:val="single" w:color="auto"/>
          <w:color w:val="auto"/>
        </w:rPr>
        <w:t>Section 2.4(b)(ii)</w:t>
      </w:r>
      <w:r>
        <w:rPr>
          <w:rFonts w:ascii="Arial" w:cs="Arial" w:eastAsia="Arial" w:hAnsi="Arial"/>
          <w:sz w:val="19"/>
          <w:szCs w:val="19"/>
          <w:color w:val="auto"/>
        </w:rPr>
        <w:t>, beginning with tier (A) hereof),</w:t>
      </w:r>
    </w:p>
    <w:p>
      <w:pPr>
        <w:spacing w:after="0" w:line="178" w:lineRule="exact"/>
        <w:rPr>
          <w:rFonts w:ascii="Arial" w:cs="Arial" w:eastAsia="Arial" w:hAnsi="Arial"/>
          <w:sz w:val="19"/>
          <w:szCs w:val="19"/>
          <w:color w:val="auto"/>
        </w:rPr>
      </w:pPr>
    </w:p>
    <w:p>
      <w:pPr>
        <w:jc w:val="both"/>
        <w:ind w:firstLine="3249"/>
        <w:spacing w:after="0" w:line="271" w:lineRule="auto"/>
        <w:tabs>
          <w:tab w:leader="none" w:pos="36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ratably, up to the amount (after taking into account any amounts previously paid pursuant to this clause (iii) during the continuation of the applicable Application Event) of the most recently established Bank Product Reserve, which amount was established prior to the occurrence of, and not in contemplation of, the subject Application Event, to (y) the Bank Product Providers based upon amounts then certified by the applicable Bank Product Provider to Agent (in form and substance satisfactory to Agent) to be due and payable to such Bank Product Providers on account of Bank Product Obligations, and (z)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8"/>
          <w:szCs w:val="18"/>
          <w:u w:val="single" w:color="auto"/>
          <w:color w:val="auto"/>
        </w:rPr>
        <w:t>Section 2.4(b)(ii)</w:t>
      </w:r>
      <w:r>
        <w:rPr>
          <w:rFonts w:ascii="Arial" w:cs="Arial" w:eastAsia="Arial" w:hAnsi="Arial"/>
          <w:sz w:val="18"/>
          <w:szCs w:val="18"/>
          <w:color w:val="auto"/>
        </w:rPr>
        <w:t>, beginning with tier (A) hereof),</w:t>
      </w:r>
    </w:p>
    <w:p>
      <w:pPr>
        <w:spacing w:after="0" w:line="174" w:lineRule="exact"/>
        <w:rPr>
          <w:rFonts w:ascii="Arial" w:cs="Arial" w:eastAsia="Arial" w:hAnsi="Arial"/>
          <w:sz w:val="18"/>
          <w:szCs w:val="18"/>
          <w:color w:val="auto"/>
        </w:rPr>
      </w:pPr>
    </w:p>
    <w:p>
      <w:pPr>
        <w:jc w:val="both"/>
        <w:ind w:firstLine="2601"/>
        <w:spacing w:after="0" w:line="257" w:lineRule="auto"/>
        <w:tabs>
          <w:tab w:leader="none" w:pos="312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eleventh</w:t>
      </w:r>
      <w:r>
        <w:rPr>
          <w:rFonts w:ascii="Arial" w:cs="Arial" w:eastAsia="Arial" w:hAnsi="Arial"/>
          <w:sz w:val="19"/>
          <w:szCs w:val="19"/>
          <w:color w:val="auto"/>
        </w:rPr>
        <w:t xml:space="preserve">, to pay any other Obligations other than Obligations owed to Defaulting Lenders (including being paid, ratably, to the Bank Product Providers on account of all amounts then due and payable in respect of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9"/>
          <w:szCs w:val="19"/>
          <w:u w:val="single" w:color="auto"/>
          <w:color w:val="auto"/>
        </w:rPr>
        <w:t>Section 2.4(b)(ii)</w:t>
      </w:r>
      <w:r>
        <w:rPr>
          <w:rFonts w:ascii="Arial" w:cs="Arial" w:eastAsia="Arial" w:hAnsi="Arial"/>
          <w:sz w:val="19"/>
          <w:szCs w:val="19"/>
          <w:color w:val="auto"/>
        </w:rPr>
        <w:t>, beginning with tier (A) hereof),</w:t>
      </w:r>
    </w:p>
    <w:p>
      <w:pPr>
        <w:spacing w:after="0" w:line="181" w:lineRule="exact"/>
        <w:rPr>
          <w:rFonts w:ascii="Arial" w:cs="Arial" w:eastAsia="Arial" w:hAnsi="Arial"/>
          <w:sz w:val="19"/>
          <w:szCs w:val="19"/>
          <w:color w:val="auto"/>
        </w:rPr>
      </w:pPr>
    </w:p>
    <w:p>
      <w:pPr>
        <w:ind w:left="3040" w:hanging="439"/>
        <w:spacing w:after="0"/>
        <w:tabs>
          <w:tab w:leader="none" w:pos="304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twelfth</w:t>
      </w:r>
      <w:r>
        <w:rPr>
          <w:rFonts w:ascii="Arial" w:cs="Arial" w:eastAsia="Arial" w:hAnsi="Arial"/>
          <w:sz w:val="20"/>
          <w:szCs w:val="20"/>
          <w:color w:val="auto"/>
        </w:rPr>
        <w:t>, ratably to pay any Obligations owed to Defaulting Lenders; and</w:t>
      </w:r>
    </w:p>
    <w:p>
      <w:pPr>
        <w:spacing w:after="0" w:line="200" w:lineRule="exact"/>
        <w:rPr>
          <w:sz w:val="20"/>
          <w:szCs w:val="20"/>
          <w:color w:val="auto"/>
        </w:rPr>
      </w:pPr>
    </w:p>
    <w:p>
      <w:pPr>
        <w:spacing w:after="0" w:line="25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25" w:right="239" w:bottom="1440" w:gutter="0" w:footer="0" w:header="0"/>
        </w:sectPr>
      </w:pPr>
    </w:p>
    <w:bookmarkStart w:id="102" w:name="page103"/>
    <w:bookmarkEnd w:id="102"/>
    <w:p>
      <w:pPr>
        <w:ind w:left="3160" w:hanging="559"/>
        <w:spacing w:after="0"/>
        <w:tabs>
          <w:tab w:leader="none" w:pos="31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thirteenth</w:t>
      </w:r>
      <w:r>
        <w:rPr>
          <w:rFonts w:ascii="Arial" w:cs="Arial" w:eastAsia="Arial" w:hAnsi="Arial"/>
          <w:sz w:val="18"/>
          <w:szCs w:val="18"/>
          <w:color w:val="auto"/>
        </w:rPr>
        <w:t>, to Borrower (to be wired to the Designated Account) or such other Person entitled thereto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under applicable law.</w:t>
      </w:r>
    </w:p>
    <w:p>
      <w:pPr>
        <w:spacing w:after="0" w:line="200" w:lineRule="exact"/>
        <w:rPr>
          <w:sz w:val="20"/>
          <w:szCs w:val="20"/>
          <w:color w:val="auto"/>
        </w:rPr>
      </w:pPr>
    </w:p>
    <w:p>
      <w:pPr>
        <w:ind w:right="20" w:firstLine="1953"/>
        <w:spacing w:after="0" w:line="287" w:lineRule="auto"/>
        <w:tabs>
          <w:tab w:leader="none" w:pos="2462"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Arial" w:cs="Arial" w:eastAsia="Arial" w:hAnsi="Arial"/>
          <w:sz w:val="19"/>
          <w:szCs w:val="19"/>
          <w:u w:val="single" w:color="auto"/>
          <w:color w:val="auto"/>
        </w:rPr>
        <w:t>Section 2.3(e)</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953"/>
        <w:spacing w:after="0" w:line="250" w:lineRule="auto"/>
        <w:tabs>
          <w:tab w:leader="none" w:pos="2411"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In each instance, so long as no Application Event has occurred and is continuing, </w:t>
      </w:r>
      <w:r>
        <w:rPr>
          <w:rFonts w:ascii="Arial" w:cs="Arial" w:eastAsia="Arial" w:hAnsi="Arial"/>
          <w:sz w:val="20"/>
          <w:szCs w:val="20"/>
          <w:u w:val="single" w:color="auto"/>
          <w:color w:val="auto"/>
        </w:rPr>
        <w:t>Section 2.4(b)(i)</w:t>
      </w:r>
      <w:r>
        <w:rPr>
          <w:rFonts w:ascii="Arial" w:cs="Arial" w:eastAsia="Arial" w:hAnsi="Arial"/>
          <w:sz w:val="20"/>
          <w:szCs w:val="20"/>
          <w:color w:val="auto"/>
        </w:rPr>
        <w:t xml:space="preserve"> shall not apply to any payment made by Borrower to Agent and specified by Borrower to be for the payment of specific Obligations then due and payable (or prepayable) under any provision of this Agreement or any other Loan Document.</w:t>
      </w:r>
    </w:p>
    <w:p>
      <w:pPr>
        <w:spacing w:after="0" w:line="186" w:lineRule="exact"/>
        <w:rPr>
          <w:rFonts w:ascii="Arial" w:cs="Arial" w:eastAsia="Arial" w:hAnsi="Arial"/>
          <w:sz w:val="20"/>
          <w:szCs w:val="20"/>
          <w:color w:val="auto"/>
        </w:rPr>
      </w:pPr>
    </w:p>
    <w:p>
      <w:pPr>
        <w:jc w:val="both"/>
        <w:ind w:firstLine="1953"/>
        <w:spacing w:after="0" w:line="246" w:lineRule="auto"/>
        <w:tabs>
          <w:tab w:leader="none" w:pos="2396"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2.4(b)(ii)</w:t>
      </w:r>
      <w:r>
        <w:rPr>
          <w:rFonts w:ascii="Arial" w:cs="Arial" w:eastAsia="Arial" w:hAnsi="Arial"/>
          <w:sz w:val="20"/>
          <w:szCs w:val="20"/>
          <w:color w:val="auto"/>
        </w:rPr>
        <w:t>, “</w:t>
      </w:r>
      <w:r>
        <w:rPr>
          <w:rFonts w:ascii="Arial" w:cs="Arial" w:eastAsia="Arial" w:hAnsi="Arial"/>
          <w:sz w:val="20"/>
          <w:szCs w:val="20"/>
          <w:u w:val="single" w:color="auto"/>
          <w:color w:val="auto"/>
        </w:rPr>
        <w:t>paid in full</w:t>
      </w:r>
      <w:r>
        <w:rPr>
          <w:rFonts w:ascii="Arial" w:cs="Arial" w:eastAsia="Arial" w:hAnsi="Arial"/>
          <w:sz w:val="20"/>
          <w:szCs w:val="20"/>
          <w:color w:val="auto"/>
        </w:rPr>
        <w:t>”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91" w:lineRule="exact"/>
        <w:rPr>
          <w:rFonts w:ascii="Arial" w:cs="Arial" w:eastAsia="Arial" w:hAnsi="Arial"/>
          <w:sz w:val="20"/>
          <w:szCs w:val="20"/>
          <w:color w:val="auto"/>
        </w:rPr>
      </w:pPr>
    </w:p>
    <w:p>
      <w:pPr>
        <w:jc w:val="both"/>
        <w:ind w:firstLine="1953"/>
        <w:spacing w:after="0" w:line="260" w:lineRule="auto"/>
        <w:tabs>
          <w:tab w:leader="none" w:pos="2519"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In the event of a direct conflict between the priority provisions of this Section 2.4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then the provisions of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shall control and govern, and if otherwise, then the terms and provisions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control and govern.</w:t>
      </w:r>
    </w:p>
    <w:p>
      <w:pPr>
        <w:spacing w:after="0" w:line="174" w:lineRule="exact"/>
        <w:rPr>
          <w:rFonts w:ascii="Arial" w:cs="Arial" w:eastAsia="Arial" w:hAnsi="Arial"/>
          <w:sz w:val="19"/>
          <w:szCs w:val="19"/>
          <w:color w:val="auto"/>
        </w:rPr>
      </w:pPr>
    </w:p>
    <w:p>
      <w:pPr>
        <w:jc w:val="both"/>
        <w:ind w:firstLine="1305"/>
        <w:spacing w:after="0" w:line="257" w:lineRule="auto"/>
        <w:tabs>
          <w:tab w:leader="none" w:pos="1696"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Reduction of Revolver Commitments</w:t>
      </w:r>
      <w:r>
        <w:rPr>
          <w:rFonts w:ascii="Arial" w:cs="Arial" w:eastAsia="Arial" w:hAnsi="Arial"/>
          <w:sz w:val="19"/>
          <w:szCs w:val="19"/>
          <w:color w:val="auto"/>
        </w:rPr>
        <w:t>. The Revolver Commitments shall terminate on the Maturity Date. Borrower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reduce the Revolver Commitments, without premium or penalty, to an amount (which may be zero) not less than the sum of (A) the Revolver Usage as of such date, plus (B) the principal amount of all Revolving Loans not yet made as to which a request has been given by Borrower under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plus (C) the amount of all Letters of Credit not yet issued as to which a request has been given by Borrower pursuant to </w:t>
      </w:r>
      <w:r>
        <w:rPr>
          <w:rFonts w:ascii="Arial" w:cs="Arial" w:eastAsia="Arial" w:hAnsi="Arial"/>
          <w:sz w:val="19"/>
          <w:szCs w:val="19"/>
          <w:u w:val="single" w:color="auto"/>
          <w:color w:val="auto"/>
        </w:rPr>
        <w:t>Section 2.11(a)</w:t>
      </w:r>
      <w:r>
        <w:rPr>
          <w:rFonts w:ascii="Arial" w:cs="Arial" w:eastAsia="Arial" w:hAnsi="Arial"/>
          <w:sz w:val="19"/>
          <w:szCs w:val="19"/>
          <w:color w:val="auto"/>
        </w:rPr>
        <w:t>. Each such reduction shall be in an amount which is not less than $5,000,000 (unless the Revolver Commitments are being reduced to zero and the amount of the Revolver Commitments in effect immediately prior to such reduction are less than $5,000,000), shall be made by providing not less than 10 Business Days prior written notice to Agent, and shall be irrevocable. Once reduced, the Revolver Commitments may not be increased. Each such reduction of the Revolver Commitments shall reduce the Revolver Commitments of each Lender proportionately in accordance with its ratable share thereof.</w:t>
      </w:r>
    </w:p>
    <w:p>
      <w:pPr>
        <w:spacing w:after="0" w:line="176" w:lineRule="exact"/>
        <w:rPr>
          <w:rFonts w:ascii="Arial" w:cs="Arial" w:eastAsia="Arial" w:hAnsi="Arial"/>
          <w:sz w:val="19"/>
          <w:szCs w:val="19"/>
          <w:color w:val="auto"/>
        </w:rPr>
      </w:pPr>
    </w:p>
    <w:p>
      <w:pPr>
        <w:ind w:right="20" w:firstLine="1305"/>
        <w:spacing w:after="0" w:line="267" w:lineRule="auto"/>
        <w:tabs>
          <w:tab w:leader="none" w:pos="1802"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Optional Prepayments</w:t>
      </w:r>
      <w:r>
        <w:rPr>
          <w:rFonts w:ascii="Arial" w:cs="Arial" w:eastAsia="Arial" w:hAnsi="Arial"/>
          <w:sz w:val="20"/>
          <w:szCs w:val="20"/>
          <w:color w:val="auto"/>
        </w:rPr>
        <w:t>. Borrower may prepay the principal of any Revolving Loan at any time in whole or in part,</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premium or penalty.</w:t>
      </w:r>
    </w:p>
    <w:p>
      <w:pPr>
        <w:spacing w:after="0" w:line="163" w:lineRule="exact"/>
        <w:rPr>
          <w:rFonts w:ascii="Arial" w:cs="Arial" w:eastAsia="Arial" w:hAnsi="Arial"/>
          <w:sz w:val="20"/>
          <w:szCs w:val="20"/>
          <w:color w:val="auto"/>
        </w:rPr>
      </w:pPr>
    </w:p>
    <w:p>
      <w:pPr>
        <w:ind w:left="1700" w:hanging="395"/>
        <w:spacing w:after="0"/>
        <w:tabs>
          <w:tab w:leader="none" w:pos="1700"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Mandatory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3"/>
        <w:spacing w:after="0" w:line="266" w:lineRule="auto"/>
        <w:tabs>
          <w:tab w:leader="none" w:pos="2339" w:val="left"/>
        </w:tabs>
        <w:numPr>
          <w:ilvl w:val="1"/>
          <w:numId w:val="70"/>
        </w:numPr>
        <w:rPr>
          <w:rFonts w:ascii="Arial" w:cs="Arial" w:eastAsia="Arial" w:hAnsi="Arial"/>
          <w:sz w:val="19"/>
          <w:szCs w:val="19"/>
          <w:color w:val="auto"/>
        </w:rPr>
      </w:pPr>
      <w:r>
        <w:rPr>
          <w:rFonts w:ascii="Arial" w:cs="Arial" w:eastAsia="Arial" w:hAnsi="Arial"/>
          <w:sz w:val="19"/>
          <w:szCs w:val="19"/>
          <w:b w:val="1"/>
          <w:bCs w:val="1"/>
          <w:color w:val="auto"/>
        </w:rPr>
        <w:t>Borrowing Base</w:t>
      </w:r>
      <w:r>
        <w:rPr>
          <w:rFonts w:ascii="Arial" w:cs="Arial" w:eastAsia="Arial" w:hAnsi="Arial"/>
          <w:sz w:val="19"/>
          <w:szCs w:val="19"/>
          <w:color w:val="auto"/>
        </w:rPr>
        <w:t>. If, at any time, and for any reason other than a redetermination of the US Dollar Equivalent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European Denominated Loans by Agent, (A) the Revolver Usage on such date exceeds (B) the Borrowing Base reflected in the Borrowing Base Certificate most recently delivered by Borrower to Agent, then Borrower shall promptly, but in any event within 1 Business Day, prepay the Obligations in accordance with </w:t>
      </w:r>
      <w:r>
        <w:rPr>
          <w:rFonts w:ascii="Arial" w:cs="Arial" w:eastAsia="Arial" w:hAnsi="Arial"/>
          <w:sz w:val="19"/>
          <w:szCs w:val="19"/>
          <w:u w:val="single" w:color="auto"/>
          <w:color w:val="auto"/>
        </w:rPr>
        <w:t>Section 2.4(f)</w:t>
      </w:r>
      <w:r>
        <w:rPr>
          <w:rFonts w:ascii="Arial" w:cs="Arial" w:eastAsia="Arial" w:hAnsi="Arial"/>
          <w:sz w:val="19"/>
          <w:szCs w:val="19"/>
          <w:color w:val="auto"/>
        </w:rPr>
        <w:t xml:space="preserve"> in an aggregate amount equal to the amount of such excess.</w:t>
      </w:r>
    </w:p>
    <w:p>
      <w:pPr>
        <w:spacing w:after="0" w:line="200" w:lineRule="exact"/>
        <w:rPr>
          <w:sz w:val="20"/>
          <w:szCs w:val="20"/>
          <w:color w:val="auto"/>
        </w:rPr>
      </w:pPr>
    </w:p>
    <w:p>
      <w:pPr>
        <w:spacing w:after="0" w:line="21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25" w:right="239" w:bottom="1440" w:gutter="0" w:footer="0" w:header="0"/>
        </w:sectPr>
      </w:pPr>
    </w:p>
    <w:bookmarkStart w:id="103" w:name="page104"/>
    <w:bookmarkEnd w:id="103"/>
    <w:p>
      <w:pPr>
        <w:jc w:val="both"/>
        <w:ind w:left="-660" w:firstLine="1953"/>
        <w:spacing w:after="0" w:line="253" w:lineRule="auto"/>
        <w:tabs>
          <w:tab w:leader="none" w:pos="1720" w:val="left"/>
        </w:tabs>
        <w:numPr>
          <w:ilvl w:val="1"/>
          <w:numId w:val="71"/>
        </w:numPr>
        <w:rPr>
          <w:rFonts w:ascii="Arial" w:cs="Arial" w:eastAsia="Arial" w:hAnsi="Arial"/>
          <w:sz w:val="20"/>
          <w:szCs w:val="20"/>
          <w:color w:val="auto"/>
        </w:rPr>
      </w:pPr>
      <w:r>
        <w:rPr>
          <w:rFonts w:ascii="Arial" w:cs="Arial" w:eastAsia="Arial" w:hAnsi="Arial"/>
          <w:sz w:val="20"/>
          <w:szCs w:val="20"/>
          <w:b w:val="1"/>
          <w:bCs w:val="1"/>
          <w:color w:val="auto"/>
        </w:rPr>
        <w:t>Availability</w:t>
      </w:r>
      <w:r>
        <w:rPr>
          <w:rFonts w:ascii="Arial" w:cs="Arial" w:eastAsia="Arial" w:hAnsi="Arial"/>
          <w:sz w:val="20"/>
          <w:szCs w:val="20"/>
          <w:color w:val="auto"/>
        </w:rPr>
        <w:t>. If, at any time, Availability is less than or equal to the greater of (x) $12,500,000 and (y) 16.67%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Maximum Revolver Amount, at the Agent’s option, in its sole discretion, outstanding Obligations shall be prepaid pursuant to the provisions of </w:t>
      </w:r>
      <w:r>
        <w:rPr>
          <w:rFonts w:ascii="Arial" w:cs="Arial" w:eastAsia="Arial" w:hAnsi="Arial"/>
          <w:sz w:val="20"/>
          <w:szCs w:val="20"/>
          <w:u w:val="single" w:color="auto"/>
          <w:color w:val="auto"/>
        </w:rPr>
        <w:t>Section 5.16</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left="-660" w:firstLine="1953"/>
        <w:spacing w:after="0" w:line="280" w:lineRule="auto"/>
        <w:tabs>
          <w:tab w:leader="none" w:pos="1883"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Currency Fluctuations</w:t>
      </w:r>
      <w:r>
        <w:rPr>
          <w:rFonts w:ascii="Arial" w:cs="Arial" w:eastAsia="Arial" w:hAnsi="Arial"/>
          <w:sz w:val="18"/>
          <w:szCs w:val="18"/>
          <w:color w:val="auto"/>
        </w:rPr>
        <w:t>. If, at any time, as a result of the redetermination of the US Dollar Equivalent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European Denominated Loans by Agent, (A) the sum of the aggregate outstanding principal amount of all European Denominated Loans exceeds the US Dollar Equivalent of the lesser of (x) $10,000,000 and (y) 20% of the Maximum Revolver Amount, or (B) Revolver Usage would exceed the lesser of (x) the Borrowing Base and (y) the Maximum Revolver Amount, then Borrower shall promptly, but in any event within 2 Business Days, prepay the Obligations in accordance with </w:t>
      </w:r>
      <w:r>
        <w:rPr>
          <w:rFonts w:ascii="Arial" w:cs="Arial" w:eastAsia="Arial" w:hAnsi="Arial"/>
          <w:sz w:val="18"/>
          <w:szCs w:val="18"/>
          <w:u w:val="single" w:color="auto"/>
          <w:color w:val="auto"/>
        </w:rPr>
        <w:t>Section 2.4(f)</w:t>
      </w:r>
      <w:r>
        <w:rPr>
          <w:rFonts w:ascii="Arial" w:cs="Arial" w:eastAsia="Arial" w:hAnsi="Arial"/>
          <w:sz w:val="18"/>
          <w:szCs w:val="18"/>
          <w:color w:val="auto"/>
        </w:rPr>
        <w:t xml:space="preserve"> in an aggregate amount equal to the amount of such excess.</w:t>
      </w:r>
    </w:p>
    <w:p>
      <w:pPr>
        <w:spacing w:after="0" w:line="156" w:lineRule="exact"/>
        <w:rPr>
          <w:rFonts w:ascii="Arial" w:cs="Arial" w:eastAsia="Arial" w:hAnsi="Arial"/>
          <w:sz w:val="18"/>
          <w:szCs w:val="18"/>
          <w:color w:val="auto"/>
        </w:rPr>
      </w:pPr>
    </w:p>
    <w:p>
      <w:pPr>
        <w:jc w:val="both"/>
        <w:ind w:left="-660" w:firstLine="1305"/>
        <w:spacing w:after="0" w:line="266" w:lineRule="auto"/>
        <w:tabs>
          <w:tab w:leader="none" w:pos="1055"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Application of Payments</w:t>
      </w:r>
      <w:r>
        <w:rPr>
          <w:rFonts w:ascii="Arial" w:cs="Arial" w:eastAsia="Arial" w:hAnsi="Arial"/>
          <w:sz w:val="19"/>
          <w:szCs w:val="19"/>
          <w:color w:val="auto"/>
        </w:rPr>
        <w:t>. Each prepayment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2.4(e)</w:t>
      </w:r>
      <w:r>
        <w:rPr>
          <w:rFonts w:ascii="Arial" w:cs="Arial" w:eastAsia="Arial" w:hAnsi="Arial"/>
          <w:sz w:val="19"/>
          <w:szCs w:val="19"/>
          <w:b w:val="1"/>
          <w:bCs w:val="1"/>
          <w:color w:val="auto"/>
        </w:rPr>
        <w:t xml:space="preserve"> </w:t>
      </w:r>
      <w:r>
        <w:rPr>
          <w:rFonts w:ascii="Arial" w:cs="Arial" w:eastAsia="Arial" w:hAnsi="Arial"/>
          <w:sz w:val="19"/>
          <w:szCs w:val="19"/>
          <w:color w:val="auto"/>
        </w:rPr>
        <w:t>shall, (A) so long as no Application Event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occurred and be continuing, be applied,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outstanding principal amount of the Revolving Loans until paid in full, and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cash collateralize the Letters of Credit in an amount equal to 105% of the then outstanding Letter of Credit Usage, and (B) if an Application Event shall have occurred and be continuing, be applied in the manner set forth in </w:t>
      </w:r>
      <w:r>
        <w:rPr>
          <w:rFonts w:ascii="Arial" w:cs="Arial" w:eastAsia="Arial" w:hAnsi="Arial"/>
          <w:sz w:val="19"/>
          <w:szCs w:val="19"/>
          <w:u w:val="single" w:color="auto"/>
          <w:color w:val="auto"/>
        </w:rPr>
        <w:t>Section 2.4(b)(ii)</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ind w:left="-660" w:firstLine="1305"/>
        <w:spacing w:after="0" w:line="267" w:lineRule="auto"/>
        <w:tabs>
          <w:tab w:leader="none" w:pos="1047"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 xml:space="preserve">Hedge Agreements. </w:t>
      </w:r>
      <w:r>
        <w:rPr>
          <w:rFonts w:ascii="Arial" w:cs="Arial" w:eastAsia="Arial" w:hAnsi="Arial"/>
          <w:sz w:val="20"/>
          <w:szCs w:val="20"/>
          <w:color w:val="auto"/>
        </w:rPr>
        <w:t>No repayment or prepayment of the Loans pursuant to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2.4</w:t>
      </w:r>
      <w:r>
        <w:rPr>
          <w:rFonts w:ascii="Arial" w:cs="Arial" w:eastAsia="Arial" w:hAnsi="Arial"/>
          <w:sz w:val="20"/>
          <w:szCs w:val="20"/>
          <w:b w:val="1"/>
          <w:bCs w:val="1"/>
          <w:color w:val="auto"/>
        </w:rPr>
        <w:t xml:space="preserve"> </w:t>
      </w:r>
      <w:r>
        <w:rPr>
          <w:rFonts w:ascii="Arial" w:cs="Arial" w:eastAsia="Arial" w:hAnsi="Arial"/>
          <w:sz w:val="20"/>
          <w:szCs w:val="20"/>
          <w:color w:val="auto"/>
        </w:rPr>
        <w:t>shall affect any of Borrower’s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any Hedge Agreement entered into with respect to the Loans.</w:t>
      </w:r>
    </w:p>
    <w:p>
      <w:pPr>
        <w:spacing w:after="0" w:line="163" w:lineRule="exact"/>
        <w:rPr>
          <w:rFonts w:ascii="Arial" w:cs="Arial" w:eastAsia="Arial" w:hAnsi="Arial"/>
          <w:sz w:val="20"/>
          <w:szCs w:val="20"/>
          <w:color w:val="auto"/>
        </w:rPr>
      </w:pPr>
    </w:p>
    <w:p>
      <w:pPr>
        <w:ind w:left="-660" w:right="20" w:firstLine="1305"/>
        <w:spacing w:after="0" w:line="267" w:lineRule="auto"/>
        <w:tabs>
          <w:tab w:leader="none" w:pos="1101"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Currencies</w:t>
      </w:r>
      <w:r>
        <w:rPr>
          <w:rFonts w:ascii="Arial" w:cs="Arial" w:eastAsia="Arial" w:hAnsi="Arial"/>
          <w:sz w:val="20"/>
          <w:szCs w:val="20"/>
          <w:color w:val="auto"/>
        </w:rPr>
        <w:t>. All Obligations denominated in Dollars shall be repaid in Dollars, all Obligations denominated in Sterling</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repaid in Sterling and all Obligations denominated in Euros shall be repaid in Euros.</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b w:val="1"/>
          <w:bCs w:val="1"/>
          <w:u w:val="single" w:color="auto"/>
          <w:color w:val="auto"/>
        </w:rPr>
        <w:t>Promise to Pay; Promissory Notes</w:t>
      </w:r>
      <w:r>
        <w:rPr>
          <w:rFonts w:ascii="Arial" w:cs="Arial" w:eastAsia="Arial" w:hAnsi="Arial"/>
          <w:sz w:val="16"/>
          <w:szCs w:val="16"/>
          <w:u w:val="single" w:color="auto"/>
          <w:color w:val="auto"/>
        </w:rPr>
        <w:t>.</w:t>
      </w:r>
    </w:p>
    <w:p>
      <w:pPr>
        <w:spacing w:after="0" w:line="222" w:lineRule="exact"/>
        <w:rPr>
          <w:sz w:val="20"/>
          <w:szCs w:val="20"/>
          <w:color w:val="auto"/>
        </w:rPr>
      </w:pPr>
    </w:p>
    <w:p>
      <w:pPr>
        <w:jc w:val="both"/>
        <w:ind w:left="-660" w:firstLine="1305"/>
        <w:spacing w:after="0" w:line="259" w:lineRule="auto"/>
        <w:tabs>
          <w:tab w:leader="none" w:pos="1077"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Borrower agrees to pay the Lender Group Expenses on the earlier of (i) the first day of the month following the date on which the applicable Lender Group Expenses were first incurred or (ii) the date on which demand therefor is made by Agent. Borrower promises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 agrees that its obligations contained in the first sentence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2.5(a)</w:t>
      </w:r>
      <w:r>
        <w:rPr>
          <w:rFonts w:ascii="Arial" w:cs="Arial" w:eastAsia="Arial" w:hAnsi="Arial"/>
          <w:sz w:val="19"/>
          <w:szCs w:val="19"/>
          <w:color w:val="auto"/>
        </w:rPr>
        <w:t xml:space="preserve"> shall survive payment or satisfaction in full of all other Obligations.</w:t>
      </w:r>
    </w:p>
    <w:p>
      <w:pPr>
        <w:spacing w:after="0" w:line="178" w:lineRule="exact"/>
        <w:rPr>
          <w:rFonts w:ascii="Arial" w:cs="Arial" w:eastAsia="Arial" w:hAnsi="Arial"/>
          <w:sz w:val="19"/>
          <w:szCs w:val="19"/>
          <w:color w:val="auto"/>
        </w:rPr>
      </w:pPr>
    </w:p>
    <w:p>
      <w:pPr>
        <w:jc w:val="both"/>
        <w:ind w:left="-660" w:firstLine="1305"/>
        <w:spacing w:after="0" w:line="244" w:lineRule="auto"/>
        <w:tabs>
          <w:tab w:leader="none" w:pos="1128" w:val="left"/>
        </w:tabs>
        <w:numPr>
          <w:ilvl w:val="0"/>
          <w:numId w:val="73"/>
        </w:numPr>
        <w:rPr>
          <w:rFonts w:ascii="Arial" w:cs="Arial" w:eastAsia="Arial" w:hAnsi="Arial"/>
          <w:sz w:val="20"/>
          <w:szCs w:val="20"/>
          <w:color w:val="auto"/>
        </w:rPr>
      </w:pPr>
      <w:r>
        <w:rPr>
          <w:rFonts w:ascii="Arial" w:cs="Arial" w:eastAsia="Arial" w:hAnsi="Arial"/>
          <w:sz w:val="20"/>
          <w:szCs w:val="20"/>
          <w:color w:val="auto"/>
        </w:rPr>
        <w:t>Any Lender may request that any portion of its Commitments or the Loans made by it be evidenced by one or more promissory notes. In such event, Borrower shall execute and deliver to such Lender the requested promissory notes payable to the order of such Lender in a form furnished by Agent and reasonably satisfactory to Borrower. Thereafter, the portion of the Commitments and Loans evidenced by such promissory notes and interest thereon shall at all times be represented by one or more promissory notes in such form payable to the order of the payee named therein.</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b w:val="1"/>
          <w:bCs w:val="1"/>
          <w:u w:val="single" w:color="auto"/>
          <w:color w:val="auto"/>
        </w:rPr>
        <w:t>Interest Rates and Letter of Credit Fee: Rates, Payments, and Calculations</w:t>
      </w:r>
      <w:r>
        <w:rPr>
          <w:rFonts w:ascii="Arial" w:cs="Arial" w:eastAsia="Arial" w:hAnsi="Arial"/>
          <w:sz w:val="16"/>
          <w:szCs w:val="16"/>
          <w:u w:val="single" w:color="auto"/>
          <w:color w:val="auto"/>
        </w:rPr>
        <w:t>.</w:t>
      </w:r>
    </w:p>
    <w:p>
      <w:pPr>
        <w:spacing w:after="0" w:line="216" w:lineRule="exact"/>
        <w:rPr>
          <w:sz w:val="20"/>
          <w:szCs w:val="20"/>
          <w:color w:val="auto"/>
        </w:rPr>
      </w:pPr>
    </w:p>
    <w:p>
      <w:pPr>
        <w:ind w:left="-660" w:firstLine="1305"/>
        <w:spacing w:after="0" w:line="267" w:lineRule="auto"/>
        <w:tabs>
          <w:tab w:leader="none" w:pos="1036"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Interest Rates</w:t>
      </w:r>
      <w:r>
        <w:rPr>
          <w:rFonts w:ascii="Arial" w:cs="Arial" w:eastAsia="Arial" w:hAnsi="Arial"/>
          <w:sz w:val="20"/>
          <w:szCs w:val="20"/>
          <w:color w:val="auto"/>
        </w:rPr>
        <w:t>. Except as provided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2.6(c)</w:t>
      </w:r>
      <w:r>
        <w:rPr>
          <w:rFonts w:ascii="Arial" w:cs="Arial" w:eastAsia="Arial" w:hAnsi="Arial"/>
          <w:sz w:val="20"/>
          <w:szCs w:val="20"/>
          <w:color w:val="auto"/>
        </w:rPr>
        <w:t>, all Obligations (except for undrawn Letters of Credit) that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charged to the Loan Account pursuant to the terms hereof shall bear interest as follows:</w:t>
      </w:r>
    </w:p>
    <w:p>
      <w:pPr>
        <w:spacing w:after="0" w:line="200" w:lineRule="exact"/>
        <w:rPr>
          <w:sz w:val="20"/>
          <w:szCs w:val="20"/>
          <w:color w:val="auto"/>
        </w:rPr>
      </w:pPr>
    </w:p>
    <w:p>
      <w:pPr>
        <w:spacing w:after="0" w:line="213"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60"/>
          </w:cols>
          <w:pgMar w:left="900" w:top="819" w:right="239" w:bottom="1440" w:gutter="0" w:footer="0" w:header="0"/>
        </w:sectPr>
      </w:pPr>
    </w:p>
    <w:bookmarkStart w:id="104" w:name="page105"/>
    <w:bookmarkEnd w:id="104"/>
    <w:p>
      <w:pPr>
        <w:ind w:right="20" w:firstLine="1953"/>
        <w:spacing w:after="0" w:line="289" w:lineRule="auto"/>
        <w:tabs>
          <w:tab w:leader="none" w:pos="278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relevant Obligation is a Dollar Denominated Loan which is a LIBOR Rate Loan,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the LIBOR Rate for the applicable Interest Period plus the Applicable Margin for LIBOR Rate Loans,</w:t>
      </w:r>
    </w:p>
    <w:p>
      <w:pPr>
        <w:spacing w:after="0" w:line="175" w:lineRule="exact"/>
        <w:rPr>
          <w:rFonts w:ascii="Arial" w:cs="Arial" w:eastAsia="Arial" w:hAnsi="Arial"/>
          <w:sz w:val="20"/>
          <w:szCs w:val="20"/>
          <w:color w:val="auto"/>
        </w:rPr>
      </w:pPr>
    </w:p>
    <w:p>
      <w:pPr>
        <w:ind w:firstLine="1953"/>
        <w:spacing w:after="0" w:line="289" w:lineRule="auto"/>
        <w:tabs>
          <w:tab w:leader="none" w:pos="2835"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relevant Loan is a Euro Denominated Loan, at a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equal to EURIBOR for the applicable Interest Period plus the Applicable Margin for Euro Denominated Loans,</w:t>
      </w:r>
    </w:p>
    <w:p>
      <w:pPr>
        <w:spacing w:after="0" w:line="175" w:lineRule="exact"/>
        <w:rPr>
          <w:rFonts w:ascii="Arial" w:cs="Arial" w:eastAsia="Arial" w:hAnsi="Arial"/>
          <w:sz w:val="20"/>
          <w:szCs w:val="20"/>
          <w:color w:val="auto"/>
        </w:rPr>
      </w:pPr>
    </w:p>
    <w:p>
      <w:pPr>
        <w:ind w:right="20" w:firstLine="1953"/>
        <w:spacing w:after="0" w:line="289" w:lineRule="auto"/>
        <w:tabs>
          <w:tab w:leader="none" w:pos="289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relevant Loan is a Sterling Denominated Loan, at a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equal to the LIBOR Rate for the applicable Interest Period plus the Applicable Margin for Sterling Denominated Loans plus any Mandatory Costs,</w:t>
      </w:r>
    </w:p>
    <w:p>
      <w:pPr>
        <w:spacing w:after="0" w:line="175" w:lineRule="exact"/>
        <w:rPr>
          <w:rFonts w:ascii="Arial" w:cs="Arial" w:eastAsia="Arial" w:hAnsi="Arial"/>
          <w:sz w:val="20"/>
          <w:szCs w:val="20"/>
          <w:color w:val="auto"/>
        </w:rPr>
      </w:pPr>
    </w:p>
    <w:p>
      <w:pPr>
        <w:ind w:firstLine="1953"/>
        <w:spacing w:after="0" w:line="289" w:lineRule="auto"/>
        <w:tabs>
          <w:tab w:leader="none" w:pos="2879"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relevant Loan is a Dollar Denominated Loan which is a Base Rate Loan, at a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equal to the Base Rate plus the Applicable Margin for Base Rate Loans, and</w:t>
      </w:r>
    </w:p>
    <w:p>
      <w:pPr>
        <w:spacing w:after="0" w:line="175" w:lineRule="exact"/>
        <w:rPr>
          <w:rFonts w:ascii="Arial" w:cs="Arial" w:eastAsia="Arial" w:hAnsi="Arial"/>
          <w:sz w:val="20"/>
          <w:szCs w:val="20"/>
          <w:color w:val="auto"/>
        </w:rPr>
      </w:pPr>
    </w:p>
    <w:p>
      <w:pPr>
        <w:ind w:left="2840" w:hanging="887"/>
        <w:spacing w:after="0"/>
        <w:tabs>
          <w:tab w:leader="none" w:pos="284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otherwise,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the Base Rate plus the Base Rate Margin.</w:t>
      </w:r>
    </w:p>
    <w:p>
      <w:pPr>
        <w:spacing w:after="0" w:line="223" w:lineRule="exact"/>
        <w:rPr>
          <w:rFonts w:ascii="Arial" w:cs="Arial" w:eastAsia="Arial" w:hAnsi="Arial"/>
          <w:sz w:val="20"/>
          <w:szCs w:val="20"/>
          <w:color w:val="auto"/>
        </w:rPr>
      </w:pPr>
    </w:p>
    <w:p>
      <w:pPr>
        <w:jc w:val="both"/>
        <w:ind w:firstLine="1305"/>
        <w:spacing w:after="0" w:line="248" w:lineRule="auto"/>
        <w:tabs>
          <w:tab w:leader="none" w:pos="1721"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Letter of Credit Fee</w:t>
      </w:r>
      <w:r>
        <w:rPr>
          <w:rFonts w:ascii="Arial" w:cs="Arial" w:eastAsia="Arial" w:hAnsi="Arial"/>
          <w:sz w:val="20"/>
          <w:szCs w:val="20"/>
          <w:color w:val="auto"/>
        </w:rPr>
        <w:t>. Borrower shall pay Agent (for the ratable benefit of the Revolving Lenders), a Letter of Credit fee</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(which fee shall be in addition to the fronting fees and commissions, other fees, charges and expenses set forth in </w:t>
      </w:r>
      <w:r>
        <w:rPr>
          <w:rFonts w:ascii="Arial" w:cs="Arial" w:eastAsia="Arial" w:hAnsi="Arial"/>
          <w:sz w:val="20"/>
          <w:szCs w:val="20"/>
          <w:u w:val="single" w:color="auto"/>
          <w:color w:val="auto"/>
        </w:rPr>
        <w:t>Section 2.11(k)</w:t>
      </w:r>
      <w:r>
        <w:rPr>
          <w:rFonts w:ascii="Arial" w:cs="Arial" w:eastAsia="Arial" w:hAnsi="Arial"/>
          <w:sz w:val="20"/>
          <w:szCs w:val="20"/>
          <w:color w:val="auto"/>
        </w:rPr>
        <w:t xml:space="preserve">) that shall accrue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the Applicable Margin for Dollar Denominated Loans that are LIBOR Rate Loans times the undrawn amount of all outstanding Letters of Credit.</w:t>
      </w:r>
    </w:p>
    <w:p>
      <w:pPr>
        <w:spacing w:after="0" w:line="183" w:lineRule="exact"/>
        <w:rPr>
          <w:rFonts w:ascii="Arial" w:cs="Arial" w:eastAsia="Arial" w:hAnsi="Arial"/>
          <w:sz w:val="20"/>
          <w:szCs w:val="20"/>
          <w:color w:val="auto"/>
        </w:rPr>
      </w:pPr>
    </w:p>
    <w:p>
      <w:pPr>
        <w:ind w:left="1720" w:hanging="415"/>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Default Rate</w:t>
      </w:r>
      <w:r>
        <w:rPr>
          <w:rFonts w:ascii="Arial" w:cs="Arial" w:eastAsia="Arial" w:hAnsi="Arial"/>
          <w:sz w:val="18"/>
          <w:szCs w:val="18"/>
          <w:color w:val="auto"/>
        </w:rPr>
        <w:t>. Upon the occurrence and during the continuation of an Event of Default and at the election of Agent or the</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Required Lenders,</w:t>
      </w:r>
    </w:p>
    <w:p>
      <w:pPr>
        <w:spacing w:after="0" w:line="213" w:lineRule="exact"/>
        <w:rPr>
          <w:rFonts w:ascii="Arial" w:cs="Arial" w:eastAsia="Arial" w:hAnsi="Arial"/>
          <w:sz w:val="18"/>
          <w:szCs w:val="18"/>
          <w:color w:val="auto"/>
        </w:rPr>
      </w:pPr>
    </w:p>
    <w:p>
      <w:pPr>
        <w:jc w:val="both"/>
        <w:ind w:firstLine="1953"/>
        <w:spacing w:after="0" w:line="278" w:lineRule="auto"/>
        <w:tabs>
          <w:tab w:leader="none" w:pos="2780"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all Obligations (except for undrawn Letters of Credit) that have been charged to the Loan Account pursuant to the terms hereof shall bear interest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2 percentage points above the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otherwise applicable thereunder, and</w:t>
      </w:r>
    </w:p>
    <w:p>
      <w:pPr>
        <w:spacing w:after="0" w:line="186" w:lineRule="exact"/>
        <w:rPr>
          <w:rFonts w:ascii="Arial" w:cs="Arial" w:eastAsia="Arial" w:hAnsi="Arial"/>
          <w:sz w:val="20"/>
          <w:szCs w:val="20"/>
          <w:color w:val="auto"/>
        </w:rPr>
      </w:pPr>
    </w:p>
    <w:p>
      <w:pPr>
        <w:ind w:left="2840" w:hanging="887"/>
        <w:spacing w:after="0"/>
        <w:tabs>
          <w:tab w:leader="none" w:pos="28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the Letter of Credit Fee shall be increased to 2 percentage points above the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rate otherwise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applicable hereunder.</w:t>
      </w:r>
    </w:p>
    <w:p>
      <w:pPr>
        <w:spacing w:after="0" w:line="223" w:lineRule="exact"/>
        <w:rPr>
          <w:rFonts w:ascii="Arial" w:cs="Arial" w:eastAsia="Arial" w:hAnsi="Arial"/>
          <w:sz w:val="19"/>
          <w:szCs w:val="19"/>
          <w:color w:val="auto"/>
        </w:rPr>
      </w:pPr>
    </w:p>
    <w:p>
      <w:pPr>
        <w:jc w:val="both"/>
        <w:ind w:firstLine="1305"/>
        <w:spacing w:after="0" w:line="270" w:lineRule="auto"/>
        <w:tabs>
          <w:tab w:leader="none" w:pos="177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Except to the extent provided to the contrary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2.11(k)</w:t>
      </w:r>
      <w:r>
        <w:rPr>
          <w:rFonts w:ascii="Arial" w:cs="Arial" w:eastAsia="Arial" w:hAnsi="Arial"/>
          <w:sz w:val="18"/>
          <w:szCs w:val="18"/>
          <w:color w:val="auto"/>
        </w:rPr>
        <w:t>, (i) all interest, all Letter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Credit Fees and all other fees payable hereunder or under any of the other Loan Documents shall be due and payable, in arrears, on the first day of each month and (ii) all costs and expenses payable hereunder or under any of the other Loan Documents, and all Lender Group Expenses shall be due and payable on the earlier of (x) the first day of the month following the date on which the applicable costs, expenses, or Lender Group Expenses were first incurred or (y) the date on which demand therefor is made by Agent. Borrower hereby authorizes Agent, from time to time upon five Business Days prior notice to Borrower, to charge to the Loan Account (A) all interest accrued during the prior month on the Revolving Loans hereunder, (B) all Letter of Credit Fees accrued or chargeable hereunder during the prior month, (C) all fees and costs provided for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(D) the Unused Line Fee accrued during the prior month pursuant to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(E), all other fees payable hereunder or under any of the other Loan Documents and (F) the fronting fees and all commissions, other fees, charges and expenses provided for in </w:t>
      </w:r>
      <w:r>
        <w:rPr>
          <w:rFonts w:ascii="Arial" w:cs="Arial" w:eastAsia="Arial" w:hAnsi="Arial"/>
          <w:sz w:val="18"/>
          <w:szCs w:val="18"/>
          <w:u w:val="single" w:color="auto"/>
          <w:color w:val="auto"/>
        </w:rPr>
        <w:t>Section 2.11(k)</w:t>
      </w:r>
      <w:r>
        <w:rPr>
          <w:rFonts w:ascii="Arial" w:cs="Arial" w:eastAsia="Arial" w:hAnsi="Arial"/>
          <w:sz w:val="18"/>
          <w:szCs w:val="18"/>
          <w:color w:val="auto"/>
        </w:rPr>
        <w:t>. All amounts (including interest, fees, costs, expenses, Lender Group Expenses, or other amounts payable hereunder or under any other Loan Document or under any Bank Product Agreement) charged to the Loan Account shall thereupon constitute Revolving Loans hereunder, shall constitute Obligations hereunder, and shall initially accrue interest at the rate then applicable to Revolving Loans that are Base Rate Loans (unless and until converted into LIBOR Rate Loans in accordance with the</w:t>
      </w:r>
    </w:p>
    <w:p>
      <w:pPr>
        <w:spacing w:after="0" w:line="200" w:lineRule="exact"/>
        <w:rPr>
          <w:sz w:val="20"/>
          <w:szCs w:val="20"/>
          <w:color w:val="auto"/>
        </w:rPr>
      </w:pPr>
    </w:p>
    <w:p>
      <w:pPr>
        <w:spacing w:after="0" w:line="223"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838" w:right="239" w:bottom="1440" w:gutter="0" w:footer="0" w:header="0"/>
        </w:sectPr>
      </w:pPr>
    </w:p>
    <w:bookmarkStart w:id="105" w:name="page106"/>
    <w:bookmarkEnd w:id="105"/>
    <w:p>
      <w:pPr>
        <w:jc w:val="both"/>
        <w:spacing w:after="0" w:line="260" w:lineRule="auto"/>
        <w:rPr>
          <w:sz w:val="20"/>
          <w:szCs w:val="20"/>
          <w:color w:val="auto"/>
        </w:rPr>
      </w:pPr>
      <w:r>
        <w:rPr>
          <w:rFonts w:ascii="Arial" w:cs="Arial" w:eastAsia="Arial" w:hAnsi="Arial"/>
          <w:sz w:val="19"/>
          <w:szCs w:val="19"/>
          <w:color w:val="auto"/>
        </w:rPr>
        <w:t>terms of this Agreement). Interest on LIBOR Rate Loans and Loans for which EURIBOR is used shall be payable on the earliest of (i) the last day of the Interest Period applicable thereto; provided, that, subject to the following clauses (ii) and (iii), in the case of any Interest Period greater than 3 months in duration, interest shall be payable at 3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w:t>
      </w:r>
    </w:p>
    <w:p>
      <w:pPr>
        <w:spacing w:after="0" w:line="175" w:lineRule="exact"/>
        <w:rPr>
          <w:sz w:val="20"/>
          <w:szCs w:val="20"/>
          <w:color w:val="auto"/>
        </w:rPr>
      </w:pPr>
    </w:p>
    <w:p>
      <w:pPr>
        <w:jc w:val="both"/>
        <w:ind w:firstLine="1305"/>
        <w:spacing w:after="0" w:line="246" w:lineRule="auto"/>
        <w:tabs>
          <w:tab w:leader="none" w:pos="1737"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Computation</w:t>
      </w:r>
      <w:r>
        <w:rPr>
          <w:rFonts w:ascii="Arial" w:cs="Arial" w:eastAsia="Arial" w:hAnsi="Arial"/>
          <w:sz w:val="20"/>
          <w:szCs w:val="20"/>
          <w:color w:val="auto"/>
        </w:rPr>
        <w:t>. All interest and fees chargeable under the Loan Documents shall be computed on the basis of a 360 day</w:t>
      </w:r>
      <w:r>
        <w:rPr>
          <w:rFonts w:ascii="Arial" w:cs="Arial" w:eastAsia="Arial" w:hAnsi="Arial"/>
          <w:sz w:val="20"/>
          <w:szCs w:val="20"/>
          <w:b w:val="1"/>
          <w:bCs w:val="1"/>
          <w:color w:val="auto"/>
        </w:rPr>
        <w:t xml:space="preserve"> </w:t>
      </w:r>
      <w:r>
        <w:rPr>
          <w:rFonts w:ascii="Arial" w:cs="Arial" w:eastAsia="Arial" w:hAnsi="Arial"/>
          <w:sz w:val="20"/>
          <w:szCs w:val="20"/>
          <w:color w:val="auto"/>
        </w:rPr>
        <w:t>year (or, in the case of Sterling Denominated Loans, a 365 or 366 day year, as applicable), in each case, for the actual number of days elapsed in the period during which the interest or fees accrue. In the event the Base Rate is changed from time to time hereafter, the rates of interest hereunder based upon the Base Rate automatically and immediately shall be increased or decreased by an amount equal to such change in the Base Rate.</w:t>
      </w:r>
    </w:p>
    <w:p>
      <w:pPr>
        <w:spacing w:after="0" w:line="185" w:lineRule="exact"/>
        <w:rPr>
          <w:rFonts w:ascii="Arial" w:cs="Arial" w:eastAsia="Arial" w:hAnsi="Arial"/>
          <w:sz w:val="20"/>
          <w:szCs w:val="20"/>
          <w:color w:val="auto"/>
        </w:rPr>
      </w:pPr>
    </w:p>
    <w:p>
      <w:pPr>
        <w:jc w:val="both"/>
        <w:ind w:firstLine="1305"/>
        <w:spacing w:after="0" w:line="258" w:lineRule="auto"/>
        <w:tabs>
          <w:tab w:leader="none" w:pos="1782"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Intent to Limit Charges to Maximum Lawful Rate</w:t>
      </w:r>
      <w:r>
        <w:rPr>
          <w:rFonts w:ascii="Arial" w:cs="Arial" w:eastAsia="Arial" w:hAnsi="Arial"/>
          <w:sz w:val="19"/>
          <w:szCs w:val="19"/>
          <w:color w:val="auto"/>
        </w:rPr>
        <w:t>. In no event shall the interest rate or rates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plus any other amounts paid in connection herewith, exceed the highest rate permissible under any law that a court of competent jurisdiction shall, in a final determination, deem applicable. Borrower and the Lender Group, in executing and delivering this Agreement, intend legally to agree upon the rate or rates of interest and manner of payment stated within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anything contained herein to the contrary notwithstanding, if such rate or rates of interest or manner of payment exceeds the maximum allowable under applicable law, then, </w:t>
      </w:r>
      <w:r>
        <w:rPr>
          <w:rFonts w:ascii="Arial" w:cs="Arial" w:eastAsia="Arial" w:hAnsi="Arial"/>
          <w:sz w:val="19"/>
          <w:szCs w:val="19"/>
          <w:i w:val="1"/>
          <w:iCs w:val="1"/>
          <w:color w:val="auto"/>
        </w:rPr>
        <w:t xml:space="preserve">ipso facto, </w:t>
      </w:r>
      <w:r>
        <w:rPr>
          <w:rFonts w:ascii="Arial" w:cs="Arial" w:eastAsia="Arial" w:hAnsi="Arial"/>
          <w:sz w:val="19"/>
          <w:szCs w:val="19"/>
          <w:color w:val="auto"/>
        </w:rPr>
        <w:t>as of the date of this Agreement, Borrower is and shall be liable only for the payment of such maximum amount as is allowed by</w:t>
      </w:r>
      <w:r>
        <w:rPr>
          <w:rFonts w:ascii="Arial" w:cs="Arial" w:eastAsia="Arial" w:hAnsi="Arial"/>
          <w:sz w:val="19"/>
          <w:szCs w:val="19"/>
          <w:i w:val="1"/>
          <w:iCs w:val="1"/>
          <w:color w:val="auto"/>
        </w:rPr>
        <w:t xml:space="preserve"> </w:t>
      </w:r>
      <w:r>
        <w:rPr>
          <w:rFonts w:ascii="Arial" w:cs="Arial" w:eastAsia="Arial" w:hAnsi="Arial"/>
          <w:sz w:val="19"/>
          <w:szCs w:val="19"/>
          <w:color w:val="auto"/>
        </w:rPr>
        <w:t>law, and payment received from Borrower in excess of such legal maximum, whenever received, shall be applied to reduce the principal balance of the Obligations to the extent of such excess.</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b w:val="1"/>
          <w:bCs w:val="1"/>
          <w:u w:val="single" w:color="auto"/>
          <w:color w:val="auto"/>
        </w:rPr>
        <w:t>Crediting Payments</w:t>
      </w:r>
      <w:r>
        <w:rPr>
          <w:rFonts w:ascii="Arial" w:cs="Arial" w:eastAsia="Arial" w:hAnsi="Arial"/>
          <w:sz w:val="19"/>
          <w:szCs w:val="19"/>
          <w:color w:val="auto"/>
        </w:rPr>
        <w:t>. The receipt of any payment item by Agent shall not be required to be considered a payment on account unless such payment item is a wire transfer of immediately available federal funds made to Agent’s Account or unless and until such payment item is honored when presented for payment. Should any payment item not be honored when presented for payment, then Borrower shall be deemed not to have made such payment and interest shall be calculated accordingly. Anything to the contrary contained herein notwithstanding, any payment item shall be deemed received by Agent only if it is received into Agent’s Account on a Business Day on or before 1:30 p.m. If any payment item is received into Agent’s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b w:val="1"/>
          <w:bCs w:val="1"/>
          <w:u w:val="single" w:color="auto"/>
          <w:color w:val="auto"/>
        </w:rPr>
        <w:t>Designated Account</w:t>
      </w:r>
      <w:r>
        <w:rPr>
          <w:rFonts w:ascii="Arial" w:cs="Arial" w:eastAsia="Arial" w:hAnsi="Arial"/>
          <w:sz w:val="20"/>
          <w:szCs w:val="20"/>
          <w:color w:val="auto"/>
        </w:rPr>
        <w:t xml:space="preserve">. Agent is authorized to make the Revolving Loans, and Issuing Bank is authorized to issue the Letters of Credit, under this Agreement based upon telephonic or other instructions received from anyone purporting to be an Authorized Person or, without instructions, if pursuant to </w:t>
      </w:r>
      <w:r>
        <w:rPr>
          <w:rFonts w:ascii="Arial" w:cs="Arial" w:eastAsia="Arial" w:hAnsi="Arial"/>
          <w:sz w:val="20"/>
          <w:szCs w:val="20"/>
          <w:u w:val="single" w:color="auto"/>
          <w:color w:val="auto"/>
        </w:rPr>
        <w:t>Section 2.6(d)</w:t>
      </w:r>
      <w:r>
        <w:rPr>
          <w:rFonts w:ascii="Arial" w:cs="Arial" w:eastAsia="Arial" w:hAnsi="Arial"/>
          <w:sz w:val="20"/>
          <w:szCs w:val="20"/>
          <w:color w:val="auto"/>
        </w:rPr>
        <w:t>. Borrower agrees to establish and maintain the Designated Account with the Designated Account Bank for the purpose of receiving the proceeds of the Revolving Loans requested by Borrower and made by Agent or the Lenders hereunder. Unless otherwise agreed by Agent and Borrower, any Revolving Loan or Swing Loan requested by Borrower and made by Agent or the Lenders hereunder shall be made to the Designated Account. Notwithstanding anything contained herein to the contrary, except as otherwise agreed by Agent, proceeds of European Denominated Loans shall be remitted to a Designated Account maintained in London, England.</w:t>
      </w:r>
    </w:p>
    <w:p>
      <w:pPr>
        <w:spacing w:after="0" w:line="200" w:lineRule="exact"/>
        <w:rPr>
          <w:sz w:val="20"/>
          <w:szCs w:val="20"/>
          <w:color w:val="auto"/>
        </w:rPr>
      </w:pPr>
    </w:p>
    <w:p>
      <w:pPr>
        <w:spacing w:after="0" w:line="23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825" w:right="239" w:bottom="1440" w:gutter="0" w:footer="0" w:header="0"/>
        </w:sectPr>
      </w:pPr>
    </w:p>
    <w:bookmarkStart w:id="106" w:name="page107"/>
    <w:bookmarkEnd w:id="106"/>
    <w:p>
      <w:pPr>
        <w:jc w:val="both"/>
        <w:ind w:firstLine="648"/>
        <w:spacing w:after="0" w:line="27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Maintenance of Loan Account; Statements of Obligations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Agent shall maintain an account on its books in the name of Borrower (the “</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on which Borrower will be charged with all Revolving Loans (including Extraordinary Advances and Swing Loans) made by Agent, Swing Lender, or the Lenders to Borrower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the Loan Account will be credited with all payments received by Agent from Borrower or for Borrower’s account. Agent shall make available to Borrower monthly statements regarding the Loan Account, including the principal amount of the Revolving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 and the Lender Group unless, within 30 days after Agent first makes such a statement available to Borrower, Borrower shall deliver to Agent written objection thereto describing the error or errors contained in such statement.</w:t>
      </w:r>
    </w:p>
    <w:p>
      <w:pPr>
        <w:spacing w:after="0" w:line="1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color w:val="auto"/>
        </w:rPr>
        <w:t>.</w:t>
      </w:r>
    </w:p>
    <w:p>
      <w:pPr>
        <w:spacing w:after="0" w:line="216" w:lineRule="exact"/>
        <w:rPr>
          <w:sz w:val="20"/>
          <w:szCs w:val="20"/>
          <w:color w:val="auto"/>
        </w:rPr>
      </w:pPr>
    </w:p>
    <w:p>
      <w:pPr>
        <w:ind w:right="20" w:firstLine="1305"/>
        <w:spacing w:after="0" w:line="267" w:lineRule="auto"/>
        <w:tabs>
          <w:tab w:leader="none" w:pos="1723" w:val="left"/>
        </w:tabs>
        <w:numPr>
          <w:ilvl w:val="0"/>
          <w:numId w:val="78"/>
        </w:numPr>
        <w:rPr>
          <w:rFonts w:ascii="Arial" w:cs="Arial" w:eastAsia="Arial" w:hAnsi="Arial"/>
          <w:sz w:val="20"/>
          <w:szCs w:val="20"/>
          <w:color w:val="auto"/>
        </w:rPr>
      </w:pPr>
      <w:r>
        <w:rPr>
          <w:rFonts w:ascii="Arial" w:cs="Arial" w:eastAsia="Arial" w:hAnsi="Arial"/>
          <w:sz w:val="20"/>
          <w:szCs w:val="20"/>
          <w:b w:val="1"/>
          <w:bCs w:val="1"/>
          <w:color w:val="auto"/>
        </w:rPr>
        <w:t>Agent Fees</w:t>
      </w:r>
      <w:r>
        <w:rPr>
          <w:rFonts w:ascii="Arial" w:cs="Arial" w:eastAsia="Arial" w:hAnsi="Arial"/>
          <w:sz w:val="20"/>
          <w:szCs w:val="20"/>
          <w:color w:val="auto"/>
        </w:rPr>
        <w:t>. Borrower shall pay to Agent, for the account of Agent, as and when due and payable under the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Fee Letter, the fees set forth in the Fee Letter.</w:t>
      </w:r>
    </w:p>
    <w:p>
      <w:pPr>
        <w:spacing w:after="0" w:line="163" w:lineRule="exact"/>
        <w:rPr>
          <w:rFonts w:ascii="Arial" w:cs="Arial" w:eastAsia="Arial" w:hAnsi="Arial"/>
          <w:sz w:val="20"/>
          <w:szCs w:val="20"/>
          <w:color w:val="auto"/>
        </w:rPr>
      </w:pPr>
    </w:p>
    <w:p>
      <w:pPr>
        <w:jc w:val="both"/>
        <w:ind w:firstLine="1305"/>
        <w:spacing w:after="0" w:line="273" w:lineRule="auto"/>
        <w:tabs>
          <w:tab w:leader="none" w:pos="1721"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Unused Line Fee</w:t>
      </w:r>
      <w:r>
        <w:rPr>
          <w:rFonts w:ascii="Arial" w:cs="Arial" w:eastAsia="Arial" w:hAnsi="Arial"/>
          <w:sz w:val="18"/>
          <w:szCs w:val="18"/>
          <w:color w:val="auto"/>
        </w:rPr>
        <w:t>. Borrower shall pay to Agent, for the ratable account of the Revolving Lenders, an unused line fee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Unused Line Fee</w:t>
      </w:r>
      <w:r>
        <w:rPr>
          <w:rFonts w:ascii="Arial" w:cs="Arial" w:eastAsia="Arial" w:hAnsi="Arial"/>
          <w:sz w:val="18"/>
          <w:szCs w:val="18"/>
          <w:color w:val="auto"/>
        </w:rPr>
        <w:t xml:space="preserve">”) in an amount equal to (I) 0.375%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times the result of (i) the aggregate amount of the Revolver Commitments, less (ii) the Average Revolver Usage during the immediately preceding month (or portion thereof) if the Revolving Loans outstanding under the Revolver and Letter of Credit Usage is less than an amount equal to 50% of the Maximum Revolving Amount then in effect, or (II) 0.250% </w:t>
      </w:r>
      <w:r>
        <w:rPr>
          <w:rFonts w:ascii="Arial" w:cs="Arial" w:eastAsia="Arial" w:hAnsi="Arial"/>
          <w:sz w:val="18"/>
          <w:szCs w:val="18"/>
          <w:i w:val="1"/>
          <w:iCs w:val="1"/>
          <w:color w:val="auto"/>
        </w:rPr>
        <w:t>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annum </w:t>
      </w:r>
      <w:r>
        <w:rPr>
          <w:rFonts w:ascii="Arial" w:cs="Arial" w:eastAsia="Arial" w:hAnsi="Arial"/>
          <w:sz w:val="18"/>
          <w:szCs w:val="18"/>
          <w:color w:val="auto"/>
        </w:rPr>
        <w:t>times the result of (i) the aggregate amount of the Revolver Commitments, less (ii) the Average Revolver Usage during the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preceding month (or portion thereof) if the Revolving Loans outstanding under the Revolver and Letter of Credit Usage is greater than or equal to an amount equal to 50% of the Maximum Revolving Amount then in effect, in each case, which Unused Line Fee shall be due and payable on the first day of each month from and after the Restatement Closing Date up to the first day of the month prior to the date on which the Obligations are paid in full and on the date on which the Obligations are paid in full.</w:t>
      </w:r>
    </w:p>
    <w:p>
      <w:pPr>
        <w:spacing w:after="0" w:line="163" w:lineRule="exact"/>
        <w:rPr>
          <w:rFonts w:ascii="Arial" w:cs="Arial" w:eastAsia="Arial" w:hAnsi="Arial"/>
          <w:sz w:val="18"/>
          <w:szCs w:val="18"/>
          <w:color w:val="auto"/>
        </w:rPr>
      </w:pPr>
    </w:p>
    <w:p>
      <w:pPr>
        <w:jc w:val="both"/>
        <w:ind w:firstLine="1305"/>
        <w:spacing w:after="0" w:line="255" w:lineRule="auto"/>
        <w:tabs>
          <w:tab w:leader="none" w:pos="1750"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Field Examination and Other Fees</w:t>
      </w:r>
      <w:r>
        <w:rPr>
          <w:rFonts w:ascii="Arial" w:cs="Arial" w:eastAsia="Arial" w:hAnsi="Arial"/>
          <w:sz w:val="19"/>
          <w:szCs w:val="19"/>
          <w:color w:val="auto"/>
        </w:rPr>
        <w:t>. Borrower shall pay to Agent, field examination, appraisal, and valuation fees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charges, as and when incurred or chargeable, as follows (i) a fee of $1,000 per day, per examiner, plus out-of-pocket expenses (including travel, meals, and lodging) for each field examination of Borrower performed by personnel employed by Agent, (ii) if implemented, a fee of $1,000 per day, per Person, plus out-of-pocket expenses for the establishment of electronic collateral reporting, and (iii) the reasonable fees or charges paid or incurred by Agent (but, in any event, no less than a charge of $1,000 per day, per Person, plus out-of-pocket expenses (including travel, meals, and lodging)) if it elects to employ the services of one or more third Persons to perform field examinations of Borrower or its Subsidiaries, to appraise the Collateral, or any portion thereof, or to assess Borrower’s or its Subsidiaries’ business valuation;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shall have occurred and be continuing, and so long as Liquidity (of which no more than $5,000,000 may be Qualified Cash) remains greater than $12,500,000, Borrower shall not be obligated to reimburse Agent for more than 2 field examinations during any calendar year and more than 2 Inventory appraisals during any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 long as no Event of Default shall have occurred and be continuing, if Liquidity (of which no more than $5,000,000 may be Qualified Cash) is less than or equal to $12,500,000, Borrower shall not be obligated to</w:t>
      </w:r>
    </w:p>
    <w:p>
      <w:pPr>
        <w:spacing w:after="0" w:line="200" w:lineRule="exact"/>
        <w:rPr>
          <w:sz w:val="20"/>
          <w:szCs w:val="20"/>
          <w:color w:val="auto"/>
        </w:rPr>
      </w:pPr>
    </w:p>
    <w:p>
      <w:pPr>
        <w:spacing w:after="0" w:line="23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81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reimburse Agent for more than 3 field examinations during any calendar year and more than 3 Inventory appraisals during any calendar year.</w:t>
      </w:r>
    </w:p>
    <w:p>
      <w:pPr>
        <w:spacing w:after="0" w:line="23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b w:val="1"/>
          <w:bCs w:val="1"/>
          <w:u w:val="single" w:color="auto"/>
          <w:color w:val="auto"/>
        </w:rPr>
        <w:t>Letters of Credit</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firstLine="1305"/>
        <w:spacing w:after="0" w:line="269" w:lineRule="auto"/>
        <w:tabs>
          <w:tab w:leader="none" w:pos="17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upon the request of Borrower made in accordance herewith, and prior to the Maturity Date, Issuing Bank agrees to issue a requested Letter of Credit for the account of Borrower. By submitting a request to Issuing Bank for the issuance of a Letter of Credit, Borrower shall be deemed to have requested that Issuing Bank issue the requested Letter of Credit. Each request for the issuance of a Letter of Credit, or the amendment, renewal, or extension of any outstanding Letter of Credit, shall be irrevocable and shall be made in writing by an Authorized Person and delivered to Issuing Bank via telefacsimile or other electronic method of transmission reasonably acceptable to Issuing Bank and reasonably in advance of the requested date of issuance, amendment, renewal, or extension. Each such request shall be in form and substance reasonably satisfactory to Issuing Bank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Issuing Bank’s records of the content of any such request will be conclusive. Anything contained herein to the contrary notwithstanding, Issuing Bank may, but shall not be obligated to, issue a Letter of Credit that supports the obligations of Borrower or its Subsidiaries in respect of (x) a lease of real property, or (y) an employment contract.</w:t>
      </w:r>
    </w:p>
    <w:p>
      <w:pPr>
        <w:spacing w:after="0" w:line="177" w:lineRule="exact"/>
        <w:rPr>
          <w:rFonts w:ascii="Arial" w:cs="Arial" w:eastAsia="Arial" w:hAnsi="Arial"/>
          <w:sz w:val="18"/>
          <w:szCs w:val="18"/>
          <w:color w:val="auto"/>
        </w:rPr>
      </w:pPr>
    </w:p>
    <w:p>
      <w:pPr>
        <w:ind w:firstLine="1305"/>
        <w:spacing w:after="0" w:line="260" w:lineRule="auto"/>
        <w:tabs>
          <w:tab w:leader="none" w:pos="1721" w:val="left"/>
        </w:tabs>
        <w:numPr>
          <w:ilvl w:val="0"/>
          <w:numId w:val="79"/>
        </w:numPr>
        <w:rPr>
          <w:rFonts w:ascii="Arial" w:cs="Arial" w:eastAsia="Arial" w:hAnsi="Arial"/>
          <w:sz w:val="20"/>
          <w:szCs w:val="20"/>
          <w:color w:val="auto"/>
        </w:rPr>
      </w:pPr>
      <w:r>
        <w:rPr>
          <w:rFonts w:ascii="Arial" w:cs="Arial" w:eastAsia="Arial" w:hAnsi="Arial"/>
          <w:sz w:val="20"/>
          <w:szCs w:val="20"/>
          <w:color w:val="auto"/>
        </w:rPr>
        <w:t>Issuing Bank shall have no obligation to issue a Letter of Credit if any of the following would result after giving effect to the requested issuance:</w:t>
      </w:r>
    </w:p>
    <w:p>
      <w:pPr>
        <w:spacing w:after="0" w:line="176" w:lineRule="exact"/>
        <w:rPr>
          <w:rFonts w:ascii="Arial" w:cs="Arial" w:eastAsia="Arial" w:hAnsi="Arial"/>
          <w:sz w:val="20"/>
          <w:szCs w:val="20"/>
          <w:color w:val="auto"/>
        </w:rPr>
      </w:pPr>
    </w:p>
    <w:p>
      <w:pPr>
        <w:ind w:left="2320" w:hanging="367"/>
        <w:spacing w:after="0"/>
        <w:tabs>
          <w:tab w:leader="none" w:pos="23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Letter of Credit Usage would exceed $10,000,000, or</w:t>
      </w:r>
    </w:p>
    <w:p>
      <w:pPr>
        <w:spacing w:after="0" w:line="215" w:lineRule="exact"/>
        <w:rPr>
          <w:rFonts w:ascii="Arial" w:cs="Arial" w:eastAsia="Arial" w:hAnsi="Arial"/>
          <w:sz w:val="20"/>
          <w:szCs w:val="20"/>
          <w:color w:val="auto"/>
        </w:rPr>
      </w:pPr>
    </w:p>
    <w:p>
      <w:pPr>
        <w:ind w:right="20" w:firstLine="1953"/>
        <w:spacing w:after="0" w:line="260" w:lineRule="auto"/>
        <w:tabs>
          <w:tab w:leader="none" w:pos="2515" w:val="left"/>
        </w:tabs>
        <w:numPr>
          <w:ilvl w:val="1"/>
          <w:numId w:val="79"/>
        </w:numPr>
        <w:rPr>
          <w:rFonts w:ascii="Arial" w:cs="Arial" w:eastAsia="Arial" w:hAnsi="Arial"/>
          <w:sz w:val="20"/>
          <w:szCs w:val="20"/>
          <w:color w:val="auto"/>
        </w:rPr>
      </w:pPr>
      <w:r>
        <w:rPr>
          <w:rFonts w:ascii="Arial" w:cs="Arial" w:eastAsia="Arial" w:hAnsi="Arial"/>
          <w:sz w:val="20"/>
          <w:szCs w:val="20"/>
          <w:color w:val="auto"/>
        </w:rPr>
        <w:t xml:space="preserve">the Letter of Credit Usage would exceed the Maximum Revolver Amount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outstanding amount of Revolving Loans (including Swing Loans), or</w:t>
      </w:r>
    </w:p>
    <w:p>
      <w:pPr>
        <w:spacing w:after="0" w:line="176" w:lineRule="exact"/>
        <w:rPr>
          <w:rFonts w:ascii="Arial" w:cs="Arial" w:eastAsia="Arial" w:hAnsi="Arial"/>
          <w:sz w:val="20"/>
          <w:szCs w:val="20"/>
          <w:color w:val="auto"/>
        </w:rPr>
      </w:pPr>
    </w:p>
    <w:p>
      <w:pPr>
        <w:ind w:firstLine="1953"/>
        <w:spacing w:after="0" w:line="260" w:lineRule="auto"/>
        <w:tabs>
          <w:tab w:leader="none" w:pos="2435" w:val="left"/>
        </w:tabs>
        <w:numPr>
          <w:ilvl w:val="1"/>
          <w:numId w:val="79"/>
        </w:numPr>
        <w:rPr>
          <w:rFonts w:ascii="Arial" w:cs="Arial" w:eastAsia="Arial" w:hAnsi="Arial"/>
          <w:sz w:val="20"/>
          <w:szCs w:val="20"/>
          <w:color w:val="auto"/>
        </w:rPr>
      </w:pPr>
      <w:r>
        <w:rPr>
          <w:rFonts w:ascii="Arial" w:cs="Arial" w:eastAsia="Arial" w:hAnsi="Arial"/>
          <w:sz w:val="20"/>
          <w:szCs w:val="20"/>
          <w:color w:val="auto"/>
        </w:rPr>
        <w:t xml:space="preserve">the Letter of Credit Usage would exceed the Borrowing Base at such time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outstanding principal balance of the Revolving Loans (inclusive of Swing Loans) at such time.</w:t>
      </w:r>
    </w:p>
    <w:p>
      <w:pPr>
        <w:spacing w:after="0" w:line="176" w:lineRule="exact"/>
        <w:rPr>
          <w:rFonts w:ascii="Arial" w:cs="Arial" w:eastAsia="Arial" w:hAnsi="Arial"/>
          <w:sz w:val="20"/>
          <w:szCs w:val="20"/>
          <w:color w:val="auto"/>
        </w:rPr>
      </w:pPr>
    </w:p>
    <w:p>
      <w:pPr>
        <w:jc w:val="both"/>
        <w:ind w:firstLine="1305"/>
        <w:spacing w:after="0" w:line="271" w:lineRule="auto"/>
        <w:tabs>
          <w:tab w:leader="none" w:pos="17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 the event there is a Defaulting Lender as of the date of any request for the issuance of a Letter of Credit, the Issuing Bank shall not be required to issue or arrange for such Letter of Credit to the extent (i) the Defaulting Lender’s Letter of Credit Exposure with respect to such Letter of Credit may not be reallocated pursuant to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or (ii) the Issuing Bank has not otherwise entered into arrangements reasonably satisfactory to it and Borrower to eliminate the Issuing Bank’s risk with respect to the participation in such Letter of Credit of the Defaulting Lender, which arrangements may include Borrower cash collateralizing such Defaulting Lender’s Letter of Credit Exposure in accordance with </w:t>
      </w:r>
      <w:r>
        <w:rPr>
          <w:rFonts w:ascii="Arial" w:cs="Arial" w:eastAsia="Arial" w:hAnsi="Arial"/>
          <w:sz w:val="18"/>
          <w:szCs w:val="18"/>
          <w:u w:val="single" w:color="auto"/>
          <w:color w:val="auto"/>
        </w:rPr>
        <w:t>Section 2.3(g)(ii)</w:t>
      </w:r>
      <w:r>
        <w:rPr>
          <w:rFonts w:ascii="Arial" w:cs="Arial" w:eastAsia="Arial" w:hAnsi="Arial"/>
          <w:sz w:val="18"/>
          <w:szCs w:val="18"/>
          <w:color w:val="auto"/>
        </w:rPr>
        <w:t>. Additionally, Issuing Bank shall have no obligation to issue a Letter of Credit if (A) 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or (B) the issuance of such Letter of Credit would violate one or more</w:t>
      </w:r>
    </w:p>
    <w:p>
      <w:pPr>
        <w:spacing w:after="0" w:line="200" w:lineRule="exact"/>
        <w:rPr>
          <w:sz w:val="20"/>
          <w:szCs w:val="20"/>
          <w:color w:val="auto"/>
        </w:rPr>
      </w:pPr>
    </w:p>
    <w:p>
      <w:pPr>
        <w:spacing w:after="0" w:line="218"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25" w:right="239" w:bottom="1440" w:gutter="0" w:footer="0" w:header="0"/>
        </w:sectPr>
      </w:pPr>
    </w:p>
    <w:bookmarkStart w:id="108" w:name="page109"/>
    <w:bookmarkEnd w:id="108"/>
    <w:p>
      <w:pPr>
        <w:spacing w:after="0" w:line="260" w:lineRule="auto"/>
        <w:rPr>
          <w:sz w:val="20"/>
          <w:szCs w:val="20"/>
          <w:color w:val="auto"/>
        </w:rPr>
      </w:pPr>
      <w:r>
        <w:rPr>
          <w:rFonts w:ascii="Arial" w:cs="Arial" w:eastAsia="Arial" w:hAnsi="Arial"/>
          <w:sz w:val="20"/>
          <w:szCs w:val="20"/>
          <w:color w:val="auto"/>
        </w:rPr>
        <w:t>policies of Issuing Bank applicable to letters of credit generally, or (C) amounts demanded to be paid under any Letter of Credit will or may not be in United States Dollars.</w:t>
      </w:r>
    </w:p>
    <w:p>
      <w:pPr>
        <w:spacing w:after="0" w:line="177" w:lineRule="exact"/>
        <w:rPr>
          <w:sz w:val="20"/>
          <w:szCs w:val="20"/>
          <w:color w:val="auto"/>
        </w:rPr>
      </w:pPr>
    </w:p>
    <w:p>
      <w:pPr>
        <w:jc w:val="both"/>
        <w:ind w:firstLine="1305"/>
        <w:spacing w:after="0" w:line="269" w:lineRule="auto"/>
        <w:tabs>
          <w:tab w:leader="none" w:pos="17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Issuing Bank (other than Wells Fargo or any of its Affiliates) shall notify Agent in writing no later than the Business Day immediately following the Business Day on which such Issuing Bank issued any Letter of Credit; provided that (i) until Agent advises any such Issuing Bank that the provisions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are not satisfied, or (ii) unless the aggregate amount of the Letters of Credit issued in any such week exceeds such amount as shall be agreed by Agent and such Issuing Bank, such Issuing Bank shall be required to so notify Agent in writing only once each week of the Letters of Credit issued by such Issuing Bank during the immediately preceding week as well as the daily amounts outstanding for the prior week, such notice to be furnished on such day of the week as Agent and such Issuing Bank may agree. Each Letter of Credit shall be in form and substance reasonably acceptable to Issuing Bank, including the requirement that the amounts payable thereunder must be payable in Dollars. If Issuing Bank makes a payment under a Letter of Credit, Borrower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(notwithstanding any failure to satisfy any condition precedent set forth in Section 3) and, initially, shall bear interest at the rate then applicable to Revolving Loans that are Base Rate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 pursuant to this paragraph, Agent shall distribute such payment to Issuing Bank or, to the extent that Revolving Lenders have made payments pursuant to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to reimburse Issuing Bank, then to such Revolving Lenders and Issuing Bank as their interests may appear.</w:t>
      </w:r>
    </w:p>
    <w:p>
      <w:pPr>
        <w:spacing w:after="0" w:line="177" w:lineRule="exact"/>
        <w:rPr>
          <w:rFonts w:ascii="Arial" w:cs="Arial" w:eastAsia="Arial" w:hAnsi="Arial"/>
          <w:sz w:val="18"/>
          <w:szCs w:val="18"/>
          <w:color w:val="auto"/>
        </w:rPr>
      </w:pPr>
    </w:p>
    <w:p>
      <w:pPr>
        <w:jc w:val="both"/>
        <w:ind w:firstLine="1305"/>
        <w:spacing w:after="0" w:line="269" w:lineRule="auto"/>
        <w:tabs>
          <w:tab w:leader="none" w:pos="17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Promptly following receipt of a notice of a Letter of Credit Disbursement pursuant to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each Revolving Lender agrees to fund its Pro Rata Share of any Revolving Loan deemed made pursuant to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on the same terms and conditions as if Borrower had requested the amount thereof as a Revolving Loan and Agent shall promptly pay to Issuing Bank the amounts so received by it from the Revolving Lenders. By the issuance of a Letter of Credit (or an amendment, renewal,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 on the date due as provided in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or of any reimbursement payment that is required to be refunded (or that Agent or Issuing Bank elects, based upon the advice of counsel, to refund) to Borrower for any reason. Each Revolving Lender acknowledges and agrees that its obligation to deliver to Agent, for the account of Issuing Bank, an amount equal to its respective Pro Rata Share of each Letter of Credit Disbursement pursuant to this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If any such Revolving Lender fails to make available to Agent the amount of such Revolving Lender’s Pro Rata Share of a Letter of Credit Disbursement as provided in this Section, such Revolving Lender shall be deemed to be a Defaulting Lender and Agent (for the account of Issuing Bank) shall be entitled to recover such amount</w:t>
      </w:r>
    </w:p>
    <w:p>
      <w:pPr>
        <w:spacing w:after="0" w:line="200" w:lineRule="exact"/>
        <w:rPr>
          <w:sz w:val="20"/>
          <w:szCs w:val="20"/>
          <w:color w:val="auto"/>
        </w:rPr>
      </w:pPr>
    </w:p>
    <w:p>
      <w:pPr>
        <w:spacing w:after="0" w:line="216"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825" w:right="2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on demand from such Revolving Lender together with interest thereon at the Defaulting Lender Rate until paid in full.</w:t>
      </w:r>
    </w:p>
    <w:p>
      <w:pPr>
        <w:spacing w:after="0" w:line="216" w:lineRule="exact"/>
        <w:rPr>
          <w:sz w:val="20"/>
          <w:szCs w:val="20"/>
          <w:color w:val="auto"/>
        </w:rPr>
      </w:pPr>
    </w:p>
    <w:p>
      <w:pPr>
        <w:jc w:val="both"/>
        <w:ind w:firstLine="1305"/>
        <w:spacing w:after="0" w:line="257" w:lineRule="auto"/>
        <w:tabs>
          <w:tab w:leader="none" w:pos="1701" w:val="left"/>
        </w:tabs>
        <w:numPr>
          <w:ilvl w:val="0"/>
          <w:numId w:val="81"/>
        </w:numPr>
        <w:rPr>
          <w:rFonts w:ascii="Arial" w:cs="Arial" w:eastAsia="Arial" w:hAnsi="Arial"/>
          <w:sz w:val="19"/>
          <w:szCs w:val="19"/>
          <w:color w:val="auto"/>
        </w:rPr>
      </w:pPr>
      <w:r>
        <w:rPr>
          <w:rFonts w:ascii="Arial" w:cs="Arial" w:eastAsia="Arial" w:hAnsi="Arial"/>
          <w:sz w:val="19"/>
          <w:szCs w:val="19"/>
          <w:color w:val="auto"/>
        </w:rPr>
        <w:t>Borrower agrees to indemnify, defend and hold harmless each member of the Lender Group (including Issuing Bank and its branches, Affiliates, and correspondents) and each such Person’s respective directors, officers, employees, attorneys and agents (each, including Issuing Bank, a “</w:t>
      </w:r>
      <w:r>
        <w:rPr>
          <w:rFonts w:ascii="Arial" w:cs="Arial" w:eastAsia="Arial" w:hAnsi="Arial"/>
          <w:sz w:val="19"/>
          <w:szCs w:val="19"/>
          <w:u w:val="single" w:color="auto"/>
          <w:color w:val="auto"/>
        </w:rPr>
        <w:t>Letter of Credit Related Person</w:t>
      </w:r>
      <w:r>
        <w:rPr>
          <w:rFonts w:ascii="Arial" w:cs="Arial" w:eastAsia="Arial" w:hAnsi="Arial"/>
          <w:sz w:val="19"/>
          <w:szCs w:val="19"/>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Arial" w:cs="Arial" w:eastAsia="Arial" w:hAnsi="Arial"/>
          <w:sz w:val="19"/>
          <w:szCs w:val="19"/>
          <w:u w:val="single" w:color="auto"/>
          <w:color w:val="auto"/>
        </w:rPr>
        <w:t>Section 16</w:t>
      </w:r>
      <w:r>
        <w:rPr>
          <w:rFonts w:ascii="Arial" w:cs="Arial" w:eastAsia="Arial" w:hAnsi="Arial"/>
          <w:sz w:val="19"/>
          <w:szCs w:val="19"/>
          <w:color w:val="auto"/>
        </w:rPr>
        <w:t>)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Costs</w:t>
      </w:r>
      <w:r>
        <w:rPr>
          <w:rFonts w:ascii="Arial" w:cs="Arial" w:eastAsia="Arial" w:hAnsi="Arial"/>
          <w:sz w:val="19"/>
          <w:szCs w:val="19"/>
          <w:color w:val="auto"/>
        </w:rPr>
        <w:t>”), and which arise out of or in connection with, or as a result of:</w:t>
      </w:r>
    </w:p>
    <w:p>
      <w:pPr>
        <w:spacing w:after="0" w:line="181" w:lineRule="exact"/>
        <w:rPr>
          <w:rFonts w:ascii="Arial" w:cs="Arial" w:eastAsia="Arial" w:hAnsi="Arial"/>
          <w:sz w:val="19"/>
          <w:szCs w:val="19"/>
          <w:color w:val="auto"/>
        </w:rPr>
      </w:pPr>
    </w:p>
    <w:p>
      <w:pPr>
        <w:ind w:left="2320" w:hanging="367"/>
        <w:spacing w:after="0"/>
        <w:tabs>
          <w:tab w:leader="none" w:pos="2320"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Letter of Credit or any pre-advice of its issuance;</w:t>
      </w:r>
    </w:p>
    <w:p>
      <w:pPr>
        <w:spacing w:after="0" w:line="215" w:lineRule="exact"/>
        <w:rPr>
          <w:rFonts w:ascii="Arial" w:cs="Arial" w:eastAsia="Arial" w:hAnsi="Arial"/>
          <w:sz w:val="20"/>
          <w:szCs w:val="20"/>
          <w:color w:val="auto"/>
        </w:rPr>
      </w:pPr>
    </w:p>
    <w:p>
      <w:pPr>
        <w:ind w:firstLine="1953"/>
        <w:spacing w:after="0" w:line="260" w:lineRule="auto"/>
        <w:tabs>
          <w:tab w:leader="none" w:pos="2393"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transfer, sale, delivery, surrender or endorsement of any Drawing Document at any time(s) held by any such Letter of Credit Related Person in connection with any Letter of Credit;</w:t>
      </w:r>
    </w:p>
    <w:p>
      <w:pPr>
        <w:spacing w:after="0" w:line="176" w:lineRule="exact"/>
        <w:rPr>
          <w:rFonts w:ascii="Arial" w:cs="Arial" w:eastAsia="Arial" w:hAnsi="Arial"/>
          <w:sz w:val="20"/>
          <w:szCs w:val="20"/>
          <w:color w:val="auto"/>
        </w:rPr>
      </w:pPr>
    </w:p>
    <w:p>
      <w:pPr>
        <w:jc w:val="both"/>
        <w:ind w:firstLine="1953"/>
        <w:spacing w:after="0" w:line="250" w:lineRule="auto"/>
        <w:tabs>
          <w:tab w:leader="none" w:pos="2516"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86" w:lineRule="exact"/>
        <w:rPr>
          <w:rFonts w:ascii="Arial" w:cs="Arial" w:eastAsia="Arial" w:hAnsi="Arial"/>
          <w:sz w:val="20"/>
          <w:szCs w:val="20"/>
          <w:color w:val="auto"/>
        </w:rPr>
      </w:pPr>
    </w:p>
    <w:p>
      <w:pPr>
        <w:ind w:left="2420" w:hanging="467"/>
        <w:spacing w:after="0"/>
        <w:tabs>
          <w:tab w:leader="none" w:pos="2420"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independent undertakings issued by the beneficiary of any Letter of Credit;</w:t>
      </w:r>
    </w:p>
    <w:p>
      <w:pPr>
        <w:spacing w:after="0" w:line="215" w:lineRule="exact"/>
        <w:rPr>
          <w:rFonts w:ascii="Arial" w:cs="Arial" w:eastAsia="Arial" w:hAnsi="Arial"/>
          <w:sz w:val="20"/>
          <w:szCs w:val="20"/>
          <w:color w:val="auto"/>
        </w:rPr>
      </w:pPr>
    </w:p>
    <w:p>
      <w:pPr>
        <w:ind w:right="20" w:firstLine="1953"/>
        <w:spacing w:after="0" w:line="260" w:lineRule="auto"/>
        <w:tabs>
          <w:tab w:leader="none" w:pos="2355"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unauthorized instruction or request made to Issuing Bank in connection with any Letter of Credit or requested Letter of Credit or error in computer or electronic transmission;</w:t>
      </w:r>
    </w:p>
    <w:p>
      <w:pPr>
        <w:spacing w:after="0" w:line="176" w:lineRule="exact"/>
        <w:rPr>
          <w:rFonts w:ascii="Arial" w:cs="Arial" w:eastAsia="Arial" w:hAnsi="Arial"/>
          <w:sz w:val="20"/>
          <w:szCs w:val="20"/>
          <w:color w:val="auto"/>
        </w:rPr>
      </w:pPr>
    </w:p>
    <w:p>
      <w:pPr>
        <w:ind w:left="2420" w:hanging="467"/>
        <w:spacing w:after="0"/>
        <w:tabs>
          <w:tab w:leader="none" w:pos="2420" w:val="left"/>
        </w:tabs>
        <w:numPr>
          <w:ilvl w:val="1"/>
          <w:numId w:val="81"/>
        </w:numPr>
        <w:rPr>
          <w:rFonts w:ascii="Arial" w:cs="Arial" w:eastAsia="Arial" w:hAnsi="Arial"/>
          <w:sz w:val="19"/>
          <w:szCs w:val="19"/>
          <w:color w:val="auto"/>
        </w:rPr>
      </w:pPr>
      <w:r>
        <w:rPr>
          <w:rFonts w:ascii="Arial" w:cs="Arial" w:eastAsia="Arial" w:hAnsi="Arial"/>
          <w:sz w:val="19"/>
          <w:szCs w:val="19"/>
          <w:color w:val="auto"/>
        </w:rPr>
        <w:t>an adviser, confirmer or other nominated person seeking to be reimbursed, indemnified or compensated;</w:t>
      </w:r>
    </w:p>
    <w:p>
      <w:pPr>
        <w:spacing w:after="0" w:line="227" w:lineRule="exact"/>
        <w:rPr>
          <w:rFonts w:ascii="Arial" w:cs="Arial" w:eastAsia="Arial" w:hAnsi="Arial"/>
          <w:sz w:val="19"/>
          <w:szCs w:val="19"/>
          <w:color w:val="auto"/>
        </w:rPr>
      </w:pPr>
    </w:p>
    <w:p>
      <w:pPr>
        <w:ind w:firstLine="1953"/>
        <w:spacing w:after="0" w:line="260" w:lineRule="auto"/>
        <w:tabs>
          <w:tab w:leader="none" w:pos="2479"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third party seeking to enforce the rights of an applicant, beneficiary, nominated person, transferee, assignee of Letter of Credit proceeds or holder of an instrument or document;</w:t>
      </w:r>
    </w:p>
    <w:p>
      <w:pPr>
        <w:spacing w:after="0" w:line="176" w:lineRule="exact"/>
        <w:rPr>
          <w:rFonts w:ascii="Arial" w:cs="Arial" w:eastAsia="Arial" w:hAnsi="Arial"/>
          <w:sz w:val="20"/>
          <w:szCs w:val="20"/>
          <w:color w:val="auto"/>
        </w:rPr>
      </w:pPr>
    </w:p>
    <w:p>
      <w:pPr>
        <w:ind w:left="2520" w:hanging="567"/>
        <w:spacing w:after="0"/>
        <w:tabs>
          <w:tab w:leader="none" w:pos="2520"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fraud, forgery or illegal action of parties other than the Letter of Credit Related Person;</w:t>
      </w:r>
    </w:p>
    <w:p>
      <w:pPr>
        <w:spacing w:after="0" w:line="215" w:lineRule="exact"/>
        <w:rPr>
          <w:rFonts w:ascii="Arial" w:cs="Arial" w:eastAsia="Arial" w:hAnsi="Arial"/>
          <w:sz w:val="20"/>
          <w:szCs w:val="20"/>
          <w:color w:val="auto"/>
        </w:rPr>
      </w:pPr>
    </w:p>
    <w:p>
      <w:pPr>
        <w:ind w:left="2480" w:hanging="527"/>
        <w:spacing w:after="0"/>
        <w:tabs>
          <w:tab w:leader="none" w:pos="2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Issuing Bank’s performance of the obligations of a confirming institution or entity that wrongfully dishonors a</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confirmation; or</w:t>
      </w:r>
    </w:p>
    <w:p>
      <w:pPr>
        <w:spacing w:after="0" w:line="199" w:lineRule="exact"/>
        <w:rPr>
          <w:rFonts w:ascii="Arial" w:cs="Arial" w:eastAsia="Arial" w:hAnsi="Arial"/>
          <w:sz w:val="18"/>
          <w:szCs w:val="18"/>
          <w:color w:val="auto"/>
        </w:rPr>
      </w:pPr>
    </w:p>
    <w:p>
      <w:pPr>
        <w:ind w:firstLine="1953"/>
        <w:spacing w:after="0" w:line="260" w:lineRule="auto"/>
        <w:tabs>
          <w:tab w:leader="none" w:pos="2396"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acts or omissions, whether rightful or wrongful, of any present or future de jure or de facto governmental or regulatory authority or cause or event beyond the control of the Letter of Credit Related Person;</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in each case, including that resulting from the Letter of Credit Related Person’s own negligence;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indemnity shall not be available to any Letter of Credit Related Person claiming indemnification under clauses (i) through (x) above to the extent that such Letter of Credit Indemnified Costs</w:t>
      </w:r>
    </w:p>
    <w:p>
      <w:pPr>
        <w:spacing w:after="0" w:line="33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825" w:right="239" w:bottom="1440" w:gutter="0" w:footer="0" w:header="0"/>
        </w:sectPr>
      </w:pPr>
    </w:p>
    <w:bookmarkStart w:id="110" w:name="page111"/>
    <w:bookmarkEnd w:id="110"/>
    <w:p>
      <w:pPr>
        <w:jc w:val="both"/>
        <w:spacing w:after="0" w:line="272" w:lineRule="auto"/>
        <w:rPr>
          <w:sz w:val="20"/>
          <w:szCs w:val="20"/>
          <w:color w:val="auto"/>
        </w:rPr>
      </w:pPr>
      <w:r>
        <w:rPr>
          <w:rFonts w:ascii="Arial" w:cs="Arial" w:eastAsia="Arial" w:hAnsi="Arial"/>
          <w:sz w:val="20"/>
          <w:szCs w:val="20"/>
          <w:color w:val="auto"/>
        </w:rPr>
        <w:t xml:space="preserve">may be finally determined in a final, non-appealable judgment of a court of competent jurisdiction to have resulted directly from the gross negligence or willful misconduct of the Letter of Credit Related Person claiming indemnity. Borrower hereby agrees to pay the Letter of Credit Related Person claiming indemnity on demand from time to time all amounts owing under this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If and to the extent that the obligations of Borrower under this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are unenforceable for any reason, Borrower agrees to make the maximum contribution to the Letter of Credit Indemnified Costs permissible under applicable law. This indemnification provision shall survive termination of this Agreement and all Letters of Credit.</w:t>
      </w:r>
    </w:p>
    <w:p>
      <w:pPr>
        <w:spacing w:after="0" w:line="97" w:lineRule="exact"/>
        <w:rPr>
          <w:sz w:val="20"/>
          <w:szCs w:val="20"/>
          <w:color w:val="auto"/>
        </w:rPr>
      </w:pPr>
    </w:p>
    <w:p>
      <w:pPr>
        <w:jc w:val="both"/>
        <w:ind w:firstLine="1305"/>
        <w:spacing w:after="0" w:line="254" w:lineRule="auto"/>
        <w:tabs>
          <w:tab w:leader="none" w:pos="170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liability of Issuing Bank (or any other Letter of Credit Related Person) under, in connection with or arising out of any Letter of Credit (or pre-advice), regardless of the form or legal grounds of the action or proceeding, shall be limited to direct damages suffered by Borrower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Issuing Bank shall be deemed to have acted with due diligence and reasonable care if Issuing Bank’s conduct is in accordance with Standard Letter of Credit Practice or in accordance with this Agreement. Borrower’s aggregate remedies against Issuing Bank and any Letter of Credit Related Person for wrongfully honoring a presentation under any Letter of Credit or wrongfully retaining honored Drawing Documents shall in no event exceed the aggregate amount paid by Borrower to Issuing Bank in respect of the honored presentation in connection with such Letter of Credit under </w:t>
      </w:r>
      <w:r>
        <w:rPr>
          <w:rFonts w:ascii="Arial" w:cs="Arial" w:eastAsia="Arial" w:hAnsi="Arial"/>
          <w:sz w:val="19"/>
          <w:szCs w:val="19"/>
          <w:u w:val="single" w:color="auto"/>
          <w:color w:val="auto"/>
        </w:rPr>
        <w:t>Section 2.11(d)</w:t>
      </w:r>
      <w:r>
        <w:rPr>
          <w:rFonts w:ascii="Arial" w:cs="Arial" w:eastAsia="Arial" w:hAnsi="Arial"/>
          <w:sz w:val="19"/>
          <w:szCs w:val="19"/>
          <w:color w:val="auto"/>
        </w:rPr>
        <w:t>, plus interest at the rate then applicable to Base Rate Loans hereunder. Borrower shall take action to avoid and mitigate the amount of any damages claimed against Issuing Bank or any other Letter of Credit Related Person, including by enforcing its rights against the beneficiaries of the Letters of Credit. Any claim by Borrower under or in connection with any Letter of Credit shall be reduced by an amount equal to the sum of (x) the amount (if any) saved by Borrower as a result of the breach or alleged wrongful conduct complained of; and (y) the amount (if any) of the loss that would have been avoided had Borrower taken all reasonable steps to mitigate any loss, and in case of a claim of wrongful dishonor, by specifically and timely authorizing Issuing Bank to effect a cure.</w:t>
      </w:r>
    </w:p>
    <w:p>
      <w:pPr>
        <w:spacing w:after="0" w:line="189" w:lineRule="exact"/>
        <w:rPr>
          <w:rFonts w:ascii="Arial" w:cs="Arial" w:eastAsia="Arial" w:hAnsi="Arial"/>
          <w:sz w:val="19"/>
          <w:szCs w:val="19"/>
          <w:color w:val="auto"/>
        </w:rPr>
      </w:pPr>
    </w:p>
    <w:p>
      <w:pPr>
        <w:jc w:val="both"/>
        <w:ind w:firstLine="1305"/>
        <w:spacing w:after="0" w:line="274" w:lineRule="auto"/>
        <w:tabs>
          <w:tab w:leader="none" w:pos="18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Borrower is responsible for preparing or approving the final text of the Letter of Credit as issued by Issuing Bank, irrespective of any assistance Issuing Bank may provide such as drafting or recommending text or by Issuing Bank’s use or refusal to use text submitted by Borrower. Borrower is solely responsible for the suitability of the Letter of Credit for Borrower’s purposes. With respect to any Letter of Credit containing an “</w:t>
      </w:r>
      <w:r>
        <w:rPr>
          <w:rFonts w:ascii="Arial" w:cs="Arial" w:eastAsia="Arial" w:hAnsi="Arial"/>
          <w:sz w:val="18"/>
          <w:szCs w:val="18"/>
          <w:u w:val="single" w:color="auto"/>
          <w:color w:val="auto"/>
        </w:rPr>
        <w:t>automatic amendment</w:t>
      </w:r>
      <w:r>
        <w:rPr>
          <w:rFonts w:ascii="Arial" w:cs="Arial" w:eastAsia="Arial" w:hAnsi="Arial"/>
          <w:sz w:val="18"/>
          <w:szCs w:val="18"/>
          <w:color w:val="auto"/>
        </w:rPr>
        <w:t>” to extend the expiration date of such Letter of Credit, Issuing Bank, in its sole and absolute discretion, may give notice of nonrenewal of such Letter of Credit and, if Borrower does not at any time want such Letter of Credit to be renewed, Borrower will so notify Agent and Issuing Bank at least 15 calendar days before Issuing Bank is required to notify the beneficiary of such Letter of Credit or any advising bank of such nonrenewal pursuant to the terms of such Letter of Credit.</w:t>
      </w:r>
    </w:p>
    <w:p>
      <w:pPr>
        <w:spacing w:after="0" w:line="169" w:lineRule="exact"/>
        <w:rPr>
          <w:rFonts w:ascii="Arial" w:cs="Arial" w:eastAsia="Arial" w:hAnsi="Arial"/>
          <w:sz w:val="18"/>
          <w:szCs w:val="18"/>
          <w:color w:val="auto"/>
        </w:rPr>
      </w:pPr>
    </w:p>
    <w:p>
      <w:pPr>
        <w:ind w:firstLine="1305"/>
        <w:spacing w:after="0" w:line="316" w:lineRule="auto"/>
        <w:tabs>
          <w:tab w:leader="none" w:pos="17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Borrower’s reimbursement and payment obligations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are absolute, unconditional and irrevocable and shall be performed strictly in accordance with the terms of this Agreement under any and all circumstances whatsoever, including:</w:t>
      </w:r>
    </w:p>
    <w:p>
      <w:pPr>
        <w:spacing w:after="0" w:line="130" w:lineRule="exact"/>
        <w:rPr>
          <w:rFonts w:ascii="Arial" w:cs="Arial" w:eastAsia="Arial" w:hAnsi="Arial"/>
          <w:sz w:val="18"/>
          <w:szCs w:val="18"/>
          <w:color w:val="auto"/>
        </w:rPr>
      </w:pPr>
    </w:p>
    <w:p>
      <w:pPr>
        <w:ind w:left="2440" w:hanging="487"/>
        <w:spacing w:after="0"/>
        <w:tabs>
          <w:tab w:leader="none" w:pos="2440" w:val="left"/>
        </w:tabs>
        <w:numPr>
          <w:ilvl w:val="1"/>
          <w:numId w:val="82"/>
        </w:numPr>
        <w:rPr>
          <w:rFonts w:ascii="Arial" w:cs="Arial" w:eastAsia="Arial" w:hAnsi="Arial"/>
          <w:sz w:val="19"/>
          <w:szCs w:val="19"/>
          <w:color w:val="auto"/>
        </w:rPr>
      </w:pPr>
      <w:r>
        <w:rPr>
          <w:rFonts w:ascii="Arial" w:cs="Arial" w:eastAsia="Arial" w:hAnsi="Arial"/>
          <w:sz w:val="19"/>
          <w:szCs w:val="19"/>
          <w:color w:val="auto"/>
        </w:rPr>
        <w:t>any lack of validity, enforceability or legal effect of any Letter of Credit or this Agreement or any term or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provision therein or herein;</w:t>
      </w:r>
    </w:p>
    <w:p>
      <w:pPr>
        <w:spacing w:after="0" w:line="199" w:lineRule="exact"/>
        <w:rPr>
          <w:rFonts w:ascii="Arial" w:cs="Arial" w:eastAsia="Arial" w:hAnsi="Arial"/>
          <w:sz w:val="19"/>
          <w:szCs w:val="19"/>
          <w:color w:val="auto"/>
        </w:rPr>
      </w:pPr>
    </w:p>
    <w:p>
      <w:pPr>
        <w:ind w:firstLine="1953"/>
        <w:spacing w:after="0" w:line="260" w:lineRule="auto"/>
        <w:tabs>
          <w:tab w:leader="none" w:pos="2380" w:val="left"/>
        </w:tabs>
        <w:numPr>
          <w:ilvl w:val="1"/>
          <w:numId w:val="82"/>
        </w:numPr>
        <w:rPr>
          <w:rFonts w:ascii="Arial" w:cs="Arial" w:eastAsia="Arial" w:hAnsi="Arial"/>
          <w:sz w:val="20"/>
          <w:szCs w:val="20"/>
          <w:color w:val="auto"/>
        </w:rPr>
      </w:pPr>
      <w:r>
        <w:rPr>
          <w:rFonts w:ascii="Arial" w:cs="Arial" w:eastAsia="Arial" w:hAnsi="Arial"/>
          <w:sz w:val="20"/>
          <w:szCs w:val="20"/>
          <w:color w:val="auto"/>
        </w:rPr>
        <w:t>payment against presentation of any draft, demand or claim for payment under any Drawing Document that does not comply in whole or in part with the terms of the applicable</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838" w:right="2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86" w:lineRule="exact"/>
        <w:rPr>
          <w:sz w:val="20"/>
          <w:szCs w:val="20"/>
          <w:color w:val="auto"/>
        </w:rPr>
      </w:pPr>
    </w:p>
    <w:p>
      <w:pPr>
        <w:ind w:left="2420" w:hanging="467"/>
        <w:spacing w:after="0"/>
        <w:tabs>
          <w:tab w:leader="none" w:pos="24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Issuing Bank or any of its branches or Affiliates being the beneficiary of any Letter of Credit;</w:t>
      </w:r>
    </w:p>
    <w:p>
      <w:pPr>
        <w:spacing w:after="0" w:line="215" w:lineRule="exact"/>
        <w:rPr>
          <w:rFonts w:ascii="Arial" w:cs="Arial" w:eastAsia="Arial" w:hAnsi="Arial"/>
          <w:sz w:val="20"/>
          <w:szCs w:val="20"/>
          <w:color w:val="auto"/>
        </w:rPr>
      </w:pPr>
    </w:p>
    <w:p>
      <w:pPr>
        <w:ind w:firstLine="1953"/>
        <w:spacing w:after="0" w:line="316" w:lineRule="auto"/>
        <w:tabs>
          <w:tab w:leader="none" w:pos="24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30" w:lineRule="exact"/>
        <w:rPr>
          <w:rFonts w:ascii="Arial" w:cs="Arial" w:eastAsia="Arial" w:hAnsi="Arial"/>
          <w:sz w:val="18"/>
          <w:szCs w:val="18"/>
          <w:color w:val="auto"/>
        </w:rPr>
      </w:pPr>
    </w:p>
    <w:p>
      <w:pPr>
        <w:ind w:firstLine="1953"/>
        <w:spacing w:after="0" w:line="260" w:lineRule="auto"/>
        <w:tabs>
          <w:tab w:leader="none" w:pos="2369"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 that Borrower or any other Person may have at any time against any beneficiary, any assignee of proceeds, Issuing Bank or any other Person;</w:t>
      </w:r>
    </w:p>
    <w:p>
      <w:pPr>
        <w:spacing w:after="0" w:line="176" w:lineRule="exact"/>
        <w:rPr>
          <w:rFonts w:ascii="Arial" w:cs="Arial" w:eastAsia="Arial" w:hAnsi="Arial"/>
          <w:sz w:val="20"/>
          <w:szCs w:val="20"/>
          <w:color w:val="auto"/>
        </w:rPr>
      </w:pPr>
    </w:p>
    <w:p>
      <w:pPr>
        <w:jc w:val="both"/>
        <w:ind w:firstLine="1953"/>
        <w:spacing w:after="0" w:line="246" w:lineRule="auto"/>
        <w:tabs>
          <w:tab w:leader="none" w:pos="243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any other event, circumstance or conduct whatsoever, whether or not similar to any of the foregoing that might, but for this </w:t>
      </w:r>
      <w:r>
        <w:rPr>
          <w:rFonts w:ascii="Arial" w:cs="Arial" w:eastAsia="Arial" w:hAnsi="Arial"/>
          <w:sz w:val="20"/>
          <w:szCs w:val="20"/>
          <w:u w:val="single" w:color="auto"/>
          <w:color w:val="auto"/>
        </w:rPr>
        <w:t>Section 2.11(i)</w:t>
      </w:r>
      <w:r>
        <w:rPr>
          <w:rFonts w:ascii="Arial" w:cs="Arial" w:eastAsia="Arial" w:hAnsi="Arial"/>
          <w:sz w:val="20"/>
          <w:szCs w:val="20"/>
          <w:color w:val="auto"/>
        </w:rPr>
        <w:t>, constitute a legal or equitable defense to or discharge of, or provide a right of set-off against, Borrower’s reimbursement and other payment obligations and liabilities, arising under, or in connection with, any Letter of Credit, whether against Issuing Bank, the beneficiary or any other Person; or</w:t>
      </w:r>
    </w:p>
    <w:p>
      <w:pPr>
        <w:spacing w:after="0" w:line="191" w:lineRule="exact"/>
        <w:rPr>
          <w:rFonts w:ascii="Arial" w:cs="Arial" w:eastAsia="Arial" w:hAnsi="Arial"/>
          <w:sz w:val="20"/>
          <w:szCs w:val="20"/>
          <w:color w:val="auto"/>
        </w:rPr>
      </w:pPr>
    </w:p>
    <w:p>
      <w:pPr>
        <w:ind w:left="2480" w:hanging="527"/>
        <w:spacing w:after="0"/>
        <w:tabs>
          <w:tab w:leader="none" w:pos="24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fact that any Default or Event of Default shall have occurred and be continuing;</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subject to </w:t>
      </w:r>
      <w:r>
        <w:rPr>
          <w:rFonts w:ascii="Arial" w:cs="Arial" w:eastAsia="Arial" w:hAnsi="Arial"/>
          <w:sz w:val="20"/>
          <w:szCs w:val="20"/>
          <w:u w:val="single" w:color="auto"/>
          <w:color w:val="auto"/>
        </w:rPr>
        <w:t>Section 2.11(g)</w:t>
      </w:r>
      <w:r>
        <w:rPr>
          <w:rFonts w:ascii="Arial" w:cs="Arial" w:eastAsia="Arial" w:hAnsi="Arial"/>
          <w:sz w:val="20"/>
          <w:szCs w:val="20"/>
          <w:color w:val="auto"/>
        </w:rPr>
        <w:t xml:space="preserve"> above, the foregoing shall not release Issuing Bank from such liability to Borrower as may be finally determined in a final, non-appealable judgment of a court of competent jurisdiction against Issuing Bank following reimbursement or payment of the obligations and liabilities, including reimbursement and other payment obligations, of Borrower to Issuing Bank arising under, or in connection with,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or any Letter of Credit.</w:t>
      </w:r>
    </w:p>
    <w:p>
      <w:pPr>
        <w:spacing w:after="0" w:line="98" w:lineRule="exact"/>
        <w:rPr>
          <w:sz w:val="20"/>
          <w:szCs w:val="20"/>
          <w:color w:val="auto"/>
        </w:rPr>
      </w:pPr>
    </w:p>
    <w:p>
      <w:pPr>
        <w:jc w:val="both"/>
        <w:ind w:firstLine="1305"/>
        <w:spacing w:after="0" w:line="250" w:lineRule="auto"/>
        <w:tabs>
          <w:tab w:leader="none" w:pos="1704" w:val="left"/>
        </w:tabs>
        <w:numPr>
          <w:ilvl w:val="0"/>
          <w:numId w:val="84"/>
        </w:numPr>
        <w:rPr>
          <w:rFonts w:ascii="Arial" w:cs="Arial" w:eastAsia="Arial" w:hAnsi="Arial"/>
          <w:sz w:val="20"/>
          <w:szCs w:val="20"/>
          <w:color w:val="auto"/>
        </w:rPr>
      </w:pPr>
      <w:r>
        <w:rPr>
          <w:rFonts w:ascii="Arial" w:cs="Arial" w:eastAsia="Arial" w:hAnsi="Arial"/>
          <w:sz w:val="20"/>
          <w:szCs w:val="20"/>
          <w:color w:val="auto"/>
        </w:rPr>
        <w:t>Without limiting any other provision of this Agreement, Issuing Bank and each other Letter of Credit Related Person (if applicable) shall not be responsible to Borrower for, and Issuing Bank’s rights and remedies against Borrower and the obligation of Borrower to reimburse Issuing Bank for each drawing under each Letter of Credit shall not be impaired by:</w:t>
      </w:r>
    </w:p>
    <w:p>
      <w:pPr>
        <w:spacing w:after="0" w:line="186" w:lineRule="exact"/>
        <w:rPr>
          <w:rFonts w:ascii="Arial" w:cs="Arial" w:eastAsia="Arial" w:hAnsi="Arial"/>
          <w:sz w:val="20"/>
          <w:szCs w:val="20"/>
          <w:color w:val="auto"/>
        </w:rPr>
      </w:pPr>
    </w:p>
    <w:p>
      <w:pPr>
        <w:ind w:firstLine="1953"/>
        <w:spacing w:after="0" w:line="260" w:lineRule="auto"/>
        <w:tabs>
          <w:tab w:leader="none" w:pos="2420" w:val="left"/>
        </w:tabs>
        <w:numPr>
          <w:ilvl w:val="1"/>
          <w:numId w:val="84"/>
        </w:numPr>
        <w:rPr>
          <w:rFonts w:ascii="Arial" w:cs="Arial" w:eastAsia="Arial" w:hAnsi="Arial"/>
          <w:sz w:val="20"/>
          <w:szCs w:val="20"/>
          <w:color w:val="auto"/>
        </w:rPr>
      </w:pPr>
      <w:r>
        <w:rPr>
          <w:rFonts w:ascii="Arial" w:cs="Arial" w:eastAsia="Arial" w:hAnsi="Arial"/>
          <w:sz w:val="20"/>
          <w:szCs w:val="20"/>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76" w:lineRule="exact"/>
        <w:rPr>
          <w:rFonts w:ascii="Arial" w:cs="Arial" w:eastAsia="Arial" w:hAnsi="Arial"/>
          <w:sz w:val="20"/>
          <w:szCs w:val="20"/>
          <w:color w:val="auto"/>
        </w:rPr>
      </w:pPr>
    </w:p>
    <w:p>
      <w:pPr>
        <w:jc w:val="both"/>
        <w:ind w:firstLine="1953"/>
        <w:spacing w:after="0" w:line="250" w:lineRule="auto"/>
        <w:tabs>
          <w:tab w:leader="none" w:pos="2447" w:val="left"/>
        </w:tabs>
        <w:numPr>
          <w:ilvl w:val="1"/>
          <w:numId w:val="84"/>
        </w:numPr>
        <w:rPr>
          <w:rFonts w:ascii="Arial" w:cs="Arial" w:eastAsia="Arial" w:hAnsi="Arial"/>
          <w:sz w:val="20"/>
          <w:szCs w:val="20"/>
          <w:color w:val="auto"/>
        </w:rPr>
      </w:pPr>
      <w:r>
        <w:rPr>
          <w:rFonts w:ascii="Arial" w:cs="Arial" w:eastAsia="Arial" w:hAnsi="Arial"/>
          <w:sz w:val="20"/>
          <w:szCs w:val="20"/>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6" w:lineRule="exact"/>
        <w:rPr>
          <w:rFonts w:ascii="Arial" w:cs="Arial" w:eastAsia="Arial" w:hAnsi="Arial"/>
          <w:sz w:val="20"/>
          <w:szCs w:val="20"/>
          <w:color w:val="auto"/>
        </w:rPr>
      </w:pPr>
    </w:p>
    <w:p>
      <w:pPr>
        <w:jc w:val="both"/>
        <w:ind w:firstLine="1953"/>
        <w:spacing w:after="0" w:line="250" w:lineRule="auto"/>
        <w:tabs>
          <w:tab w:leader="none" w:pos="2421" w:val="left"/>
        </w:tabs>
        <w:numPr>
          <w:ilvl w:val="1"/>
          <w:numId w:val="84"/>
        </w:numPr>
        <w:rPr>
          <w:rFonts w:ascii="Arial" w:cs="Arial" w:eastAsia="Arial" w:hAnsi="Arial"/>
          <w:sz w:val="20"/>
          <w:szCs w:val="20"/>
          <w:color w:val="auto"/>
        </w:rPr>
      </w:pPr>
      <w:r>
        <w:rPr>
          <w:rFonts w:ascii="Arial" w:cs="Arial" w:eastAsia="Arial" w:hAnsi="Arial"/>
          <w:sz w:val="20"/>
          <w:szCs w:val="20"/>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86" w:lineRule="exact"/>
        <w:rPr>
          <w:rFonts w:ascii="Arial" w:cs="Arial" w:eastAsia="Arial" w:hAnsi="Arial"/>
          <w:sz w:val="20"/>
          <w:szCs w:val="20"/>
          <w:color w:val="auto"/>
        </w:rPr>
      </w:pPr>
    </w:p>
    <w:p>
      <w:pPr>
        <w:ind w:right="20" w:firstLine="1953"/>
        <w:spacing w:after="0" w:line="260" w:lineRule="auto"/>
        <w:tabs>
          <w:tab w:leader="none" w:pos="2424"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identity or authority of any presenter or signer of any Drawing Document or the form, accuracy, genuineness or legal effect of any Drawing Document (other than Issuing Bank’s</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82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determination that such Drawing Document appears on its face substantially to comply with the terms and conditions of the Letter of Credit);</w:t>
      </w:r>
    </w:p>
    <w:p>
      <w:pPr>
        <w:spacing w:after="0" w:line="239" w:lineRule="exact"/>
        <w:rPr>
          <w:sz w:val="20"/>
          <w:szCs w:val="20"/>
          <w:color w:val="auto"/>
        </w:rPr>
      </w:pPr>
    </w:p>
    <w:p>
      <w:pPr>
        <w:ind w:firstLine="1953"/>
        <w:spacing w:after="0" w:line="260" w:lineRule="auto"/>
        <w:tabs>
          <w:tab w:leader="none" w:pos="2355" w:val="left"/>
        </w:tabs>
        <w:numPr>
          <w:ilvl w:val="1"/>
          <w:numId w:val="85"/>
        </w:numPr>
        <w:rPr>
          <w:rFonts w:ascii="Arial" w:cs="Arial" w:eastAsia="Arial" w:hAnsi="Arial"/>
          <w:sz w:val="20"/>
          <w:szCs w:val="20"/>
          <w:color w:val="auto"/>
        </w:rPr>
      </w:pPr>
      <w:r>
        <w:rPr>
          <w:rFonts w:ascii="Arial" w:cs="Arial" w:eastAsia="Arial" w:hAnsi="Arial"/>
          <w:sz w:val="20"/>
          <w:szCs w:val="20"/>
          <w:color w:val="auto"/>
        </w:rPr>
        <w:t>acting upon any instruction or request relative to a Letter of Credit or requested Letter of Credit that Issuing Bank in good faith believes to have been given by a Person authorized to give such instruction or request;</w:t>
      </w:r>
    </w:p>
    <w:p>
      <w:pPr>
        <w:spacing w:after="0" w:line="176" w:lineRule="exact"/>
        <w:rPr>
          <w:rFonts w:ascii="Arial" w:cs="Arial" w:eastAsia="Arial" w:hAnsi="Arial"/>
          <w:sz w:val="20"/>
          <w:szCs w:val="20"/>
          <w:color w:val="auto"/>
        </w:rPr>
      </w:pPr>
    </w:p>
    <w:p>
      <w:pPr>
        <w:jc w:val="both"/>
        <w:ind w:firstLine="1953"/>
        <w:spacing w:after="0" w:line="250" w:lineRule="auto"/>
        <w:tabs>
          <w:tab w:leader="none" w:pos="2478"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Borrower;</w:t>
      </w:r>
    </w:p>
    <w:p>
      <w:pPr>
        <w:spacing w:after="0" w:line="186" w:lineRule="exact"/>
        <w:rPr>
          <w:rFonts w:ascii="Arial" w:cs="Arial" w:eastAsia="Arial" w:hAnsi="Arial"/>
          <w:sz w:val="20"/>
          <w:szCs w:val="20"/>
          <w:color w:val="auto"/>
        </w:rPr>
      </w:pPr>
    </w:p>
    <w:p>
      <w:pPr>
        <w:jc w:val="both"/>
        <w:ind w:firstLine="1953"/>
        <w:spacing w:after="0" w:line="250" w:lineRule="auto"/>
        <w:tabs>
          <w:tab w:leader="none" w:pos="2533"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any acts, omissions or fraud by, or the insolvency of, any beneficiary, any nominated person or entity or any other Person or any breach of contract between the beneficiary and Borrower or any of the parties to the underlying transaction to which the Letter of Credit relates;</w:t>
      </w:r>
    </w:p>
    <w:p>
      <w:pPr>
        <w:spacing w:after="0" w:line="186" w:lineRule="exact"/>
        <w:rPr>
          <w:rFonts w:ascii="Arial" w:cs="Arial" w:eastAsia="Arial" w:hAnsi="Arial"/>
          <w:sz w:val="20"/>
          <w:szCs w:val="20"/>
          <w:color w:val="auto"/>
        </w:rPr>
      </w:pPr>
    </w:p>
    <w:p>
      <w:pPr>
        <w:ind w:firstLine="1953"/>
        <w:spacing w:after="0" w:line="260" w:lineRule="auto"/>
        <w:tabs>
          <w:tab w:leader="none" w:pos="2588" w:val="left"/>
        </w:tabs>
        <w:numPr>
          <w:ilvl w:val="1"/>
          <w:numId w:val="85"/>
        </w:numPr>
        <w:rPr>
          <w:rFonts w:ascii="Arial" w:cs="Arial" w:eastAsia="Arial" w:hAnsi="Arial"/>
          <w:sz w:val="20"/>
          <w:szCs w:val="20"/>
          <w:color w:val="auto"/>
        </w:rPr>
      </w:pPr>
      <w:r>
        <w:rPr>
          <w:rFonts w:ascii="Arial" w:cs="Arial" w:eastAsia="Arial" w:hAnsi="Arial"/>
          <w:sz w:val="20"/>
          <w:szCs w:val="20"/>
          <w:color w:val="auto"/>
        </w:rPr>
        <w:t>assertion or waiver of any provision of the ISP or UCP that primarily benefits an issuer of a letter of credit, including any requirement that any Drawing Document be presented to it at a particular hour or place;</w:t>
      </w:r>
    </w:p>
    <w:p>
      <w:pPr>
        <w:spacing w:after="0" w:line="176" w:lineRule="exact"/>
        <w:rPr>
          <w:rFonts w:ascii="Arial" w:cs="Arial" w:eastAsia="Arial" w:hAnsi="Arial"/>
          <w:sz w:val="20"/>
          <w:szCs w:val="20"/>
          <w:color w:val="auto"/>
        </w:rPr>
      </w:pPr>
    </w:p>
    <w:p>
      <w:pPr>
        <w:jc w:val="both"/>
        <w:ind w:firstLine="1953"/>
        <w:spacing w:after="0" w:line="316" w:lineRule="auto"/>
        <w:tabs>
          <w:tab w:leader="none" w:pos="24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payment to any paying or negotiating bank (designated or permitted by the terms of the applicable Letter of Credit) claiming that it rightfully honored or is entitled to reimbursement or indemnity under Standard Letter of Credit Practice applicable to it;</w:t>
      </w:r>
    </w:p>
    <w:p>
      <w:pPr>
        <w:spacing w:after="0" w:line="130" w:lineRule="exact"/>
        <w:rPr>
          <w:rFonts w:ascii="Arial" w:cs="Arial" w:eastAsia="Arial" w:hAnsi="Arial"/>
          <w:sz w:val="18"/>
          <w:szCs w:val="18"/>
          <w:color w:val="auto"/>
        </w:rPr>
      </w:pPr>
    </w:p>
    <w:p>
      <w:pPr>
        <w:ind w:firstLine="1953"/>
        <w:spacing w:after="0" w:line="260" w:lineRule="auto"/>
        <w:tabs>
          <w:tab w:leader="none" w:pos="2450" w:val="left"/>
        </w:tabs>
        <w:numPr>
          <w:ilvl w:val="1"/>
          <w:numId w:val="85"/>
        </w:numPr>
        <w:rPr>
          <w:rFonts w:ascii="Arial" w:cs="Arial" w:eastAsia="Arial" w:hAnsi="Arial"/>
          <w:sz w:val="20"/>
          <w:szCs w:val="20"/>
          <w:color w:val="auto"/>
        </w:rPr>
      </w:pPr>
      <w:r>
        <w:rPr>
          <w:rFonts w:ascii="Arial" w:cs="Arial" w:eastAsia="Arial" w:hAnsi="Arial"/>
          <w:sz w:val="20"/>
          <w:szCs w:val="20"/>
          <w:color w:val="auto"/>
        </w:rPr>
        <w:t>acting or failing to act as required or permitted under Standard Letter of Credit Practice applicable to where Issuing Bank has issued, confirmed, advised or negotiated such Letter of Credit, as the case may be;</w:t>
      </w:r>
    </w:p>
    <w:p>
      <w:pPr>
        <w:spacing w:after="0" w:line="176" w:lineRule="exact"/>
        <w:rPr>
          <w:rFonts w:ascii="Arial" w:cs="Arial" w:eastAsia="Arial" w:hAnsi="Arial"/>
          <w:sz w:val="20"/>
          <w:szCs w:val="20"/>
          <w:color w:val="auto"/>
        </w:rPr>
      </w:pPr>
    </w:p>
    <w:p>
      <w:pPr>
        <w:jc w:val="both"/>
        <w:ind w:firstLine="1953"/>
        <w:spacing w:after="0" w:line="250" w:lineRule="auto"/>
        <w:tabs>
          <w:tab w:leader="none" w:pos="2451" w:val="left"/>
        </w:tabs>
        <w:numPr>
          <w:ilvl w:val="1"/>
          <w:numId w:val="85"/>
        </w:numPr>
        <w:rPr>
          <w:rFonts w:ascii="Arial" w:cs="Arial" w:eastAsia="Arial" w:hAnsi="Arial"/>
          <w:sz w:val="20"/>
          <w:szCs w:val="20"/>
          <w:color w:val="auto"/>
        </w:rPr>
      </w:pPr>
      <w:r>
        <w:rPr>
          <w:rFonts w:ascii="Arial" w:cs="Arial" w:eastAsia="Arial" w:hAnsi="Arial"/>
          <w:sz w:val="20"/>
          <w:szCs w:val="20"/>
          <w:color w:val="auto"/>
        </w:rPr>
        <w:t>honor of a presentation after the expiration date of any Letter of Credit notwithstanding that a presentation was made prior to such expiration date and dishonored by Issuing Bank if subsequently Issuing Bank or any court or other finder of fact determines such presentation should have been honored;</w:t>
      </w:r>
    </w:p>
    <w:p>
      <w:pPr>
        <w:spacing w:after="0" w:line="186" w:lineRule="exact"/>
        <w:rPr>
          <w:rFonts w:ascii="Arial" w:cs="Arial" w:eastAsia="Arial" w:hAnsi="Arial"/>
          <w:sz w:val="20"/>
          <w:szCs w:val="20"/>
          <w:color w:val="auto"/>
        </w:rPr>
      </w:pPr>
    </w:p>
    <w:p>
      <w:pPr>
        <w:ind w:left="2500" w:hanging="547"/>
        <w:spacing w:after="0"/>
        <w:tabs>
          <w:tab w:leader="none" w:pos="2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dishonor of any presentation that does not strictly comply or that is fraudulent, forged or otherwise not entitled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honor; or</w:t>
      </w:r>
    </w:p>
    <w:p>
      <w:pPr>
        <w:spacing w:after="0" w:line="199" w:lineRule="exact"/>
        <w:rPr>
          <w:rFonts w:ascii="Arial" w:cs="Arial" w:eastAsia="Arial" w:hAnsi="Arial"/>
          <w:sz w:val="18"/>
          <w:szCs w:val="18"/>
          <w:color w:val="auto"/>
        </w:rPr>
      </w:pPr>
    </w:p>
    <w:p>
      <w:pPr>
        <w:ind w:firstLine="1953"/>
        <w:spacing w:after="0" w:line="260" w:lineRule="auto"/>
        <w:tabs>
          <w:tab w:leader="none" w:pos="2601" w:val="left"/>
        </w:tabs>
        <w:numPr>
          <w:ilvl w:val="1"/>
          <w:numId w:val="85"/>
        </w:numPr>
        <w:rPr>
          <w:rFonts w:ascii="Arial" w:cs="Arial" w:eastAsia="Arial" w:hAnsi="Arial"/>
          <w:sz w:val="20"/>
          <w:szCs w:val="20"/>
          <w:color w:val="auto"/>
        </w:rPr>
      </w:pPr>
      <w:r>
        <w:rPr>
          <w:rFonts w:ascii="Arial" w:cs="Arial" w:eastAsia="Arial" w:hAnsi="Arial"/>
          <w:sz w:val="20"/>
          <w:szCs w:val="20"/>
          <w:color w:val="auto"/>
        </w:rPr>
        <w:t>honor of a presentation that is subsequently determined by Issuing Bank to have been made in violation of international, federal, state or local restrictions on the transaction of business with certain prohibited Persons.</w:t>
      </w:r>
    </w:p>
    <w:p>
      <w:pPr>
        <w:spacing w:after="0" w:line="176" w:lineRule="exact"/>
        <w:rPr>
          <w:rFonts w:ascii="Arial" w:cs="Arial" w:eastAsia="Arial" w:hAnsi="Arial"/>
          <w:sz w:val="20"/>
          <w:szCs w:val="20"/>
          <w:color w:val="auto"/>
        </w:rPr>
      </w:pPr>
    </w:p>
    <w:p>
      <w:pPr>
        <w:jc w:val="both"/>
        <w:ind w:firstLine="1305"/>
        <w:spacing w:after="0" w:line="257" w:lineRule="auto"/>
        <w:tabs>
          <w:tab w:leader="none" w:pos="186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Borrower shall pay immediately upon demand to Agent for the account of Issuing Bank as non-refundable fees, commissions, and charges (it being acknowledged and agreed that any charging of such fees, commissions and charges to the Loan Account pursuant to the provisions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shall be deemed to constitute a demand for payment thereof for the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2.11(k)</w:t>
      </w:r>
      <w:r>
        <w:rPr>
          <w:rFonts w:ascii="Arial" w:cs="Arial" w:eastAsia="Arial" w:hAnsi="Arial"/>
          <w:sz w:val="19"/>
          <w:szCs w:val="19"/>
          <w:color w:val="auto"/>
        </w:rPr>
        <w:t xml:space="preserve">): (i) a fronting fee which shall be imposed by Issuing Bank upon the issuance of each Letter of Credit of .250%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of the face amount thereof,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(ii) any and all other customary commissions, fees and charges then in effect imposed by, and any and all expenses incurred by, Issuing Bank,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renewals or cancellations).</w:t>
      </w:r>
    </w:p>
    <w:p>
      <w:pPr>
        <w:spacing w:after="0" w:line="200" w:lineRule="exact"/>
        <w:rPr>
          <w:sz w:val="20"/>
          <w:szCs w:val="20"/>
          <w:color w:val="auto"/>
        </w:rPr>
      </w:pPr>
    </w:p>
    <w:p>
      <w:pPr>
        <w:spacing w:after="0" w:line="22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825" w:right="239" w:bottom="1440" w:gutter="0" w:footer="0" w:header="0"/>
        </w:sectPr>
      </w:pPr>
    </w:p>
    <w:bookmarkStart w:id="113" w:name="page114"/>
    <w:bookmarkEnd w:id="113"/>
    <w:p>
      <w:pPr>
        <w:jc w:val="both"/>
        <w:ind w:firstLine="1305"/>
        <w:spacing w:after="0" w:line="269" w:lineRule="auto"/>
        <w:tabs>
          <w:tab w:leader="none" w:pos="1677"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by reason of (x) any Change in Law, or (y) compliance by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70" w:lineRule="exact"/>
        <w:rPr>
          <w:rFonts w:ascii="Arial" w:cs="Arial" w:eastAsia="Arial" w:hAnsi="Arial"/>
          <w:sz w:val="19"/>
          <w:szCs w:val="19"/>
          <w:color w:val="auto"/>
        </w:rPr>
      </w:pPr>
    </w:p>
    <w:p>
      <w:pPr>
        <w:ind w:firstLine="1953"/>
        <w:spacing w:after="0" w:line="260" w:lineRule="auto"/>
        <w:tabs>
          <w:tab w:leader="none" w:pos="2352"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reserve, deposit, or similar requirement is or shall be imposed or modified in respect of any Letter of Credit issued or caused to be issued hereunder or hereby, or</w:t>
      </w:r>
    </w:p>
    <w:p>
      <w:pPr>
        <w:spacing w:after="0" w:line="176" w:lineRule="exact"/>
        <w:rPr>
          <w:rFonts w:ascii="Arial" w:cs="Arial" w:eastAsia="Arial" w:hAnsi="Arial"/>
          <w:sz w:val="20"/>
          <w:szCs w:val="20"/>
          <w:color w:val="auto"/>
        </w:rPr>
      </w:pPr>
    </w:p>
    <w:p>
      <w:pPr>
        <w:ind w:left="2400" w:hanging="447"/>
        <w:spacing w:after="0"/>
        <w:tabs>
          <w:tab w:leader="none" w:pos="2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there shall be imposed on Issuing Bank or any other member of the Lender Group any other condition regarding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Letter of Credit,</w:t>
      </w:r>
    </w:p>
    <w:p>
      <w:pPr>
        <w:spacing w:after="0" w:line="21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and the result of the foregoing is to increase, directly or indirectly, the cost to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 and Borrower shall pay within 30 days after demand therefor, such amounts as Agent may specify to be necessary to compensate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Borrower shall not be required to provide any compensation pursuant to this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for any such amounts incurred more than 180 days prior to the date on which the demand for payment of such amounts is first made to Borrower,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8"/>
          <w:szCs w:val="18"/>
          <w:u w:val="single" w:color="auto"/>
          <w:color w:val="auto"/>
        </w:rPr>
        <w:t>Section 2.11(l)</w:t>
      </w:r>
      <w:r>
        <w:rPr>
          <w:rFonts w:ascii="Arial" w:cs="Arial" w:eastAsia="Arial" w:hAnsi="Arial"/>
          <w:sz w:val="18"/>
          <w:szCs w:val="18"/>
          <w:color w:val="auto"/>
        </w:rPr>
        <w:t>, as set forth in a certificate setting forth the calculation thereof in reasonable detail, shall, in the absence of manifest or demonstrable error, be final and conclusive and binding on all of the parties hereto.</w:t>
      </w:r>
    </w:p>
    <w:p>
      <w:pPr>
        <w:spacing w:after="0" w:line="79" w:lineRule="exact"/>
        <w:rPr>
          <w:sz w:val="20"/>
          <w:szCs w:val="20"/>
          <w:color w:val="auto"/>
        </w:rPr>
      </w:pPr>
    </w:p>
    <w:p>
      <w:pPr>
        <w:ind w:firstLine="1305"/>
        <w:spacing w:after="0" w:line="316" w:lineRule="auto"/>
        <w:tabs>
          <w:tab w:leader="none" w:pos="18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otherwise expressly agreed by Issuing Bank and Borrower when a Letter of Credit is issued, (i) the rules of the ISP and the UCP shall apply to each standby Letter of Credit, and (ii) the rules of the UCP shall apply to each commercial Letter of Credit.</w:t>
      </w:r>
    </w:p>
    <w:p>
      <w:pPr>
        <w:spacing w:after="0" w:line="130" w:lineRule="exact"/>
        <w:rPr>
          <w:rFonts w:ascii="Arial" w:cs="Arial" w:eastAsia="Arial" w:hAnsi="Arial"/>
          <w:sz w:val="18"/>
          <w:szCs w:val="18"/>
          <w:color w:val="auto"/>
        </w:rPr>
      </w:pPr>
    </w:p>
    <w:p>
      <w:pPr>
        <w:jc w:val="both"/>
        <w:ind w:firstLine="1305"/>
        <w:spacing w:after="0" w:line="246" w:lineRule="auto"/>
        <w:tabs>
          <w:tab w:leader="none" w:pos="1775"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In the event of a direct conflict between the provisions of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control and govern.</w:t>
      </w:r>
    </w:p>
    <w:p>
      <w:pPr>
        <w:spacing w:after="0" w:line="18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b w:val="1"/>
          <w:bCs w:val="1"/>
          <w:u w:val="single" w:color="auto"/>
          <w:color w:val="auto"/>
        </w:rPr>
        <w:t>Interest Rate Election</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firstLine="1305"/>
        <w:spacing w:after="0" w:line="276" w:lineRule="auto"/>
        <w:tabs>
          <w:tab w:leader="none" w:pos="18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Each Borrowing of Loans initially shall be of the Type specified in the applicable request for Borrowing made in accordance with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and, if applicable, shall have an initial Interest Period as specified in such Borrowing request. Thereafter, the Borrower may elect to convert such Borrowing to a different Type or to continue such Borrowing and, in the case of a Borrowing of European Denominated Loans or LIBOR Rate Loans, may elect Interest Periods therefor, all as provided herein. Borrower may elect different options with respect to different portions of the affected Borrowing, and the Loans comprising each such portion shall be considered a separate Borrowing. This Section shall not apply to Swingline Loans or Extraordinary Advances, which may not be so converted or continued.</w:t>
      </w:r>
    </w:p>
    <w:p>
      <w:pPr>
        <w:spacing w:after="0" w:line="200" w:lineRule="exact"/>
        <w:rPr>
          <w:sz w:val="20"/>
          <w:szCs w:val="20"/>
          <w:color w:val="auto"/>
        </w:rPr>
      </w:pPr>
    </w:p>
    <w:p>
      <w:pPr>
        <w:spacing w:after="0" w:line="20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825" w:right="239" w:bottom="1440" w:gutter="0" w:footer="0" w:header="0"/>
        </w:sectPr>
      </w:pPr>
    </w:p>
    <w:bookmarkStart w:id="114" w:name="page115"/>
    <w:bookmarkEnd w:id="114"/>
    <w:p>
      <w:pPr>
        <w:jc w:val="both"/>
        <w:ind w:firstLine="1305"/>
        <w:spacing w:after="0" w:line="276" w:lineRule="auto"/>
        <w:tabs>
          <w:tab w:leader="none" w:pos="17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Borrower shall notify Agent in writing of such election by the time that a Borrowing request would be required under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if Borrower was requesting a Borrowing of Loans of the Type resulting from such election to be made on the effective date of such election. Each such Interest Election Request shall be irrevocable. At Agent’s election, in lieu of giving an Interest Election Request in writing, any Authorized Person may give Agent telephonic notice of such Interest Election Request. In such circumstance, Borrower agrees that any such telephonic notice will be confirmed in writing within 24 hours of the giving of such telephonic notice, but the failure to provide such written confirmation shall not affect the validity of such request</w:t>
      </w:r>
    </w:p>
    <w:p>
      <w:pPr>
        <w:spacing w:after="0" w:line="165" w:lineRule="exact"/>
        <w:rPr>
          <w:rFonts w:ascii="Arial" w:cs="Arial" w:eastAsia="Arial" w:hAnsi="Arial"/>
          <w:sz w:val="18"/>
          <w:szCs w:val="18"/>
          <w:color w:val="auto"/>
        </w:rPr>
      </w:pPr>
    </w:p>
    <w:p>
      <w:pPr>
        <w:ind w:left="1700" w:hanging="395"/>
        <w:spacing w:after="0"/>
        <w:tabs>
          <w:tab w:leader="none" w:pos="17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Each telephonic and written Interest Election Request shall specify the following information:</w:t>
      </w:r>
    </w:p>
    <w:p>
      <w:pPr>
        <w:spacing w:after="0" w:line="215" w:lineRule="exact"/>
        <w:rPr>
          <w:rFonts w:ascii="Arial" w:cs="Arial" w:eastAsia="Arial" w:hAnsi="Arial"/>
          <w:sz w:val="20"/>
          <w:szCs w:val="20"/>
          <w:color w:val="auto"/>
        </w:rPr>
      </w:pPr>
    </w:p>
    <w:p>
      <w:pPr>
        <w:jc w:val="both"/>
        <w:ind w:firstLine="1953"/>
        <w:spacing w:after="0" w:line="250" w:lineRule="auto"/>
        <w:tabs>
          <w:tab w:leader="none" w:pos="2393"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6" w:lineRule="exact"/>
        <w:rPr>
          <w:rFonts w:ascii="Arial" w:cs="Arial" w:eastAsia="Arial" w:hAnsi="Arial"/>
          <w:sz w:val="20"/>
          <w:szCs w:val="20"/>
          <w:color w:val="auto"/>
        </w:rPr>
      </w:pPr>
    </w:p>
    <w:p>
      <w:pPr>
        <w:ind w:left="2380" w:hanging="427"/>
        <w:spacing w:after="0"/>
        <w:tabs>
          <w:tab w:leader="none" w:pos="23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pacing w:after="0" w:line="261" w:lineRule="exact"/>
        <w:rPr>
          <w:rFonts w:ascii="Arial" w:cs="Arial" w:eastAsia="Arial" w:hAnsi="Arial"/>
          <w:sz w:val="16"/>
          <w:szCs w:val="16"/>
          <w:color w:val="auto"/>
        </w:rPr>
      </w:pPr>
    </w:p>
    <w:p>
      <w:pPr>
        <w:ind w:firstLine="1953"/>
        <w:spacing w:after="0" w:line="260" w:lineRule="auto"/>
        <w:tabs>
          <w:tab w:leader="none" w:pos="2435" w:val="left"/>
        </w:tabs>
        <w:numPr>
          <w:ilvl w:val="1"/>
          <w:numId w:val="90"/>
        </w:numPr>
        <w:rPr>
          <w:rFonts w:ascii="Arial" w:cs="Arial" w:eastAsia="Arial" w:hAnsi="Arial"/>
          <w:sz w:val="20"/>
          <w:szCs w:val="20"/>
          <w:color w:val="auto"/>
        </w:rPr>
      </w:pPr>
      <w:r>
        <w:rPr>
          <w:rFonts w:ascii="Arial" w:cs="Arial" w:eastAsia="Arial" w:hAnsi="Arial"/>
          <w:sz w:val="20"/>
          <w:szCs w:val="20"/>
          <w:color w:val="auto"/>
        </w:rPr>
        <w:t>whether the resulting Borrowing is to be a Borrowing of a Dollar Denominated Loan, a Euro Denominated Loan or a Sterling Denominated Loan; and</w:t>
      </w:r>
    </w:p>
    <w:p>
      <w:pPr>
        <w:spacing w:after="0" w:line="176" w:lineRule="exact"/>
        <w:rPr>
          <w:rFonts w:ascii="Arial" w:cs="Arial" w:eastAsia="Arial" w:hAnsi="Arial"/>
          <w:sz w:val="20"/>
          <w:szCs w:val="20"/>
          <w:color w:val="auto"/>
        </w:rPr>
      </w:pPr>
    </w:p>
    <w:p>
      <w:pPr>
        <w:jc w:val="both"/>
        <w:ind w:firstLine="1953"/>
        <w:spacing w:after="0" w:line="250" w:lineRule="auto"/>
        <w:tabs>
          <w:tab w:leader="none" w:pos="2424" w:val="left"/>
        </w:tabs>
        <w:numPr>
          <w:ilvl w:val="1"/>
          <w:numId w:val="90"/>
        </w:numPr>
        <w:rPr>
          <w:rFonts w:ascii="Arial" w:cs="Arial" w:eastAsia="Arial" w:hAnsi="Arial"/>
          <w:sz w:val="20"/>
          <w:szCs w:val="20"/>
          <w:color w:val="auto"/>
        </w:rPr>
      </w:pPr>
      <w:r>
        <w:rPr>
          <w:rFonts w:ascii="Arial" w:cs="Arial" w:eastAsia="Arial" w:hAnsi="Arial"/>
          <w:sz w:val="20"/>
          <w:szCs w:val="20"/>
          <w:color w:val="auto"/>
        </w:rPr>
        <w:t>if the resulting Borrowing is a Borrowing of a LIBOR Rate Loan or a European Denominated Loan, the Interest Period to be applicable thereto after giving effect to such election, which shall be a period contemplated by the definition of the term “</w:t>
      </w: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any such Interest Election Request requests a Borrowing of a LIBOR Rate Loan or a European Denominated Loan, but does not specify an Interest Period, then Borrower shall be deemed to have selected an Interest Period of one month’s duration.</w:t>
      </w:r>
    </w:p>
    <w:p>
      <w:pPr>
        <w:spacing w:after="0" w:line="177" w:lineRule="exact"/>
        <w:rPr>
          <w:sz w:val="20"/>
          <w:szCs w:val="20"/>
          <w:color w:val="auto"/>
        </w:rPr>
      </w:pPr>
    </w:p>
    <w:p>
      <w:pPr>
        <w:ind w:firstLine="1305"/>
        <w:spacing w:after="0" w:line="260" w:lineRule="auto"/>
        <w:tabs>
          <w:tab w:leader="none" w:pos="1734" w:val="left"/>
        </w:tabs>
        <w:numPr>
          <w:ilvl w:val="0"/>
          <w:numId w:val="91"/>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Agent shall advise each Lender of the details thereof and of such Lender’s portion of each resulting Borrowing.</w:t>
      </w:r>
    </w:p>
    <w:p>
      <w:pPr>
        <w:spacing w:after="0" w:line="176" w:lineRule="exact"/>
        <w:rPr>
          <w:rFonts w:ascii="Arial" w:cs="Arial" w:eastAsia="Arial" w:hAnsi="Arial"/>
          <w:sz w:val="20"/>
          <w:szCs w:val="20"/>
          <w:color w:val="auto"/>
        </w:rPr>
      </w:pPr>
    </w:p>
    <w:p>
      <w:pPr>
        <w:jc w:val="both"/>
        <w:ind w:firstLine="1305"/>
        <w:spacing w:after="0" w:line="255" w:lineRule="auto"/>
        <w:tabs>
          <w:tab w:leader="none" w:pos="1831"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Borrower fails to deliver a timely Interest Election Request with respect to a LIBOR Rate Loan or a European Denominated Loan prior to the end of the Interest Period applicable thereto, then, unless, such Borrowing is repaid as provided herein, at the end of such Interest Period, (i) if such Loan is a LIBOR Rate Loan, such Loan shall be converted to a Base Rate Loan, (ii) if such Loan is a Euro Denominated Loan, such Loan shall be continued as a Euro Denominated Loan with an Interest Period of one month and (iii) if such Loan is a Sterling Denominated Loan, such Loan shall be continued as a Sterling Denominated Loan with an Interest Period of one month. Notwithstanding any contrary provision hereof, if an Event of Default has occurred and is continuing (unless Borrower has received a notice from Agent (which notice Agent may elect to give or not give in its discretion) then (A) no outstanding Borrowing of Dollar Denominated Loans may be converted to or continued as a LIBOR Rate Loan or a European Denominated Loan, (B) no Borrowing of a Dollar Denominated Loan may be made as a LIBOR Rate Loan and (C) unless repaid, (1) each LIBOR Rate Loan shall be converted to Base Rate Loan at the end of the Interest Period applicable thereto, (2) each Euro Denominated Loan shall be continued as a Euro Denominated Loan with an Interest Period of one month and (3) each Sterling Denominated Loan shall be continued as a Sterling Denominated Loan with an Interest Period of one month.</w:t>
      </w:r>
    </w:p>
    <w:p>
      <w:pPr>
        <w:spacing w:after="0" w:line="200" w:lineRule="exact"/>
        <w:rPr>
          <w:sz w:val="20"/>
          <w:szCs w:val="20"/>
          <w:color w:val="auto"/>
        </w:rPr>
      </w:pPr>
    </w:p>
    <w:p>
      <w:pPr>
        <w:spacing w:after="0" w:line="22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825" w:right="239" w:bottom="1440" w:gutter="0" w:footer="0" w:header="0"/>
        </w:sectPr>
      </w:pPr>
    </w:p>
    <w:bookmarkStart w:id="115" w:name="page116"/>
    <w:bookmarkEnd w:id="115"/>
    <w:p>
      <w:pPr>
        <w:jc w:val="both"/>
        <w:ind w:left="-1200" w:firstLine="1305"/>
        <w:spacing w:after="0" w:line="270" w:lineRule="auto"/>
        <w:tabs>
          <w:tab w:leader="none" w:pos="5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connection with each LIBOR Rate Loan or European Denominated Loan, Borrower shall indemnify, defend, and hold Agent and the Lenders harmless against any loss, cost, or expense actually incurred by Agent or any Lender as a result of (A) the payment of any principal of any LIBOR Rate Loan or European Denominated Loan other than on the last day of an Interest Period applicable thereto (including as a result of an Event of Default), (B) the conversion of any LIBOR Rate Loan other than on the last day of the Interest Period applicable thereto, or (C) the failure to borrow, convert, continue or prepay any LIBOR Rate Loan or European Denominated Loan on the date specified in any LIBOR Notice delivered pursuant hereto (such losses, costs, or expenses, “</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A certificate of Agent or a Lender delivered to Borrower setting forth in reasonable detail any amount or amounts that Agent or such Lender is entitled to receive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be conclusive absent manifest error. Borrower shall pay such amount to Agent or the Lender, as applicable, within 30 days of the date of its receipt of such certificate. If a payment of a LIBOR Rate Loan or European Denominated Loan on a day other than the last day of the applicable Interest Period would result in a Funding Loss, Agent may, in its sole discretion at the request of Borrower, hold the amount of such payment as cash collateral in support of the Obligations until the last day of such Interest Period and apply such amounts to the payment of the applicable LIBOR Rate Loan or European Denominated Loan on such last day, it being agreed that Agent has no obligation to so defer the application of payments to any LIBOR Rate Loan or European Denominated Loan and that, in the event that Agent does not defer such application, Borrower shall be obligated to pay any resulting Funding Losses.</w:t>
      </w:r>
    </w:p>
    <w:p>
      <w:pPr>
        <w:spacing w:after="0" w:line="170" w:lineRule="exact"/>
        <w:rPr>
          <w:rFonts w:ascii="Arial" w:cs="Arial" w:eastAsia="Arial" w:hAnsi="Arial"/>
          <w:sz w:val="18"/>
          <w:szCs w:val="18"/>
          <w:color w:val="auto"/>
        </w:rPr>
      </w:pPr>
    </w:p>
    <w:p>
      <w:pPr>
        <w:jc w:val="both"/>
        <w:ind w:left="-1200" w:firstLine="1953"/>
        <w:spacing w:after="0" w:line="250" w:lineRule="auto"/>
        <w:tabs>
          <w:tab w:leader="none" w:pos="1166"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Unless Agent, in its sole discretion, agrees otherwise, Borrower shall have not more than 5 LIBOR Rate Loans and European Denominated Loans in effect at any given time. Borrower only may elect to borrow proposed LIBOR Rate Loans or European Denominated Loans of at </w:t>
      </w:r>
      <w:r>
        <w:rPr>
          <w:rFonts w:ascii="Arial" w:cs="Arial" w:eastAsia="Arial" w:hAnsi="Arial"/>
          <w:sz w:val="20"/>
          <w:szCs w:val="20"/>
          <w:u w:val="single" w:color="auto"/>
          <w:color w:val="auto"/>
        </w:rPr>
        <w:t>least</w:t>
      </w:r>
      <w:r>
        <w:rPr>
          <w:rFonts w:ascii="Arial" w:cs="Arial" w:eastAsia="Arial" w:hAnsi="Arial"/>
          <w:sz w:val="20"/>
          <w:szCs w:val="20"/>
          <w:color w:val="auto"/>
        </w:rPr>
        <w:t xml:space="preserve"> $1,000,000.</w:t>
      </w:r>
    </w:p>
    <w:p>
      <w:pPr>
        <w:spacing w:after="0" w:line="180" w:lineRule="exact"/>
        <w:rPr>
          <w:rFonts w:ascii="Arial" w:cs="Arial" w:eastAsia="Arial" w:hAnsi="Arial"/>
          <w:sz w:val="20"/>
          <w:szCs w:val="20"/>
          <w:color w:val="auto"/>
        </w:rPr>
      </w:pPr>
    </w:p>
    <w:p>
      <w:pPr>
        <w:jc w:val="both"/>
        <w:ind w:left="-1200" w:firstLine="1305"/>
        <w:spacing w:after="0" w:line="277" w:lineRule="auto"/>
        <w:tabs>
          <w:tab w:leader="none" w:pos="575"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 Borrower may convert LIBOR Rate Loans and European Denominated Loans to Base Rate Loans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LIBOR Rate Loans or European Denominated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for any other reason, including early termination of the term of this Agreement or acceleration of all or any portion of the Obligations pursuant to the terms hereof, Borrower shall indemnify, defend, and hold Agent and the Lenders and their Participants harmless against any and all Funding Losses in accordance with </w:t>
      </w:r>
      <w:r>
        <w:rPr>
          <w:rFonts w:ascii="Arial" w:cs="Arial" w:eastAsia="Arial" w:hAnsi="Arial"/>
          <w:sz w:val="18"/>
          <w:szCs w:val="18"/>
          <w:u w:val="single" w:color="auto"/>
          <w:color w:val="auto"/>
        </w:rPr>
        <w:t>Section 2.12(f)</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520" w:hanging="415"/>
        <w:spacing w:after="0"/>
        <w:tabs>
          <w:tab w:leader="none" w:pos="520"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Special Provisions Applicable to LIBOR Rate and Eurocurrency Base Rates</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left="-540" w:firstLine="1941"/>
        <w:spacing w:after="0" w:line="303" w:lineRule="auto"/>
        <w:tabs>
          <w:tab w:leader="none" w:pos="224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LIBOR Rate and Eurocurrency Base Rate may be adjusted by Agent with respect to any Lender on a prospective basis to take into account any additional or increased costs to such Lender of maintaining or obtaining any eurodollar deposits or increased costs, in each case, due to changes in applicable law occurring subsequent to the commencement of the then applicable Interest Period, including any Changes in Law (including any changes in tax laws (except changes of general applicability in corporate income tax laws)) and changes in the reserve requirements imposed by the Board of Governors, which additional or increased costs would increase the cost of funding or maintaining loans bearing interest at the LIBOR Rate or Eurocurrency Base Rate. In any such event, the affected Lender shall give Borrower and Agent notice of such a determination and adjustment and Agent promptly shall transmit the notice to each other Lender and, upon its receipt of the notice from the affected Lender, Borrower may, by notice to such affected Lender (A) require such Lender to furnish to Borrower a statement setting forth in reasonable detail the basis for adjusting such LIBOR Rate or Eurocurrency Base Rate and the method for determining</w:t>
      </w:r>
    </w:p>
    <w:p>
      <w:pPr>
        <w:spacing w:after="0" w:line="398"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220"/>
          </w:cols>
          <w:pgMar w:left="1440" w:top="825" w:right="239" w:bottom="1440" w:gutter="0" w:footer="0" w:header="0"/>
        </w:sectPr>
      </w:pPr>
    </w:p>
    <w:bookmarkStart w:id="116" w:name="page117"/>
    <w:bookmarkEnd w:id="116"/>
    <w:p>
      <w:pPr>
        <w:spacing w:after="0" w:line="289" w:lineRule="auto"/>
        <w:rPr>
          <w:sz w:val="20"/>
          <w:szCs w:val="20"/>
          <w:color w:val="auto"/>
        </w:rPr>
      </w:pPr>
      <w:r>
        <w:rPr>
          <w:rFonts w:ascii="Arial" w:cs="Arial" w:eastAsia="Arial" w:hAnsi="Arial"/>
          <w:sz w:val="20"/>
          <w:szCs w:val="20"/>
          <w:color w:val="auto"/>
        </w:rPr>
        <w:t xml:space="preserve">the amount of such adjustment, or (B) repay the LIBOR Rate Loans or European Denominated Loans of such Lender with respect to which such adjustment is made (together with any amounts due under </w:t>
      </w:r>
      <w:r>
        <w:rPr>
          <w:rFonts w:ascii="Arial" w:cs="Arial" w:eastAsia="Arial" w:hAnsi="Arial"/>
          <w:sz w:val="20"/>
          <w:szCs w:val="20"/>
          <w:u w:val="single" w:color="auto"/>
          <w:color w:val="auto"/>
        </w:rPr>
        <w:t>Section 2.12(f)</w:t>
      </w:r>
      <w:r>
        <w:rPr>
          <w:rFonts w:ascii="Arial" w:cs="Arial" w:eastAsia="Arial" w:hAnsi="Arial"/>
          <w:sz w:val="20"/>
          <w:szCs w:val="20"/>
          <w:color w:val="auto"/>
        </w:rPr>
        <w:t>).</w:t>
      </w:r>
    </w:p>
    <w:p>
      <w:pPr>
        <w:spacing w:after="0" w:line="175" w:lineRule="exact"/>
        <w:rPr>
          <w:sz w:val="20"/>
          <w:szCs w:val="20"/>
          <w:color w:val="auto"/>
        </w:rPr>
      </w:pPr>
    </w:p>
    <w:p>
      <w:pPr>
        <w:jc w:val="both"/>
        <w:ind w:firstLine="1941"/>
        <w:spacing w:after="0" w:line="285" w:lineRule="auto"/>
        <w:tabs>
          <w:tab w:leader="none" w:pos="2835"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the event that any change in market conditions or any Change in Law shall at any time after the date hereof, in the reasonable opinion of any Lender, make it unlawful or impractical for such Lender to fund or maintain LIBOR Rate Loans or European Denominated Loans or to continue such funding or maintaining, or to determine or charge interest rates at the LIBOR Rate or Eurocurrency Base Rate, such Lender shall give notice of such changed circumstances to Agent and Borrower and Agent promptly shall transmit the notice to each other Lender and (y) in the case of any LIBOR Rate Loans or European Denominated Loans of such Lender that are outstanding, the date specified in such Lender’s notice shall be deemed to be the last day of the Interest Period of such LIBOR Rate Loans or European Denominated Loans, and interest upon the LIBOR Rate Loans or European Denominated Loans of such Lender thereafter shall accrue interest at the rate then applicable to Base Rate Loans, and (z) Borrower shall not be entitled to elect to Borrow LIBOR Rate Loans or European Denominated Loans until such Lender determines that it would no longer be unlawful or impractical to do so.</w:t>
      </w:r>
    </w:p>
    <w:p>
      <w:pPr>
        <w:spacing w:after="0" w:line="168" w:lineRule="exact"/>
        <w:rPr>
          <w:rFonts w:ascii="Arial" w:cs="Arial" w:eastAsia="Arial" w:hAnsi="Arial"/>
          <w:sz w:val="19"/>
          <w:szCs w:val="19"/>
          <w:color w:val="auto"/>
        </w:rPr>
      </w:pPr>
    </w:p>
    <w:p>
      <w:pPr>
        <w:jc w:val="both"/>
        <w:ind w:left="-660" w:firstLine="1305"/>
        <w:spacing w:after="0" w:line="253" w:lineRule="auto"/>
        <w:tabs>
          <w:tab w:leader="none" w:pos="1057"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No Requirement of Matched Funding</w:t>
      </w:r>
      <w:r>
        <w:rPr>
          <w:rFonts w:ascii="Arial" w:cs="Arial" w:eastAsia="Arial" w:hAnsi="Arial"/>
          <w:sz w:val="20"/>
          <w:szCs w:val="20"/>
          <w:color w:val="auto"/>
        </w:rPr>
        <w:t>. Anything to the contrary contained herein notwithstanding, neither Agent, nor</w:t>
      </w:r>
      <w:r>
        <w:rPr>
          <w:rFonts w:ascii="Arial" w:cs="Arial" w:eastAsia="Arial" w:hAnsi="Arial"/>
          <w:sz w:val="20"/>
          <w:szCs w:val="20"/>
          <w:b w:val="1"/>
          <w:bCs w:val="1"/>
          <w:color w:val="auto"/>
        </w:rPr>
        <w:t xml:space="preserve"> </w:t>
      </w:r>
      <w:r>
        <w:rPr>
          <w:rFonts w:ascii="Arial" w:cs="Arial" w:eastAsia="Arial" w:hAnsi="Arial"/>
          <w:sz w:val="20"/>
          <w:szCs w:val="20"/>
          <w:color w:val="auto"/>
        </w:rPr>
        <w:t>any Lender, nor any of their Participants, is required actually to acquire eurodollar deposits to fund or otherwise match fund any Obligation as to which interest accrues at the LIBOR Rate.</w:t>
      </w:r>
    </w:p>
    <w:p>
      <w:pPr>
        <w:spacing w:after="0" w:line="17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b w:val="1"/>
          <w:bCs w:val="1"/>
          <w:u w:val="single" w:color="auto"/>
          <w:color w:val="auto"/>
        </w:rPr>
        <w:t>Capital Requirements</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left="-660" w:firstLine="1305"/>
        <w:spacing w:after="0" w:line="269" w:lineRule="auto"/>
        <w:tabs>
          <w:tab w:leader="none" w:pos="10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after the date hereof, Issuing Bank or any Lender determines that (i) any Change in Law regarding capital or reserve requirements for banks or bank holding companies, or (ii) compliance by Issuing Bank or such Lender, or their respective parent bank holding companies, with any guideline, request or directive of any Governmental Authority regarding capital adequacy (whether or not having the force of law), has the effect of reducing the return on Issuing Bank’s, such Lender’s, or such holding companies’ capital as a consequence of Issuing Bank’s or such Lender’s commitments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and assuming the full utilization of such entity’s capital) by any amount deemed by Issuing Bank or such Lender to be material, then Issuing Bank or such Lender may notify Borrower and Agent thereof. Following receipt of such notice, Borrower agrees to pay Issuing Bank or such Lender on demand the amount of such reduction of return of capital as and when such reduction is determined, payable within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not be required to compensate Issuing Bank or a Lender pursuant to this Section for any reductions in return incurred more than 180 days prior to the date that Issuing Bank or such Lender notifies Borrower of such Change in Law giving rise to such reductions and of such Lender’s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such claim arises by reason of the Change in Law that is retroactive, then the 180-day period referred to above shall be extended to include the period of retroactive effect thereof.</w:t>
      </w:r>
    </w:p>
    <w:p>
      <w:pPr>
        <w:spacing w:after="0" w:line="200" w:lineRule="exact"/>
        <w:rPr>
          <w:sz w:val="20"/>
          <w:szCs w:val="20"/>
          <w:color w:val="auto"/>
        </w:rPr>
      </w:pPr>
    </w:p>
    <w:p>
      <w:pPr>
        <w:spacing w:after="0" w:line="216"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760"/>
          </w:cols>
          <w:pgMar w:left="900" w:top="838" w:right="239" w:bottom="1440" w:gutter="0" w:footer="0" w:header="0"/>
        </w:sectPr>
      </w:pPr>
    </w:p>
    <w:bookmarkStart w:id="117" w:name="page118"/>
    <w:bookmarkEnd w:id="117"/>
    <w:p>
      <w:pPr>
        <w:jc w:val="both"/>
        <w:ind w:firstLine="1305"/>
        <w:spacing w:after="0" w:line="268" w:lineRule="auto"/>
        <w:tabs>
          <w:tab w:leader="none" w:pos="17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Issuing Bank or any Lender requests additional or increased costs referred to in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2.12(h)(i)</w:t>
      </w:r>
      <w:r>
        <w:rPr>
          <w:rFonts w:ascii="Arial" w:cs="Arial" w:eastAsia="Arial" w:hAnsi="Arial"/>
          <w:sz w:val="18"/>
          <w:szCs w:val="18"/>
          <w:color w:val="auto"/>
        </w:rPr>
        <w:t xml:space="preserve"> or amounts under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or sends a notice under </w:t>
      </w:r>
      <w:r>
        <w:rPr>
          <w:rFonts w:ascii="Arial" w:cs="Arial" w:eastAsia="Arial" w:hAnsi="Arial"/>
          <w:sz w:val="18"/>
          <w:szCs w:val="18"/>
          <w:u w:val="single" w:color="auto"/>
          <w:color w:val="auto"/>
        </w:rPr>
        <w:t>Section 2.12(h)(ii)</w:t>
      </w:r>
      <w:r>
        <w:rPr>
          <w:rFonts w:ascii="Arial" w:cs="Arial" w:eastAsia="Arial" w:hAnsi="Arial"/>
          <w:sz w:val="18"/>
          <w:szCs w:val="18"/>
          <w:color w:val="auto"/>
        </w:rPr>
        <w:t xml:space="preserve"> relative to changed circumstances (such Issuing Bank or Lender, an “</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then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2.12(h)(i)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or would eliminate the illegality or impracticality of funding or maintaining LIBOR Rate Loans or European Denominated Loans and (ii) in the reasonable judgment of such Affected Lender, such designation or assignment would not subject it to any material unreimbursed cost or expense and would not otherwise be materially disadvantageous to it. Borrower agrees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2.12(h)(i)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2.13(a)</w:t>
      </w:r>
      <w:r>
        <w:rPr>
          <w:rFonts w:ascii="Arial" w:cs="Arial" w:eastAsia="Arial" w:hAnsi="Arial"/>
          <w:sz w:val="18"/>
          <w:szCs w:val="18"/>
          <w:color w:val="auto"/>
        </w:rPr>
        <w:t xml:space="preserve">, as applicable, or to enable Borrower to obtain LIBOR Rate Loans or European Denominated Loans, then Borrower (without prejudice to any amounts then due to such Affected Lender under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2.12(h)(i)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may, unless prior to the effective date of any such assignment the Affected Lender withdraws its request for such additional amounts under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2.12(h)(i)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as applicable, or indicates that it is no longer unlawful or impractical to fund or maintain LIBOR Rate Loans or European Denominated Loans, may designate a different Issuing Bank or substitute a Lender, in each case, reasonably acceptable to Agent to purchase the Obligations owed to such Affected Lender and such Affected Lender’s commitments hereunder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183" w:lineRule="exact"/>
        <w:rPr>
          <w:rFonts w:ascii="Arial" w:cs="Arial" w:eastAsia="Arial" w:hAnsi="Arial"/>
          <w:sz w:val="18"/>
          <w:szCs w:val="18"/>
          <w:color w:val="auto"/>
        </w:rPr>
      </w:pPr>
    </w:p>
    <w:p>
      <w:pPr>
        <w:jc w:val="both"/>
        <w:ind w:firstLine="1305"/>
        <w:spacing w:after="0" w:line="243" w:lineRule="auto"/>
        <w:tabs>
          <w:tab w:leader="none" w:pos="1710"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Notwithstanding anything herein to the contrary, the protection of </w:t>
      </w:r>
      <w:r>
        <w:rPr>
          <w:rFonts w:ascii="Arial" w:cs="Arial" w:eastAsia="Arial" w:hAnsi="Arial"/>
          <w:sz w:val="20"/>
          <w:szCs w:val="20"/>
          <w:u w:val="single" w:color="auto"/>
          <w:color w:val="auto"/>
        </w:rPr>
        <w:t>Sections 2.11(l)</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if it shall not at the time be the general policy or practice of Issuing Bank or such Lender (as the case may be) to demand such compensation in similar circumstances under comparable provisions of other credit agreements, if any.</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b w:val="1"/>
          <w:bCs w:val="1"/>
          <w:u w:val="single" w:color="auto"/>
          <w:color w:val="auto"/>
        </w:rPr>
        <w:t>Change of Lending Office</w:t>
      </w:r>
      <w:r>
        <w:rPr>
          <w:rFonts w:ascii="Arial" w:cs="Arial" w:eastAsia="Arial" w:hAnsi="Arial"/>
          <w:sz w:val="19"/>
          <w:szCs w:val="19"/>
          <w:color w:val="auto"/>
        </w:rPr>
        <w:t>. Each Lender may at any time or from time to time designate, by written notice to Agent to the extent not already reflected in this Section 2.14, one or more lending offices (which, for this purpose, may include Affiliates or branches of the respective Lender) for the various Loans made, and Letters of Credit issued or participated in, by such Lender (including by designating a separate lending office (or branch or Affiliate) to act as such with respect to European Denominated Loans; provided that, for designations made after the Restatement Closing Date, to the extent such designation shall result in increased costs under Section 2.13 in excess of those which would be charged in the absence of the designation of a different lending office (including a different Affiliate of the respective Lender), then Borrower shall not be obligated to pay such excess increased costs (although the Borrower, in accordance with and pursuant to the other provisions of this Agreement, shall be obligated to pay the costs which would</w:t>
      </w:r>
    </w:p>
    <w:p>
      <w:pPr>
        <w:spacing w:after="0" w:line="200" w:lineRule="exact"/>
        <w:rPr>
          <w:sz w:val="20"/>
          <w:szCs w:val="20"/>
          <w:color w:val="auto"/>
        </w:rPr>
      </w:pPr>
    </w:p>
    <w:p>
      <w:pPr>
        <w:spacing w:after="0" w:line="223"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825" w:right="239" w:bottom="1440" w:gutter="0" w:footer="0" w:header="0"/>
        </w:sectPr>
      </w:pPr>
    </w:p>
    <w:bookmarkStart w:id="118" w:name="page119"/>
    <w:bookmarkEnd w:id="118"/>
    <w:p>
      <w:pPr>
        <w:jc w:val="both"/>
        <w:spacing w:after="0" w:line="278" w:lineRule="auto"/>
        <w:rPr>
          <w:sz w:val="20"/>
          <w:szCs w:val="20"/>
          <w:color w:val="auto"/>
        </w:rPr>
      </w:pPr>
      <w:r>
        <w:rPr>
          <w:rFonts w:ascii="Arial" w:cs="Arial" w:eastAsia="Arial" w:hAnsi="Arial"/>
          <w:sz w:val="18"/>
          <w:szCs w:val="18"/>
          <w:color w:val="auto"/>
        </w:rPr>
        <w:t>apply in the absence of such designation and any subsequent increased costs of the type described above resulting from changes after the date of the respective designation). Each lending office and branch or Affiliate of any Lender designated as provided above shall, for all purposes of this Agreement, be treated in the same manner as the respective Lender (and shall be entitled to all indemnities and similar provisions in respect of its acting as such, subject to all of the requirements and limitations herein). Wells Fargo hereby designates Wells Fargo Bank, National Association (London Branch) as its lending office for the European Denominated Loans made by Wells Fargo.</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b w:val="1"/>
          <w:bCs w:val="1"/>
          <w:u w:val="single" w:color="auto"/>
          <w:color w:val="auto"/>
        </w:rPr>
        <w:t>Accordion</w:t>
      </w:r>
      <w:r>
        <w:rPr>
          <w:rFonts w:ascii="Arial" w:cs="Arial" w:eastAsia="Arial" w:hAnsi="Arial"/>
          <w:sz w:val="16"/>
          <w:szCs w:val="16"/>
          <w:u w:val="single" w:color="auto"/>
          <w:color w:val="auto"/>
        </w:rPr>
        <w:t>.</w:t>
      </w:r>
    </w:p>
    <w:p>
      <w:pPr>
        <w:spacing w:after="0" w:line="222" w:lineRule="exact"/>
        <w:rPr>
          <w:sz w:val="20"/>
          <w:szCs w:val="20"/>
          <w:color w:val="auto"/>
        </w:rPr>
      </w:pPr>
    </w:p>
    <w:p>
      <w:pPr>
        <w:jc w:val="both"/>
        <w:ind w:firstLine="1305"/>
        <w:spacing w:after="0" w:line="270" w:lineRule="auto"/>
        <w:tabs>
          <w:tab w:leader="none" w:pos="17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any time during the period from and after the Restatement Closing Date through but excluding the date that is the 2 year anniversary of the Restatement Closing Date, at the option of Borrower (but subject to the conditions set forth in clause (b) below), the Revolver Commitments and the Maximum Revolver Amount may be increased by an amount in the aggregate for all such increases of the Revolver Commitments and the Maximum Revolver Amount not to exceed the Available Increase Amount (each such increase, an “</w:t>
      </w:r>
      <w:r>
        <w:rPr>
          <w:rFonts w:ascii="Arial" w:cs="Arial" w:eastAsia="Arial" w:hAnsi="Arial"/>
          <w:sz w:val="18"/>
          <w:szCs w:val="18"/>
          <w:u w:val="single" w:color="auto"/>
          <w:color w:val="auto"/>
        </w:rPr>
        <w:t>Increase</w:t>
      </w:r>
      <w:r>
        <w:rPr>
          <w:rFonts w:ascii="Arial" w:cs="Arial" w:eastAsia="Arial" w:hAnsi="Arial"/>
          <w:sz w:val="18"/>
          <w:szCs w:val="18"/>
          <w:color w:val="auto"/>
        </w:rPr>
        <w:t xml:space="preserve">”). Agent shall invite each Lender to increase its Revolver Commitments (it being understood that no Lender shall be obligated to increase its Revolver Commitments in connection with a proposed Increase at the interest margin proposed by Borrower, and if sufficient Lenders do not agree to increase their Revolver Commitments (as the case may be) in connection with such proposed Increase, then Agent or Borrower may invite any prospective lender who is reasonably satisfactory to Agent and Borrower to become a Lender in connection with a proposed Increase. Any Increase shall be in an amount of at least $10,000,000 and integral multiples of $5,000,000 in excess thereof. In no event may the Revolver Commitments and the Maximum Revolver Amount be increased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on more than 2 occasions in the aggregate for all such Increases. Additionally, for the avoidance of doubt, it is understood and agreed that in no event shall the aggregate amount of the Increases to the Revolver Commitments exceed $25,000,000.</w:t>
      </w:r>
    </w:p>
    <w:p>
      <w:pPr>
        <w:spacing w:after="0" w:line="176" w:lineRule="exact"/>
        <w:rPr>
          <w:rFonts w:ascii="Arial" w:cs="Arial" w:eastAsia="Arial" w:hAnsi="Arial"/>
          <w:sz w:val="18"/>
          <w:szCs w:val="18"/>
          <w:color w:val="auto"/>
        </w:rPr>
      </w:pPr>
    </w:p>
    <w:p>
      <w:pPr>
        <w:ind w:left="1800" w:hanging="495"/>
        <w:spacing w:after="0"/>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the following shall be conditions precedent to any Increase of the Revolver Commitments and the Maximum</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Revolver Amount:</w:t>
      </w:r>
    </w:p>
    <w:p>
      <w:pPr>
        <w:spacing w:after="0" w:line="199" w:lineRule="exact"/>
        <w:rPr>
          <w:rFonts w:ascii="Arial" w:cs="Arial" w:eastAsia="Arial" w:hAnsi="Arial"/>
          <w:sz w:val="18"/>
          <w:szCs w:val="18"/>
          <w:color w:val="auto"/>
        </w:rPr>
      </w:pPr>
    </w:p>
    <w:p>
      <w:pPr>
        <w:jc w:val="both"/>
        <w:ind w:firstLine="1953"/>
        <w:spacing w:after="0" w:line="246" w:lineRule="auto"/>
        <w:tabs>
          <w:tab w:leader="none" w:pos="2474" w:val="left"/>
        </w:tabs>
        <w:numPr>
          <w:ilvl w:val="1"/>
          <w:numId w:val="97"/>
        </w:numPr>
        <w:rPr>
          <w:rFonts w:ascii="Arial" w:cs="Arial" w:eastAsia="Arial" w:hAnsi="Arial"/>
          <w:sz w:val="20"/>
          <w:szCs w:val="20"/>
          <w:color w:val="auto"/>
        </w:rPr>
      </w:pPr>
      <w:r>
        <w:rPr>
          <w:rFonts w:ascii="Arial" w:cs="Arial" w:eastAsia="Arial" w:hAnsi="Arial"/>
          <w:sz w:val="20"/>
          <w:szCs w:val="20"/>
          <w:color w:val="auto"/>
        </w:rPr>
        <w:t>Agent or Borrower have obtained the commitment of one or more Lenders (or other prospective lenders) reasonably satisfactory to Agent and Borrower to provide the applicable Increase and any such Lenders (or prospective lenders), Borrower, and Agent have signed a joinder agreement to this Agreement (an “</w:t>
      </w:r>
      <w:r>
        <w:rPr>
          <w:rFonts w:ascii="Arial" w:cs="Arial" w:eastAsia="Arial" w:hAnsi="Arial"/>
          <w:sz w:val="20"/>
          <w:szCs w:val="20"/>
          <w:u w:val="single" w:color="auto"/>
          <w:color w:val="auto"/>
        </w:rPr>
        <w:t>Increase Joinder</w:t>
      </w:r>
      <w:r>
        <w:rPr>
          <w:rFonts w:ascii="Arial" w:cs="Arial" w:eastAsia="Arial" w:hAnsi="Arial"/>
          <w:sz w:val="20"/>
          <w:szCs w:val="20"/>
          <w:color w:val="auto"/>
        </w:rPr>
        <w:t>”), in form and substance reasonably satisfactory to Agent, to which such Lenders (or prospective lenders), Borrower, and Agent are party,</w:t>
      </w:r>
    </w:p>
    <w:p>
      <w:pPr>
        <w:spacing w:after="0" w:line="191" w:lineRule="exact"/>
        <w:rPr>
          <w:rFonts w:ascii="Arial" w:cs="Arial" w:eastAsia="Arial" w:hAnsi="Arial"/>
          <w:sz w:val="20"/>
          <w:szCs w:val="20"/>
          <w:color w:val="auto"/>
        </w:rPr>
      </w:pPr>
    </w:p>
    <w:p>
      <w:pPr>
        <w:ind w:left="2380" w:hanging="427"/>
        <w:spacing w:after="0"/>
        <w:tabs>
          <w:tab w:leader="none" w:pos="23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each of the conditions precedent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is satisfied,</w:t>
      </w:r>
    </w:p>
    <w:p>
      <w:pPr>
        <w:spacing w:after="0" w:line="215" w:lineRule="exact"/>
        <w:rPr>
          <w:rFonts w:ascii="Arial" w:cs="Arial" w:eastAsia="Arial" w:hAnsi="Arial"/>
          <w:sz w:val="20"/>
          <w:szCs w:val="20"/>
          <w:color w:val="auto"/>
        </w:rPr>
      </w:pPr>
    </w:p>
    <w:p>
      <w:pPr>
        <w:jc w:val="both"/>
        <w:ind w:firstLine="1953"/>
        <w:spacing w:after="0" w:line="250" w:lineRule="auto"/>
        <w:tabs>
          <w:tab w:leader="none" w:pos="2421"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Borrower has delivered to Agent updated pro forma Projections (after giving effect to the applicable Increase) for Borrower and its Subsidiaries evidencing compliance on a pro forma basis with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for the 4 fiscal quarters (on a quarter-by-quarter basis) immediately following the proposed date of the applicable Increase, and</w:t>
      </w:r>
    </w:p>
    <w:p>
      <w:pPr>
        <w:spacing w:after="0" w:line="186" w:lineRule="exact"/>
        <w:rPr>
          <w:rFonts w:ascii="Arial" w:cs="Arial" w:eastAsia="Arial" w:hAnsi="Arial"/>
          <w:sz w:val="20"/>
          <w:szCs w:val="20"/>
          <w:color w:val="auto"/>
        </w:rPr>
      </w:pPr>
    </w:p>
    <w:p>
      <w:pPr>
        <w:jc w:val="both"/>
        <w:ind w:firstLine="1953"/>
        <w:spacing w:after="0" w:line="243" w:lineRule="auto"/>
        <w:tabs>
          <w:tab w:leader="none" w:pos="2519" w:val="left"/>
        </w:tabs>
        <w:numPr>
          <w:ilvl w:val="1"/>
          <w:numId w:val="97"/>
        </w:numPr>
        <w:rPr>
          <w:rFonts w:ascii="Arial" w:cs="Arial" w:eastAsia="Arial" w:hAnsi="Arial"/>
          <w:sz w:val="20"/>
          <w:szCs w:val="20"/>
          <w:color w:val="auto"/>
        </w:rPr>
      </w:pPr>
      <w:r>
        <w:rPr>
          <w:rFonts w:ascii="Arial" w:cs="Arial" w:eastAsia="Arial" w:hAnsi="Arial"/>
          <w:sz w:val="20"/>
          <w:szCs w:val="20"/>
          <w:color w:val="auto"/>
        </w:rPr>
        <w:t>Borrower shall have reached agreement with the Lenders (or prospective lenders) agreeing to the increased Revolver Commitments with respect to the interest margins applicable to Revolving Loans to be made pursuant to the increased Revolver Commitments which interest margins may be higher than or equal to the interest margins applicable to Revolving Loans set forth in this Agreement immediately prior to the date of the increased Revolver Commitments (the date of the effectiveness of the increased Revolver Commitments and the Maximum Revolver Amount, the “</w:t>
      </w:r>
      <w:r>
        <w:rPr>
          <w:rFonts w:ascii="Arial" w:cs="Arial" w:eastAsia="Arial" w:hAnsi="Arial"/>
          <w:sz w:val="20"/>
          <w:szCs w:val="20"/>
          <w:u w:val="single" w:color="auto"/>
          <w:color w:val="auto"/>
        </w:rPr>
        <w:t>Increase Date</w:t>
      </w:r>
      <w:r>
        <w:rPr>
          <w:rFonts w:ascii="Arial" w:cs="Arial" w:eastAsia="Arial" w:hAnsi="Arial"/>
          <w:sz w:val="20"/>
          <w:szCs w:val="20"/>
          <w:color w:val="auto"/>
        </w:rPr>
        <w:t>”)) and shall have communicated the amount of such interest margins to Agent. Any Increase Joinder may, with the consent</w:t>
      </w:r>
    </w:p>
    <w:p>
      <w:pPr>
        <w:spacing w:after="0" w:line="200" w:lineRule="exact"/>
        <w:rPr>
          <w:sz w:val="20"/>
          <w:szCs w:val="20"/>
          <w:color w:val="auto"/>
        </w:rPr>
      </w:pPr>
    </w:p>
    <w:p>
      <w:pPr>
        <w:spacing w:after="0" w:line="24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825" w:right="2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9"/>
          <w:szCs w:val="19"/>
          <w:color w:val="auto"/>
        </w:rPr>
        <w:t xml:space="preserve">of Agent, Borrower and the Lenders or prospective lenders agreeing to the proposed Increase, effect such amendments to this Agreement and the other Loan Documents as may be necessary or appropriate to effectuate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(including any amendment necessary to effectuate the interest margins for the Revolving Loans to be made pursuant to the increased Revolver Commitments). Anything to the contrary contained herein notwithstanding, if the interest margin that is to be applicable to the Revolving Loans to be made pursuant to the increased Revolver Commitments are higher than the interest margin applicable to the Revolving Loans immediately prior to the applicable Increase Date (the amount by which the interest margin is higher, the “</w:t>
      </w:r>
      <w:r>
        <w:rPr>
          <w:rFonts w:ascii="Arial" w:cs="Arial" w:eastAsia="Arial" w:hAnsi="Arial"/>
          <w:sz w:val="19"/>
          <w:szCs w:val="19"/>
          <w:u w:val="single" w:color="auto"/>
          <w:color w:val="auto"/>
        </w:rPr>
        <w:t>Excess</w:t>
      </w:r>
      <w:r>
        <w:rPr>
          <w:rFonts w:ascii="Arial" w:cs="Arial" w:eastAsia="Arial" w:hAnsi="Arial"/>
          <w:sz w:val="19"/>
          <w:szCs w:val="19"/>
          <w:color w:val="auto"/>
        </w:rPr>
        <w:t>”), then the interest margin applicable to the Revolving Loans immediately prior to the Increase Date shall be increased by the amount of the Excess, effective on the applicable Increase Date, and without the necessity of any action by any party hereto.</w:t>
      </w:r>
    </w:p>
    <w:p>
      <w:pPr>
        <w:spacing w:after="0" w:line="181" w:lineRule="exact"/>
        <w:rPr>
          <w:sz w:val="20"/>
          <w:szCs w:val="20"/>
          <w:color w:val="auto"/>
        </w:rPr>
      </w:pPr>
    </w:p>
    <w:p>
      <w:pPr>
        <w:jc w:val="both"/>
        <w:ind w:firstLine="1305"/>
        <w:spacing w:after="0" w:line="250" w:lineRule="auto"/>
        <w:tabs>
          <w:tab w:leader="none" w:pos="1858"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Unless otherwise specifically provided herein, all references in this Agreement and any other Loan Document to Revolving Loans shall be deemed, unless the context otherwise requires, to include Revolving Loans made pursuant to the increased Revolver Commitments and Maximum Revolver Amount pursuant to this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1305"/>
        <w:spacing w:after="0" w:line="243" w:lineRule="auto"/>
        <w:tabs>
          <w:tab w:leader="none" w:pos="1775" w:val="left"/>
        </w:tabs>
        <w:numPr>
          <w:ilvl w:val="0"/>
          <w:numId w:val="98"/>
        </w:numPr>
        <w:rPr>
          <w:rFonts w:ascii="Arial" w:cs="Arial" w:eastAsia="Arial" w:hAnsi="Arial"/>
          <w:sz w:val="20"/>
          <w:szCs w:val="20"/>
          <w:color w:val="auto"/>
        </w:rPr>
      </w:pPr>
      <w:r>
        <w:rPr>
          <w:rFonts w:ascii="Arial" w:cs="Arial" w:eastAsia="Arial" w:hAnsi="Arial"/>
          <w:sz w:val="20"/>
          <w:szCs w:val="20"/>
          <w:color w:val="auto"/>
        </w:rPr>
        <w:t>Each of the Lenders having a Revolver Commitment prior to the Increase Date (the “</w:t>
      </w:r>
      <w:r>
        <w:rPr>
          <w:rFonts w:ascii="Arial" w:cs="Arial" w:eastAsia="Arial" w:hAnsi="Arial"/>
          <w:sz w:val="20"/>
          <w:szCs w:val="20"/>
          <w:u w:val="single" w:color="auto"/>
          <w:color w:val="auto"/>
        </w:rPr>
        <w:t>Pre-Increase Revolver Lenders</w:t>
      </w:r>
      <w:r>
        <w:rPr>
          <w:rFonts w:ascii="Arial" w:cs="Arial" w:eastAsia="Arial" w:hAnsi="Arial"/>
          <w:sz w:val="20"/>
          <w:szCs w:val="20"/>
          <w:color w:val="auto"/>
        </w:rPr>
        <w:t>”) shall assign to any Lender which is acquiring a new or additional Revolver Commitment on the Increase Date (the “</w:t>
      </w:r>
      <w:r>
        <w:rPr>
          <w:rFonts w:ascii="Arial" w:cs="Arial" w:eastAsia="Arial" w:hAnsi="Arial"/>
          <w:sz w:val="20"/>
          <w:szCs w:val="20"/>
          <w:u w:val="single" w:color="auto"/>
          <w:color w:val="auto"/>
        </w:rPr>
        <w:t>Post-Increase Revolver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and such Post-Increase Revolver Lenders shall purchase from each Pre-Increase Revolver Lender, at the principal amount thereof, such interests in the Revolving Loans and participation interests in Letters of Credit on such Increase Date as shall be necessary in order that, after giving effect to all such assignments and purchases, such Revolving Loans and participation interests in Letters of Credit will be held by Pre-Increase Revolver Lenders and Post-Increase Revolver Lenders ratably in accordance with their Pro Rata Share after giving effect to such increased Revolver Commitments.</w:t>
      </w:r>
    </w:p>
    <w:p>
      <w:pPr>
        <w:spacing w:after="0" w:line="193" w:lineRule="exact"/>
        <w:rPr>
          <w:rFonts w:ascii="Arial" w:cs="Arial" w:eastAsia="Arial" w:hAnsi="Arial"/>
          <w:sz w:val="20"/>
          <w:szCs w:val="20"/>
          <w:color w:val="auto"/>
        </w:rPr>
      </w:pPr>
    </w:p>
    <w:p>
      <w:pPr>
        <w:jc w:val="both"/>
        <w:ind w:firstLine="1305"/>
        <w:spacing w:after="0" w:line="276" w:lineRule="auto"/>
        <w:tabs>
          <w:tab w:leader="none" w:pos="16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Revolving Loans, Revolver Commitments, and Maximum Revolver Amount established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constitute Revolving Loans, Revolver Commitments, and Maximum Revolver Amount under, and shall be entitled to all the benefits afforded by, this Agreement and the other Loan Documents, and shall, without limiting the foregoing, benefit equally and ratably from any guarantees and the security interests created by the Loan Documents. Borrower shall take any actions reasonably required by Agent to ensure and demonstrate that the Liens and security interests granted by the Loan Documents continue to be perfected under the Code or otherwise after giving effect to the establishment of any such new Revolver Commitments and Maximum Revolver Amount.</w:t>
      </w:r>
    </w:p>
    <w:p>
      <w:pPr>
        <w:spacing w:after="0" w:line="15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tab/>
        <w:t>CONDITIONS; TERM OF AGREEMENT.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u w:val="single" w:color="auto"/>
          <w:color w:val="auto"/>
        </w:rPr>
        <w:t>Conditions Precedent to the Initial Extension of Credit</w:t>
      </w:r>
      <w:r>
        <w:rPr>
          <w:rFonts w:ascii="Arial" w:cs="Arial" w:eastAsia="Arial" w:hAnsi="Arial"/>
          <w:sz w:val="20"/>
          <w:szCs w:val="20"/>
          <w:color w:val="auto"/>
        </w:rPr>
        <w:t>. The obligation of each Lender to make the initial extensions of credit on or after the Restatement Closing Date provided for hereunder is subject to the fulfillment, to the satisfaction of Agent and each Lender, of each of the conditions precedent set forth on Schedule 3.1 (the making of such initial extensions of credit by a Lender being conclusively deemed to be its satisfaction or waiver of the conditions precedent).</w:t>
      </w:r>
    </w:p>
    <w:p>
      <w:pPr>
        <w:spacing w:after="0" w:line="18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b w:val="1"/>
          <w:bCs w:val="1"/>
          <w:u w:val="single" w:color="auto"/>
          <w:color w:val="auto"/>
        </w:rPr>
        <w:t>Conditions Precedent to all Extensions of Credit</w:t>
      </w:r>
      <w:r>
        <w:rPr>
          <w:rFonts w:ascii="Arial" w:cs="Arial" w:eastAsia="Arial" w:hAnsi="Arial"/>
          <w:sz w:val="18"/>
          <w:szCs w:val="18"/>
          <w:color w:val="auto"/>
        </w:rPr>
        <w:t>. The obligation of the Lender Group (or any member thereof) to make 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Revolving Loans hereunder (or to extend any other credit hereunder) at any time shall be subject to the following conditions precedent:</w:t>
      </w:r>
    </w:p>
    <w:p>
      <w:pPr>
        <w:spacing w:after="0" w:line="211" w:lineRule="exact"/>
        <w:rPr>
          <w:sz w:val="20"/>
          <w:szCs w:val="20"/>
          <w:color w:val="auto"/>
        </w:rPr>
      </w:pPr>
    </w:p>
    <w:p>
      <w:pPr>
        <w:jc w:val="both"/>
        <w:ind w:firstLine="1305"/>
        <w:spacing w:after="0" w:line="250" w:lineRule="auto"/>
        <w:tabs>
          <w:tab w:leader="none" w:pos="1804"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representations and warranties of Borrower or its Subsidiaries contained in this Agreement or in the other Loan Documents shall be true and correct in all material respects (except that such materiality qualifier shall not be applicable to any representations and warranties that already are qualified</w:t>
      </w:r>
    </w:p>
    <w:p>
      <w:pPr>
        <w:spacing w:after="0" w:line="200" w:lineRule="exact"/>
        <w:rPr>
          <w:sz w:val="20"/>
          <w:szCs w:val="20"/>
          <w:color w:val="auto"/>
        </w:rPr>
      </w:pPr>
    </w:p>
    <w:p>
      <w:pPr>
        <w:spacing w:after="0" w:line="22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825" w:right="239" w:bottom="1440" w:gutter="0" w:footer="0" w:header="0"/>
        </w:sectPr>
      </w:pPr>
    </w:p>
    <w:bookmarkStart w:id="120" w:name="page121"/>
    <w:bookmarkEnd w:id="120"/>
    <w:p>
      <w:pPr>
        <w:jc w:val="both"/>
        <w:spacing w:after="0" w:line="263" w:lineRule="auto"/>
        <w:rPr>
          <w:sz w:val="20"/>
          <w:szCs w:val="20"/>
          <w:color w:val="auto"/>
        </w:rPr>
      </w:pPr>
      <w:r>
        <w:rPr>
          <w:rFonts w:ascii="Arial" w:cs="Arial" w:eastAsia="Arial" w:hAnsi="Arial"/>
          <w:sz w:val="19"/>
          <w:szCs w:val="19"/>
          <w:color w:val="auto"/>
        </w:rPr>
        <w:t>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77" w:lineRule="exact"/>
        <w:rPr>
          <w:sz w:val="20"/>
          <w:szCs w:val="20"/>
          <w:color w:val="auto"/>
        </w:rPr>
      </w:pPr>
    </w:p>
    <w:p>
      <w:pPr>
        <w:ind w:firstLine="1305"/>
        <w:spacing w:after="0" w:line="260" w:lineRule="auto"/>
        <w:tabs>
          <w:tab w:leader="none" w:pos="176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on the date of such extension of credit, nor shall either result from the making thereof.</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to the contrary contained in this Agreement and without limiting any other conditions contained in this Agreement (a) the obligation of the Lender Group (or any member thereof) to make any Euro Denominated Loan or issue or cause to be issued any Euro Denominated Letter of Credit at any time shall be subject to the condition that Borrower shall designate and maintain a Designated Account denominated in Euros with Wells Fargo Bank, National Association (London Branch) in London, England, which Designated Account shall be in the name of Borrower, and (b) the obligation of the Lender Group (or any member thereof) to make any Sterling Denominated Loan or issue or cause to be issued any Sterling Denominated Letter of Credit at any time shall be subject to the condition that Borrower shall designate and maintain a Designated Account denominated in Sterling with Wells Fargo Bank, National Association (London Branch) in London, England, which Designated Account shall be in the name of Borrower.</w:t>
      </w:r>
    </w:p>
    <w:p>
      <w:pPr>
        <w:spacing w:after="0" w:line="17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b w:val="1"/>
          <w:bCs w:val="1"/>
          <w:u w:val="single" w:color="auto"/>
          <w:color w:val="auto"/>
        </w:rPr>
        <w:t>Maturity</w:t>
      </w:r>
      <w:r>
        <w:rPr>
          <w:rFonts w:ascii="Arial" w:cs="Arial" w:eastAsia="Arial" w:hAnsi="Arial"/>
          <w:sz w:val="18"/>
          <w:szCs w:val="18"/>
          <w:u w:val="single" w:color="auto"/>
          <w:color w:val="auto"/>
        </w:rPr>
        <w:t>. This Agreement shall continue in full force and effect for a term ending on the Maturity Date.</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u w:val="single" w:color="auto"/>
          <w:color w:val="auto"/>
        </w:rPr>
        <w:t>Effect of Maturity</w:t>
      </w:r>
      <w:r>
        <w:rPr>
          <w:rFonts w:ascii="Arial" w:cs="Arial" w:eastAsia="Arial" w:hAnsi="Arial"/>
          <w:sz w:val="19"/>
          <w:szCs w:val="19"/>
          <w:color w:val="auto"/>
        </w:rPr>
        <w:t>. On the Maturity Date, all commitments of the Lender Group to provide additional credit hereunder shall automatically be terminated and all of the Obligations immediately shall become due and payable without notice or demand and Borrower shall be required to repay all of the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and the Commitments have been terminated. When all of the Obligations have been paid in full and the Lender Group’s obligations to provide additional credit under the Loan Documents have been terminated irrevocably,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Early Termination by Borrower</w:t>
      </w:r>
      <w:r>
        <w:rPr>
          <w:rFonts w:ascii="Arial" w:cs="Arial" w:eastAsia="Arial" w:hAnsi="Arial"/>
          <w:sz w:val="18"/>
          <w:szCs w:val="18"/>
          <w:color w:val="auto"/>
        </w:rPr>
        <w:t>. Borrower has the option, at any time upon 10 Business Days prior written notice to Agent, to terminate this Agreement and terminate the Commitments hereunder by repaying to Agent all of the Obligations in full. The foregoing notwithstanding, (a) Borrower may rescind termination notices relative to proposed payments in full of the Obligations with the proceeds of third party Indebtedness if the closing for such issuance or incurrence does not happen on or before the date of the proposed termination (in which case, a new notice shall be required to be sent in connection with any subsequent termination), and (b) Borrower may extend the date of termination at any time with the consent of Agent (which consent shall not be unreasonably withheld or delayed).</w:t>
      </w:r>
    </w:p>
    <w:p>
      <w:pPr>
        <w:spacing w:after="0" w:line="16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u w:val="single" w:color="auto"/>
          <w:color w:val="auto"/>
        </w:rPr>
        <w:t>Conditions Subsequent</w:t>
      </w:r>
      <w:r>
        <w:rPr>
          <w:rFonts w:ascii="Arial" w:cs="Arial" w:eastAsia="Arial" w:hAnsi="Arial"/>
          <w:sz w:val="20"/>
          <w:szCs w:val="20"/>
          <w:color w:val="auto"/>
        </w:rPr>
        <w:t>. The obligation of the Lender Group (or any member thereof) to continue to make Revolving Loans (or otherwise extend credit hereunder) is subject to the fulfillment, on or before the date applicable thereto, of the conditions subsequent set forth on Schedule 3.6 (the failure by</w:t>
      </w:r>
    </w:p>
    <w:p>
      <w:pPr>
        <w:spacing w:after="0" w:line="200" w:lineRule="exact"/>
        <w:rPr>
          <w:sz w:val="20"/>
          <w:szCs w:val="20"/>
          <w:color w:val="auto"/>
        </w:rPr>
      </w:pPr>
    </w:p>
    <w:p>
      <w:pPr>
        <w:spacing w:after="0" w:line="227"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825" w:right="239" w:bottom="1440" w:gutter="0" w:footer="0" w:header="0"/>
        </w:sectPr>
      </w:pPr>
    </w:p>
    <w:bookmarkStart w:id="121" w:name="page122"/>
    <w:bookmarkEnd w:id="121"/>
    <w:p>
      <w:pPr>
        <w:jc w:val="both"/>
        <w:spacing w:after="0" w:line="250" w:lineRule="auto"/>
        <w:rPr>
          <w:sz w:val="20"/>
          <w:szCs w:val="20"/>
          <w:color w:val="auto"/>
        </w:rPr>
      </w:pPr>
      <w:r>
        <w:rPr>
          <w:rFonts w:ascii="Arial" w:cs="Arial" w:eastAsia="Arial" w:hAnsi="Arial"/>
          <w:sz w:val="20"/>
          <w:szCs w:val="20"/>
          <w:color w:val="auto"/>
        </w:rPr>
        <w:t>Borrower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REPRESENTATIONS AND WARRANTIES.</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order to induce the Lender Group to enter into this Agreement,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Restatement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17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u w:val="single" w:color="auto"/>
          <w:color w:val="auto"/>
        </w:rPr>
        <w:t>Due Organization and Qualification; Subsidiaries</w:t>
      </w:r>
      <w:r>
        <w:rPr>
          <w:rFonts w:ascii="Arial" w:cs="Arial" w:eastAsia="Arial" w:hAnsi="Arial"/>
          <w:sz w:val="18"/>
          <w:szCs w:val="18"/>
          <w:u w:val="single" w:color="auto"/>
          <w:color w:val="auto"/>
        </w:rPr>
        <w:t>.</w:t>
      </w:r>
    </w:p>
    <w:p>
      <w:pPr>
        <w:spacing w:after="0" w:line="235" w:lineRule="exact"/>
        <w:rPr>
          <w:sz w:val="20"/>
          <w:szCs w:val="20"/>
          <w:color w:val="auto"/>
        </w:rPr>
      </w:pPr>
    </w:p>
    <w:p>
      <w:pPr>
        <w:jc w:val="both"/>
        <w:ind w:firstLine="1305"/>
        <w:spacing w:after="0" w:line="314" w:lineRule="auto"/>
        <w:tabs>
          <w:tab w:leader="none" w:pos="21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Loan Party (i) is duly organized and existing and in good standing under the laws of the jurisdiction of its organization,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59" w:lineRule="exact"/>
        <w:rPr>
          <w:rFonts w:ascii="Arial" w:cs="Arial" w:eastAsia="Arial" w:hAnsi="Arial"/>
          <w:sz w:val="18"/>
          <w:szCs w:val="18"/>
          <w:color w:val="auto"/>
        </w:rPr>
      </w:pPr>
    </w:p>
    <w:p>
      <w:pPr>
        <w:jc w:val="both"/>
        <w:ind w:firstLine="1305"/>
        <w:spacing w:after="0" w:line="290" w:lineRule="auto"/>
        <w:tabs>
          <w:tab w:leader="none" w:pos="217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4.1(b)</w:t>
      </w:r>
      <w:r>
        <w:rPr>
          <w:rFonts w:ascii="Arial" w:cs="Arial" w:eastAsia="Arial" w:hAnsi="Arial"/>
          <w:sz w:val="19"/>
          <w:szCs w:val="19"/>
          <w:color w:val="auto"/>
        </w:rPr>
        <w:t xml:space="preserve"> of the Disclosure Letter (as such Schedule may be updated from time to time to reflect changes resulting from transactions permitted under this Agreement) is a complete and accurate description of the authorized Equity Interests of Borrower, by class, and, as of the Restatement Closing Date, a description of the number of shares of each such class that are issued and outstanding. Borrower is not subject to any obligation (contingent or otherwise) to repurchase or otherwise acquire or retire any shares of its Equity Interests or any security convertible into or exchangeable for any of its Equity Interests.</w:t>
      </w:r>
    </w:p>
    <w:p>
      <w:pPr>
        <w:spacing w:after="0" w:line="179" w:lineRule="exact"/>
        <w:rPr>
          <w:rFonts w:ascii="Arial" w:cs="Arial" w:eastAsia="Arial" w:hAnsi="Arial"/>
          <w:sz w:val="19"/>
          <w:szCs w:val="19"/>
          <w:color w:val="auto"/>
        </w:rPr>
      </w:pPr>
    </w:p>
    <w:p>
      <w:pPr>
        <w:jc w:val="both"/>
        <w:ind w:firstLine="1305"/>
        <w:spacing w:after="0" w:line="310" w:lineRule="auto"/>
        <w:tabs>
          <w:tab w:leader="none" w:pos="21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4.1(c)</w:t>
      </w:r>
      <w:r>
        <w:rPr>
          <w:rFonts w:ascii="Arial" w:cs="Arial" w:eastAsia="Arial" w:hAnsi="Arial"/>
          <w:sz w:val="18"/>
          <w:szCs w:val="18"/>
          <w:color w:val="auto"/>
        </w:rPr>
        <w:t xml:space="preserve"> of the Disclosure Letter (as such Schedule may be updated from time to time to reflect changes resulting from transactions permitted under this Agreement), is a complete and accurate list of the Loan Parties’ direct and indirect Subsidiaries, showing: (i) the number of shares of each class of common and preferred Equity Interests authorized for each of such Subsidiaries, and (ii) the number and the percentage of the outstanding shares of each such class owned directly or indirectly by Borrower. All of the outstanding Equity Interests of each such Subsidiary has been validly issued and is fully paid and non-assessable.</w:t>
      </w:r>
    </w:p>
    <w:p>
      <w:pPr>
        <w:spacing w:after="0" w:line="162" w:lineRule="exact"/>
        <w:rPr>
          <w:rFonts w:ascii="Arial" w:cs="Arial" w:eastAsia="Arial" w:hAnsi="Arial"/>
          <w:sz w:val="18"/>
          <w:szCs w:val="18"/>
          <w:color w:val="auto"/>
        </w:rPr>
      </w:pPr>
    </w:p>
    <w:p>
      <w:pPr>
        <w:jc w:val="both"/>
        <w:ind w:right="20" w:firstLine="1305"/>
        <w:spacing w:after="0" w:line="278" w:lineRule="auto"/>
        <w:tabs>
          <w:tab w:leader="none" w:pos="2175"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4.1(d)</w:t>
      </w:r>
      <w:r>
        <w:rPr>
          <w:rFonts w:ascii="Arial" w:cs="Arial" w:eastAsia="Arial" w:hAnsi="Arial"/>
          <w:sz w:val="20"/>
          <w:szCs w:val="20"/>
          <w:color w:val="auto"/>
        </w:rPr>
        <w:t xml:space="preserve"> of the Disclosure Letter, there are no subscriptions, options, warrants, or calls relating to any shares of Borrower’s or its Subsidiaries’ Equity Interests, including any right of conversion or exchange under any outstanding security or other instrument.</w:t>
      </w:r>
    </w:p>
    <w:p>
      <w:pPr>
        <w:spacing w:after="0" w:line="16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u w:val="single" w:color="auto"/>
          <w:color w:val="auto"/>
        </w:rPr>
        <w:t>Due Authorization; No Conflict</w:t>
      </w:r>
      <w:r>
        <w:rPr>
          <w:rFonts w:ascii="Arial" w:cs="Arial" w:eastAsia="Arial" w:hAnsi="Arial"/>
          <w:sz w:val="18"/>
          <w:szCs w:val="18"/>
          <w:u w:val="single" w:color="auto"/>
          <w:color w:val="auto"/>
        </w:rPr>
        <w:t>.</w:t>
      </w:r>
    </w:p>
    <w:p>
      <w:pPr>
        <w:spacing w:after="0" w:line="200" w:lineRule="exact"/>
        <w:rPr>
          <w:sz w:val="20"/>
          <w:szCs w:val="20"/>
          <w:color w:val="auto"/>
        </w:rPr>
      </w:pPr>
    </w:p>
    <w:p>
      <w:pPr>
        <w:spacing w:after="0" w:line="26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825" w:right="239" w:bottom="1440" w:gutter="0" w:footer="0" w:header="0"/>
        </w:sectPr>
      </w:pPr>
    </w:p>
    <w:bookmarkStart w:id="122" w:name="page123"/>
    <w:bookmarkEnd w:id="122"/>
    <w:p>
      <w:pPr>
        <w:ind w:left="660" w:firstLine="1293"/>
        <w:spacing w:after="0" w:line="289" w:lineRule="auto"/>
        <w:tabs>
          <w:tab w:leader="none" w:pos="282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As to each Loan Party, the execution, delivery, and performance by such Loan Party of the Loan Documents to which it is a party have been duly authorized by all necessary action on the part of such Loan Party.</w:t>
      </w:r>
    </w:p>
    <w:p>
      <w:pPr>
        <w:spacing w:after="0" w:line="175" w:lineRule="exact"/>
        <w:rPr>
          <w:rFonts w:ascii="Arial" w:cs="Arial" w:eastAsia="Arial" w:hAnsi="Arial"/>
          <w:sz w:val="20"/>
          <w:szCs w:val="20"/>
          <w:color w:val="auto"/>
        </w:rPr>
      </w:pPr>
    </w:p>
    <w:p>
      <w:pPr>
        <w:jc w:val="both"/>
        <w:ind w:left="660" w:firstLine="1293"/>
        <w:spacing w:after="0" w:line="334" w:lineRule="auto"/>
        <w:tabs>
          <w:tab w:leader="none" w:pos="283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agreement of any Loan Party or its Subsidiaries where any such conflict, breach or default could individually or in the aggregate reasonably be expected to have a Material Adverse Effect,</w:t>
      </w:r>
    </w:p>
    <w:p>
      <w:pPr>
        <w:spacing w:after="0" w:line="3" w:lineRule="exact"/>
        <w:rPr>
          <w:rFonts w:ascii="Arial" w:cs="Arial" w:eastAsia="Arial" w:hAnsi="Arial"/>
          <w:sz w:val="16"/>
          <w:szCs w:val="16"/>
          <w:color w:val="auto"/>
        </w:rPr>
      </w:pPr>
    </w:p>
    <w:p>
      <w:pPr>
        <w:jc w:val="both"/>
        <w:ind w:left="660" w:hanging="4"/>
        <w:spacing w:after="0" w:line="290" w:lineRule="auto"/>
        <w:tabs>
          <w:tab w:leader="none" w:pos="101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Governmental Consents</w:t>
      </w:r>
      <w:r>
        <w:rPr>
          <w:rFonts w:ascii="Arial" w:cs="Arial" w:eastAsia="Arial" w:hAnsi="Arial"/>
          <w:sz w:val="18"/>
          <w:szCs w:val="18"/>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(a) other than registrations, consents, approvals, notices, or other actions that (i) have been obtained and that are still in force and effect, or (ii) the failure of which to obtain or perform could not reasonably be expected to result in a Material Adverse Effect, and (b) except for filings and recordings with respect to the Collateral to be made, or otherwise delivered to Agent for filing or recordation, as of the Restatement Closing Date.</w:t>
      </w:r>
    </w:p>
    <w:p>
      <w:pPr>
        <w:spacing w:after="0" w:line="16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b w:val="1"/>
          <w:bCs w:val="1"/>
          <w:u w:val="single" w:color="auto"/>
          <w:color w:val="auto"/>
        </w:rPr>
        <w:t>Binding Obligations; Perfected Liens</w:t>
      </w:r>
      <w:r>
        <w:rPr>
          <w:rFonts w:ascii="Arial" w:cs="Arial" w:eastAsia="Arial" w:hAnsi="Arial"/>
          <w:sz w:val="16"/>
          <w:szCs w:val="16"/>
          <w:u w:val="single" w:color="auto"/>
          <w:color w:val="auto"/>
        </w:rPr>
        <w:t>.</w:t>
      </w:r>
    </w:p>
    <w:p>
      <w:pPr>
        <w:spacing w:after="0" w:line="235" w:lineRule="exact"/>
        <w:rPr>
          <w:sz w:val="20"/>
          <w:szCs w:val="20"/>
          <w:color w:val="auto"/>
        </w:rPr>
      </w:pPr>
    </w:p>
    <w:p>
      <w:pPr>
        <w:jc w:val="both"/>
        <w:ind w:firstLine="1305"/>
        <w:spacing w:after="0" w:line="274" w:lineRule="auto"/>
        <w:tabs>
          <w:tab w:leader="none" w:pos="216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92" w:lineRule="exact"/>
        <w:rPr>
          <w:rFonts w:ascii="Arial" w:cs="Arial" w:eastAsia="Arial" w:hAnsi="Arial"/>
          <w:sz w:val="20"/>
          <w:szCs w:val="20"/>
          <w:color w:val="auto"/>
        </w:rPr>
      </w:pPr>
    </w:p>
    <w:p>
      <w:pPr>
        <w:jc w:val="both"/>
        <w:ind w:firstLine="1305"/>
        <w:spacing w:after="0" w:line="288" w:lineRule="auto"/>
        <w:tabs>
          <w:tab w:leader="none" w:pos="217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Agent’s Liens are validly created, perfected (other than (i) in respect of motor vehicles that are subject to a certificate of title, (ii) money, (iii) letter-of-credit rights (other than supporting obligations), (iv) commercial tort claims (other than those that, by the terms of the Guaranty and Security Agreement, are required to be perfected), and (v) any Deposit Accounts and Securities Accounts not subject to a Control Agreement as permitted by </w:t>
      </w:r>
      <w:r>
        <w:rPr>
          <w:rFonts w:ascii="Arial" w:cs="Arial" w:eastAsia="Arial" w:hAnsi="Arial"/>
          <w:sz w:val="19"/>
          <w:szCs w:val="19"/>
          <w:u w:val="single" w:color="auto"/>
          <w:color w:val="auto"/>
        </w:rPr>
        <w:t>Section 7(k)(iv)</w:t>
      </w:r>
      <w:r>
        <w:rPr>
          <w:rFonts w:ascii="Arial" w:cs="Arial" w:eastAsia="Arial" w:hAnsi="Arial"/>
          <w:sz w:val="19"/>
          <w:szCs w:val="19"/>
          <w:color w:val="auto"/>
        </w:rPr>
        <w:t xml:space="preserve"> of the Guaranty and Security Agreement, and subject only to the filing of financing statements in the appropriate filing offices), and first priority Liens, subject only to Permitted Liens which are non-consensual Permitted Liens, permitted purchase money Liens, or the interests of lessors under Capital Leases.</w:t>
      </w:r>
    </w:p>
    <w:p>
      <w:pPr>
        <w:spacing w:after="0" w:line="16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b w:val="1"/>
          <w:bCs w:val="1"/>
          <w:u w:val="single" w:color="auto"/>
          <w:color w:val="auto"/>
        </w:rPr>
        <w:t>Title to Assets; No Encumbrances</w:t>
      </w:r>
      <w:r>
        <w:rPr>
          <w:rFonts w:ascii="Arial" w:cs="Arial" w:eastAsia="Arial" w:hAnsi="Arial"/>
          <w:sz w:val="18"/>
          <w:szCs w:val="18"/>
          <w:color w:val="auto"/>
        </w:rPr>
        <w:t>. Each of the Loan Parties has (a) good title to (in the case of fee interests in Real Property),</w:t>
      </w:r>
    </w:p>
    <w:p>
      <w:pPr>
        <w:spacing w:after="0" w:line="22" w:lineRule="exact"/>
        <w:rPr>
          <w:sz w:val="20"/>
          <w:szCs w:val="20"/>
          <w:color w:val="auto"/>
        </w:rPr>
      </w:pPr>
    </w:p>
    <w:p>
      <w:pPr>
        <w:ind w:firstLine="8"/>
        <w:spacing w:after="0" w:line="244" w:lineRule="auto"/>
        <w:tabs>
          <w:tab w:leader="none" w:pos="30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valid leasehold interests in (in the case of leasehold interests in real or personal property), and (c) good title to (in the case of all other personal property), all of their respective</w:t>
      </w:r>
    </w:p>
    <w:p>
      <w:pPr>
        <w:spacing w:after="0" w:line="200" w:lineRule="exact"/>
        <w:rPr>
          <w:sz w:val="20"/>
          <w:szCs w:val="20"/>
          <w:color w:val="auto"/>
        </w:rPr>
      </w:pPr>
    </w:p>
    <w:p>
      <w:pPr>
        <w:spacing w:after="0" w:line="23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838" w:right="239" w:bottom="1440" w:gutter="0" w:footer="0" w:header="0"/>
        </w:sectPr>
      </w:pPr>
    </w:p>
    <w:bookmarkStart w:id="123" w:name="page124"/>
    <w:bookmarkEnd w:id="123"/>
    <w:p>
      <w:pPr>
        <w:spacing w:after="0" w:line="316" w:lineRule="auto"/>
        <w:rPr>
          <w:sz w:val="20"/>
          <w:szCs w:val="20"/>
          <w:color w:val="auto"/>
        </w:rPr>
      </w:pPr>
      <w:r>
        <w:rPr>
          <w:rFonts w:ascii="Arial" w:cs="Arial" w:eastAsia="Arial" w:hAnsi="Arial"/>
          <w:sz w:val="18"/>
          <w:szCs w:val="18"/>
          <w:color w:val="auto"/>
        </w:rPr>
        <w:t>assets reflected in their most recent financial statements delivered pursuant to Section 5.1, in each case except for assets disposed of since the date of such financial statements to the extent permitted hereby. All of such assets are free and clear of Liens except for Permitted Liens.</w:t>
      </w:r>
    </w:p>
    <w:p>
      <w:pPr>
        <w:spacing w:after="0" w:line="12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w:t>
      </w:r>
    </w:p>
    <w:p>
      <w:pPr>
        <w:spacing w:after="0" w:line="222" w:lineRule="exact"/>
        <w:rPr>
          <w:sz w:val="20"/>
          <w:szCs w:val="20"/>
          <w:color w:val="auto"/>
        </w:rPr>
      </w:pPr>
    </w:p>
    <w:p>
      <w:pPr>
        <w:jc w:val="both"/>
        <w:ind w:firstLine="1305"/>
        <w:spacing w:after="0" w:line="250" w:lineRule="auto"/>
        <w:tabs>
          <w:tab w:leader="none" w:pos="177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There are no actions, suits, or proceedings pending or, to the knowledge of Borrower, after due inquiry, threatened in writing against a Loan Party or any of its Subsidiaries that either individually or in the aggregate could reasonably be expected to result in a Material Adverse Effect.</w:t>
      </w:r>
    </w:p>
    <w:p>
      <w:pPr>
        <w:spacing w:after="0" w:line="186" w:lineRule="exact"/>
        <w:rPr>
          <w:rFonts w:ascii="Arial" w:cs="Arial" w:eastAsia="Arial" w:hAnsi="Arial"/>
          <w:sz w:val="20"/>
          <w:szCs w:val="20"/>
          <w:color w:val="auto"/>
        </w:rPr>
      </w:pPr>
    </w:p>
    <w:p>
      <w:pPr>
        <w:jc w:val="both"/>
        <w:ind w:firstLine="1305"/>
        <w:spacing w:after="0" w:line="276" w:lineRule="auto"/>
        <w:tabs>
          <w:tab w:leader="none" w:pos="1707"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Schedule 4.6(b)</w:t>
      </w:r>
      <w:r>
        <w:rPr>
          <w:rFonts w:ascii="Arial" w:cs="Arial" w:eastAsia="Arial" w:hAnsi="Arial"/>
          <w:sz w:val="18"/>
          <w:szCs w:val="18"/>
          <w:color w:val="auto"/>
        </w:rPr>
        <w:t xml:space="preserve"> of the Disclosure Letter sets forth a complete and accurate description, with respect to each of the actions, suits, or proceedings that could reasonably be expected to result in liabilities in excess of, $500,000 that, as of the Restatement Closing Date, is pending or, to the knowledge of Borrower, after due inquiry, threatened in writing against a Loan Party or any of its Subsidiaries, of (i) the parties to such actions, suits, or proceedings, (ii) the nature of the dispute that is the subject of such actions, suits, or proceedings, (iii) the procedural status, as of the Restatement Closing Date, with respect to such actions, suits, or proceedings, and (iv) whether any liability of the Loan Parties’ and their Subsidiaries in connection with such actions, suits, or proceedings is covered by insurance.</w:t>
      </w:r>
    </w:p>
    <w:p>
      <w:pPr>
        <w:spacing w:after="0" w:line="15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No Loan Party nor any of its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b w:val="1"/>
          <w:bCs w:val="1"/>
          <w:u w:val="single" w:color="auto"/>
          <w:color w:val="auto"/>
        </w:rPr>
        <w:t>No Material Adverse Effect</w:t>
      </w:r>
      <w:r>
        <w:rPr>
          <w:rFonts w:ascii="Arial" w:cs="Arial" w:eastAsia="Arial" w:hAnsi="Arial"/>
          <w:sz w:val="20"/>
          <w:szCs w:val="20"/>
          <w:color w:val="auto"/>
        </w:rPr>
        <w:t>. All historical financial statements relating to the Loan Parties and their Subsidiaries that have been delivered by Borrower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September 30, 2015, no event, circumstance, or change has occurred that has or could reasonably be expected to result in a Material Adverse Effect with respect to the Loan Parties and their Subsidiaries.</w:t>
      </w:r>
    </w:p>
    <w:p>
      <w:pPr>
        <w:spacing w:after="0" w:line="18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6"/>
          <w:szCs w:val="16"/>
          <w:b w:val="1"/>
          <w:bCs w:val="1"/>
          <w:u w:val="single" w:color="auto"/>
          <w:color w:val="auto"/>
        </w:rPr>
        <w:t>Solvency</w:t>
      </w:r>
      <w:r>
        <w:rPr>
          <w:rFonts w:ascii="Arial" w:cs="Arial" w:eastAsia="Arial" w:hAnsi="Arial"/>
          <w:sz w:val="16"/>
          <w:szCs w:val="16"/>
          <w:u w:val="single" w:color="auto"/>
          <w:color w:val="auto"/>
        </w:rPr>
        <w:t>.</w:t>
      </w:r>
    </w:p>
    <w:p>
      <w:pPr>
        <w:spacing w:after="0" w:line="222" w:lineRule="exact"/>
        <w:rPr>
          <w:sz w:val="20"/>
          <w:szCs w:val="20"/>
          <w:color w:val="auto"/>
        </w:rPr>
      </w:pPr>
    </w:p>
    <w:p>
      <w:pPr>
        <w:ind w:left="1700" w:hanging="395"/>
        <w:spacing w:after="0"/>
        <w:tabs>
          <w:tab w:leader="none" w:pos="17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Borrower is, and Borrower and its Subsidiaries, on a consolidated basis, are, Solvent.</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81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6"/>
          <w:szCs w:val="16"/>
          <w:b w:val="1"/>
          <w:bCs w:val="1"/>
          <w:u w:val="single" w:color="auto"/>
          <w:color w:val="auto"/>
        </w:rPr>
        <w:t>Employee Benefits</w:t>
      </w:r>
      <w:r>
        <w:rPr>
          <w:rFonts w:ascii="Arial" w:cs="Arial" w:eastAsia="Arial" w:hAnsi="Arial"/>
          <w:sz w:val="16"/>
          <w:szCs w:val="16"/>
          <w:u w:val="single" w:color="auto"/>
          <w:color w:val="auto"/>
        </w:rPr>
        <w:t>.</w:t>
      </w:r>
    </w:p>
    <w:p>
      <w:pPr>
        <w:spacing w:after="0" w:line="222" w:lineRule="exact"/>
        <w:rPr>
          <w:sz w:val="20"/>
          <w:szCs w:val="20"/>
          <w:color w:val="auto"/>
        </w:rPr>
      </w:pPr>
    </w:p>
    <w:p>
      <w:pPr>
        <w:jc w:val="both"/>
        <w:ind w:firstLine="1305"/>
        <w:spacing w:after="0" w:line="250" w:lineRule="auto"/>
        <w:tabs>
          <w:tab w:leader="none" w:pos="179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of the Disclosure Letter (as such Schedule may be updated from time to time, without the consent of any Lender or Agent, to include retirement and severance plans that are required by a Governmental Authority outside of the United States so long as such updated</w:t>
      </w:r>
    </w:p>
    <w:p>
      <w:pPr>
        <w:spacing w:after="0" w:line="200" w:lineRule="exact"/>
        <w:rPr>
          <w:sz w:val="20"/>
          <w:szCs w:val="20"/>
          <w:color w:val="auto"/>
        </w:rPr>
      </w:pPr>
    </w:p>
    <w:p>
      <w:pPr>
        <w:spacing w:after="0" w:line="22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825" w:right="239" w:bottom="1440" w:gutter="0" w:footer="0" w:header="0"/>
        </w:sectPr>
      </w:pPr>
    </w:p>
    <w:bookmarkStart w:id="124" w:name="page125"/>
    <w:bookmarkEnd w:id="124"/>
    <w:p>
      <w:pPr>
        <w:ind w:right="20"/>
        <w:spacing w:after="0" w:line="260" w:lineRule="auto"/>
        <w:rPr>
          <w:sz w:val="20"/>
          <w:szCs w:val="20"/>
          <w:color w:val="auto"/>
        </w:rPr>
      </w:pPr>
      <w:r>
        <w:rPr>
          <w:rFonts w:ascii="Arial" w:cs="Arial" w:eastAsia="Arial" w:hAnsi="Arial"/>
          <w:sz w:val="20"/>
          <w:szCs w:val="20"/>
          <w:color w:val="auto"/>
        </w:rPr>
        <w:t>Schedule is delivered together with written notice thereof to Agent), no Loan Party, none of its Subsidiaries, nor any of their respective ERISA Affiliates maintains or contributes to any Benefit Plan.</w:t>
      </w:r>
    </w:p>
    <w:p>
      <w:pPr>
        <w:spacing w:after="0" w:line="177" w:lineRule="exact"/>
        <w:rPr>
          <w:sz w:val="20"/>
          <w:szCs w:val="20"/>
          <w:color w:val="auto"/>
        </w:rPr>
      </w:pPr>
    </w:p>
    <w:p>
      <w:pPr>
        <w:ind w:right="20" w:firstLine="1305"/>
        <w:spacing w:after="0" w:line="260" w:lineRule="auto"/>
        <w:tabs>
          <w:tab w:leader="none" w:pos="177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Loan Party and each of the ERISA Affiliates has complied in all material respects with ERISA, the IRC and all applicable laws regarding each Employee Benefit Plan.</w:t>
      </w:r>
    </w:p>
    <w:p>
      <w:pPr>
        <w:spacing w:after="0" w:line="176" w:lineRule="exact"/>
        <w:rPr>
          <w:rFonts w:ascii="Arial" w:cs="Arial" w:eastAsia="Arial" w:hAnsi="Arial"/>
          <w:sz w:val="20"/>
          <w:szCs w:val="20"/>
          <w:color w:val="auto"/>
        </w:rPr>
      </w:pPr>
    </w:p>
    <w:p>
      <w:pPr>
        <w:ind w:firstLine="1305"/>
        <w:spacing w:after="0" w:line="260" w:lineRule="auto"/>
        <w:tabs>
          <w:tab w:leader="none" w:pos="17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Employee Benefit Plan is, and has been, maintained in substantial compliance with ERISA, the IRC, all applicable laws and the terms of each such Employee Benefit Plan.</w:t>
      </w:r>
    </w:p>
    <w:p>
      <w:pPr>
        <w:spacing w:after="0" w:line="176" w:lineRule="exact"/>
        <w:rPr>
          <w:rFonts w:ascii="Arial" w:cs="Arial" w:eastAsia="Arial" w:hAnsi="Arial"/>
          <w:sz w:val="20"/>
          <w:szCs w:val="20"/>
          <w:color w:val="auto"/>
        </w:rPr>
      </w:pPr>
    </w:p>
    <w:p>
      <w:pPr>
        <w:jc w:val="both"/>
        <w:ind w:firstLine="1305"/>
        <w:spacing w:after="0" w:line="246" w:lineRule="auto"/>
        <w:tabs>
          <w:tab w:leader="none" w:pos="184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Employee Benefit Plan that is intended to qualify under Section 401(a) of the IRC has received a favorable determination letter from the Internal Revenue Service or an application for such letter is currently being processed by the Internal Revenue Service. To the best knowledge of each Loan Party and the ERISA Affiliates, nothing has occurred which would prevent, or cause the loss of, such qualification.</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7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 material liability to the PBGC (other than for the payment of current premiums which are not past due) by any Loan Party or ERISA Affiliate has been incurred or is expected by any Loan Party or ERISA Affiliate to be incurred with respect to any Pension Plan.</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 Notification Event exists or has occurred in the past six (6) years.</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74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 Loan Party or ERISA Affiliate sponsors, maintains, or contributes to any Employee Benefit Plan, including, without limitation, any such plan maintained to provide benefits to former employees of such entities that may not be terminated by any Loan Party or ERISA Affiliate in its sole discretion at any time without material liability.</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 Loan Party or ERISA Affiliate has provided any security under Section 436 of the IRC.</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Environmental Condition</w:t>
      </w:r>
      <w:r>
        <w:rPr>
          <w:rFonts w:ascii="Arial" w:cs="Arial" w:eastAsia="Arial" w:hAnsi="Arial"/>
          <w:sz w:val="18"/>
          <w:szCs w:val="18"/>
          <w:color w:val="auto"/>
        </w:rPr>
        <w:t>. Except as set forth on Schedule 4.11 of the Disclosure Letter, (a) to Borrower’s knowledge, no 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(b) to Borrower’s knowledge no Loan Party’s nor any of its Subsidiaries’ properties or assets has ever been designated or identified in any manner pursuant to any environmental protection statute as a Hazardous Materials disposal site, (c) no Loan Party nor any of its Subsidiaries has received written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16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b w:val="1"/>
          <w:bCs w:val="1"/>
          <w:u w:val="single" w:color="auto"/>
          <w:color w:val="auto"/>
        </w:rPr>
        <w:t>Complete Disclosure</w:t>
      </w:r>
      <w:r>
        <w:rPr>
          <w:rFonts w:ascii="Arial" w:cs="Arial" w:eastAsia="Arial" w:hAnsi="Arial"/>
          <w:sz w:val="20"/>
          <w:szCs w:val="20"/>
          <w:color w:val="auto"/>
        </w:rPr>
        <w:t>. All factual information taken as a whole (other than forward-looking information and projections and information of a general economic nature and general information about Borrower’s industry) furnished by or on behalf of a Loan Party or its Subsidiaries in writing to Agent or any Lender (including all information contained in the Schedules to the Disclosure Letter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Borrower’s industry) hereafter</w:t>
      </w: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825" w:right="239" w:bottom="1440" w:gutter="0" w:footer="0" w:header="0"/>
        </w:sectPr>
      </w:pPr>
    </w:p>
    <w:bookmarkStart w:id="125" w:name="page126"/>
    <w:bookmarkEnd w:id="125"/>
    <w:p>
      <w:pPr>
        <w:jc w:val="both"/>
        <w:spacing w:after="0" w:line="270" w:lineRule="auto"/>
        <w:rPr>
          <w:sz w:val="20"/>
          <w:szCs w:val="20"/>
          <w:color w:val="auto"/>
        </w:rPr>
      </w:pPr>
      <w:r>
        <w:rPr>
          <w:rFonts w:ascii="Arial" w:cs="Arial" w:eastAsia="Arial" w:hAnsi="Arial"/>
          <w:sz w:val="18"/>
          <w:szCs w:val="18"/>
          <w:color w:val="auto"/>
        </w:rPr>
        <w:t>furnished by or on behalf of a Loan Party or its Subsidiaries in writing to Agent or any Lender for purposes of or in connection with this Agreement or the other Loan Documents or the transactions contemplated hereby or thereby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delivered to Agent on October 26, 2015 represent, and as of the date on which any other Projections are delivered to Agent, such additional Projections represent, Borrower’s good faith estimate, on the date such Projections are delivered, of the Loan Parties’ and their Subsidiaries’ future performance for the periods covered thereby based upon assumptions believed by Borrower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 believed to be reasonable at the time such Projections were prepared, are not to be viewed as facts, and that actual results during the period or periods covered by the Projections may differ materially from projected or estimated results).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b w:val="1"/>
          <w:bCs w:val="1"/>
          <w:u w:val="single" w:color="auto"/>
          <w:color w:val="auto"/>
        </w:rPr>
        <w:t>Patriot Act</w:t>
      </w:r>
      <w:r>
        <w:rPr>
          <w:rFonts w:ascii="Arial" w:cs="Arial" w:eastAsia="Arial" w:hAnsi="Arial"/>
          <w:sz w:val="20"/>
          <w:szCs w:val="20"/>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“Patriot Act”).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4.14 </w:t>
      </w:r>
      <w:r>
        <w:rPr>
          <w:rFonts w:ascii="Arial" w:cs="Arial" w:eastAsia="Arial" w:hAnsi="Arial"/>
          <w:sz w:val="20"/>
          <w:szCs w:val="20"/>
          <w:b w:val="1"/>
          <w:bCs w:val="1"/>
          <w:u w:val="single" w:color="auto"/>
          <w:color w:val="auto"/>
        </w:rPr>
        <w:t>Indebtedness</w:t>
      </w:r>
      <w:r>
        <w:rPr>
          <w:rFonts w:ascii="Arial" w:cs="Arial" w:eastAsia="Arial" w:hAnsi="Arial"/>
          <w:sz w:val="20"/>
          <w:szCs w:val="20"/>
          <w:color w:val="auto"/>
        </w:rPr>
        <w:t>. Set forth on Schedule 4.14 of the Disclosure Letter is a true and complete list of all Indebtedness of each Loan Party and each of its Subsidiaries outstanding immediately prior to the Restatement Closing Date that is to remain outstanding immediately after giving effect to the closing hereunder on the Restatement Closing Date and such Schedule accurately sets forth the aggregate principal amount of such Indebtedness as of the Restatement Closing Date.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b w:val="1"/>
          <w:bCs w:val="1"/>
          <w:u w:val="single" w:color="auto"/>
          <w:color w:val="auto"/>
        </w:rPr>
        <w:t>Payment of Taxes</w:t>
      </w:r>
      <w:r>
        <w:rPr>
          <w:rFonts w:ascii="Arial" w:cs="Arial" w:eastAsia="Arial" w:hAnsi="Arial"/>
          <w:sz w:val="19"/>
          <w:szCs w:val="19"/>
          <w:color w:val="auto"/>
        </w:rPr>
        <w:t>. Except as otherwise permitted under Section 5.5, all tax returns and reports of each Loan Party and its Subsidiaries required to be filed by any of them have been timely filed (after giving effect to any duly filed extension), and all taxes shown on such tax returns to be due and payable and all material assessments, fees and other governmental charges upon a Loan Party and its Subsidiaries and upon their respective assets, income, businesses and franchises that are due and payable have been paid when due and payable. Each Loan Party and each of its Subsidiaries have made adequate provision in accordance with GAAP for all taxes not yet due and payable. Borrower knows of no proposed tax assessment against a Loan Party or any of its Subsidiaries that is material to the business of the Loan Parties and their Subsidiaries (taken as a whole) and that is not being actively contested by such Loan Party or such Subsidiary diligently, in good faith, and by appropriate proceedings; provided such reserves or other appropriate provisions, if any, as shall be required in conformity with GAAP shall have been made or provided therefor.</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4.16 </w:t>
      </w:r>
      <w:r>
        <w:rPr>
          <w:rFonts w:ascii="Arial" w:cs="Arial" w:eastAsia="Arial" w:hAnsi="Arial"/>
          <w:sz w:val="20"/>
          <w:szCs w:val="20"/>
          <w:b w:val="1"/>
          <w:bCs w:val="1"/>
          <w:u w:val="single" w:color="auto"/>
          <w:color w:val="auto"/>
        </w:rPr>
        <w:t>Margin Stock</w:t>
      </w:r>
      <w:r>
        <w:rPr>
          <w:rFonts w:ascii="Arial" w:cs="Arial" w:eastAsia="Arial" w:hAnsi="Arial"/>
          <w:sz w:val="20"/>
          <w:szCs w:val="20"/>
          <w:color w:val="auto"/>
        </w:rPr>
        <w:t>. No Loan Party nor any of its Subsidiaries is engaged principally, or as one of its important activities, in the business of extending credit for the purpose of purchasing or carrying any Margin Stock. No part of the proceeds of the loans made to Borrower will be used to purchase or carry any</w:t>
      </w:r>
    </w:p>
    <w:p>
      <w:pPr>
        <w:spacing w:after="0" w:line="200" w:lineRule="exact"/>
        <w:rPr>
          <w:sz w:val="20"/>
          <w:szCs w:val="20"/>
          <w:color w:val="auto"/>
        </w:rPr>
      </w:pPr>
    </w:p>
    <w:p>
      <w:pPr>
        <w:spacing w:after="0" w:line="227"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825" w:right="239" w:bottom="1440" w:gutter="0" w:footer="0" w:header="0"/>
        </w:sectPr>
      </w:pPr>
    </w:p>
    <w:bookmarkStart w:id="126" w:name="page127"/>
    <w:bookmarkEnd w:id="126"/>
    <w:p>
      <w:pPr>
        <w:jc w:val="both"/>
        <w:ind w:right="20"/>
        <w:spacing w:after="0" w:line="260" w:lineRule="auto"/>
        <w:rPr>
          <w:sz w:val="20"/>
          <w:szCs w:val="20"/>
          <w:color w:val="auto"/>
        </w:rPr>
      </w:pPr>
      <w:r>
        <w:rPr>
          <w:rFonts w:ascii="Arial" w:cs="Arial" w:eastAsia="Arial" w:hAnsi="Arial"/>
          <w:sz w:val="20"/>
          <w:szCs w:val="20"/>
          <w:color w:val="auto"/>
        </w:rPr>
        <w:t>Margin Stock or to extend credit to others for the purpose of purchasing or carrying any Margin Stock or for any purpose that violates the provisions of Regulation T, U or X of the Board of Governors.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4.17 </w:t>
      </w:r>
      <w:r>
        <w:rPr>
          <w:rFonts w:ascii="Arial" w:cs="Arial" w:eastAsia="Arial" w:hAnsi="Arial"/>
          <w:sz w:val="19"/>
          <w:szCs w:val="19"/>
          <w:b w:val="1"/>
          <w:bCs w:val="1"/>
          <w:u w:val="single" w:color="auto"/>
          <w:color w:val="auto"/>
        </w:rPr>
        <w:t>Governmental Regulation</w:t>
      </w:r>
      <w:r>
        <w:rPr>
          <w:rFonts w:ascii="Arial" w:cs="Arial" w:eastAsia="Arial" w:hAnsi="Arial"/>
          <w:sz w:val="19"/>
          <w:szCs w:val="19"/>
          <w:color w:val="auto"/>
        </w:rPr>
        <w:t>. No Loan Party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4.18 </w:t>
      </w:r>
      <w:r>
        <w:rPr>
          <w:rFonts w:ascii="Arial" w:cs="Arial" w:eastAsia="Arial" w:hAnsi="Arial"/>
          <w:sz w:val="20"/>
          <w:szCs w:val="20"/>
          <w:b w:val="1"/>
          <w:bCs w:val="1"/>
          <w:u w:val="single" w:color="auto"/>
          <w:color w:val="auto"/>
        </w:rPr>
        <w:t>OFAC</w:t>
      </w:r>
      <w:r>
        <w:rPr>
          <w:rFonts w:ascii="Arial" w:cs="Arial" w:eastAsia="Arial" w:hAnsi="Arial"/>
          <w:sz w:val="20"/>
          <w:szCs w:val="20"/>
          <w:color w:val="auto"/>
        </w:rPr>
        <w:t>. No Loan Party nor any of its Subsidiaries is in violation of any of the country or list based economic and trade sanctions administered and enforced by OFAC. No Loan Party nor any of its Subsidiaries (a) is a Sanctioned Person or a Sanctioned Entity, (b) has its assets located in Sanctioned Entities, or (c) derives revenues from investments in, or transactions with Sanctioned Persons or Sanctioned Entities. No proceeds of any loan made hereunder will be used to fund any operations in, finance any investments or activities in, or make any payments to, a Sanctioned Person or a Sanctioned Entity.</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4.19 </w:t>
      </w:r>
      <w:r>
        <w:rPr>
          <w:rFonts w:ascii="Arial" w:cs="Arial" w:eastAsia="Arial" w:hAnsi="Arial"/>
          <w:sz w:val="19"/>
          <w:szCs w:val="19"/>
          <w:b w:val="1"/>
          <w:bCs w:val="1"/>
          <w:u w:val="single" w:color="auto"/>
          <w:color w:val="auto"/>
        </w:rPr>
        <w:t>Employee and Labor Matters</w:t>
      </w:r>
      <w:r>
        <w:rPr>
          <w:rFonts w:ascii="Arial" w:cs="Arial" w:eastAsia="Arial" w:hAnsi="Arial"/>
          <w:sz w:val="19"/>
          <w:szCs w:val="19"/>
          <w:color w:val="auto"/>
        </w:rPr>
        <w:t>. There is (i) no material unfair labor practice complaint pending or, to the knowledge of Borrower, threatened against Borrower or its Subsidiaries before any Governmental Authority and no material grievance or arbitration proceeding pending or threatened in writing against Borrower or its Subsidiaries which arises out of or under any collective bargaining agreement and that could reasonably be expected to result in a material liability, (ii) no strike, labor dispute, slowdown, stoppage or similar action or grievance pending or threatened in writing against Borrower or its Subsidiaries that could reasonably be expected to result in a material liability, or (iii) to the knowledge of Borrower no union representation question existing with respect to the employees of Borrower or its Subsidiaries and no union organizing activity taking place with respect to any of the employees of Borrower or its Subsidiaries. None of Borrower or its Subsidiaries has incurred any material liability or obligation under the Worker Adjustment and Retraining Notification Act or similar state law, which remains unpaid or unsatisfied. The hours worked and payments made to employees of Borrower or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Borrower or its Subsidiaries on account of wages and employee health and welfare insurance and other benefits have been paid or accrued as a liability on the books of Borrower, except where the failure to do so could not, individually or in the aggregate, reasonably be expected to result in a Material Adverse Effect.</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4.20</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u w:val="single" w:color="auto"/>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b w:val="1"/>
          <w:bCs w:val="1"/>
          <w:u w:val="single" w:color="auto"/>
          <w:color w:val="auto"/>
        </w:rPr>
        <w:t>Leases</w:t>
      </w:r>
      <w:r>
        <w:rPr>
          <w:rFonts w:ascii="Arial" w:cs="Arial" w:eastAsia="Arial" w:hAnsi="Arial"/>
          <w:sz w:val="19"/>
          <w:szCs w:val="19"/>
          <w:color w:val="auto"/>
        </w:rPr>
        <w:t>. Each Loan Party and its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spacing w:after="0" w:line="15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b w:val="1"/>
          <w:bCs w:val="1"/>
          <w:u w:val="single" w:color="auto"/>
          <w:color w:val="auto"/>
        </w:rPr>
        <w:t>Eligible Accounts</w:t>
      </w:r>
      <w:r>
        <w:rPr>
          <w:rFonts w:ascii="Arial" w:cs="Arial" w:eastAsia="Arial" w:hAnsi="Arial"/>
          <w:sz w:val="19"/>
          <w:szCs w:val="19"/>
          <w:color w:val="auto"/>
        </w:rPr>
        <w:t>. As to each Account that is identified by Borrower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the Borrower’s business, (b) owed to the Borrower without any known defenses, disputes, offsets, counterclaims, or rights of return or cancellation,</w:t>
      </w:r>
    </w:p>
    <w:p>
      <w:pPr>
        <w:spacing w:after="0" w:line="200" w:lineRule="exact"/>
        <w:rPr>
          <w:sz w:val="20"/>
          <w:szCs w:val="20"/>
          <w:color w:val="auto"/>
        </w:rPr>
      </w:pPr>
    </w:p>
    <w:p>
      <w:pPr>
        <w:spacing w:after="0" w:line="21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825" w:right="239" w:bottom="1440" w:gutter="0" w:footer="0" w:header="0"/>
        </w:sectPr>
      </w:pPr>
    </w:p>
    <w:bookmarkStart w:id="127" w:name="page128"/>
    <w:bookmarkEnd w:id="127"/>
    <w:p>
      <w:pPr>
        <w:jc w:val="both"/>
        <w:spacing w:after="0" w:line="260" w:lineRule="auto"/>
        <w:rPr>
          <w:sz w:val="20"/>
          <w:szCs w:val="20"/>
          <w:color w:val="auto"/>
        </w:rPr>
      </w:pPr>
      <w:r>
        <w:rPr>
          <w:rFonts w:ascii="Arial" w:cs="Arial" w:eastAsia="Arial" w:hAnsi="Arial"/>
          <w:sz w:val="20"/>
          <w:szCs w:val="20"/>
          <w:color w:val="auto"/>
        </w:rPr>
        <w:t>and (c) not excluded as ineligible by virtue of one or more of the excluding criteria (other than any Agent-discretionary criteria) set forth in the definition of Eligible Accounts.</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4.23 </w:t>
      </w:r>
      <w:r>
        <w:rPr>
          <w:rFonts w:ascii="Arial" w:cs="Arial" w:eastAsia="Arial" w:hAnsi="Arial"/>
          <w:sz w:val="20"/>
          <w:szCs w:val="20"/>
          <w:b w:val="1"/>
          <w:bCs w:val="1"/>
          <w:u w:val="single" w:color="auto"/>
          <w:color w:val="auto"/>
        </w:rPr>
        <w:t>Eligible Inventory</w:t>
      </w:r>
      <w:r>
        <w:rPr>
          <w:rFonts w:ascii="Arial" w:cs="Arial" w:eastAsia="Arial" w:hAnsi="Arial"/>
          <w:sz w:val="20"/>
          <w:szCs w:val="20"/>
          <w:color w:val="auto"/>
        </w:rPr>
        <w:t>. As to each item of Inventory that is identified by the Borrower as Eligible Finished Goods Inventory in a Borrowing Base Certificate submitted to Agent, such Inventory is (a) of good and merchantable quality, free from known defects (other than defects that do not prevent satisfaction of the standard requirements for delivery and acceptance of such Inventory), and (b) not excluded as ineligible by virtue of one or more of the excluding criteria (other than any Agent-discretionary criteria) set forth in the definition of Eligible Inventory.</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4.24 </w:t>
      </w:r>
      <w:r>
        <w:rPr>
          <w:rFonts w:ascii="Arial" w:cs="Arial" w:eastAsia="Arial" w:hAnsi="Arial"/>
          <w:sz w:val="20"/>
          <w:szCs w:val="20"/>
          <w:b w:val="1"/>
          <w:bCs w:val="1"/>
          <w:u w:val="single" w:color="auto"/>
          <w:color w:val="auto"/>
        </w:rPr>
        <w:t>Location of Inventory</w:t>
      </w:r>
      <w:r>
        <w:rPr>
          <w:rFonts w:ascii="Arial" w:cs="Arial" w:eastAsia="Arial" w:hAnsi="Arial"/>
          <w:sz w:val="20"/>
          <w:szCs w:val="20"/>
          <w:color w:val="auto"/>
        </w:rPr>
        <w:t>. Other than the Inventory stored with Flextronics at the Flextronics Facility or the Flextronics location in Hawaii, the Inventory of the Loan Parties located within the United States is not stored with a bailee, warehouseman, or similar party and is located only at, or in-transit between, the locations identified on Schedule 4.24 of the Disclosure Letter (as such Schedule may be updated pursuant to Section 5.15).</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4.25 </w:t>
      </w:r>
      <w:r>
        <w:rPr>
          <w:rFonts w:ascii="Arial" w:cs="Arial" w:eastAsia="Arial" w:hAnsi="Arial"/>
          <w:sz w:val="20"/>
          <w:szCs w:val="20"/>
          <w:b w:val="1"/>
          <w:bCs w:val="1"/>
          <w:u w:val="single" w:color="auto"/>
          <w:color w:val="auto"/>
        </w:rPr>
        <w:t>Inventory Records</w:t>
      </w:r>
      <w:r>
        <w:rPr>
          <w:rFonts w:ascii="Arial" w:cs="Arial" w:eastAsia="Arial" w:hAnsi="Arial"/>
          <w:sz w:val="20"/>
          <w:szCs w:val="20"/>
          <w:color w:val="auto"/>
        </w:rPr>
        <w:t>. Each Loan Party keeps correct and accurate records itemizing and describing the type, quality, and quantity of its Inventory and the book value thereof.</w:t>
      </w:r>
    </w:p>
    <w:p>
      <w:pPr>
        <w:spacing w:after="0" w:line="164"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AFFIRMATIVE COVENANTS.</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Borrower covenants and agrees that, until termination of all of the Commitments and payment in full of the Obligations:</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Financial Statements, Reports, Certificates</w:t>
      </w:r>
      <w:r>
        <w:rPr>
          <w:rFonts w:ascii="Arial" w:cs="Arial" w:eastAsia="Arial" w:hAnsi="Arial"/>
          <w:sz w:val="18"/>
          <w:szCs w:val="18"/>
          <w:color w:val="auto"/>
        </w:rPr>
        <w:t>. Borrower (a) will deliver to Agent, with copies to each Lender, each of the financial statements, reports, and other items set forth on Schedule 5.1 no later than the times specified therein, (b) agrees that no Subsidiary of a Loan Party will have a fiscal year different from that of Borrower, (c) agrees to maintain a system of accounting that enables Borrower to produce financial statements in accordance with GAAP, and (d) agrees that it will, and will cause each other Loan Party to, (i) keep a reporting system that shows all additions, sales, claims, returns, and allowances with respect to its and its Subsidiaries’ sales, and (ii) maintain its billing systems and practices substantially as in effect as of the Restatement Closing Date and shall only make material modifications thereto with notice to, and with the consent of, Agent; provided that, in the case of clause (d)(ii) modifications that do not result in adverse effects on the Collateral or the ability of Borrower to make payments under this Agreement shall not require the prior consent of Agent.</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u w:val="single" w:color="auto"/>
          <w:color w:val="auto"/>
        </w:rPr>
        <w:t>Reporting</w:t>
      </w:r>
      <w:r>
        <w:rPr>
          <w:rFonts w:ascii="Arial" w:cs="Arial" w:eastAsia="Arial" w:hAnsi="Arial"/>
          <w:sz w:val="20"/>
          <w:szCs w:val="20"/>
          <w:color w:val="auto"/>
        </w:rPr>
        <w:t>. Borrower (a) will deliver to Agent (and if so requested by Agent, with copies for each Lender) each of the reports set forth on Schedule 5.2 at the times specified therein, and (b) agrees to use commercially reasonable efforts in cooperation with Agent to facilitate and implement a system of electronic collateral reporting in order to provide electronic reporting of each of the items set forth on such Schedule.</w:t>
      </w:r>
    </w:p>
    <w:p>
      <w:pPr>
        <w:spacing w:after="0" w:line="18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u w:val="single" w:color="auto"/>
          <w:color w:val="auto"/>
        </w:rPr>
        <w:t>Existence</w:t>
      </w:r>
      <w:r>
        <w:rPr>
          <w:rFonts w:ascii="Arial" w:cs="Arial" w:eastAsia="Arial" w:hAnsi="Arial"/>
          <w:sz w:val="20"/>
          <w:szCs w:val="20"/>
          <w:u w:val="single" w:color="auto"/>
          <w:color w:val="auto"/>
        </w:rPr>
        <w:t>.</w:t>
      </w:r>
      <w:r>
        <w:rPr>
          <w:rFonts w:ascii="Arial" w:cs="Arial" w:eastAsia="Arial" w:hAnsi="Arial"/>
          <w:sz w:val="20"/>
          <w:szCs w:val="20"/>
          <w:color w:val="auto"/>
        </w:rPr>
        <w:t xml:space="preserve"> Except as otherwise permitted under Section 6.3 or Section 6.4, Borrower will, and will cause each of its Subsidiaries to, at all times preserve and keep in full force and effect such Person’s (a) valid existence and good standing in its jurisdiction of organization and (b) good standing with respect to all other jurisdictions in which it is qualified to do business and any rights, franchises, permits, licenses, accreditations, authorizations, or other approvals material to their businesses except, in the case of this clause (b), where the failure to maintain such good standing, right, franchise, permit, license, accreditation, authorization or other approval could not reasonably be expected to result in a Material Adverse Effect.</w:t>
      </w: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825" w:right="239" w:bottom="1440" w:gutter="0" w:footer="0" w:header="0"/>
        </w:sectPr>
      </w:pPr>
    </w:p>
    <w:bookmarkStart w:id="128" w:name="page129"/>
    <w:bookmarkEnd w:id="128"/>
    <w:p>
      <w:pPr>
        <w:jc w:val="both"/>
        <w:ind w:firstLine="648"/>
        <w:spacing w:after="0" w:line="253"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u w:val="single" w:color="auto"/>
          <w:color w:val="auto"/>
        </w:rPr>
        <w:t>Maintenance of Properties</w:t>
      </w:r>
      <w:r>
        <w:rPr>
          <w:rFonts w:ascii="Arial" w:cs="Arial" w:eastAsia="Arial" w:hAnsi="Arial"/>
          <w:sz w:val="20"/>
          <w:szCs w:val="20"/>
          <w:color w:val="auto"/>
        </w:rPr>
        <w:t>. Borrower will, and will cause each of its Subsidiaries to, maintain and preserve all of its assets that are necessary or useful in the proper conduct of its business in good working order and condition, ordinary wear, tear, casualty, and condemnation and Permitted Dispositions excepted.</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Borrower will, and will cause each of its Subsidiaries to, pay in full before delinquency or before the expiration of any extension period all material governmental assessments and taxes imposed, levied, or assessed against it, or any of its assets or in respect of any of its income, businesses, or franchises, except to the extent that the validity of such governmental assessment or tax is the subject of a Permitted Protest.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Borrower will, and will cause each of its Subsidiaries to, at Borrower’s expense, (a) maintain insurance respecting each of Borrower’s and its Subsidiaries’ assets wherever located, covering liabilities, losses or damages as are customarily insured against by other Persons engaged in same or similar businesses and similarly situated and located. All such policies of insurance shall be with financially sound and reputable insurance companies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 in effect as of the Restatement Closing Date are acceptable to Agent). All property insurance policies covering the Collateral are to be made payable to Agent for the benefit of Agent and the Lenders, as their interests may appear, in case of loss, pursuant to a standard loss payable endorsement with a standard non contributory “lender” or “secured party” clause and are to contain such other provisions as Agent may reasonably require to fully protect the Lenders’ interest in the Collateral and to any payments to be made under such policies. All certificates of property and general liability insurance are to be delivered to Agent, with the loss payable (but only in respect of Collateral) and additional insured endorsements in favor of Agent. If Borrower or its Subsidiaries fail to maintain such insurance, Agent may arrange for such insurance, but at Borrower’s expense and without any responsibility on Agent’s part for obtaining the insurance, the solvency of the insurance companies, the adequacy of the coverage, or the collection of claims. Borrower shall give Agent prompt notice of any loss exceeding $750,000 covered by its or its Subsidiaries’ casualty or business interruption insurance.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7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6"/>
          <w:szCs w:val="16"/>
          <w:b w:val="1"/>
          <w:bCs w:val="1"/>
          <w:u w:val="single" w:color="auto"/>
          <w:color w:val="auto"/>
        </w:rPr>
        <w:t>Inspection</w:t>
      </w:r>
      <w:r>
        <w:rPr>
          <w:rFonts w:ascii="Arial" w:cs="Arial" w:eastAsia="Arial" w:hAnsi="Arial"/>
          <w:sz w:val="16"/>
          <w:szCs w:val="16"/>
          <w:color w:val="auto"/>
        </w:rPr>
        <w:t>.</w:t>
      </w:r>
    </w:p>
    <w:p>
      <w:pPr>
        <w:spacing w:after="0" w:line="235" w:lineRule="exact"/>
        <w:rPr>
          <w:sz w:val="20"/>
          <w:szCs w:val="20"/>
          <w:color w:val="auto"/>
        </w:rPr>
      </w:pPr>
    </w:p>
    <w:p>
      <w:pPr>
        <w:jc w:val="both"/>
        <w:ind w:firstLine="1305"/>
        <w:spacing w:after="0" w:line="272" w:lineRule="auto"/>
        <w:tabs>
          <w:tab w:leader="none" w:pos="216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Borrower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(provided an authorized representative of Borrower shall be allowed to be present) at such reasonable times and intervals as Agent or any Lender, as applicable, may designate and, so long as no Default or Event of Default has occurred and is continuing, with reasonable prior notice to Borrower and during regular business hours.</w:t>
      </w:r>
    </w:p>
    <w:p>
      <w:pPr>
        <w:spacing w:after="0" w:line="200" w:lineRule="exact"/>
        <w:rPr>
          <w:sz w:val="20"/>
          <w:szCs w:val="20"/>
          <w:color w:val="auto"/>
        </w:rPr>
      </w:pPr>
    </w:p>
    <w:p>
      <w:pPr>
        <w:spacing w:after="0" w:line="221"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819" w:right="239" w:bottom="1440" w:gutter="0" w:footer="0" w:header="0"/>
        </w:sectPr>
      </w:pPr>
    </w:p>
    <w:bookmarkStart w:id="129" w:name="page130"/>
    <w:bookmarkEnd w:id="129"/>
    <w:p>
      <w:pPr>
        <w:ind w:right="20" w:firstLine="1305"/>
        <w:spacing w:after="0" w:line="289" w:lineRule="auto"/>
        <w:tabs>
          <w:tab w:leader="none" w:pos="217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Borrower will, and will cause each of its Subsidiaries to, permit Agent and each of its duly authorized representatives or agents to conduct appraisals and valuations at such reasonable times and intervals as Agent may designate.</w:t>
      </w:r>
    </w:p>
    <w:p>
      <w:pPr>
        <w:spacing w:after="0" w:line="156"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Borrower will, and will cause each of its Subsidiaries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w:t>
      </w:r>
    </w:p>
    <w:p>
      <w:pPr>
        <w:spacing w:after="0" w:line="15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 Borrower will, and will cause each of its Subsidiaries to,</w:t>
      </w:r>
    </w:p>
    <w:p>
      <w:pPr>
        <w:spacing w:after="0" w:line="222" w:lineRule="exact"/>
        <w:rPr>
          <w:sz w:val="20"/>
          <w:szCs w:val="20"/>
          <w:color w:val="auto"/>
        </w:rPr>
      </w:pPr>
    </w:p>
    <w:p>
      <w:pPr>
        <w:ind w:firstLine="1305"/>
        <w:spacing w:after="0" w:line="260" w:lineRule="auto"/>
        <w:tabs>
          <w:tab w:leader="none" w:pos="177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Keep any property either owned or operated by Borrower or its Subsidiaries free of any Environmental Liens or post bonds or other financial assurances sufficient to satisfy the obligations or liability evidenced by such Environmental Liens,</w:t>
      </w:r>
    </w:p>
    <w:p>
      <w:pPr>
        <w:spacing w:after="0" w:line="176" w:lineRule="exact"/>
        <w:rPr>
          <w:rFonts w:ascii="Arial" w:cs="Arial" w:eastAsia="Arial" w:hAnsi="Arial"/>
          <w:sz w:val="20"/>
          <w:szCs w:val="20"/>
          <w:color w:val="auto"/>
        </w:rPr>
      </w:pPr>
    </w:p>
    <w:p>
      <w:pPr>
        <w:ind w:firstLine="1305"/>
        <w:spacing w:after="0" w:line="260" w:lineRule="auto"/>
        <w:tabs>
          <w:tab w:leader="none" w:pos="180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Comply, in all material respects, with Environmental Laws and provide to Agent documentation of such compliance which Agent reasonably requests,</w:t>
      </w:r>
    </w:p>
    <w:p>
      <w:pPr>
        <w:spacing w:after="0" w:line="176" w:lineRule="exact"/>
        <w:rPr>
          <w:rFonts w:ascii="Arial" w:cs="Arial" w:eastAsia="Arial" w:hAnsi="Arial"/>
          <w:sz w:val="20"/>
          <w:szCs w:val="20"/>
          <w:color w:val="auto"/>
        </w:rPr>
      </w:pPr>
    </w:p>
    <w:p>
      <w:pPr>
        <w:jc w:val="both"/>
        <w:ind w:firstLine="1305"/>
        <w:spacing w:after="0" w:line="269" w:lineRule="auto"/>
        <w:tabs>
          <w:tab w:leader="none" w:pos="180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Promptly notify Agent of any release of which Borrower has knowledge of a Hazardous Material in any reportable quantity from or onto property owned or operated by Borrower or its Subsidiaries and take any Remedial Actions required to abate said release or otherwise to come into compliance, in all material respects, with applicable Environmental Law, and</w:t>
      </w:r>
    </w:p>
    <w:p>
      <w:pPr>
        <w:spacing w:after="0" w:line="170" w:lineRule="exact"/>
        <w:rPr>
          <w:rFonts w:ascii="Arial" w:cs="Arial" w:eastAsia="Arial" w:hAnsi="Arial"/>
          <w:sz w:val="19"/>
          <w:szCs w:val="19"/>
          <w:color w:val="auto"/>
        </w:rPr>
      </w:pPr>
    </w:p>
    <w:p>
      <w:pPr>
        <w:jc w:val="both"/>
        <w:ind w:firstLine="1305"/>
        <w:spacing w:after="0" w:line="282" w:lineRule="auto"/>
        <w:tabs>
          <w:tab w:leader="none" w:pos="173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but in any event within 5 Business Days of its receipt thereof, provide Agent with written notice of any of the following: (i) notice that an Environmental Lien has been filed against any of the real or personal property of Borrower or its Subsidiaries, (ii) commencement of any Environmental Action or written notice that an Environmental Action will be filed against Borrower or its Subsidiaries, and (iii) written notice of a material violation, citation, or other administrative order from a Governmental Authority.</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b w:val="1"/>
          <w:bCs w:val="1"/>
          <w:u w:val="single" w:color="auto"/>
          <w:color w:val="auto"/>
        </w:rPr>
        <w:t>Disclosure Updates</w:t>
      </w:r>
      <w:r>
        <w:rPr>
          <w:rFonts w:ascii="Arial" w:cs="Arial" w:eastAsia="Arial" w:hAnsi="Arial"/>
          <w:sz w:val="19"/>
          <w:szCs w:val="19"/>
          <w:color w:val="auto"/>
        </w:rPr>
        <w:t>. Borrower will promptly, and in no event later than 5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b w:val="1"/>
          <w:bCs w:val="1"/>
          <w:u w:val="single" w:color="auto"/>
          <w:color w:val="auto"/>
        </w:rPr>
        <w:t>Formation of Subsidiaries</w:t>
      </w:r>
      <w:r>
        <w:rPr>
          <w:rFonts w:ascii="Arial" w:cs="Arial" w:eastAsia="Arial" w:hAnsi="Arial"/>
          <w:sz w:val="19"/>
          <w:szCs w:val="19"/>
          <w:color w:val="auto"/>
        </w:rPr>
        <w:t>. Borrower will, at the time that any Loan Party forms any direct or indirect Subsidiary or acquires any direct or indirect Subsidiary after the Restatement Closing Date, within 15 days of such formation or acquisition (or such later date as permitted by Agent in its sole discretion) (a) cause such new Subsidiary to provide to Agent a joinder to the Guaranty and Security Agreement, together with such other security agreements (including mortgages with respect to any Real Property owned in fee of such new Subsidiary with a fair market value greater than $1,000,000), as well as appropriate financing statements (and with respect to all property subject to a mortgage, fixture filings), all in form and substance reasonably satisfactory to Agent (including being sufficient to grant Agent a first priority Lien (subject to Permitted Liens) in and to the assets of such newly formed or acquired Subsidiary); provided, that the joinder to the Guaranty and Security Agreement, and such other security agreements shall not be required to be provided to Agent with respect to any Foreign Subsidiary or Excluded Domestic Subsidiary, (b) provide, or</w:t>
      </w:r>
    </w:p>
    <w:p>
      <w:pPr>
        <w:spacing w:after="0" w:line="200" w:lineRule="exact"/>
        <w:rPr>
          <w:sz w:val="20"/>
          <w:szCs w:val="20"/>
          <w:color w:val="auto"/>
        </w:rPr>
      </w:pPr>
    </w:p>
    <w:p>
      <w:pPr>
        <w:spacing w:after="0" w:line="226"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839" w:right="239" w:bottom="1440" w:gutter="0" w:footer="0" w:header="0"/>
        </w:sectPr>
      </w:pPr>
    </w:p>
    <w:bookmarkStart w:id="130" w:name="page131"/>
    <w:bookmarkEnd w:id="130"/>
    <w:p>
      <w:pPr>
        <w:jc w:val="both"/>
        <w:spacing w:after="0" w:line="256" w:lineRule="auto"/>
        <w:rPr>
          <w:sz w:val="20"/>
          <w:szCs w:val="20"/>
          <w:color w:val="auto"/>
        </w:rPr>
      </w:pPr>
      <w:r>
        <w:rPr>
          <w:rFonts w:ascii="Arial" w:cs="Arial" w:eastAsia="Arial" w:hAnsi="Arial"/>
          <w:sz w:val="19"/>
          <w:szCs w:val="19"/>
          <w:color w:val="auto"/>
        </w:rPr>
        <w:t>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provided, that only 65% of the total outstanding voting Equity Interests of any first tier Foreign Subsidiary or Excluded Domestic Subsidiary (and none of the Equity Interests of any Subsidiary of such Foreign Subsidiary or Excluded Domestic Subsidiary) shall be required to be pledged, and (c) provide to Agent all other documentation, including, if requested, one or more opinions of counsel reasonably satisfactory to Agent, which, in its opinion, is appropriate with respect to the execution and delivery of the applicable documentation referred to above (including policies of title insurance or other documentation with respect to all Real Property owned in fee and subject to a mortgage). Any document, agreement, or instrument executed or issued pursuant to this Section 5.11 shall constitute a Loan Document.</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Borrower will, and will cause each of the other Loan Parties to, at any time upon the reasonable request of Agent, execute or deliver to Agent any and all financing statements, fixture filings, security agreements, pledges, assignments (other than intellectual property assignments), mortgages, deeds of trust, opinions of counsel, and all other documents (the “Additional Documents”) that Agent may reasonably request in form and substance reasonably satisfactory to Agent, to create, perfect, and continue perfected or to better perfect Agent’s Liens in all of the assets of Loan Parties (whether now owned or hereafter arising or acquired, tangible or intangible, real or personal) to the extent that such assets constitute Collateral, to create and perfect Liens in favor of Agent in any Real Property acquired by Borrower or any other Loan Party with a fair market value in excess of $1,000,000, and in order to fully consummate all of the transactions contemplated hereby and under the other Loan Documents; provided that the foregoing shall not apply to any Foreign Subsidiary. To the maximum extent permitted by applicable law, if Borrower or any other Loan Party refuses or fails to execute or deliver any reasonably requested Additional Documents within a reasonable period of time following the request to do so,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each Loan Party, including all of the outstanding capital Equity Interests of Borrower’s Subsidiaries (subject to exceptions and limitations contained in the Loan Documents with respect to Foreign Subsidiaries).</w:t>
      </w:r>
    </w:p>
    <w:p>
      <w:pPr>
        <w:spacing w:after="0" w:line="1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5.13 </w:t>
      </w:r>
      <w:r>
        <w:rPr>
          <w:rFonts w:ascii="Arial" w:cs="Arial" w:eastAsia="Arial" w:hAnsi="Arial"/>
          <w:sz w:val="20"/>
          <w:szCs w:val="20"/>
          <w:b w:val="1"/>
          <w:bCs w:val="1"/>
          <w:u w:val="single" w:color="auto"/>
          <w:color w:val="auto"/>
        </w:rPr>
        <w:t>Lender Meetings</w:t>
      </w:r>
      <w:r>
        <w:rPr>
          <w:rFonts w:ascii="Arial" w:cs="Arial" w:eastAsia="Arial" w:hAnsi="Arial"/>
          <w:sz w:val="20"/>
          <w:szCs w:val="20"/>
          <w:color w:val="auto"/>
        </w:rPr>
        <w:t>. Borrower will, within 90 days after the close of each fiscal year of Borrower, at the request of Agent or of the Required Lenders and upon reasonable prior notice, hold a meeting (at a mutually agreeable location and time or, at the option of Agent in its reasonable discretion, by conference call) with all Lenders who choose to attend such meeting at which meeting shall be reviewed the financial results of the previous fiscal year and the financial condition of Borrower and its Subsidiaries and the projections presented for the current fiscal year of Borrower.</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u w:val="single" w:color="auto"/>
          <w:color w:val="auto"/>
        </w:rPr>
        <w:t>Compliance with ERISA and the IRC</w:t>
      </w:r>
      <w:r>
        <w:rPr>
          <w:rFonts w:ascii="Arial" w:cs="Arial" w:eastAsia="Arial" w:hAnsi="Arial"/>
          <w:sz w:val="18"/>
          <w:szCs w:val="18"/>
          <w:color w:val="auto"/>
        </w:rPr>
        <w:t xml:space="preserve">. In addition to and without limiting the generality of Section 5.8, Borrower will, and will cause each of its Subsidiaries to (a) comply in all material respects with applicable provisions of ERISA and the IRC with respect to all Employee Benefit Plans, (b) without the prior written consent of Agent and the Required Lenders, not take any action or fail to take action the result of which could result in a Loan Party or ERISA Affiliate incurring a material liability to the PBGC or to a Multiemployer Plan (other than to pay contributions or premiums payable in the ordinary course), (c) not allow any facts or circumstances to exist with respect to one or more Employee Benefit Plans that, in the aggregate, reasonably could be expected to result in a Material Adverse Effect, (d) not participate in any prohibited transaction that could result in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civil penalty excise tax, fiduciary liability</w:t>
      </w:r>
    </w:p>
    <w:p>
      <w:pPr>
        <w:spacing w:after="0" w:line="200" w:lineRule="exact"/>
        <w:rPr>
          <w:sz w:val="20"/>
          <w:szCs w:val="20"/>
          <w:color w:val="auto"/>
        </w:rPr>
      </w:pPr>
    </w:p>
    <w:p>
      <w:pPr>
        <w:spacing w:after="0" w:line="212"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825" w:right="239" w:bottom="1440" w:gutter="0" w:footer="0" w:header="0"/>
        </w:sectPr>
      </w:pPr>
    </w:p>
    <w:bookmarkStart w:id="131" w:name="page132"/>
    <w:bookmarkEnd w:id="131"/>
    <w:p>
      <w:pPr>
        <w:jc w:val="both"/>
        <w:spacing w:after="0" w:line="242" w:lineRule="auto"/>
        <w:rPr>
          <w:sz w:val="20"/>
          <w:szCs w:val="20"/>
          <w:color w:val="auto"/>
        </w:rPr>
      </w:pPr>
      <w:r>
        <w:rPr>
          <w:rFonts w:ascii="Arial" w:cs="Arial" w:eastAsia="Arial" w:hAnsi="Arial"/>
          <w:sz w:val="20"/>
          <w:szCs w:val="20"/>
          <w:color w:val="auto"/>
        </w:rPr>
        <w:t>or correction obligation under ERISA or the IRC, (e) operate each Employee Benefit Plan in such a manner that will not incur any material tax liability under the IRC (including Section 4980B of the IRC), and (e) furnish to Agent upon Agent’s written request such additional information about any Employee Benefit Plan for which any Loan Party or ERISA Affiliate could reasonably expect to incur any material liability. With respect to each Pension Plan (other than a Multiemployer Plan) except as could not reasonably be expected to result in liability to the Loan Parties, the Loan Parties and the ERISA Affiliates shall (i) satisfy in full and in a timely manner, without incurring any late payment or underpayment charge or penalty and without giving rise to any Lien, all of the contribution and funding requirements of the IRC and of ERISA, and (ii) pay, or cause to be paid, to the PBGC in a timely manner, without incurring any late payment or underpayment charge or penalty, all premiums required pursuant to ERISA.</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u w:val="single" w:color="auto"/>
          <w:color w:val="auto"/>
        </w:rPr>
        <w:t>Location of Inventory</w:t>
      </w:r>
      <w:r>
        <w:rPr>
          <w:rFonts w:ascii="Arial" w:cs="Arial" w:eastAsia="Arial" w:hAnsi="Arial"/>
          <w:sz w:val="18"/>
          <w:szCs w:val="18"/>
          <w:color w:val="auto"/>
        </w:rPr>
        <w:t>. Borrower will, and will cause each of the other Loan Parties to keep (i) its and their Inventory, to the extent located within the United States, only at the Flextronics Facility and the locations identified on Schedule 4.24 of the Disclosure Letter, in each case subject to a bailee agreement in form and substance satisfactory to Agent; provided that Borrower and the other Loan Parties may keep up to $50,000 of Inventory in the aggregate at any time at other locations located within the United States; provided further that up to $3,000,000 of Inventory may be transferred by Borrower to an international Flextronics location or to an Expeditors International Pty Ltd. location for the sale of such Inventory by a Subsidiary of Borrower organized outside of the United States in the ordinary course of business and (ii) its and their chief executive offices only at the locations identified on Schedule 7 of the Guaranty and Security Agreement; provided, that Borrower may amend Schedule 4.24 of the Disclosure Letter or Schedule 7 of the Guaranty and Security Agreement so long as such amendment occurs by written notice to Agent not less than 15 days prior to the date on which such Inventory is moved to such new location or such chief executive office is relocated and so long as such new location is within the continental United States and such chief executive office is relocated within the continental United States; provided further that Borrower may maintain (A) (i) test equipment, (ii) up to $3,000,000 at any one time of raw materials and (iii) other Equipment, in each case in transit from Borrower’s suppliers to the Flextronics Facility and (B) test equipment and other Equipment disposed of in accordance with clause (p) of the definition of Permitted Dispositions and re-acquired in accordance with clause (s) of the definition of “Permitted Investments”, at any Flextronics facility in the People’s Republic of China.</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u w:val="single" w:color="auto"/>
          <w:color w:val="auto"/>
        </w:rPr>
        <w:t>Cash Dominion</w:t>
      </w:r>
      <w:r>
        <w:rPr>
          <w:rFonts w:ascii="Arial" w:cs="Arial" w:eastAsia="Arial" w:hAnsi="Arial"/>
          <w:sz w:val="18"/>
          <w:szCs w:val="18"/>
          <w:color w:val="auto"/>
        </w:rPr>
        <w:t>. Borrower shall cause or direct all cash and other amounts deposited into any Deposit Account (other than the Excluded Accounts) of Borrower or any other Loan Party to be transferred no less frequently than once per each Business Day to an account of Agent maintained with Wells Fargo that complies with the requirements of Section 7(k) of the Guaranty and Security Agreement (the “Collection Account”), and shall continue to cause any such cash or other amounts to be so transferred on at least a daily basis. If, at any time, Availability is less than or equal to the greater of (x) $12,500,000 and (y) 16.67% of the Maximum Revolver Amount (a “Dominion Triggering Event”), Agent shall have sole dominion and control of the Collection Account and shall be entitled pursuant to Section 2.4(e)(ii) at its option to apply all amounts received into the Collection Account against the Obligations on a daily basis in accordance with the applicable provisions of Section 2.4(b). Such sole dominion and control and such right of Agent to elect to apply amounts received into the Collection Account against the Obligations shall continue until such time as (x) Borrower has maintained Availability of more than the greater of (i) $12,500,000 and (ii) 16.67% of the Maximum Revolver Amount, for 30 consecutive days, (y) no Default or Event of Default has occurred and is continuing, and (z) no additional Dominion Triggering Event is reasonably expected to occur on or immediately after such time.</w:t>
      </w:r>
    </w:p>
    <w:p>
      <w:pPr>
        <w:spacing w:after="0" w:line="171"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spacing w:after="0" w:line="26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825"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0"/>
          <w:szCs w:val="20"/>
          <w:color w:val="auto"/>
        </w:rPr>
        <w:t>Borrower covenants and agrees that, until termination of all of the Commitments and payment in full of the Obligations:</w:t>
      </w:r>
    </w:p>
    <w:p>
      <w:pPr>
        <w:spacing w:after="0" w:line="21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Borrower will not, and will not permit any of its Subsidiaries to create, incur, assume, suffer to exist, guarantee, or otherwise become or remain, directly or indirectly, liable with respect to any Indebtedness, except for Permitted Indebtedness.</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 Borrower will not, and will not permit any of its Subsidiaries to create, incur, assume, or suffer to exist, directly or indirectly, any Lien on or with respect to any of its assets, of any kind, including, without limitation, intellectual property, whether now owned or hereafter acquired, or any income or profits therefrom, except for Permitted Liens.</w:t>
      </w:r>
    </w:p>
    <w:p>
      <w:pPr>
        <w:spacing w:after="0" w:line="17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b w:val="1"/>
          <w:bCs w:val="1"/>
          <w:u w:val="single" w:color="auto"/>
          <w:color w:val="auto"/>
        </w:rPr>
        <w:t>Restrictions on Fundamental Changes</w:t>
      </w:r>
      <w:r>
        <w:rPr>
          <w:rFonts w:ascii="Arial" w:cs="Arial" w:eastAsia="Arial" w:hAnsi="Arial"/>
          <w:sz w:val="18"/>
          <w:szCs w:val="18"/>
          <w:color w:val="auto"/>
        </w:rPr>
        <w:t>. Borrower will not, and will not permit any of its Subsidiaries to,</w:t>
      </w:r>
    </w:p>
    <w:p>
      <w:pPr>
        <w:spacing w:after="0" w:line="222" w:lineRule="exact"/>
        <w:rPr>
          <w:sz w:val="20"/>
          <w:szCs w:val="20"/>
          <w:color w:val="auto"/>
        </w:rPr>
      </w:pPr>
    </w:p>
    <w:p>
      <w:pPr>
        <w:jc w:val="both"/>
        <w:ind w:firstLine="1305"/>
        <w:spacing w:after="0" w:line="244" w:lineRule="auto"/>
        <w:tabs>
          <w:tab w:leader="none" w:pos="180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Other than in order to consummate a Permitted Acquisition, enter into any merger, consolidation, reorganization, or recapitalization, or reclassify its Equity Interests, except for (i) any merger between Loan Parties, </w:t>
      </w:r>
      <w:r>
        <w:rPr>
          <w:rFonts w:ascii="Arial" w:cs="Arial" w:eastAsia="Arial" w:hAnsi="Arial"/>
          <w:sz w:val="20"/>
          <w:szCs w:val="20"/>
          <w:u w:val="single" w:color="auto"/>
          <w:color w:val="auto"/>
        </w:rPr>
        <w:t>provided</w:t>
      </w:r>
      <w:r>
        <w:rPr>
          <w:rFonts w:ascii="Arial" w:cs="Arial" w:eastAsia="Arial" w:hAnsi="Arial"/>
          <w:sz w:val="20"/>
          <w:szCs w:val="20"/>
          <w:color w:val="auto"/>
        </w:rPr>
        <w:t>, that Borrower must be the surviving entity of any such merger to which it is a party, (ii) any merger between a Loan Party and a Subsidiary of such Loan Party that is not a Loan Party so long as such Loan Party is the surviving entity of any such merger, and (iii) any merger between Subsidiaries of Borrower that are not Loan Parties,</w:t>
      </w:r>
    </w:p>
    <w:p>
      <w:pPr>
        <w:spacing w:after="0" w:line="194" w:lineRule="exact"/>
        <w:rPr>
          <w:rFonts w:ascii="Arial" w:cs="Arial" w:eastAsia="Arial" w:hAnsi="Arial"/>
          <w:sz w:val="20"/>
          <w:szCs w:val="20"/>
          <w:color w:val="auto"/>
        </w:rPr>
      </w:pPr>
    </w:p>
    <w:p>
      <w:pPr>
        <w:jc w:val="both"/>
        <w:ind w:firstLine="1305"/>
        <w:spacing w:after="0" w:line="258" w:lineRule="auto"/>
        <w:tabs>
          <w:tab w:leader="none" w:pos="173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liquidate, wind up, or dissolve itself (or suffer any liquidation or dissolution), except for (i) the liquidation or dissolution of non-operating Subsidiaries of Borrower with nominal assets and nominal liabilities, (ii) the liquidation or dissolution of a Loan Party (other than Borrower) or any of its wholly-owned Subsidiaries so long as all of the assets (including any interest in any Equity Interests) of such liquidating or dissolving Loan Party or Subsidiary are transferred to a Loan Party that is not liquidating or dissolving, or (iii) the liquidation or dissolution of a Subsidiary of Borrower that is not a Loan Party (other than any such Subsidiary the Equity Interests of which (or any portion thereof) is subject to a Lien in favor of Agent) so long as all of the assets of such liquidating or dissolving Subsidiary are transferred to a Subsidiary of Borrower that is not liquidating or dissolving, or</w:t>
      </w:r>
    </w:p>
    <w:p>
      <w:pPr>
        <w:spacing w:after="0" w:line="179" w:lineRule="exact"/>
        <w:rPr>
          <w:rFonts w:ascii="Arial" w:cs="Arial" w:eastAsia="Arial" w:hAnsi="Arial"/>
          <w:sz w:val="19"/>
          <w:szCs w:val="19"/>
          <w:color w:val="auto"/>
        </w:rPr>
      </w:pPr>
    </w:p>
    <w:p>
      <w:pPr>
        <w:ind w:firstLine="1305"/>
        <w:spacing w:after="0" w:line="260" w:lineRule="auto"/>
        <w:tabs>
          <w:tab w:leader="none" w:pos="17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suspend or cease operating a substantial portion of its or their business, except as permitted pursuant to clauses (a) or (b) above or in connection with a transaction permitted under </w:t>
      </w:r>
      <w:r>
        <w:rPr>
          <w:rFonts w:ascii="Arial" w:cs="Arial" w:eastAsia="Arial" w:hAnsi="Arial"/>
          <w:sz w:val="20"/>
          <w:szCs w:val="20"/>
          <w:u w:val="single" w:color="auto"/>
          <w:color w:val="auto"/>
        </w:rPr>
        <w:t>Section 6.4</w:t>
      </w:r>
      <w:r>
        <w:rPr>
          <w:rFonts w:ascii="Arial" w:cs="Arial" w:eastAsia="Arial" w:hAnsi="Arial"/>
          <w:sz w:val="20"/>
          <w:szCs w:val="20"/>
          <w:color w:val="auto"/>
        </w:rPr>
        <w: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u w:val="single" w:color="auto"/>
          <w:color w:val="auto"/>
        </w:rPr>
        <w:t>Disposal of Assets</w:t>
      </w:r>
      <w:r>
        <w:rPr>
          <w:rFonts w:ascii="Arial" w:cs="Arial" w:eastAsia="Arial" w:hAnsi="Arial"/>
          <w:sz w:val="19"/>
          <w:szCs w:val="19"/>
          <w:color w:val="auto"/>
        </w:rPr>
        <w:t>. Other than Permitted Dispositions or transactions expressly permitted by Sections 6.3, 6.7 or 6.9, Borrower will not, and will not permit any of its Subsidiaries to convey, sell, lease, license, assign, transfer, or otherwise dispose of (or enter into an agreement to convey, sell, lease, license, assign, transfer, or otherwise dispose of) any of its or their assets.</w:t>
      </w:r>
    </w:p>
    <w:p>
      <w:pPr>
        <w:spacing w:after="0" w:line="15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b w:val="1"/>
          <w:bCs w:val="1"/>
          <w:u w:val="single" w:color="auto"/>
          <w:color w:val="auto"/>
        </w:rPr>
        <w:t>Nature of Business</w:t>
      </w:r>
      <w:r>
        <w:rPr>
          <w:rFonts w:ascii="Arial" w:cs="Arial" w:eastAsia="Arial" w:hAnsi="Arial"/>
          <w:sz w:val="20"/>
          <w:szCs w:val="20"/>
          <w:color w:val="auto"/>
        </w:rPr>
        <w:t>. Borrower will not, and will not permit any of its Subsidiaries to make any change in the nature of its or their business as described in Schedule 6.5 of the Disclosure Letter or acquire any properties or assets that are not reasonably related to the conduct of such business activities; provided, that the foregoing shall not prevent Borrower and its Subsidiaries from (a) engaging in any business that is reasonably related or ancillary to its or their business or (b) discontinuing any line of business if in the reasonable business and commercial judgment of the officers of Borrower, it is no longer desirable to be engaged in such business, and if such discontinuation does not adversely affect the Lenders in any material respect.</w:t>
      </w: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825" w:right="239" w:bottom="1440" w:gutter="0" w:footer="0" w:header="0"/>
        </w:sectPr>
      </w:pPr>
    </w:p>
    <w:bookmarkStart w:id="133" w:name="page134"/>
    <w:bookmarkEnd w:id="133"/>
    <w:p>
      <w:pPr>
        <w:ind w:left="660"/>
        <w:spacing w:after="0"/>
        <w:tabs>
          <w:tab w:leader="none" w:pos="106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8"/>
          <w:szCs w:val="18"/>
          <w:b w:val="1"/>
          <w:bCs w:val="1"/>
          <w:u w:val="single" w:color="auto"/>
          <w:color w:val="auto"/>
        </w:rPr>
        <w:t>Prepayments and Amendments</w:t>
      </w:r>
      <w:r>
        <w:rPr>
          <w:rFonts w:ascii="Arial" w:cs="Arial" w:eastAsia="Arial" w:hAnsi="Arial"/>
          <w:sz w:val="18"/>
          <w:szCs w:val="18"/>
          <w:color w:val="auto"/>
        </w:rPr>
        <w:t>. Borrower will not, and will not permit any of its Subsidiaries to,</w:t>
      </w:r>
    </w:p>
    <w:p>
      <w:pPr>
        <w:spacing w:after="0" w:line="222" w:lineRule="exact"/>
        <w:rPr>
          <w:sz w:val="20"/>
          <w:szCs w:val="20"/>
          <w:color w:val="auto"/>
        </w:rPr>
      </w:pPr>
    </w:p>
    <w:p>
      <w:pPr>
        <w:ind w:left="1700" w:hanging="395"/>
        <w:spacing w:after="0"/>
        <w:tabs>
          <w:tab w:leader="none" w:pos="17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Except in connection with Refinancing Indebtedness permitted by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953"/>
        <w:spacing w:after="0" w:line="287" w:lineRule="auto"/>
        <w:tabs>
          <w:tab w:leader="none" w:pos="2528" w:val="left"/>
        </w:tabs>
        <w:numPr>
          <w:ilvl w:val="1"/>
          <w:numId w:val="116"/>
        </w:numPr>
        <w:rPr>
          <w:rFonts w:ascii="Arial" w:cs="Arial" w:eastAsia="Arial" w:hAnsi="Arial"/>
          <w:sz w:val="19"/>
          <w:szCs w:val="19"/>
          <w:color w:val="auto"/>
        </w:rPr>
      </w:pPr>
      <w:r>
        <w:rPr>
          <w:rFonts w:ascii="Arial" w:cs="Arial" w:eastAsia="Arial" w:hAnsi="Arial"/>
          <w:sz w:val="19"/>
          <w:szCs w:val="19"/>
          <w:color w:val="auto"/>
        </w:rPr>
        <w:t>optionally prepay, redeem, defease, purchase, or otherwise acquire any Indebtedness of Borrower or its Subsidiaries, other than (A) the Obligations in accordance with this Agreement, and (B) Permitted Intercompany Advances, or</w:t>
      </w:r>
    </w:p>
    <w:p>
      <w:pPr>
        <w:spacing w:after="0" w:line="152" w:lineRule="exact"/>
        <w:rPr>
          <w:rFonts w:ascii="Arial" w:cs="Arial" w:eastAsia="Arial" w:hAnsi="Arial"/>
          <w:sz w:val="19"/>
          <w:szCs w:val="19"/>
          <w:color w:val="auto"/>
        </w:rPr>
      </w:pPr>
    </w:p>
    <w:p>
      <w:pPr>
        <w:ind w:firstLine="1953"/>
        <w:spacing w:after="0" w:line="260" w:lineRule="auto"/>
        <w:tabs>
          <w:tab w:leader="none" w:pos="236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Directly or indirectly, amend, modify, or change any of the terms or provisions of</w:t>
      </w:r>
    </w:p>
    <w:p>
      <w:pPr>
        <w:spacing w:after="0" w:line="215" w:lineRule="exact"/>
        <w:rPr>
          <w:rFonts w:ascii="Arial" w:cs="Arial" w:eastAsia="Arial" w:hAnsi="Arial"/>
          <w:sz w:val="20"/>
          <w:szCs w:val="20"/>
          <w:color w:val="auto"/>
        </w:rPr>
      </w:pPr>
    </w:p>
    <w:p>
      <w:pPr>
        <w:jc w:val="both"/>
        <w:ind w:firstLine="1953"/>
        <w:spacing w:after="0" w:line="263" w:lineRule="auto"/>
        <w:tabs>
          <w:tab w:leader="none" w:pos="258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any agreement, instrument, document, indenture, or other writing evidencing or concerning Permitted Indebtedness other than (A) the Obligations in accordance with this Agreement, (B) Permitted Intercompany Advances, and (C) Indebtedness permitted under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the definition of Permitted Indebtedness, if the effect thereof, either individually or in the aggregate, could reasonably be expected to be materially adverse to the interests of the Lenders, or</w:t>
      </w:r>
    </w:p>
    <w:p>
      <w:pPr>
        <w:spacing w:after="0" w:line="176" w:lineRule="exact"/>
        <w:rPr>
          <w:rFonts w:ascii="Arial" w:cs="Arial" w:eastAsia="Arial" w:hAnsi="Arial"/>
          <w:sz w:val="19"/>
          <w:szCs w:val="19"/>
          <w:color w:val="auto"/>
        </w:rPr>
      </w:pPr>
    </w:p>
    <w:p>
      <w:pPr>
        <w:ind w:firstLine="1953"/>
        <w:spacing w:after="0" w:line="260" w:lineRule="auto"/>
        <w:tabs>
          <w:tab w:leader="none" w:pos="238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Governing Documents of any Loan Party or any of its Subsidiaries if the effect thereof, either individually or in the aggregate, could reasonably be expected to be materially adverse to the interests of the Lenders.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b w:val="1"/>
          <w:bCs w:val="1"/>
          <w:u w:val="single" w:color="auto"/>
          <w:color w:val="auto"/>
        </w:rPr>
        <w:t>Restricted Payments</w:t>
      </w:r>
      <w:r>
        <w:rPr>
          <w:rFonts w:ascii="Arial" w:cs="Arial" w:eastAsia="Arial" w:hAnsi="Arial"/>
          <w:sz w:val="20"/>
          <w:szCs w:val="20"/>
          <w:color w:val="auto"/>
        </w:rPr>
        <w:t>. Borrower will not, and will not permit any of its Subsidiaries to make any Restricted Payment; provided, that, so long as it is permitted by law, and so long as no Default or Event of Default shall have occurred and be continuing or would result therefrom,</w:t>
      </w:r>
    </w:p>
    <w:p>
      <w:pPr>
        <w:spacing w:after="0" w:line="184" w:lineRule="exact"/>
        <w:rPr>
          <w:sz w:val="20"/>
          <w:szCs w:val="20"/>
          <w:color w:val="auto"/>
        </w:rPr>
      </w:pPr>
    </w:p>
    <w:p>
      <w:pPr>
        <w:jc w:val="both"/>
        <w:ind w:firstLine="1305"/>
        <w:spacing w:after="0" w:line="282" w:lineRule="auto"/>
        <w:tabs>
          <w:tab w:leader="none" w:pos="16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Borrower may make distributions to employees, former employees, officers, former officers, directors, or former directors of Borrower (or any spouses, ex-spouses, or estates of any of the foregoing) on account of redemptions of Equity Interests of Borrower held by such Persons,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amount of such redemptions made by Borrower during the term of this Agreement plus the amount of Indebtedness outstanding under clause (l) of the definition of Permitted Indebtedness, does not exceed $250,000 in any fiscal year,</w:t>
      </w:r>
    </w:p>
    <w:p>
      <w:pPr>
        <w:spacing w:after="0" w:line="161" w:lineRule="exact"/>
        <w:rPr>
          <w:rFonts w:ascii="Arial" w:cs="Arial" w:eastAsia="Arial" w:hAnsi="Arial"/>
          <w:sz w:val="18"/>
          <w:szCs w:val="18"/>
          <w:color w:val="auto"/>
        </w:rPr>
      </w:pPr>
    </w:p>
    <w:p>
      <w:pPr>
        <w:jc w:val="both"/>
        <w:ind w:firstLine="1305"/>
        <w:spacing w:after="0" w:line="246" w:lineRule="auto"/>
        <w:tabs>
          <w:tab w:leader="none" w:pos="172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Borrower may make distributions to former employees, officers, or directors of Borrower (or any spouses, ex-spouses, or estates of any of the foregoing), solely in the form of forgiveness of Indebtedness of such Persons owing to Borrower on account of repurchases of the Equity Interests of Borrower held by such Persons;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was incurred by such Persons solely to acquire Equity Interests of Borrower,</w:t>
      </w:r>
    </w:p>
    <w:p>
      <w:pPr>
        <w:spacing w:after="0" w:line="191" w:lineRule="exact"/>
        <w:rPr>
          <w:rFonts w:ascii="Arial" w:cs="Arial" w:eastAsia="Arial" w:hAnsi="Arial"/>
          <w:sz w:val="20"/>
          <w:szCs w:val="20"/>
          <w:color w:val="auto"/>
        </w:rPr>
      </w:pPr>
    </w:p>
    <w:p>
      <w:pPr>
        <w:jc w:val="both"/>
        <w:ind w:firstLine="1305"/>
        <w:spacing w:after="0" w:line="269" w:lineRule="auto"/>
        <w:tabs>
          <w:tab w:leader="none" w:pos="16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 each Loan Party and each Subsidiary may make Restricted Payments to any Loan Party, (ii) any Subsidiary that is not a Loan Party may make any Restricted Payment to any other Subsidiary that is not a Loan Party, and (iii) any non-wholly owned Subsidiary may make a Restricted Payment ratably to all Persons that own an Equity Interest in such non-wholly owned Subsidiary,</w:t>
      </w:r>
    </w:p>
    <w:p>
      <w:pPr>
        <w:spacing w:after="0" w:line="170" w:lineRule="exact"/>
        <w:rPr>
          <w:rFonts w:ascii="Arial" w:cs="Arial" w:eastAsia="Arial" w:hAnsi="Arial"/>
          <w:sz w:val="19"/>
          <w:szCs w:val="19"/>
          <w:color w:val="auto"/>
        </w:rPr>
      </w:pPr>
    </w:p>
    <w:p>
      <w:pPr>
        <w:ind w:right="20" w:firstLine="1305"/>
        <w:spacing w:after="0" w:line="260" w:lineRule="auto"/>
        <w:tabs>
          <w:tab w:leader="none" w:pos="178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Borrower and any of its Subsidiaries may make payment of cash in lieu of the issuance of fractional shares upon (x) exercise of options or warrants, or (y) the conversion or exchange of such Person’s Equity Interests,</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819" w:right="239" w:bottom="1440" w:gutter="0" w:footer="0" w:header="0"/>
        </w:sectPr>
      </w:pPr>
    </w:p>
    <w:bookmarkStart w:id="134" w:name="page135"/>
    <w:bookmarkEnd w:id="134"/>
    <w:p>
      <w:pPr>
        <w:ind w:firstLine="1305"/>
        <w:spacing w:after="0" w:line="260" w:lineRule="auto"/>
        <w:tabs>
          <w:tab w:leader="none" w:pos="173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each Loan Party and each Subsidiary may declare and make Restricted Payments payable in the Equity Interests of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that the issuance of such Equity Interests does not result in a Change of Control,</w:t>
      </w:r>
    </w:p>
    <w:p>
      <w:pPr>
        <w:spacing w:after="0" w:line="177" w:lineRule="exact"/>
        <w:rPr>
          <w:sz w:val="20"/>
          <w:szCs w:val="20"/>
          <w:color w:val="auto"/>
        </w:rPr>
      </w:pPr>
    </w:p>
    <w:p>
      <w:pPr>
        <w:jc w:val="both"/>
        <w:ind w:firstLine="1305"/>
        <w:spacing w:after="0" w:line="244" w:lineRule="auto"/>
        <w:tabs>
          <w:tab w:leader="none" w:pos="171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so long as it constitutes a non-cash transaction, Borrower may make repurchases of Equity Interests deemed to occur (i) upon the exercise of stock options to the extent such Equity Interests represent a portion of the exercise price of those stock options, and (ii) upon the withholding of a portion of the Equity Interests granted or awarded to an employee, former employee, officer, former officer, consultant, director, or former director of Borrower (or any spouse, ex-spouse, or estate of any of the foregoing) payable by such Person upon such grant or award (or vesting thereof), and</w:t>
      </w:r>
    </w:p>
    <w:p>
      <w:pPr>
        <w:spacing w:after="0" w:line="194" w:lineRule="exact"/>
        <w:rPr>
          <w:rFonts w:ascii="Arial" w:cs="Arial" w:eastAsia="Arial" w:hAnsi="Arial"/>
          <w:sz w:val="20"/>
          <w:szCs w:val="20"/>
          <w:color w:val="auto"/>
        </w:rPr>
      </w:pPr>
    </w:p>
    <w:p>
      <w:pPr>
        <w:ind w:firstLine="1305"/>
        <w:spacing w:after="0" w:line="260" w:lineRule="auto"/>
        <w:tabs>
          <w:tab w:leader="none" w:pos="178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Borrower and its Subsidiaries may make scheduled payments with respect to Subordinated Indebtedness to the extent permitted by the subordination or intercreditor agreement relating to such Subordinated Indebtedness.</w:t>
      </w:r>
    </w:p>
    <w:p>
      <w:pPr>
        <w:spacing w:after="0" w:line="17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 xml:space="preserve">6.8 </w:t>
      </w:r>
      <w:r>
        <w:rPr>
          <w:rFonts w:ascii="Arial" w:cs="Arial" w:eastAsia="Arial" w:hAnsi="Arial"/>
          <w:sz w:val="20"/>
          <w:szCs w:val="20"/>
          <w:b w:val="1"/>
          <w:bCs w:val="1"/>
          <w:u w:val="single" w:color="auto"/>
          <w:color w:val="auto"/>
        </w:rPr>
        <w:t>Accounting Methods</w:t>
      </w:r>
      <w:r>
        <w:rPr>
          <w:rFonts w:ascii="Arial" w:cs="Arial" w:eastAsia="Arial" w:hAnsi="Arial"/>
          <w:sz w:val="20"/>
          <w:szCs w:val="20"/>
          <w:color w:val="auto"/>
        </w:rPr>
        <w:t>. Borrower will not, and will not permit any Loan Party to modify or change its fiscal year or its method of accounting (other than as may be required to conform to GAAP).</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Borrower will not, and will not permit any of its Subsidiaries to, directly or indirectly, make or acquire any Investment or incur any liabilities (including contingent obligations) for or in connection with any Investment except for Permitted Investments.</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6.10 </w:t>
      </w:r>
      <w:r>
        <w:rPr>
          <w:rFonts w:ascii="Arial" w:cs="Arial" w:eastAsia="Arial" w:hAnsi="Arial"/>
          <w:sz w:val="20"/>
          <w:szCs w:val="20"/>
          <w:b w:val="1"/>
          <w:bCs w:val="1"/>
          <w:u w:val="single" w:color="auto"/>
          <w:color w:val="auto"/>
        </w:rPr>
        <w:t>Transactions with Affiliates</w:t>
      </w:r>
      <w:r>
        <w:rPr>
          <w:rFonts w:ascii="Arial" w:cs="Arial" w:eastAsia="Arial" w:hAnsi="Arial"/>
          <w:sz w:val="20"/>
          <w:szCs w:val="20"/>
          <w:color w:val="auto"/>
        </w:rPr>
        <w:t>. Borrower will not, and will not permit any of its Subsidiaries to, directly or indirectly, enter into or permit to exist any transaction with any Affiliate of Borrower or any of its Subsidiaries except for:</w:t>
      </w:r>
    </w:p>
    <w:p>
      <w:pPr>
        <w:spacing w:after="0" w:line="170" w:lineRule="exact"/>
        <w:rPr>
          <w:sz w:val="20"/>
          <w:szCs w:val="20"/>
          <w:color w:val="auto"/>
        </w:rPr>
      </w:pPr>
    </w:p>
    <w:p>
      <w:pPr>
        <w:jc w:val="both"/>
        <w:ind w:firstLine="1305"/>
        <w:spacing w:after="0" w:line="260" w:lineRule="auto"/>
        <w:tabs>
          <w:tab w:leader="none" w:pos="175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transactions (other than the payment of management, consulting, monitoring, or advisory fees) between Borrower or its Subsidiaries, on the one hand, and any Affiliate of Borrower or its Subsidiaries, on the other hand, so long as such transactions (i) are fully disclosed to Agent prior to the consummation thereof, if they involve one or more payments by Borrower or its Subsidiaries in excess of $500,000 for any single transaction or series of related transactions, and (ii) are no less favorable, taken as a whole, to Borrower or its Subsidiaries, as applicable, than would be obtained in an arm’s length transaction with a non-Affiliate,</w:t>
      </w:r>
    </w:p>
    <w:p>
      <w:pPr>
        <w:spacing w:after="0" w:line="180" w:lineRule="exact"/>
        <w:rPr>
          <w:rFonts w:ascii="Arial" w:cs="Arial" w:eastAsia="Arial" w:hAnsi="Arial"/>
          <w:sz w:val="19"/>
          <w:szCs w:val="19"/>
          <w:color w:val="auto"/>
        </w:rPr>
      </w:pPr>
    </w:p>
    <w:p>
      <w:pPr>
        <w:jc w:val="both"/>
        <w:ind w:firstLine="1305"/>
        <w:spacing w:after="0" w:line="250" w:lineRule="auto"/>
        <w:tabs>
          <w:tab w:leader="none" w:pos="172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so long as it has been approved by Borrower’s or its applicable Subsidiary’s board of directors (or comparable governing body) in accordance with applicable law, any indemnity provided for the benefit of directors (or comparable managers) of Borrower or its applicable Subsidiary,</w:t>
      </w:r>
    </w:p>
    <w:p>
      <w:pPr>
        <w:spacing w:after="0" w:line="186" w:lineRule="exact"/>
        <w:rPr>
          <w:rFonts w:ascii="Arial" w:cs="Arial" w:eastAsia="Arial" w:hAnsi="Arial"/>
          <w:sz w:val="20"/>
          <w:szCs w:val="20"/>
          <w:color w:val="auto"/>
        </w:rPr>
      </w:pPr>
    </w:p>
    <w:p>
      <w:pPr>
        <w:jc w:val="both"/>
        <w:ind w:firstLine="1305"/>
        <w:spacing w:after="0" w:line="342" w:lineRule="auto"/>
        <w:tabs>
          <w:tab w:leader="none" w:pos="171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so long as it has been approved by Borrower’s or its applicable Subsidiary’s board of directors (or comparable governing body) in accordance with applicable law, the payment of reasonable compensation, severance, or employee benefit arrangements to employees, officers, and outside directors of Borrower and its Subsidiaries in the ordinary course of business and consistent with industry practice,</w:t>
      </w:r>
    </w:p>
    <w:p>
      <w:pPr>
        <w:spacing w:after="0" w:line="118" w:lineRule="exact"/>
        <w:rPr>
          <w:rFonts w:ascii="Arial" w:cs="Arial" w:eastAsia="Arial" w:hAnsi="Arial"/>
          <w:sz w:val="16"/>
          <w:szCs w:val="16"/>
          <w:color w:val="auto"/>
        </w:rPr>
      </w:pPr>
    </w:p>
    <w:p>
      <w:pPr>
        <w:ind w:left="1720" w:hanging="415"/>
        <w:spacing w:after="0"/>
        <w:tabs>
          <w:tab w:leader="none" w:pos="1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t>
      </w:r>
      <w:r>
        <w:rPr>
          <w:rFonts w:ascii="Arial" w:cs="Arial" w:eastAsia="Arial" w:hAnsi="Arial"/>
          <w:sz w:val="20"/>
          <w:szCs w:val="20"/>
          <w:u w:val="single" w:color="auto"/>
          <w:color w:val="auto"/>
        </w:rPr>
        <w:t>6.7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6.9</w:t>
      </w:r>
      <w:r>
        <w:rPr>
          <w:rFonts w:ascii="Arial" w:cs="Arial" w:eastAsia="Arial" w:hAnsi="Arial"/>
          <w:sz w:val="20"/>
          <w:szCs w:val="20"/>
          <w:color w:val="auto"/>
        </w:rPr>
        <w:t>, or any Permitted Intercompany Advance,</w:t>
      </w:r>
    </w:p>
    <w:p>
      <w:pPr>
        <w:spacing w:after="0" w:line="215" w:lineRule="exact"/>
        <w:rPr>
          <w:rFonts w:ascii="Arial" w:cs="Arial" w:eastAsia="Arial" w:hAnsi="Arial"/>
          <w:sz w:val="20"/>
          <w:szCs w:val="20"/>
          <w:color w:val="auto"/>
        </w:rPr>
      </w:pPr>
    </w:p>
    <w:p>
      <w:pPr>
        <w:ind w:firstLine="1305"/>
        <w:spacing w:after="0" w:line="260" w:lineRule="auto"/>
        <w:tabs>
          <w:tab w:leader="none" w:pos="192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employment agreements, employee benefit plans, officer or director indemnification agreements or any similar arrangements entered into by any Loan Party or any of its Subsidiaries in the ordinary course of business,</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825" w:right="239" w:bottom="1440" w:gutter="0" w:footer="0" w:header="0"/>
        </w:sectPr>
      </w:pPr>
    </w:p>
    <w:bookmarkStart w:id="135" w:name="page136"/>
    <w:bookmarkEnd w:id="135"/>
    <w:p>
      <w:pPr>
        <w:jc w:val="both"/>
        <w:ind w:firstLine="1305"/>
        <w:spacing w:after="0" w:line="250" w:lineRule="auto"/>
        <w:tabs>
          <w:tab w:leader="none" w:pos="167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payment of reasonable and customary fees and the reimbursement of expenses (pursuant to indemnity arrangements or otherwise) or other compensation (in cash or otherwise) of officers, directors, employees or consultants of any Loan Party or any of its Subsidiaries, and</w:t>
      </w:r>
    </w:p>
    <w:p>
      <w:pPr>
        <w:spacing w:after="0" w:line="186" w:lineRule="exact"/>
        <w:rPr>
          <w:rFonts w:ascii="Arial" w:cs="Arial" w:eastAsia="Arial" w:hAnsi="Arial"/>
          <w:sz w:val="20"/>
          <w:szCs w:val="20"/>
          <w:color w:val="auto"/>
        </w:rPr>
      </w:pPr>
    </w:p>
    <w:p>
      <w:pPr>
        <w:ind w:firstLine="1305"/>
        <w:spacing w:after="0" w:line="260" w:lineRule="auto"/>
        <w:tabs>
          <w:tab w:leader="none" w:pos="182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payment of accounts payable, receipt of accounts receivable and the resulting transfer of goods and services in connection therewith among the Borrower and its Foreign Subsidiaries in the ordinary course of business.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b w:val="1"/>
          <w:bCs w:val="1"/>
          <w:u w:val="single" w:color="auto"/>
          <w:color w:val="auto"/>
        </w:rPr>
        <w:t>Use of Proceeds</w:t>
      </w:r>
      <w:r>
        <w:rPr>
          <w:rFonts w:ascii="Arial" w:cs="Arial" w:eastAsia="Arial" w:hAnsi="Arial"/>
          <w:sz w:val="19"/>
          <w:szCs w:val="19"/>
          <w:color w:val="auto"/>
        </w:rPr>
        <w:t>. Borrower will not, and will not permit any of its Subsidiaries to use the proceeds of any loan made hereunder for any purpose other than (a) on the Restatement Closing Date, to pay the fees, costs, and expenses incurred in connection with this Agreement, the other Loan Documents, and the transactions contemplated hereby and thereby, and (b) thereafter, consistent with the terms and conditions hereof, for their lawful and permitted purposes (including that no part of the proceeds of the loans made to Borrower will be used to purchase or carry any such Margin Stock or to extend credit to others for the purpose of purchasing or carrying any such Margin Stock or for any purpose that violates the provisions of Regulation T, U or X of the Board of Governors).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b w:val="1"/>
          <w:bCs w:val="1"/>
          <w:u w:val="single" w:color="auto"/>
          <w:color w:val="auto"/>
        </w:rPr>
        <w:t>Limitation on Issuance of Equity Interests</w:t>
      </w:r>
      <w:r>
        <w:rPr>
          <w:rFonts w:ascii="Arial" w:cs="Arial" w:eastAsia="Arial" w:hAnsi="Arial"/>
          <w:sz w:val="20"/>
          <w:szCs w:val="20"/>
          <w:color w:val="auto"/>
        </w:rPr>
        <w:t>. Except for the issuance or sale of Qualified Equity Interests by Borrower, Borrower will not, and will not permit any of its Subsidiaries to issue or sell or enter into any agreement or arrangement for the issuance or sale of any of its Equity Interests.</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6.14 </w:t>
      </w: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 Borrower shall not maintain, contribute to or permit to exist any “defined benefit plan” (as defined under ERISA).</w:t>
      </w:r>
    </w:p>
    <w:p>
      <w:pPr>
        <w:spacing w:after="0" w:line="164"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COVENANTS.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Borrower covenants and agrees that, until termination of all of the Commitments and payment in full of the Obligations, Borrower will cause the Loan Parties, on a consolidated basis, to maintain Liquidity in an amount equal to at least $15,000,000, which shall include Availability in an amount equal to at least 10% of the Maximum Revolver Amount. Borrower may, at its option upon 10 Business Days prior written notice to Agent, elect to convert its financial covenant test to maintaining a minimum Fixed Charge Coverage Ratio equal to or greater than 1.1:1.0 tested on the last calendar day of each month (commencing with the last day of the most recent monthly period for which financial statements have been delivered hereunder prior to such notice (for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the “</w:t>
      </w:r>
      <w:r>
        <w:rPr>
          <w:rFonts w:ascii="Arial" w:cs="Arial" w:eastAsia="Arial" w:hAnsi="Arial"/>
          <w:sz w:val="18"/>
          <w:szCs w:val="18"/>
          <w:u w:val="single" w:color="auto"/>
          <w:color w:val="auto"/>
        </w:rPr>
        <w:t>Measurement Date</w:t>
      </w:r>
      <w:r>
        <w:rPr>
          <w:rFonts w:ascii="Arial" w:cs="Arial" w:eastAsia="Arial" w:hAnsi="Arial"/>
          <w:sz w:val="18"/>
          <w:szCs w:val="18"/>
          <w:color w:val="auto"/>
        </w:rPr>
        <w:t>”)) so long as: (a) Borrower has demonstrated to Agent in a Compliance Certificate (which shall be a supplemental Compliance Certificate if Borrower was not previously required to report its Fixed Charge Coverage Ratio in the Compliance Certificate for the Measurement Date) that it has maintained a Fixed Charge Coverage Ratio, measured as of the Measurement Date for the trailing 12 months, greater than or equal to 1.1:1.0, and (b) no Event of Default has occurred and is continuing. After Borrower so elects, Borrower will be subject to the minimum Fixed Charge Coverage Ratio for the remainder of the term of this Agreement and cannot elect to switch back to the minimum Liquidity covenant in lieu thereof.</w:t>
      </w:r>
    </w:p>
    <w:p>
      <w:pPr>
        <w:spacing w:after="0" w:line="165"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9"/>
          <w:szCs w:val="19"/>
          <w:color w:val="auto"/>
        </w:rPr>
        <w:t>Any one or more of the following events shall constitute an event of default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under this Agreement:</w:t>
      </w:r>
    </w:p>
    <w:p>
      <w:pPr>
        <w:spacing w:after="0" w:line="200" w:lineRule="exact"/>
        <w:rPr>
          <w:sz w:val="20"/>
          <w:szCs w:val="20"/>
          <w:color w:val="auto"/>
        </w:rPr>
      </w:pPr>
    </w:p>
    <w:p>
      <w:pPr>
        <w:spacing w:after="0" w:line="27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825" w:right="239" w:bottom="1440" w:gutter="0" w:footer="0" w:header="0"/>
        </w:sectPr>
      </w:pPr>
    </w:p>
    <w:bookmarkStart w:id="136" w:name="page137"/>
    <w:bookmarkEnd w:id="136"/>
    <w:p>
      <w:pPr>
        <w:jc w:val="both"/>
        <w:ind w:firstLine="648"/>
        <w:spacing w:after="0" w:line="245"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u w:val="single" w:color="auto"/>
          <w:color w:val="auto"/>
        </w:rPr>
        <w:t>Payments</w:t>
      </w:r>
      <w:r>
        <w:rPr>
          <w:rFonts w:ascii="Arial" w:cs="Arial" w:eastAsia="Arial" w:hAnsi="Arial"/>
          <w:sz w:val="20"/>
          <w:szCs w:val="20"/>
          <w:color w:val="auto"/>
        </w:rPr>
        <w:t>. If Borrower fails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3 Business Days, (b) all or any portion of the principal of the Loans, or (c) any amount payable to Issuing Bank in reimbursement of any drawing under a Letter of Credit;</w:t>
      </w:r>
    </w:p>
    <w:p>
      <w:pPr>
        <w:spacing w:after="0" w:line="18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b w:val="1"/>
          <w:bCs w:val="1"/>
          <w:u w:val="single" w:color="auto"/>
          <w:color w:val="auto"/>
        </w:rPr>
        <w:t>Covenants</w:t>
      </w:r>
      <w:r>
        <w:rPr>
          <w:rFonts w:ascii="Arial" w:cs="Arial" w:eastAsia="Arial" w:hAnsi="Arial"/>
          <w:sz w:val="18"/>
          <w:szCs w:val="18"/>
          <w:color w:val="auto"/>
        </w:rPr>
        <w:t>. If any Loan Party or any of its Subsidiaries:</w:t>
      </w:r>
    </w:p>
    <w:p>
      <w:pPr>
        <w:spacing w:after="0" w:line="222" w:lineRule="exact"/>
        <w:rPr>
          <w:sz w:val="20"/>
          <w:szCs w:val="20"/>
          <w:color w:val="auto"/>
        </w:rPr>
      </w:pPr>
    </w:p>
    <w:p>
      <w:pPr>
        <w:jc w:val="both"/>
        <w:ind w:firstLine="1305"/>
        <w:spacing w:after="0" w:line="260" w:lineRule="auto"/>
        <w:tabs>
          <w:tab w:leader="none" w:pos="175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fails to perform or observe any covenant or other agreement contained in any of (i) </w:t>
      </w:r>
      <w:r>
        <w:rPr>
          <w:rFonts w:ascii="Arial" w:cs="Arial" w:eastAsia="Arial" w:hAnsi="Arial"/>
          <w:sz w:val="19"/>
          <w:szCs w:val="19"/>
          <w:u w:val="single" w:color="auto"/>
          <w:color w:val="auto"/>
        </w:rPr>
        <w:t>Sections 3.6</w:t>
      </w:r>
      <w:r>
        <w:rPr>
          <w:rFonts w:ascii="Arial" w:cs="Arial" w:eastAsia="Arial" w:hAnsi="Arial"/>
          <w:sz w:val="19"/>
          <w:szCs w:val="19"/>
          <w:color w:val="auto"/>
        </w:rPr>
        <w:t xml:space="preserve">, </w:t>
      </w:r>
      <w:r>
        <w:rPr>
          <w:rFonts w:ascii="Arial" w:cs="Arial" w:eastAsia="Arial" w:hAnsi="Arial"/>
          <w:sz w:val="19"/>
          <w:szCs w:val="19"/>
          <w:u w:val="single" w:color="auto"/>
          <w:color w:val="auto"/>
        </w:rPr>
        <w:t>5.1</w:t>
      </w:r>
      <w:r>
        <w:rPr>
          <w:rFonts w:ascii="Arial" w:cs="Arial" w:eastAsia="Arial" w:hAnsi="Arial"/>
          <w:sz w:val="19"/>
          <w:szCs w:val="19"/>
          <w:color w:val="auto"/>
        </w:rPr>
        <w:t xml:space="preserve">,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(solely if Borrower is not in good standing in its jurisdiction of organization),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w:t>
      </w:r>
      <w:r>
        <w:rPr>
          <w:rFonts w:ascii="Arial" w:cs="Arial" w:eastAsia="Arial" w:hAnsi="Arial"/>
          <w:sz w:val="19"/>
          <w:szCs w:val="19"/>
          <w:u w:val="single" w:color="auto"/>
          <w:color w:val="auto"/>
        </w:rPr>
        <w:t>5.7</w:t>
      </w:r>
      <w:r>
        <w:rPr>
          <w:rFonts w:ascii="Arial" w:cs="Arial" w:eastAsia="Arial" w:hAnsi="Arial"/>
          <w:sz w:val="19"/>
          <w:szCs w:val="19"/>
          <w:color w:val="auto"/>
        </w:rPr>
        <w:t xml:space="preserve"> (solely if Borrower refuses to allow Agent or its representatives or agents to visit Borrower’s properties, inspect its assets or books or records, examine and make copies of its books and records, or discuss Borrower’s affairs, finances, and accounts with officers and employees of Borrower), </w:t>
      </w:r>
      <w:r>
        <w:rPr>
          <w:rFonts w:ascii="Arial" w:cs="Arial" w:eastAsia="Arial" w:hAnsi="Arial"/>
          <w:sz w:val="19"/>
          <w:szCs w:val="19"/>
          <w:u w:val="single" w:color="auto"/>
          <w:color w:val="auto"/>
        </w:rPr>
        <w:t>5.15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5.16</w:t>
      </w:r>
      <w:r>
        <w:rPr>
          <w:rFonts w:ascii="Arial" w:cs="Arial" w:eastAsia="Arial" w:hAnsi="Arial"/>
          <w:sz w:val="19"/>
          <w:szCs w:val="19"/>
          <w:color w:val="auto"/>
        </w:rPr>
        <w:t xml:space="preserve"> of this Agreement, (ii)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this Agreement, (iii)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this Agreement, or (iv)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the Guaranty and Security Agreement;</w:t>
      </w:r>
    </w:p>
    <w:p>
      <w:pPr>
        <w:spacing w:after="0" w:line="180" w:lineRule="exact"/>
        <w:rPr>
          <w:rFonts w:ascii="Arial" w:cs="Arial" w:eastAsia="Arial" w:hAnsi="Arial"/>
          <w:sz w:val="19"/>
          <w:szCs w:val="19"/>
          <w:color w:val="auto"/>
        </w:rPr>
      </w:pPr>
    </w:p>
    <w:p>
      <w:pPr>
        <w:jc w:val="both"/>
        <w:ind w:firstLine="1305"/>
        <w:spacing w:after="0" w:line="246" w:lineRule="auto"/>
        <w:tabs>
          <w:tab w:leader="none" w:pos="174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fails to perform or observe any covenant or other agreement contained in any of </w:t>
      </w:r>
      <w:r>
        <w:rPr>
          <w:rFonts w:ascii="Arial" w:cs="Arial" w:eastAsia="Arial" w:hAnsi="Arial"/>
          <w:sz w:val="20"/>
          <w:szCs w:val="20"/>
          <w:u w:val="single" w:color="auto"/>
          <w:color w:val="auto"/>
        </w:rPr>
        <w:t>Sections 5.3</w:t>
      </w:r>
      <w:r>
        <w:rPr>
          <w:rFonts w:ascii="Arial" w:cs="Arial" w:eastAsia="Arial" w:hAnsi="Arial"/>
          <w:sz w:val="20"/>
          <w:szCs w:val="20"/>
          <w:color w:val="auto"/>
        </w:rPr>
        <w:t xml:space="preserve"> (other than if Borrower is not in good standing in its jurisdiction of organization), </w:t>
      </w:r>
      <w:r>
        <w:rPr>
          <w:rFonts w:ascii="Arial" w:cs="Arial" w:eastAsia="Arial" w:hAnsi="Arial"/>
          <w:sz w:val="20"/>
          <w:szCs w:val="20"/>
          <w:u w:val="single" w:color="auto"/>
          <w:color w:val="auto"/>
        </w:rPr>
        <w:t>5.4</w:t>
      </w:r>
      <w:r>
        <w:rPr>
          <w:rFonts w:ascii="Arial" w:cs="Arial" w:eastAsia="Arial" w:hAnsi="Arial"/>
          <w:sz w:val="20"/>
          <w:szCs w:val="20"/>
          <w:color w:val="auto"/>
        </w:rPr>
        <w:t xml:space="preserve">, </w:t>
      </w:r>
      <w:r>
        <w:rPr>
          <w:rFonts w:ascii="Arial" w:cs="Arial" w:eastAsia="Arial" w:hAnsi="Arial"/>
          <w:sz w:val="20"/>
          <w:szCs w:val="20"/>
          <w:u w:val="single" w:color="auto"/>
          <w:color w:val="auto"/>
        </w:rPr>
        <w:t>5.5</w:t>
      </w:r>
      <w:r>
        <w:rPr>
          <w:rFonts w:ascii="Arial" w:cs="Arial" w:eastAsia="Arial" w:hAnsi="Arial"/>
          <w:sz w:val="20"/>
          <w:szCs w:val="20"/>
          <w:color w:val="auto"/>
        </w:rPr>
        <w:t xml:space="preserve">, </w:t>
      </w:r>
      <w:r>
        <w:rPr>
          <w:rFonts w:ascii="Arial" w:cs="Arial" w:eastAsia="Arial" w:hAnsi="Arial"/>
          <w:sz w:val="20"/>
          <w:szCs w:val="20"/>
          <w:u w:val="single" w:color="auto"/>
          <w:color w:val="auto"/>
        </w:rPr>
        <w:t>5.8</w:t>
      </w:r>
      <w:r>
        <w:rPr>
          <w:rFonts w:ascii="Arial" w:cs="Arial" w:eastAsia="Arial" w:hAnsi="Arial"/>
          <w:sz w:val="20"/>
          <w:szCs w:val="20"/>
          <w:color w:val="auto"/>
        </w:rPr>
        <w:t xml:space="preserve">, </w:t>
      </w:r>
      <w:r>
        <w:rPr>
          <w:rFonts w:ascii="Arial" w:cs="Arial" w:eastAsia="Arial" w:hAnsi="Arial"/>
          <w:sz w:val="20"/>
          <w:szCs w:val="20"/>
          <w:u w:val="single" w:color="auto"/>
          <w:color w:val="auto"/>
        </w:rPr>
        <w:t>5.10</w:t>
      </w:r>
      <w:r>
        <w:rPr>
          <w:rFonts w:ascii="Arial" w:cs="Arial" w:eastAsia="Arial" w:hAnsi="Arial"/>
          <w:sz w:val="20"/>
          <w:szCs w:val="20"/>
          <w:color w:val="auto"/>
        </w:rPr>
        <w:t xml:space="preserve">, </w:t>
      </w:r>
      <w:r>
        <w:rPr>
          <w:rFonts w:ascii="Arial" w:cs="Arial" w:eastAsia="Arial" w:hAnsi="Arial"/>
          <w:sz w:val="20"/>
          <w:szCs w:val="20"/>
          <w:u w:val="single" w:color="auto"/>
          <w:color w:val="auto"/>
        </w:rPr>
        <w:t>5.11</w:t>
      </w:r>
      <w:r>
        <w:rPr>
          <w:rFonts w:ascii="Arial" w:cs="Arial" w:eastAsia="Arial" w:hAnsi="Arial"/>
          <w:sz w:val="20"/>
          <w:szCs w:val="20"/>
          <w:color w:val="auto"/>
        </w:rPr>
        <w:t xml:space="preserve">, </w:t>
      </w:r>
      <w:r>
        <w:rPr>
          <w:rFonts w:ascii="Arial" w:cs="Arial" w:eastAsia="Arial" w:hAnsi="Arial"/>
          <w:sz w:val="20"/>
          <w:szCs w:val="20"/>
          <w:u w:val="single" w:color="auto"/>
          <w:color w:val="auto"/>
        </w:rPr>
        <w:t>5.12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5.13</w:t>
      </w:r>
      <w:r>
        <w:rPr>
          <w:rFonts w:ascii="Arial" w:cs="Arial" w:eastAsia="Arial" w:hAnsi="Arial"/>
          <w:sz w:val="20"/>
          <w:szCs w:val="20"/>
          <w:color w:val="auto"/>
        </w:rPr>
        <w:t xml:space="preserve"> of this Agreement and such failure continues for a period of 10 days after the earlier of (i) the date on which such failure shall first become known to any officer of Borrower or (ii) the date on which written notice thereof is given to Borrower by Agent; or</w:t>
      </w:r>
    </w:p>
    <w:p>
      <w:pPr>
        <w:spacing w:after="0" w:line="191" w:lineRule="exact"/>
        <w:rPr>
          <w:rFonts w:ascii="Arial" w:cs="Arial" w:eastAsia="Arial" w:hAnsi="Arial"/>
          <w:sz w:val="20"/>
          <w:szCs w:val="20"/>
          <w:color w:val="auto"/>
        </w:rPr>
      </w:pPr>
    </w:p>
    <w:p>
      <w:pPr>
        <w:jc w:val="both"/>
        <w:ind w:firstLine="1305"/>
        <w:spacing w:after="0" w:line="282" w:lineRule="auto"/>
        <w:tabs>
          <w:tab w:leader="none" w:pos="17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which event such other provision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govern), and such failure continues for a period of 30 days after the earlier of (i) the date on which such failure shall first become known to any officer of Borrower or (ii) the date on which written notice thereof is given to Borrower by Agent;</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u w:val="single" w:color="auto"/>
          <w:color w:val="auto"/>
        </w:rPr>
        <w:t>Judgments</w:t>
      </w:r>
      <w:r>
        <w:rPr>
          <w:rFonts w:ascii="Arial" w:cs="Arial" w:eastAsia="Arial" w:hAnsi="Arial"/>
          <w:sz w:val="19"/>
          <w:szCs w:val="19"/>
          <w:color w:val="auto"/>
        </w:rPr>
        <w:t>. If one or more judgments, orders, or awards for the payment of money involving an aggregate amount of $500,000,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15 consecutive days at any time after the entry of any such judgment, order, or award during which (1) the same is not discharged, satisfied, vacated, or bonded pending appeal, or (2) a stay of enforcement thereof is not in effect, or (b) enforcement proceedings are commenced upon such judgment, order, or award;</w:t>
      </w:r>
    </w:p>
    <w:p>
      <w:pPr>
        <w:spacing w:after="0" w:line="17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b w:val="1"/>
          <w:bCs w:val="1"/>
          <w:u w:val="single" w:color="auto"/>
          <w:color w:val="auto"/>
        </w:rPr>
        <w:t>Voluntary Bankruptcy, etc</w:t>
      </w:r>
      <w:r>
        <w:rPr>
          <w:rFonts w:ascii="Arial" w:cs="Arial" w:eastAsia="Arial" w:hAnsi="Arial"/>
          <w:sz w:val="18"/>
          <w:szCs w:val="18"/>
          <w:color w:val="auto"/>
        </w:rPr>
        <w:t>. If an Insolvency Proceeding is commenced by a Loan Party or any of its Subsidiaries;</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u w:val="single" w:color="auto"/>
          <w:color w:val="auto"/>
        </w:rPr>
        <w:t>Involuntary Bankruptcy, etc</w:t>
      </w:r>
      <w:r>
        <w:rPr>
          <w:rFonts w:ascii="Arial" w:cs="Arial" w:eastAsia="Arial" w:hAnsi="Arial"/>
          <w:sz w:val="19"/>
          <w:szCs w:val="19"/>
          <w:color w:val="auto"/>
        </w:rPr>
        <w:t>. 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60 calendar days of the date of the filing thereof, (d) an interim trustee is appointed to take possession of all or any substantial portion of the properties or assets of, or to operate all or any</w:t>
      </w:r>
    </w:p>
    <w:p>
      <w:pPr>
        <w:spacing w:after="0" w:line="200" w:lineRule="exact"/>
        <w:rPr>
          <w:sz w:val="20"/>
          <w:szCs w:val="20"/>
          <w:color w:val="auto"/>
        </w:rPr>
      </w:pPr>
    </w:p>
    <w:p>
      <w:pPr>
        <w:spacing w:after="0" w:line="221"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819"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substantial portion of the business of, such Loan Party or its Subsidiary, or (e) an order for relief shall have been issued or entered therein;</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b w:val="1"/>
          <w:bCs w:val="1"/>
          <w:u w:val="single" w:color="auto"/>
          <w:color w:val="auto"/>
        </w:rPr>
        <w:t>Default Under Other Agreements</w:t>
      </w:r>
      <w:r>
        <w:rPr>
          <w:rFonts w:ascii="Arial" w:cs="Arial" w:eastAsia="Arial" w:hAnsi="Arial"/>
          <w:sz w:val="20"/>
          <w:szCs w:val="20"/>
          <w:color w:val="auto"/>
        </w:rPr>
        <w:t>. If (a) a default occurs in one or more agreements to which a Loan Party or any of its Subsidiaries is a party with one or more third Persons relative to a Loan Party’s or any of its Subsidiaries’ Indebtedness involving an aggregate amount of $750,000 or more, and such default results in a right by such third Person, irrespective of whether exercised, to accelerate the maturity of such Loan Party’s or its Subsidiary’s obligations thereunder, or (b) a default occurs, or an involuntary early termination of, one or more Hedge Agreements to which a Loan Party or any of its Subsidiaries is a party, that would result in an aggregate amount of $750,000 or more of Indebtedness becoming due and payable;</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u w:val="single" w:color="auto"/>
          <w:color w:val="auto"/>
        </w:rPr>
        <w:t>Representations, etc</w:t>
      </w:r>
      <w:r>
        <w:rPr>
          <w:rFonts w:ascii="Arial" w:cs="Arial" w:eastAsia="Arial" w:hAnsi="Arial"/>
          <w:sz w:val="19"/>
          <w:szCs w:val="19"/>
          <w:color w:val="auto"/>
        </w:rPr>
        <w:t>.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b w:val="1"/>
          <w:bCs w:val="1"/>
          <w:u w:val="single" w:color="auto"/>
          <w:color w:val="auto"/>
        </w:rPr>
        <w:t>Guaranty</w:t>
      </w:r>
      <w:r>
        <w:rPr>
          <w:rFonts w:ascii="Arial" w:cs="Arial" w:eastAsia="Arial" w:hAnsi="Arial"/>
          <w:sz w:val="20"/>
          <w:szCs w:val="20"/>
          <w:color w:val="auto"/>
        </w:rPr>
        <w:t>. If the obligation of any Guarantor under the guaranty contained in the Guaranty and Security Agreement is limited or terminated by operation of law or by such Guarantor (other than in accordance with the terms of this Agreement);</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b w:val="1"/>
          <w:bCs w:val="1"/>
          <w:u w:val="single" w:color="auto"/>
          <w:color w:val="auto"/>
        </w:rPr>
        <w:t>Security Documents</w:t>
      </w:r>
      <w:r>
        <w:rPr>
          <w:rFonts w:ascii="Arial" w:cs="Arial" w:eastAsia="Arial" w:hAnsi="Arial"/>
          <w:sz w:val="20"/>
          <w:szCs w:val="20"/>
          <w:color w:val="auto"/>
        </w:rPr>
        <w:t>. If the Guaranty and Security Agreement or any other Loan Document that purports to create a Lien, shall, for any reason, fail or cease to create a valid and perfected and, except to the extent of Permitted Liens which are non-consensual Permitted Liens, permitted purchase money Liens or the interests of lessors under Capital Leases, first priority Lien on the Collateral covered thereby, except (a) as a result of a disposition of the applicable Collateral in a transaction permitted under this Agreement or (b) as the result of an action or failure to act on the part of Agent;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b w:val="1"/>
          <w:bCs w:val="1"/>
          <w:u w:val="single" w:color="auto"/>
          <w:color w:val="auto"/>
        </w:rPr>
        <w:t>Loan Documents</w:t>
      </w:r>
      <w:r>
        <w:rPr>
          <w:rFonts w:ascii="Arial" w:cs="Arial" w:eastAsia="Arial" w:hAnsi="Arial"/>
          <w:sz w:val="20"/>
          <w:szCs w:val="20"/>
          <w:color w:val="auto"/>
        </w:rPr>
        <w:t>. The validity or enforceability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 or</w:t>
      </w:r>
    </w:p>
    <w:p>
      <w:pPr>
        <w:spacing w:after="0" w:line="18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A Change of Control shall occur, whether directly or indirectly.</w:t>
      </w:r>
    </w:p>
    <w:p>
      <w:pPr>
        <w:spacing w:after="0" w:line="216"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RIGHTS AND REMEDIES.</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Rights and Remedies</w:t>
      </w:r>
      <w:r>
        <w:rPr>
          <w:rFonts w:ascii="Arial" w:cs="Arial" w:eastAsia="Arial" w:hAnsi="Arial"/>
          <w:sz w:val="19"/>
          <w:szCs w:val="19"/>
          <w:color w:val="auto"/>
        </w:rPr>
        <w:t>. Upon the occurrence and during the continuation of an Event of Default, Agent may, and, at the instruction of the Required Lenders, shall (in each case under clauses (a) or (b) by written notice to Borrower), in addition to any other rights or remedies provided for hereunder or under any other Loan Document or by applicable law, do any one or more of the following:</w:t>
      </w:r>
    </w:p>
    <w:p>
      <w:pPr>
        <w:spacing w:after="0" w:line="165" w:lineRule="exact"/>
        <w:rPr>
          <w:sz w:val="20"/>
          <w:szCs w:val="20"/>
          <w:color w:val="auto"/>
        </w:rPr>
      </w:pPr>
    </w:p>
    <w:p>
      <w:pPr>
        <w:jc w:val="both"/>
        <w:ind w:firstLine="1305"/>
        <w:spacing w:after="0" w:line="246" w:lineRule="auto"/>
        <w:tabs>
          <w:tab w:leader="none" w:pos="176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 shall be obligated to repay all of</w:t>
      </w:r>
    </w:p>
    <w:p>
      <w:pPr>
        <w:spacing w:after="0" w:line="200" w:lineRule="exact"/>
        <w:rPr>
          <w:sz w:val="20"/>
          <w:szCs w:val="20"/>
          <w:color w:val="auto"/>
        </w:rPr>
      </w:pPr>
    </w:p>
    <w:p>
      <w:pPr>
        <w:spacing w:after="0" w:line="23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825" w:right="239" w:bottom="1440" w:gutter="0" w:footer="0" w:header="0"/>
        </w:sectPr>
      </w:pPr>
    </w:p>
    <w:bookmarkStart w:id="138" w:name="page139"/>
    <w:bookmarkEnd w:id="138"/>
    <w:p>
      <w:pPr>
        <w:jc w:val="both"/>
        <w:spacing w:after="0" w:line="246" w:lineRule="auto"/>
        <w:rPr>
          <w:sz w:val="20"/>
          <w:szCs w:val="20"/>
          <w:color w:val="auto"/>
        </w:rPr>
      </w:pPr>
      <w:r>
        <w:rPr>
          <w:rFonts w:ascii="Arial" w:cs="Arial" w:eastAsia="Arial" w:hAnsi="Arial"/>
          <w:sz w:val="20"/>
          <w:szCs w:val="20"/>
          <w:color w:val="auto"/>
        </w:rPr>
        <w:t>such Obligations in full, without presentment, demand, protest, or further notice or other requirements of any kind, all of which are hereby expressly waived by Borrower, and (ii) direct Borrower to provide (and Borrower agrees that upon receipt of such notice it will provide) Letter of Credit Collateralization to Agent to be held as security for Borrower’s reimbursement obligations for drawings that may subsequently occur under issued and outstanding Letters of Credit;</w:t>
      </w:r>
    </w:p>
    <w:p>
      <w:pPr>
        <w:spacing w:after="0" w:line="192" w:lineRule="exact"/>
        <w:rPr>
          <w:sz w:val="20"/>
          <w:szCs w:val="20"/>
          <w:color w:val="auto"/>
        </w:rPr>
      </w:pPr>
    </w:p>
    <w:p>
      <w:pPr>
        <w:jc w:val="both"/>
        <w:ind w:firstLine="1305"/>
        <w:spacing w:after="0" w:line="250" w:lineRule="auto"/>
        <w:tabs>
          <w:tab w:leader="none" w:pos="172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exercise all other rights and remedies available to Agent or the Lenders under the Loan Documents, under applicable law,</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in equity.</w:t>
      </w:r>
    </w:p>
    <w:p>
      <w:pPr>
        <w:spacing w:after="0" w:line="21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 xml:space="preserve">The foregoing to the contrary notwithstanding, upon the occurrence of any Event of Default described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8.5</w:t>
      </w:r>
      <w:r>
        <w:rPr>
          <w:rFonts w:ascii="Arial" w:cs="Arial" w:eastAsia="Arial" w:hAnsi="Arial"/>
          <w:sz w:val="18"/>
          <w:szCs w:val="18"/>
          <w:color w:val="auto"/>
        </w:rPr>
        <w:t>, in addition to the remedies set forth above, without any notice to Borrower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 shall automatically be obligated to repay all of such Obligations in full (including Borrower being obligated to provide (and Borrower agrees that it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its Subsidiaries’ obligations in respect of outstanding Bank Products), without presentment, demand, protest, or notice or other requirements of any kind, all of are expressly waived by Borrower.</w:t>
      </w:r>
    </w:p>
    <w:p>
      <w:pPr>
        <w:spacing w:after="0" w:line="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b w:val="1"/>
          <w:bCs w:val="1"/>
          <w:u w:val="single" w:color="auto"/>
          <w:color w:val="auto"/>
        </w:rPr>
        <w:t>Remedies Cumulative</w:t>
      </w:r>
      <w:r>
        <w:rPr>
          <w:rFonts w:ascii="Arial" w:cs="Arial" w:eastAsia="Arial" w:hAnsi="Arial"/>
          <w:sz w:val="20"/>
          <w:szCs w:val="20"/>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Event of Default shall be deemed a continuing waiver. No delay by the Lender Group shall constitute a waiver, election, or acquiescence by it.</w:t>
      </w:r>
    </w:p>
    <w:p>
      <w:pPr>
        <w:spacing w:after="0" w:line="185"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WAIVERS; INDEMNIFICATION.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u w:val="single" w:color="auto"/>
          <w:color w:val="auto"/>
        </w:rPr>
        <w:t>Demand; Protest; etc</w:t>
      </w:r>
      <w:r>
        <w:rPr>
          <w:rFonts w:ascii="Arial" w:cs="Arial" w:eastAsia="Arial" w:hAnsi="Arial"/>
          <w:sz w:val="20"/>
          <w:szCs w:val="20"/>
          <w:color w:val="auto"/>
        </w:rPr>
        <w:t>.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Borrower may in any way be liable.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b w:val="1"/>
          <w:bCs w:val="1"/>
          <w:u w:val="single" w:color="auto"/>
          <w:color w:val="auto"/>
        </w:rPr>
        <w:t>The Lender Group’s Liability for Collateral</w:t>
      </w:r>
      <w:r>
        <w:rPr>
          <w:rFonts w:ascii="Arial" w:cs="Arial" w:eastAsia="Arial" w:hAnsi="Arial"/>
          <w:sz w:val="20"/>
          <w:szCs w:val="20"/>
          <w:color w:val="auto"/>
        </w:rPr>
        <w:t>. Borrower hereby agrees that: (a) so long as Agent complies with its obligations, if 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Borrower.</w:t>
      </w: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825" w:right="239" w:bottom="1440" w:gutter="0" w:footer="0" w:header="0"/>
        </w:sectPr>
      </w:pPr>
    </w:p>
    <w:bookmarkStart w:id="139" w:name="page140"/>
    <w:bookmarkEnd w:id="139"/>
    <w:p>
      <w:pPr>
        <w:jc w:val="both"/>
        <w:ind w:firstLine="648"/>
        <w:spacing w:after="0" w:line="26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xml:space="preserve">. Borrower shall pay, indemnify, defend, and hold the Agent-Related Persons, the Lender-Related Persons, and each Participant (each, an “Indemnified Person”)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(provided that Borrower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Borrower’s and its Subsidiaries’ compliance with the terms of the Loan Documents (provided,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relative to disputes between or among Agent on the one hand, and one or more Lenders, or one or more of their Affiliates, on the other hand, or (iii) any Taxes or any costs attributable to Taxes, which shall be governed by Section 16),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Borrower or any of its Subsidiaries or any Environmental Actions, Environmental Liabilities or Remedial Actions related in any way to any such assets or properties of Borrower or any of its Subsidiaries (each and all of the foregoing, the “Indemnified Liabilities”). The foregoing to the contrary notwithstanding, Borrower shall have no obligation to any Indemnified Person under this Section 10.3 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 was required to indemnify the Indemnified Person receiving such payment, the Indemnified Person making such payment is entitled to be indemnified and reimbursed by Borrower with respect thereto. </w:t>
      </w:r>
      <w:r>
        <w:rPr>
          <w:rFonts w:ascii="Arial" w:cs="Arial" w:eastAsia="Arial" w:hAnsi="Arial"/>
          <w:sz w:val="18"/>
          <w:szCs w:val="18"/>
          <w:b w:val="1"/>
          <w:bCs w:val="1"/>
          <w:color w:val="auto"/>
        </w:rPr>
        <w:t>WITHOUT LIMITATION, THE</w:t>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FOREGOING INDEMNITY SHALL APPLY TO EACH INDEMNIFIED PERSON WITH RESPECT TO INDEMNIFIED LIABILITIES WHICH IN WHOLE OR IN PART ARE CAUSED BY OR ARISE OUT OF ANY NEGLIGENT ACT OR OMISSION OF SUCH INDEMNIFIED PERSON OR OF ANY OTHER PERSON.</w:t>
      </w:r>
    </w:p>
    <w:p>
      <w:pPr>
        <w:spacing w:after="0" w:line="190"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Borrower or Agent, as the case may be, they shall be sent to the respective address set forth below:</w:t>
      </w:r>
    </w:p>
    <w:p>
      <w:pPr>
        <w:spacing w:after="0" w:line="200" w:lineRule="exact"/>
        <w:rPr>
          <w:sz w:val="20"/>
          <w:szCs w:val="20"/>
          <w:color w:val="auto"/>
        </w:rPr>
      </w:pPr>
    </w:p>
    <w:p>
      <w:pPr>
        <w:spacing w:after="0" w:line="22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819" w:right="239" w:bottom="1440" w:gutter="0" w:footer="0" w:header="0"/>
        </w:sectPr>
      </w:pPr>
    </w:p>
    <w:bookmarkStart w:id="140" w:name="page141"/>
    <w:bookmarkEnd w:id="140"/>
    <w:p>
      <w:pPr>
        <w:ind w:left="1420"/>
        <w:spacing w:after="0"/>
        <w:tabs>
          <w:tab w:leader="none" w:pos="3800" w:val="left"/>
        </w:tabs>
        <w:rPr>
          <w:sz w:val="20"/>
          <w:szCs w:val="20"/>
          <w:color w:val="auto"/>
        </w:rPr>
      </w:pPr>
      <w:r>
        <w:rPr>
          <w:rFonts w:ascii="Arial" w:cs="Arial" w:eastAsia="Arial" w:hAnsi="Arial"/>
          <w:sz w:val="20"/>
          <w:szCs w:val="20"/>
          <w:color w:val="auto"/>
        </w:rPr>
        <w:t>If to Borrower:</w:t>
      </w:r>
      <w:r>
        <w:rPr>
          <w:sz w:val="20"/>
          <w:szCs w:val="20"/>
          <w:color w:val="auto"/>
        </w:rPr>
        <w:tab/>
      </w:r>
      <w:r>
        <w:rPr>
          <w:rFonts w:ascii="Arial" w:cs="Arial" w:eastAsia="Arial" w:hAnsi="Arial"/>
          <w:sz w:val="19"/>
          <w:szCs w:val="19"/>
          <w:b w:val="1"/>
          <w:bCs w:val="1"/>
          <w:color w:val="auto"/>
        </w:rPr>
        <w:t>ENPHASE ENERGY, INC.</w:t>
      </w:r>
    </w:p>
    <w:p>
      <w:pPr>
        <w:spacing w:after="0" w:line="303"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1420 N. McDowell Blvd.</w:t>
      </w:r>
    </w:p>
    <w:p>
      <w:pPr>
        <w:spacing w:after="0" w:line="29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Petaluma, California 94954</w:t>
      </w:r>
    </w:p>
    <w:p>
      <w:pPr>
        <w:spacing w:after="0" w:line="29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Attn: Chief Financial Officer,</w:t>
      </w:r>
    </w:p>
    <w:p>
      <w:pPr>
        <w:spacing w:after="0" w:line="135"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Senior Corporate Counsel</w:t>
      </w:r>
    </w:p>
    <w:p>
      <w:pPr>
        <w:spacing w:after="0" w:line="189"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Fax No. 707-763-0748 (same for both)</w:t>
      </w:r>
    </w:p>
    <w:p>
      <w:pPr>
        <w:spacing w:after="0" w:line="200" w:lineRule="exact"/>
        <w:rPr>
          <w:sz w:val="20"/>
          <w:szCs w:val="20"/>
          <w:color w:val="auto"/>
        </w:rPr>
      </w:pPr>
    </w:p>
    <w:p>
      <w:pPr>
        <w:spacing w:after="0" w:line="388" w:lineRule="exact"/>
        <w:rPr>
          <w:sz w:val="20"/>
          <w:szCs w:val="20"/>
          <w:color w:val="auto"/>
        </w:rPr>
      </w:pPr>
    </w:p>
    <w:p>
      <w:pPr>
        <w:ind w:left="1420"/>
        <w:spacing w:after="0"/>
        <w:tabs>
          <w:tab w:leader="none" w:pos="3800" w:val="left"/>
        </w:tabs>
        <w:rPr>
          <w:sz w:val="20"/>
          <w:szCs w:val="20"/>
          <w:color w:val="auto"/>
        </w:rPr>
      </w:pPr>
      <w:r>
        <w:rPr>
          <w:rFonts w:ascii="Arial" w:cs="Arial" w:eastAsia="Arial" w:hAnsi="Arial"/>
          <w:sz w:val="20"/>
          <w:szCs w:val="20"/>
          <w:color w:val="auto"/>
        </w:rPr>
        <w:t>If to Agent:</w:t>
      </w:r>
      <w:r>
        <w:rPr>
          <w:sz w:val="20"/>
          <w:szCs w:val="20"/>
          <w:color w:val="auto"/>
        </w:rPr>
        <w:tab/>
      </w:r>
      <w:r>
        <w:rPr>
          <w:rFonts w:ascii="Arial" w:cs="Arial" w:eastAsia="Arial" w:hAnsi="Arial"/>
          <w:sz w:val="19"/>
          <w:szCs w:val="19"/>
          <w:b w:val="1"/>
          <w:bCs w:val="1"/>
          <w:color w:val="auto"/>
        </w:rPr>
        <w:t>WELLS FARGO BANK, NATIONAL</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ASSOCIATION</w:t>
      </w:r>
    </w:p>
    <w:p>
      <w:pPr>
        <w:spacing w:after="0" w:line="27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2450 Colorado Avenue, Suite 3000 West</w:t>
      </w: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Santa Monica, California 90404</w:t>
      </w:r>
    </w:p>
    <w:p>
      <w:pPr>
        <w:spacing w:after="0" w:line="300"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Attn: Business Finance Division Manager</w:t>
      </w:r>
    </w:p>
    <w:p>
      <w:pPr>
        <w:spacing w:after="0" w:line="29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Fax No.: (310) 453-7413</w:t>
      </w:r>
    </w:p>
    <w:p>
      <w:pPr>
        <w:spacing w:after="0" w:line="200" w:lineRule="exact"/>
        <w:rPr>
          <w:sz w:val="20"/>
          <w:szCs w:val="20"/>
          <w:color w:val="auto"/>
        </w:rPr>
      </w:pPr>
    </w:p>
    <w:p>
      <w:pPr>
        <w:spacing w:after="0" w:line="388" w:lineRule="exact"/>
        <w:rPr>
          <w:sz w:val="20"/>
          <w:szCs w:val="20"/>
          <w:color w:val="auto"/>
        </w:rPr>
      </w:pPr>
    </w:p>
    <w:p>
      <w:pPr>
        <w:ind w:left="1420"/>
        <w:spacing w:after="0"/>
        <w:tabs>
          <w:tab w:leader="none" w:pos="3800" w:val="left"/>
        </w:tabs>
        <w:rPr>
          <w:sz w:val="20"/>
          <w:szCs w:val="20"/>
          <w:color w:val="auto"/>
        </w:rPr>
      </w:pPr>
      <w:r>
        <w:rPr>
          <w:rFonts w:ascii="Arial" w:cs="Arial" w:eastAsia="Arial" w:hAnsi="Arial"/>
          <w:sz w:val="20"/>
          <w:szCs w:val="20"/>
          <w:color w:val="auto"/>
        </w:rPr>
        <w:t>with copies to:</w:t>
      </w:r>
      <w:r>
        <w:rPr>
          <w:sz w:val="20"/>
          <w:szCs w:val="20"/>
          <w:color w:val="auto"/>
        </w:rPr>
        <w:tab/>
      </w:r>
      <w:r>
        <w:rPr>
          <w:rFonts w:ascii="Arial" w:cs="Arial" w:eastAsia="Arial" w:hAnsi="Arial"/>
          <w:sz w:val="19"/>
          <w:szCs w:val="19"/>
          <w:b w:val="1"/>
          <w:bCs w:val="1"/>
          <w:color w:val="auto"/>
        </w:rPr>
        <w:t>BUCHALTER NEMER</w:t>
      </w:r>
    </w:p>
    <w:p>
      <w:pPr>
        <w:spacing w:after="0" w:line="297"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1000 Wilshire Boulevard, Suite 1500.</w:t>
      </w: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Los Angeles, California 90017</w:t>
      </w:r>
    </w:p>
    <w:p>
      <w:pPr>
        <w:spacing w:after="0" w:line="300"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Attn: Robert J. Davidson, Esq.</w:t>
      </w:r>
    </w:p>
    <w:p>
      <w:pPr>
        <w:spacing w:after="0" w:line="29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Fax No.: (213) 896-0400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Any party hereto may change the address at which they are to receive notices hereunder, by notice in writing in the foregoing manner given to the other party. All notices or demands sent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deemed received on the earlier of the date of actual receipt or 3 Business Days after the deposit thereof in the mail;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w:t>
      </w:r>
      <w:r>
        <w:rPr>
          <w:rFonts w:ascii="Arial" w:cs="Arial" w:eastAsia="Arial" w:hAnsi="Arial"/>
          <w:sz w:val="18"/>
          <w:szCs w:val="18"/>
          <w:u w:val="single" w:color="auto"/>
          <w:color w:val="auto"/>
        </w:rPr>
        <w:t>return receipt requested</w:t>
      </w:r>
      <w:r>
        <w:rPr>
          <w:rFonts w:ascii="Arial" w:cs="Arial" w:eastAsia="Arial" w:hAnsi="Arial"/>
          <w:sz w:val="18"/>
          <w:szCs w:val="18"/>
          <w:color w:val="auto"/>
        </w:rPr>
        <w:t>” function, as available, return email or other written acknowledgment).</w:t>
      </w:r>
    </w:p>
    <w:p>
      <w:pPr>
        <w:spacing w:after="0" w:line="163"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CHOICE OF LAW AND VENUE; JURY TRIAL WAIVER; JUDICIAL REFERENCE PROVISION.</w:t>
      </w:r>
    </w:p>
    <w:p>
      <w:pPr>
        <w:spacing w:after="0" w:line="215" w:lineRule="exact"/>
        <w:rPr>
          <w:rFonts w:ascii="Arial" w:cs="Arial" w:eastAsia="Arial" w:hAnsi="Arial"/>
          <w:sz w:val="20"/>
          <w:szCs w:val="20"/>
          <w:b w:val="1"/>
          <w:bCs w:val="1"/>
          <w:color w:val="auto"/>
        </w:rPr>
      </w:pPr>
    </w:p>
    <w:p>
      <w:pPr>
        <w:jc w:val="both"/>
        <w:ind w:firstLine="1305"/>
        <w:spacing w:after="0" w:line="246" w:lineRule="auto"/>
        <w:tabs>
          <w:tab w:leader="none" w:pos="1777" w:val="left"/>
        </w:tabs>
        <w:numPr>
          <w:ilvl w:val="1"/>
          <w:numId w:val="130"/>
        </w:numPr>
        <w:rPr>
          <w:rFonts w:ascii="Arial" w:cs="Arial" w:eastAsia="Arial" w:hAnsi="Arial"/>
          <w:sz w:val="20"/>
          <w:szCs w:val="20"/>
          <w:color w:val="auto"/>
        </w:rPr>
      </w:pPr>
      <w:r>
        <w:rPr>
          <w:rFonts w:ascii="Arial" w:cs="Arial" w:eastAsia="Arial" w:hAnsi="Arial"/>
          <w:sz w:val="20"/>
          <w:szCs w:val="20"/>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w:t>
      </w:r>
    </w:p>
    <w:p>
      <w:pPr>
        <w:sectPr>
          <w:pgSz w:w="11900" w:h="16838" w:orient="portrait"/>
          <w:cols w:equalWidth="0" w:num="1">
            <w:col w:w="11420"/>
          </w:cols>
          <w:pgMar w:left="240" w:top="98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981" w:right="239" w:bottom="1440" w:gutter="0" w:footer="0" w:header="0"/>
          <w:type w:val="continuous"/>
        </w:sectPr>
      </w:pPr>
    </w:p>
    <w:bookmarkStart w:id="141" w:name="page142"/>
    <w:bookmarkEnd w:id="141"/>
    <w:p>
      <w:pPr>
        <w:jc w:val="both"/>
        <w:spacing w:after="0" w:line="253" w:lineRule="auto"/>
        <w:rPr>
          <w:sz w:val="20"/>
          <w:szCs w:val="20"/>
          <w:color w:val="auto"/>
        </w:rPr>
      </w:pPr>
      <w:r>
        <w:rPr>
          <w:rFonts w:ascii="Arial" w:cs="Arial" w:eastAsia="Arial" w:hAnsi="Arial"/>
          <w:sz w:val="20"/>
          <w:szCs w:val="20"/>
          <w:b w:val="1"/>
          <w:bCs w:val="1"/>
          <w:color w:val="auto"/>
        </w:rPr>
        <w:t>CONTROVERSIES OR DISPUTES ARISING HEREUNDER OR THEREUNDER OR RELATED HERETO OR THERETO SHALL BE DETERMINED UNDER, GOVERNED BY, AND CONSTRUED IN ACCORDANCE WITH THE LAWS OF THE STATE OF CALIFORNIA.</w:t>
      </w:r>
    </w:p>
    <w:p>
      <w:pPr>
        <w:spacing w:after="0" w:line="178" w:lineRule="exact"/>
        <w:rPr>
          <w:sz w:val="20"/>
          <w:szCs w:val="20"/>
          <w:color w:val="auto"/>
        </w:rPr>
      </w:pPr>
    </w:p>
    <w:p>
      <w:pPr>
        <w:jc w:val="both"/>
        <w:ind w:firstLine="1305"/>
        <w:spacing w:after="0" w:line="243" w:lineRule="auto"/>
        <w:tabs>
          <w:tab w:leader="none" w:pos="1721"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COUNTY OF LOS ANGELES, STATE OF CALIFORNIA;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THAT ANY SUIT SEEKING ENFORCEMENT AGAINST ANY COLLATERAL OR OTHER PROPERTY MAY BE BROUGHT, AT AGENT’S OPTION, IN THE COURTS OF ANY JURISDICTION WHERE AGENT ELECTS TO BRING SUCH ACTION OR WHERE SUCH COLLATERAL OR OTHER PROPERTY MAY BE FOUND. BORROWER AND EACH MEMBER OF THE LENDER GROUP WAIVE, TO THE EXTENT PERMITTED UNDER APPLICABLE LAW, ANY RIGHT EACH MAY HAVE TO ASSERT THE DOCTRINE OF </w:t>
      </w:r>
      <w:r>
        <w:rPr>
          <w:rFonts w:ascii="Arial" w:cs="Arial" w:eastAsia="Arial" w:hAnsi="Arial"/>
          <w:sz w:val="20"/>
          <w:szCs w:val="20"/>
          <w:b w:val="1"/>
          <w:bCs w:val="1"/>
          <w:u w:val="single" w:color="auto"/>
          <w:color w:val="auto"/>
        </w:rPr>
        <w:t>FORUM NON CONVENIENS</w:t>
      </w:r>
      <w:r>
        <w:rPr>
          <w:rFonts w:ascii="Arial" w:cs="Arial" w:eastAsia="Arial" w:hAnsi="Arial"/>
          <w:sz w:val="20"/>
          <w:szCs w:val="20"/>
          <w:b w:val="1"/>
          <w:bCs w:val="1"/>
          <w:color w:val="auto"/>
        </w:rPr>
        <w:t xml:space="preserve"> OR TO OBJECT TO VENUE TO THE EXTENT ANY PROCEEDING IS BROUGHT IN ACCORDANCE WITH THIS </w:t>
      </w:r>
      <w:r>
        <w:rPr>
          <w:rFonts w:ascii="Arial" w:cs="Arial" w:eastAsia="Arial" w:hAnsi="Arial"/>
          <w:sz w:val="20"/>
          <w:szCs w:val="20"/>
          <w:b w:val="1"/>
          <w:bCs w:val="1"/>
          <w:u w:val="single" w:color="auto"/>
          <w:color w:val="auto"/>
        </w:rPr>
        <w:t>SECTION 12(b)</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1305"/>
        <w:spacing w:after="0" w:line="243" w:lineRule="auto"/>
        <w:tabs>
          <w:tab w:leader="none" w:pos="1750"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TO THE MAXIMUM EXTENT PERMITTED BY APPLICABLE LAW,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“CLAIM”).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6" w:lineRule="exact"/>
        <w:rPr>
          <w:rFonts w:ascii="Arial" w:cs="Arial" w:eastAsia="Arial" w:hAnsi="Arial"/>
          <w:sz w:val="20"/>
          <w:szCs w:val="20"/>
          <w:color w:val="auto"/>
        </w:rPr>
      </w:pPr>
    </w:p>
    <w:p>
      <w:pPr>
        <w:jc w:val="both"/>
        <w:ind w:firstLine="1305"/>
        <w:spacing w:after="0" w:line="243" w:lineRule="auto"/>
        <w:tabs>
          <w:tab w:leader="none" w:pos="1923"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BORROWER HEREBY IRREVOCABLY AND UNCONDITIONALLY SUBMITS TO THE EXCLUSIVE JURISDICTION OF THE STATE AND FEDERAL COURTS LOCATED IN THE COUNTY OF LOS ANGELES AND THE STATE OF CALIFORNIA,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750"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NO CLAIM MAY BE MADE BY ANY LOAN PARTY AGAINST THE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w:t>
      </w: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819" w:right="239" w:bottom="1440" w:gutter="0" w:footer="0" w:header="0"/>
        </w:sectPr>
      </w:pPr>
    </w:p>
    <w:bookmarkStart w:id="142" w:name="page143"/>
    <w:bookmarkEnd w:id="142"/>
    <w:p>
      <w:pPr>
        <w:jc w:val="both"/>
        <w:spacing w:after="0" w:line="248" w:lineRule="auto"/>
        <w:rPr>
          <w:sz w:val="20"/>
          <w:szCs w:val="20"/>
          <w:color w:val="auto"/>
        </w:rPr>
      </w:pPr>
      <w:r>
        <w:rPr>
          <w:rFonts w:ascii="Arial" w:cs="Arial" w:eastAsia="Arial" w:hAnsi="Arial"/>
          <w:sz w:val="20"/>
          <w:szCs w:val="20"/>
          <w:b w:val="1"/>
          <w:bCs w:val="1"/>
          <w:color w:val="auto"/>
        </w:rPr>
        <w:t>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84" w:lineRule="exact"/>
        <w:rPr>
          <w:sz w:val="20"/>
          <w:szCs w:val="20"/>
          <w:color w:val="auto"/>
        </w:rPr>
      </w:pPr>
    </w:p>
    <w:p>
      <w:pPr>
        <w:jc w:val="both"/>
        <w:ind w:firstLine="1305"/>
        <w:spacing w:after="0" w:line="248" w:lineRule="auto"/>
        <w:tabs>
          <w:tab w:leader="none" w:pos="1769" w:val="left"/>
        </w:tabs>
        <w:numPr>
          <w:ilvl w:val="1"/>
          <w:numId w:val="132"/>
        </w:numPr>
        <w:rPr>
          <w:rFonts w:ascii="Arial" w:cs="Arial" w:eastAsia="Arial" w:hAnsi="Arial"/>
          <w:sz w:val="20"/>
          <w:szCs w:val="20"/>
          <w:color w:val="auto"/>
        </w:rPr>
      </w:pPr>
      <w:r>
        <w:rPr>
          <w:rFonts w:ascii="Arial" w:cs="Arial" w:eastAsia="Arial" w:hAnsi="Arial"/>
          <w:sz w:val="20"/>
          <w:szCs w:val="20"/>
          <w:b w:val="1"/>
          <w:bCs w:val="1"/>
          <w:color w:val="auto"/>
        </w:rPr>
        <w:t>IN THE EVENT ANY LEGAL PROCEEDING IS FILED IN A COURT OF THE STATE OF CALIFORNIA (THE “COURT”) BY OR AGAINST ANY PARTY HERETO IN CONNECTION WITH ANY CLAIM AND THE WAIVER SET FORTH IN CLAUSE (C) ABOVE IS NOT ENFORCEABLE IN SUCH PROCEEDING, THE PARTIES HERETO AGREE AS FOLLOWS:</w:t>
      </w:r>
    </w:p>
    <w:p>
      <w:pPr>
        <w:spacing w:after="0" w:line="183" w:lineRule="exact"/>
        <w:rPr>
          <w:rFonts w:ascii="Arial" w:cs="Arial" w:eastAsia="Arial" w:hAnsi="Arial"/>
          <w:sz w:val="20"/>
          <w:szCs w:val="20"/>
          <w:color w:val="auto"/>
        </w:rPr>
      </w:pPr>
    </w:p>
    <w:p>
      <w:pPr>
        <w:jc w:val="both"/>
        <w:ind w:firstLine="1953"/>
        <w:spacing w:after="0" w:line="246" w:lineRule="auto"/>
        <w:tabs>
          <w:tab w:leader="none" w:pos="2325" w:val="left"/>
        </w:tabs>
        <w:numPr>
          <w:ilvl w:val="2"/>
          <w:numId w:val="132"/>
        </w:numPr>
        <w:rPr>
          <w:rFonts w:ascii="Arial" w:cs="Arial" w:eastAsia="Arial" w:hAnsi="Arial"/>
          <w:sz w:val="20"/>
          <w:szCs w:val="20"/>
          <w:color w:val="auto"/>
        </w:rPr>
      </w:pPr>
      <w:r>
        <w:rPr>
          <w:rFonts w:ascii="Arial" w:cs="Arial" w:eastAsia="Arial" w:hAnsi="Arial"/>
          <w:sz w:val="20"/>
          <w:szCs w:val="20"/>
          <w:b w:val="1"/>
          <w:bCs w:val="1"/>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85" w:lineRule="exact"/>
        <w:rPr>
          <w:rFonts w:ascii="Arial" w:cs="Arial" w:eastAsia="Arial" w:hAnsi="Arial"/>
          <w:sz w:val="20"/>
          <w:szCs w:val="20"/>
          <w:color w:val="auto"/>
        </w:rPr>
      </w:pPr>
    </w:p>
    <w:p>
      <w:pPr>
        <w:jc w:val="both"/>
        <w:ind w:firstLine="1953"/>
        <w:spacing w:after="0" w:line="264" w:lineRule="auto"/>
        <w:tabs>
          <w:tab w:leader="none" w:pos="2650" w:val="left"/>
        </w:tabs>
        <w:numPr>
          <w:ilvl w:val="2"/>
          <w:numId w:val="132"/>
        </w:numPr>
        <w:rPr>
          <w:rFonts w:ascii="Arial" w:cs="Arial" w:eastAsia="Arial" w:hAnsi="Arial"/>
          <w:sz w:val="19"/>
          <w:szCs w:val="19"/>
          <w:color w:val="auto"/>
        </w:rPr>
      </w:pPr>
      <w:r>
        <w:rPr>
          <w:rFonts w:ascii="Arial" w:cs="Arial" w:eastAsia="Arial" w:hAnsi="Arial"/>
          <w:sz w:val="19"/>
          <w:szCs w:val="19"/>
          <w:b w:val="1"/>
          <w:bCs w:val="1"/>
          <w:color w:val="auto"/>
        </w:rPr>
        <w:t>THE FOLLOWING MATTERS SHALL NOT BE SUBJECT TO A GENERAL REFERENCE PROCEEDING: (A) NON-JUDICIAL FORECLOSURE OF ANY SECURITY INTERESTS IN REAL OR PERSONAL PROPERTY,</w:t>
      </w:r>
    </w:p>
    <w:p>
      <w:pPr>
        <w:jc w:val="both"/>
        <w:ind w:firstLine="8"/>
        <w:spacing w:after="0"/>
        <w:tabs>
          <w:tab w:leader="none" w:pos="401"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91" w:lineRule="exact"/>
        <w:rPr>
          <w:rFonts w:ascii="Arial" w:cs="Arial" w:eastAsia="Arial" w:hAnsi="Arial"/>
          <w:sz w:val="20"/>
          <w:szCs w:val="20"/>
          <w:b w:val="1"/>
          <w:bCs w:val="1"/>
          <w:color w:val="auto"/>
        </w:rPr>
      </w:pPr>
    </w:p>
    <w:p>
      <w:pPr>
        <w:jc w:val="both"/>
        <w:ind w:firstLine="1953"/>
        <w:spacing w:after="0" w:line="245" w:lineRule="auto"/>
        <w:tabs>
          <w:tab w:leader="none" w:pos="2543" w:val="left"/>
        </w:tabs>
        <w:numPr>
          <w:ilvl w:val="2"/>
          <w:numId w:val="133"/>
        </w:numPr>
        <w:rPr>
          <w:rFonts w:ascii="Arial" w:cs="Arial" w:eastAsia="Arial" w:hAnsi="Arial"/>
          <w:sz w:val="20"/>
          <w:szCs w:val="20"/>
          <w:color w:val="auto"/>
        </w:rPr>
      </w:pPr>
      <w:r>
        <w:rPr>
          <w:rFonts w:ascii="Arial" w:cs="Arial" w:eastAsia="Arial" w:hAnsi="Arial"/>
          <w:sz w:val="20"/>
          <w:szCs w:val="20"/>
          <w:b w:val="1"/>
          <w:bCs w:val="1"/>
          <w:color w:val="auto"/>
        </w:rPr>
        <w:t>UPON THE WRITTEN REQUEST OF ANY PARTY, THE PARTIES SHALL SELECT A SINGLE REFEREE, WHO SHALL BE A RETIRED JUDGE OR JUSTICE. IF THE PARTIES DO NOT AGREE UPON A REFEREE WITHIN 10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85" w:lineRule="exact"/>
        <w:rPr>
          <w:rFonts w:ascii="Arial" w:cs="Arial" w:eastAsia="Arial" w:hAnsi="Arial"/>
          <w:sz w:val="20"/>
          <w:szCs w:val="20"/>
          <w:color w:val="auto"/>
        </w:rPr>
      </w:pPr>
    </w:p>
    <w:p>
      <w:pPr>
        <w:jc w:val="both"/>
        <w:ind w:firstLine="1953"/>
        <w:spacing w:after="0" w:line="244" w:lineRule="auto"/>
        <w:tabs>
          <w:tab w:leader="none" w:pos="2748" w:val="left"/>
        </w:tabs>
        <w:numPr>
          <w:ilvl w:val="2"/>
          <w:numId w:val="133"/>
        </w:numPr>
        <w:rPr>
          <w:rFonts w:ascii="Arial" w:cs="Arial" w:eastAsia="Arial" w:hAnsi="Arial"/>
          <w:sz w:val="20"/>
          <w:szCs w:val="20"/>
          <w:color w:val="auto"/>
        </w:rPr>
      </w:pPr>
      <w:r>
        <w:rPr>
          <w:rFonts w:ascii="Arial" w:cs="Arial" w:eastAsia="Arial" w:hAnsi="Arial"/>
          <w:sz w:val="20"/>
          <w:szCs w:val="20"/>
          <w:b w:val="1"/>
          <w:bCs w:val="1"/>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w:t>
      </w:r>
    </w:p>
    <w:p>
      <w:pPr>
        <w:spacing w:after="0" w:line="200" w:lineRule="exact"/>
        <w:rPr>
          <w:sz w:val="20"/>
          <w:szCs w:val="20"/>
          <w:color w:val="auto"/>
        </w:rPr>
      </w:pPr>
    </w:p>
    <w:p>
      <w:pPr>
        <w:spacing w:after="0" w:line="236"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819" w:right="239" w:bottom="1440" w:gutter="0" w:footer="0" w:header="0"/>
        </w:sectPr>
      </w:pPr>
    </w:p>
    <w:bookmarkStart w:id="143" w:name="page144"/>
    <w:bookmarkEnd w:id="143"/>
    <w:p>
      <w:pPr>
        <w:jc w:val="both"/>
        <w:spacing w:after="0" w:line="248" w:lineRule="auto"/>
        <w:rPr>
          <w:sz w:val="20"/>
          <w:szCs w:val="20"/>
          <w:color w:val="auto"/>
        </w:rPr>
      </w:pPr>
      <w:r>
        <w:rPr>
          <w:rFonts w:ascii="Arial" w:cs="Arial" w:eastAsia="Arial" w:hAnsi="Arial"/>
          <w:sz w:val="20"/>
          <w:szCs w:val="20"/>
          <w:b w:val="1"/>
          <w:bCs w:val="1"/>
          <w:color w:val="auto"/>
        </w:rPr>
        <w:t>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w:t>
      </w:r>
    </w:p>
    <w:p>
      <w:pPr>
        <w:spacing w:after="0" w:line="184" w:lineRule="exact"/>
        <w:rPr>
          <w:sz w:val="20"/>
          <w:szCs w:val="20"/>
          <w:color w:val="auto"/>
        </w:rPr>
      </w:pPr>
    </w:p>
    <w:p>
      <w:pPr>
        <w:jc w:val="both"/>
        <w:ind w:firstLine="1953"/>
        <w:spacing w:after="0" w:line="248" w:lineRule="auto"/>
        <w:tabs>
          <w:tab w:leader="none" w:pos="2450" w:val="left"/>
        </w:tabs>
        <w:numPr>
          <w:ilvl w:val="2"/>
          <w:numId w:val="134"/>
        </w:numPr>
        <w:rPr>
          <w:rFonts w:ascii="Arial" w:cs="Arial" w:eastAsia="Arial" w:hAnsi="Arial"/>
          <w:sz w:val="20"/>
          <w:szCs w:val="20"/>
          <w:color w:val="auto"/>
        </w:rPr>
      </w:pPr>
      <w:r>
        <w:rPr>
          <w:rFonts w:ascii="Arial" w:cs="Arial" w:eastAsia="Arial" w:hAnsi="Arial"/>
          <w:sz w:val="20"/>
          <w:szCs w:val="20"/>
          <w:b w:val="1"/>
          <w:bCs w:val="1"/>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83" w:lineRule="exact"/>
        <w:rPr>
          <w:rFonts w:ascii="Arial" w:cs="Arial" w:eastAsia="Arial" w:hAnsi="Arial"/>
          <w:sz w:val="20"/>
          <w:szCs w:val="20"/>
          <w:color w:val="auto"/>
        </w:rPr>
      </w:pPr>
    </w:p>
    <w:p>
      <w:pPr>
        <w:jc w:val="both"/>
        <w:ind w:firstLine="1953"/>
        <w:spacing w:after="0" w:line="242" w:lineRule="auto"/>
        <w:tabs>
          <w:tab w:leader="none" w:pos="2438" w:val="left"/>
        </w:tabs>
        <w:numPr>
          <w:ilvl w:val="2"/>
          <w:numId w:val="134"/>
        </w:numPr>
        <w:rPr>
          <w:rFonts w:ascii="Arial" w:cs="Arial" w:eastAsia="Arial" w:hAnsi="Arial"/>
          <w:sz w:val="20"/>
          <w:szCs w:val="20"/>
          <w:color w:val="auto"/>
        </w:rPr>
      </w:pPr>
      <w:r>
        <w:rPr>
          <w:rFonts w:ascii="Arial" w:cs="Arial" w:eastAsia="Arial" w:hAnsi="Arial"/>
          <w:sz w:val="20"/>
          <w:szCs w:val="20"/>
          <w:b w:val="1"/>
          <w:bCs w:val="1"/>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93" w:lineRule="exact"/>
        <w:rPr>
          <w:rFonts w:ascii="Arial" w:cs="Arial" w:eastAsia="Arial" w:hAnsi="Arial"/>
          <w:sz w:val="20"/>
          <w:szCs w:val="20"/>
          <w:color w:val="auto"/>
        </w:rPr>
      </w:pPr>
    </w:p>
    <w:p>
      <w:pPr>
        <w:jc w:val="both"/>
        <w:ind w:firstLine="1953"/>
        <w:spacing w:after="0" w:line="245" w:lineRule="auto"/>
        <w:tabs>
          <w:tab w:leader="none" w:pos="2627" w:val="left"/>
        </w:tabs>
        <w:numPr>
          <w:ilvl w:val="2"/>
          <w:numId w:val="134"/>
        </w:numPr>
        <w:rPr>
          <w:rFonts w:ascii="Arial" w:cs="Arial" w:eastAsia="Arial" w:hAnsi="Arial"/>
          <w:sz w:val="20"/>
          <w:szCs w:val="20"/>
          <w:color w:val="auto"/>
        </w:rPr>
      </w:pPr>
      <w:r>
        <w:rPr>
          <w:rFonts w:ascii="Arial" w:cs="Arial" w:eastAsia="Arial" w:hAnsi="Arial"/>
          <w:sz w:val="20"/>
          <w:szCs w:val="20"/>
          <w:b w:val="1"/>
          <w:bCs w:val="1"/>
          <w:color w:val="auto"/>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184" w:lineRule="exact"/>
        <w:rPr>
          <w:rFonts w:ascii="Arial" w:cs="Arial" w:eastAsia="Arial" w:hAnsi="Arial"/>
          <w:sz w:val="20"/>
          <w:szCs w:val="20"/>
          <w:color w:val="auto"/>
        </w:rPr>
      </w:pPr>
    </w:p>
    <w:p>
      <w:pPr>
        <w:ind w:left="660" w:hanging="652"/>
        <w:spacing w:after="0"/>
        <w:tabs>
          <w:tab w:leader="none" w:pos="66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ASSIGNMENTS AND PARTICIPATIONS; SUCCESSORS.</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13.1  </w:t>
      </w:r>
      <w:r>
        <w:rPr>
          <w:rFonts w:ascii="Arial" w:cs="Arial" w:eastAsia="Arial" w:hAnsi="Arial"/>
          <w:sz w:val="20"/>
          <w:szCs w:val="20"/>
          <w:b w:val="1"/>
          <w:bCs w:val="1"/>
          <w:u w:val="single" w:color="auto"/>
          <w:color w:val="auto"/>
        </w:rPr>
        <w:t>Assignments and Participations</w:t>
      </w:r>
      <w:r>
        <w:rPr>
          <w:rFonts w:ascii="Arial" w:cs="Arial" w:eastAsia="Arial" w:hAnsi="Arial"/>
          <w:sz w:val="20"/>
          <w:szCs w:val="20"/>
          <w:u w:val="single" w:color="auto"/>
          <w:color w:val="auto"/>
        </w:rPr>
        <w:t>.</w:t>
      </w:r>
    </w:p>
    <w:p>
      <w:pPr>
        <w:spacing w:after="0" w:line="221" w:lineRule="exact"/>
        <w:rPr>
          <w:rFonts w:ascii="Arial" w:cs="Arial" w:eastAsia="Arial" w:hAnsi="Arial"/>
          <w:sz w:val="20"/>
          <w:szCs w:val="20"/>
          <w:b w:val="1"/>
          <w:bCs w:val="1"/>
          <w:color w:val="auto"/>
        </w:rPr>
      </w:pPr>
    </w:p>
    <w:p>
      <w:pPr>
        <w:jc w:val="both"/>
        <w:ind w:firstLine="1305"/>
        <w:spacing w:after="0" w:line="269" w:lineRule="auto"/>
        <w:tabs>
          <w:tab w:leader="none" w:pos="171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(1) Subject to the conditions set forth in clause (a)(ii) below, any Lender may assign and delegate all or any portion of its rights and duties under the Loan Documents (including the Obligations owed to it and its Commitments) to one or more assignees (each, an “</w:t>
      </w:r>
      <w:r>
        <w:rPr>
          <w:rFonts w:ascii="Arial" w:cs="Arial" w:eastAsia="Arial" w:hAnsi="Arial"/>
          <w:sz w:val="19"/>
          <w:szCs w:val="19"/>
          <w:u w:val="single" w:color="auto"/>
          <w:color w:val="auto"/>
        </w:rPr>
        <w:t>Assignee</w:t>
      </w:r>
      <w:r>
        <w:rPr>
          <w:rFonts w:ascii="Arial" w:cs="Arial" w:eastAsia="Arial" w:hAnsi="Arial"/>
          <w:sz w:val="19"/>
          <w:szCs w:val="19"/>
          <w:color w:val="auto"/>
        </w:rPr>
        <w:t>”), with the prior written consent (such consent not be unreasonably withheld, delayed or conditioned) of:</w:t>
      </w:r>
    </w:p>
    <w:p>
      <w:pPr>
        <w:spacing w:after="0" w:line="170" w:lineRule="exact"/>
        <w:rPr>
          <w:rFonts w:ascii="Arial" w:cs="Arial" w:eastAsia="Arial" w:hAnsi="Arial"/>
          <w:sz w:val="19"/>
          <w:szCs w:val="19"/>
          <w:color w:val="auto"/>
        </w:rPr>
      </w:pPr>
    </w:p>
    <w:p>
      <w:pPr>
        <w:jc w:val="both"/>
        <w:ind w:firstLine="2601"/>
        <w:spacing w:after="0" w:line="246" w:lineRule="auto"/>
        <w:tabs>
          <w:tab w:leader="none" w:pos="3183" w:val="left"/>
        </w:tabs>
        <w:numPr>
          <w:ilvl w:val="3"/>
          <w:numId w:val="135"/>
        </w:numPr>
        <w:rPr>
          <w:rFonts w:ascii="Arial" w:cs="Arial" w:eastAsia="Arial" w:hAnsi="Arial"/>
          <w:sz w:val="20"/>
          <w:szCs w:val="20"/>
          <w:color w:val="auto"/>
        </w:rPr>
      </w:pPr>
      <w:r>
        <w:rPr>
          <w:rFonts w:ascii="Arial" w:cs="Arial" w:eastAsia="Arial" w:hAnsi="Arial"/>
          <w:sz w:val="20"/>
          <w:szCs w:val="20"/>
          <w:color w:val="auto"/>
        </w:rPr>
        <w:t xml:space="preserve">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Borrower shall be required (1) if an Event of Default has occurred and is continuing or (2) in connection with an assignment to a Person that is a Lender or an Affiliate (other than natural persons) or Related Fund of a Lender;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Borrower shall be deemed to have consented to a proposed assignment unless it objects thereto by written notice to Agent within 5 Business Days after having received notice thereof; and</w:t>
      </w:r>
    </w:p>
    <w:p>
      <w:pPr>
        <w:spacing w:after="0" w:line="200" w:lineRule="exact"/>
        <w:rPr>
          <w:sz w:val="20"/>
          <w:szCs w:val="20"/>
          <w:color w:val="auto"/>
        </w:rPr>
      </w:pPr>
    </w:p>
    <w:p>
      <w:pPr>
        <w:spacing w:after="0" w:line="23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819" w:right="239" w:bottom="1440" w:gutter="0" w:footer="0" w:header="0"/>
        </w:sectPr>
      </w:pPr>
    </w:p>
    <w:bookmarkStart w:id="144" w:name="page145"/>
    <w:bookmarkEnd w:id="144"/>
    <w:p>
      <w:pPr>
        <w:ind w:left="1840" w:hanging="439"/>
        <w:spacing w:after="0"/>
        <w:tabs>
          <w:tab w:leader="none" w:pos="1840" w:val="left"/>
        </w:tabs>
        <w:numPr>
          <w:ilvl w:val="2"/>
          <w:numId w:val="136"/>
        </w:numPr>
        <w:rPr>
          <w:rFonts w:ascii="Arial" w:cs="Arial" w:eastAsia="Arial" w:hAnsi="Arial"/>
          <w:sz w:val="20"/>
          <w:szCs w:val="20"/>
          <w:color w:val="auto"/>
        </w:rPr>
      </w:pPr>
      <w:r>
        <w:rPr>
          <w:rFonts w:ascii="Arial" w:cs="Arial" w:eastAsia="Arial" w:hAnsi="Arial"/>
          <w:sz w:val="20"/>
          <w:szCs w:val="20"/>
          <w:color w:val="auto"/>
        </w:rPr>
        <w:t>Agent, Swing Lender, and Issuing Bank.</w:t>
      </w:r>
    </w:p>
    <w:p>
      <w:pPr>
        <w:spacing w:after="0" w:line="215" w:lineRule="exact"/>
        <w:rPr>
          <w:rFonts w:ascii="Arial" w:cs="Arial" w:eastAsia="Arial" w:hAnsi="Arial"/>
          <w:sz w:val="20"/>
          <w:szCs w:val="20"/>
          <w:color w:val="auto"/>
        </w:rPr>
      </w:pPr>
    </w:p>
    <w:p>
      <w:pPr>
        <w:ind w:left="1180" w:hanging="427"/>
        <w:spacing w:after="0"/>
        <w:tabs>
          <w:tab w:leader="none" w:pos="118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auto"/>
        </w:rPr>
      </w:pPr>
    </w:p>
    <w:p>
      <w:pPr>
        <w:ind w:left="1860" w:hanging="459"/>
        <w:spacing w:after="0"/>
        <w:tabs>
          <w:tab w:leader="none" w:pos="186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no assignment may be made to a natural person,</w:t>
      </w:r>
    </w:p>
    <w:p>
      <w:pPr>
        <w:spacing w:after="0" w:line="215" w:lineRule="exact"/>
        <w:rPr>
          <w:rFonts w:ascii="Arial" w:cs="Arial" w:eastAsia="Arial" w:hAnsi="Arial"/>
          <w:sz w:val="20"/>
          <w:szCs w:val="20"/>
          <w:color w:val="auto"/>
        </w:rPr>
      </w:pPr>
    </w:p>
    <w:p>
      <w:pPr>
        <w:ind w:left="1840" w:hanging="439"/>
        <w:spacing w:after="0"/>
        <w:tabs>
          <w:tab w:leader="none" w:pos="184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no assignment may be made to a Loan Party or an Affiliate of a Loan Party,</w:t>
      </w:r>
    </w:p>
    <w:p>
      <w:pPr>
        <w:spacing w:after="0" w:line="215" w:lineRule="exact"/>
        <w:rPr>
          <w:rFonts w:ascii="Arial" w:cs="Arial" w:eastAsia="Arial" w:hAnsi="Arial"/>
          <w:sz w:val="20"/>
          <w:szCs w:val="20"/>
          <w:color w:val="auto"/>
        </w:rPr>
      </w:pPr>
    </w:p>
    <w:p>
      <w:pPr>
        <w:jc w:val="both"/>
        <w:ind w:left="-1200" w:firstLine="2601"/>
        <w:spacing w:after="0" w:line="276" w:lineRule="auto"/>
        <w:tabs>
          <w:tab w:leader="none" w:pos="1877"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65" w:lineRule="exact"/>
        <w:rPr>
          <w:rFonts w:ascii="Arial" w:cs="Arial" w:eastAsia="Arial" w:hAnsi="Arial"/>
          <w:sz w:val="18"/>
          <w:szCs w:val="18"/>
          <w:color w:val="auto"/>
        </w:rPr>
      </w:pPr>
    </w:p>
    <w:p>
      <w:pPr>
        <w:ind w:left="-1200" w:firstLine="2601"/>
        <w:spacing w:after="0" w:line="260" w:lineRule="auto"/>
        <w:tabs>
          <w:tab w:leader="none" w:pos="1956" w:val="left"/>
        </w:tabs>
        <w:numPr>
          <w:ilvl w:val="2"/>
          <w:numId w:val="137"/>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6" w:lineRule="exact"/>
        <w:rPr>
          <w:rFonts w:ascii="Arial" w:cs="Arial" w:eastAsia="Arial" w:hAnsi="Arial"/>
          <w:sz w:val="20"/>
          <w:szCs w:val="20"/>
          <w:color w:val="auto"/>
        </w:rPr>
      </w:pPr>
    </w:p>
    <w:p>
      <w:pPr>
        <w:jc w:val="both"/>
        <w:ind w:left="-1200" w:firstLine="2601"/>
        <w:spacing w:after="0" w:line="263" w:lineRule="auto"/>
        <w:tabs>
          <w:tab w:leader="none" w:pos="1974" w:val="left"/>
        </w:tabs>
        <w:numPr>
          <w:ilvl w:val="2"/>
          <w:numId w:val="137"/>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Agent an Assignment and Acceptance; </w:t>
      </w:r>
      <w:r>
        <w:rPr>
          <w:rFonts w:ascii="Arial" w:cs="Arial" w:eastAsia="Arial" w:hAnsi="Arial"/>
          <w:sz w:val="19"/>
          <w:szCs w:val="19"/>
          <w:u w:val="single" w:color="auto"/>
          <w:color w:val="auto"/>
        </w:rPr>
        <w:t>provided</w:t>
      </w:r>
      <w:r>
        <w:rPr>
          <w:rFonts w:ascii="Arial" w:cs="Arial" w:eastAsia="Arial" w:hAnsi="Arial"/>
          <w:sz w:val="19"/>
          <w:szCs w:val="19"/>
          <w:color w:val="auto"/>
        </w:rPr>
        <w:t>, that Borrower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 and Agent by such Lender and the Assignee,</w:t>
      </w:r>
    </w:p>
    <w:p>
      <w:pPr>
        <w:spacing w:after="0" w:line="176" w:lineRule="exact"/>
        <w:rPr>
          <w:rFonts w:ascii="Arial" w:cs="Arial" w:eastAsia="Arial" w:hAnsi="Arial"/>
          <w:sz w:val="19"/>
          <w:szCs w:val="19"/>
          <w:color w:val="auto"/>
        </w:rPr>
      </w:pPr>
    </w:p>
    <w:p>
      <w:pPr>
        <w:ind w:left="-1200" w:firstLine="2601"/>
        <w:spacing w:after="0" w:line="260" w:lineRule="auto"/>
        <w:tabs>
          <w:tab w:leader="none" w:pos="1936" w:val="left"/>
        </w:tabs>
        <w:numPr>
          <w:ilvl w:val="2"/>
          <w:numId w:val="137"/>
        </w:numPr>
        <w:rPr>
          <w:rFonts w:ascii="Arial" w:cs="Arial" w:eastAsia="Arial" w:hAnsi="Arial"/>
          <w:sz w:val="20"/>
          <w:szCs w:val="20"/>
          <w:color w:val="auto"/>
        </w:rPr>
      </w:pPr>
      <w:r>
        <w:rPr>
          <w:rFonts w:ascii="Arial" w:cs="Arial" w:eastAsia="Arial" w:hAnsi="Arial"/>
          <w:sz w:val="20"/>
          <w:szCs w:val="20"/>
          <w:color w:val="auto"/>
        </w:rPr>
        <w:t>unless waived by Agent, the assigning Lender or Assignee has paid to Agent, for Agent’s separate account, a processing fee in the amount of $3,500, and</w:t>
      </w:r>
    </w:p>
    <w:p>
      <w:pPr>
        <w:spacing w:after="0" w:line="176" w:lineRule="exact"/>
        <w:rPr>
          <w:rFonts w:ascii="Arial" w:cs="Arial" w:eastAsia="Arial" w:hAnsi="Arial"/>
          <w:sz w:val="20"/>
          <w:szCs w:val="20"/>
          <w:color w:val="auto"/>
        </w:rPr>
      </w:pPr>
    </w:p>
    <w:p>
      <w:pPr>
        <w:ind w:left="-1200" w:firstLine="2601"/>
        <w:spacing w:after="0" w:line="260" w:lineRule="auto"/>
        <w:tabs>
          <w:tab w:leader="none" w:pos="1956" w:val="left"/>
        </w:tabs>
        <w:numPr>
          <w:ilvl w:val="2"/>
          <w:numId w:val="137"/>
        </w:numPr>
        <w:rPr>
          <w:rFonts w:ascii="Arial" w:cs="Arial" w:eastAsia="Arial" w:hAnsi="Arial"/>
          <w:sz w:val="20"/>
          <w:szCs w:val="20"/>
          <w:color w:val="auto"/>
        </w:rPr>
      </w:pPr>
      <w:r>
        <w:rPr>
          <w:rFonts w:ascii="Arial" w:cs="Arial" w:eastAsia="Arial" w:hAnsi="Arial"/>
          <w:sz w:val="20"/>
          <w:szCs w:val="20"/>
          <w:color w:val="auto"/>
        </w:rPr>
        <w:t>the assignee, if it is not a Lender, shall deliver to Agent an Administrative Questionnaire in a form approved by Agent (the “</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1200" w:firstLine="1305"/>
        <w:spacing w:after="0" w:line="272" w:lineRule="auto"/>
        <w:tabs>
          <w:tab w:leader="none" w:pos="5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200" w:firstLine="1305"/>
        <w:spacing w:after="0" w:line="246" w:lineRule="auto"/>
        <w:tabs>
          <w:tab w:leader="none" w:pos="685" w:val="left"/>
        </w:tabs>
        <w:numPr>
          <w:ilvl w:val="0"/>
          <w:numId w:val="138"/>
        </w:numPr>
        <w:rPr>
          <w:rFonts w:ascii="Arial" w:cs="Arial" w:eastAsia="Arial" w:hAnsi="Arial"/>
          <w:sz w:val="20"/>
          <w:szCs w:val="20"/>
          <w:color w:val="auto"/>
        </w:rPr>
      </w:pPr>
      <w:r>
        <w:rPr>
          <w:rFonts w:ascii="Arial" w:cs="Arial" w:eastAsia="Arial" w:hAnsi="Arial"/>
          <w:sz w:val="20"/>
          <w:szCs w:val="20"/>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w:t>
      </w: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0220"/>
          </w:cols>
          <w:pgMar w:left="1440" w:top="825" w:right="239" w:bottom="1440" w:gutter="0" w:footer="0" w:header="0"/>
        </w:sectPr>
      </w:pPr>
    </w:p>
    <w:bookmarkStart w:id="145" w:name="page146"/>
    <w:bookmarkEnd w:id="145"/>
    <w:p>
      <w:pPr>
        <w:jc w:val="both"/>
        <w:spacing w:after="0" w:line="271" w:lineRule="auto"/>
        <w:rPr>
          <w:sz w:val="20"/>
          <w:szCs w:val="20"/>
          <w:color w:val="auto"/>
        </w:rPr>
      </w:pPr>
      <w:r>
        <w:rPr>
          <w:rFonts w:ascii="Arial" w:cs="Arial" w:eastAsia="Arial" w:hAnsi="Arial"/>
          <w:sz w:val="18"/>
          <w:szCs w:val="18"/>
          <w:color w:val="auto"/>
        </w:rPr>
        <w:t>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Borrower or the performance or observance by Borrower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71" w:lineRule="exact"/>
        <w:rPr>
          <w:sz w:val="20"/>
          <w:szCs w:val="20"/>
          <w:color w:val="auto"/>
        </w:rPr>
      </w:pPr>
    </w:p>
    <w:p>
      <w:pPr>
        <w:jc w:val="both"/>
        <w:ind w:firstLine="1305"/>
        <w:spacing w:after="0" w:line="246" w:lineRule="auto"/>
        <w:tabs>
          <w:tab w:leader="none" w:pos="177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Immediately upon Agent’s receipt of the required processing fee, if applicable, and delivery of notice to the assigning Lender pursuant to </w:t>
      </w:r>
      <w:r>
        <w:rPr>
          <w:rFonts w:ascii="Arial" w:cs="Arial" w:eastAsia="Arial" w:hAnsi="Arial"/>
          <w:sz w:val="20"/>
          <w:szCs w:val="20"/>
          <w:u w:val="single" w:color="auto"/>
          <w:color w:val="auto"/>
        </w:rPr>
        <w:t>Section 13.1(b),</w:t>
      </w:r>
      <w:r>
        <w:rPr>
          <w:rFonts w:ascii="Arial" w:cs="Arial" w:eastAsia="Arial" w:hAnsi="Arial"/>
          <w:sz w:val="20"/>
          <w:szCs w:val="20"/>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20"/>
          <w:szCs w:val="20"/>
          <w:i w:val="1"/>
          <w:iCs w:val="1"/>
          <w:color w:val="auto"/>
        </w:rPr>
        <w:t>pro tanto</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305"/>
        <w:spacing w:after="0" w:line="268" w:lineRule="auto"/>
        <w:tabs>
          <w:tab w:leader="none" w:pos="18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Lender may at any time sell to one or more commercial banks, financial institutions, or other Persons (a “</w:t>
      </w:r>
      <w:r>
        <w:rPr>
          <w:rFonts w:ascii="Arial" w:cs="Arial" w:eastAsia="Arial" w:hAnsi="Arial"/>
          <w:sz w:val="18"/>
          <w:szCs w:val="18"/>
          <w:u w:val="single" w:color="auto"/>
          <w:color w:val="auto"/>
        </w:rPr>
        <w:t>Participant</w:t>
      </w:r>
      <w:r>
        <w:rPr>
          <w:rFonts w:ascii="Arial" w:cs="Arial" w:eastAsia="Arial" w:hAnsi="Arial"/>
          <w:sz w:val="18"/>
          <w:szCs w:val="18"/>
          <w:color w:val="auto"/>
        </w:rPr>
        <w:t>”) participating interests in all or any portion of its Obligations, its Commitment, and the other rights and interests of that Lender (the “</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hereunder and under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w:t>
      </w:r>
    </w:p>
    <w:p>
      <w:pPr>
        <w:spacing w:after="0" w:line="200" w:lineRule="exact"/>
        <w:rPr>
          <w:sz w:val="20"/>
          <w:szCs w:val="20"/>
          <w:color w:val="auto"/>
        </w:rPr>
      </w:pPr>
    </w:p>
    <w:p>
      <w:pPr>
        <w:spacing w:after="0" w:line="227"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825" w:right="239" w:bottom="1440" w:gutter="0" w:footer="0" w:header="0"/>
        </w:sectPr>
      </w:pPr>
    </w:p>
    <w:bookmarkStart w:id="146" w:name="page147"/>
    <w:bookmarkEnd w:id="146"/>
    <w:p>
      <w:pPr>
        <w:jc w:val="both"/>
        <w:spacing w:after="0" w:line="282" w:lineRule="auto"/>
        <w:rPr>
          <w:sz w:val="20"/>
          <w:szCs w:val="20"/>
          <w:color w:val="auto"/>
        </w:rPr>
      </w:pPr>
      <w:r>
        <w:rPr>
          <w:rFonts w:ascii="Arial" w:cs="Arial" w:eastAsia="Arial" w:hAnsi="Arial"/>
          <w:sz w:val="18"/>
          <w:szCs w:val="18"/>
          <w:color w:val="auto"/>
        </w:rPr>
        <w:t>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 the Collateral, or otherwise in respect of the Obligations. No Participant shall have the right to participate directly in the making of decisions by the Lenders among themselves.</w:t>
      </w:r>
    </w:p>
    <w:p>
      <w:pPr>
        <w:spacing w:after="0" w:line="162" w:lineRule="exact"/>
        <w:rPr>
          <w:sz w:val="20"/>
          <w:szCs w:val="20"/>
          <w:color w:val="auto"/>
        </w:rPr>
      </w:pPr>
    </w:p>
    <w:p>
      <w:pPr>
        <w:jc w:val="both"/>
        <w:ind w:firstLine="1305"/>
        <w:spacing w:after="0" w:line="291" w:lineRule="auto"/>
        <w:tabs>
          <w:tab w:leader="none" w:pos="168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Arial" w:cs="Arial" w:eastAsia="Arial" w:hAnsi="Arial"/>
          <w:sz w:val="18"/>
          <w:szCs w:val="18"/>
          <w:u w:val="single" w:color="auto"/>
          <w:color w:val="auto"/>
        </w:rPr>
        <w:t>Section 17.9</w:t>
      </w:r>
      <w:r>
        <w:rPr>
          <w:rFonts w:ascii="Arial" w:cs="Arial" w:eastAsia="Arial" w:hAnsi="Arial"/>
          <w:sz w:val="18"/>
          <w:szCs w:val="18"/>
          <w:color w:val="auto"/>
        </w:rPr>
        <w:t>, disclose all documents and information which it now or hereafter may have relating to Borrower and its Subsidiaries and their respective businesses.</w:t>
      </w:r>
    </w:p>
    <w:p>
      <w:pPr>
        <w:spacing w:after="0" w:line="151" w:lineRule="exact"/>
        <w:rPr>
          <w:rFonts w:ascii="Arial" w:cs="Arial" w:eastAsia="Arial" w:hAnsi="Arial"/>
          <w:sz w:val="18"/>
          <w:szCs w:val="18"/>
          <w:color w:val="auto"/>
        </w:rPr>
      </w:pPr>
    </w:p>
    <w:p>
      <w:pPr>
        <w:jc w:val="both"/>
        <w:ind w:firstLine="1305"/>
        <w:spacing w:after="0" w:line="246" w:lineRule="auto"/>
        <w:tabs>
          <w:tab w:leader="none" w:pos="180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§203.24, and such Federal Reserve Bank may enforce such pledge or security interest in any manner permitted under applicable law.</w:t>
      </w:r>
    </w:p>
    <w:p>
      <w:pPr>
        <w:spacing w:after="0" w:line="191" w:lineRule="exact"/>
        <w:rPr>
          <w:rFonts w:ascii="Arial" w:cs="Arial" w:eastAsia="Arial" w:hAnsi="Arial"/>
          <w:sz w:val="20"/>
          <w:szCs w:val="20"/>
          <w:color w:val="auto"/>
        </w:rPr>
      </w:pPr>
    </w:p>
    <w:p>
      <w:pPr>
        <w:jc w:val="both"/>
        <w:ind w:firstLine="1305"/>
        <w:spacing w:after="0" w:line="269" w:lineRule="auto"/>
        <w:tabs>
          <w:tab w:leader="none" w:pos="18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Agent (as a non-fiduciary agent on behalf of Borrower) shall maintain, or cause to be maintained, a register (the “</w:t>
      </w:r>
      <w:r>
        <w:rPr>
          <w:rFonts w:ascii="Arial" w:cs="Arial" w:eastAsia="Arial" w:hAnsi="Arial"/>
          <w:sz w:val="18"/>
          <w:szCs w:val="18"/>
          <w:u w:val="single" w:color="auto"/>
          <w:color w:val="auto"/>
        </w:rPr>
        <w:t>Register</w:t>
      </w:r>
      <w:r>
        <w:rPr>
          <w:rFonts w:ascii="Arial" w:cs="Arial" w:eastAsia="Arial" w:hAnsi="Arial"/>
          <w:sz w:val="18"/>
          <w:szCs w:val="18"/>
          <w:color w:val="auto"/>
        </w:rPr>
        <w:t>”) on which it enters the name and address of each Lender as the registered owner of its Commitments (and the principal amount thereof and stated interest thereon) held by such Lender (each, a “</w:t>
      </w:r>
      <w:r>
        <w:rPr>
          <w:rFonts w:ascii="Arial" w:cs="Arial" w:eastAsia="Arial" w:hAnsi="Arial"/>
          <w:sz w:val="18"/>
          <w:szCs w:val="18"/>
          <w:u w:val="single" w:color="auto"/>
          <w:color w:val="auto"/>
        </w:rPr>
        <w:t>Registered Loan</w:t>
      </w:r>
      <w:r>
        <w:rPr>
          <w:rFonts w:ascii="Arial" w:cs="Arial" w:eastAsia="Arial" w:hAnsi="Arial"/>
          <w:sz w:val="18"/>
          <w:szCs w:val="18"/>
          <w:color w:val="auto"/>
        </w:rPr>
        <w:t>”). Other than in connection with an assignment by a Lender of all or any portion of its portion of its Commitments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Commitments to an Affiliate of such Lender or a Related Fund of such Lender, and which assignment is not recorded in the Register, the assigning Lender, on behalf of Borrower, shall maintain a register comparable to the Register.</w:t>
      </w:r>
    </w:p>
    <w:p>
      <w:pPr>
        <w:spacing w:after="0" w:line="179" w:lineRule="exact"/>
        <w:rPr>
          <w:rFonts w:ascii="Arial" w:cs="Arial" w:eastAsia="Arial" w:hAnsi="Arial"/>
          <w:sz w:val="18"/>
          <w:szCs w:val="18"/>
          <w:color w:val="auto"/>
        </w:rPr>
      </w:pPr>
    </w:p>
    <w:p>
      <w:pPr>
        <w:jc w:val="both"/>
        <w:ind w:firstLine="1305"/>
        <w:spacing w:after="0" w:line="243" w:lineRule="auto"/>
        <w:tabs>
          <w:tab w:leader="none" w:pos="170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 the event that a Lender sells participations in the Registered Loan, such Lender, as a non-fiduciary agent on behalf of Borrower,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w:t>
      </w:r>
    </w:p>
    <w:p>
      <w:pPr>
        <w:spacing w:after="0" w:line="200" w:lineRule="exact"/>
        <w:rPr>
          <w:sz w:val="20"/>
          <w:szCs w:val="20"/>
          <w:color w:val="auto"/>
        </w:rPr>
      </w:pPr>
    </w:p>
    <w:p>
      <w:pPr>
        <w:spacing w:after="0" w:line="236"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825" w:right="239" w:bottom="1440" w:gutter="0" w:footer="0" w:header="0"/>
        </w:sectPr>
      </w:pPr>
    </w:p>
    <w:bookmarkStart w:id="147" w:name="page148"/>
    <w:bookmarkEnd w:id="147"/>
    <w:p>
      <w:pPr>
        <w:ind w:firstLine="1305"/>
        <w:spacing w:after="0" w:line="260" w:lineRule="auto"/>
        <w:tabs>
          <w:tab w:leader="none" w:pos="167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Agent shall make a copy of the Register (and each Lender shall make a copy of its Participant Register in the extent it has one) available for review by Borrower from time to time as Borrower may reasonably request.</w:t>
      </w:r>
    </w:p>
    <w:p>
      <w:pPr>
        <w:spacing w:after="0" w:line="17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u w:val="single" w:color="auto"/>
          <w:color w:val="auto"/>
        </w:rPr>
        <w:t>Successors</w:t>
      </w:r>
      <w:r>
        <w:rPr>
          <w:rFonts w:ascii="Arial" w:cs="Arial" w:eastAsia="Arial" w:hAnsi="Arial"/>
          <w:sz w:val="20"/>
          <w:szCs w:val="20"/>
          <w:color w:val="auto"/>
        </w:rPr>
        <w:t xml:space="preserve">. This Agreement shall bind and inure to the benefit of the respective successors and assigns of each of the parties; provided, that Borrower may not assign this Agreement or any rights or duties hereunder without the Lenders’ prior written consent and any prohibited assignment shall be absolutely void </w:t>
      </w:r>
      <w:r>
        <w:rPr>
          <w:rFonts w:ascii="Arial" w:cs="Arial" w:eastAsia="Arial" w:hAnsi="Arial"/>
          <w:sz w:val="20"/>
          <w:szCs w:val="20"/>
          <w:i w:val="1"/>
          <w:iCs w:val="1"/>
          <w:color w:val="auto"/>
        </w:rPr>
        <w:t>ab initio</w:t>
      </w:r>
      <w:r>
        <w:rPr>
          <w:rFonts w:ascii="Arial" w:cs="Arial" w:eastAsia="Arial" w:hAnsi="Arial"/>
          <w:sz w:val="20"/>
          <w:szCs w:val="20"/>
          <w:color w:val="auto"/>
        </w:rPr>
        <w:t>. No consent to assignment by the Lenders shall release Borrower from its Obligations. A Lender may assign this Agreement and the other Loan Documents and its rights and duties hereunder and thereunder pursuant to Section 13.1 and, except as expressly required pursuant to Section 13.1, no consent or approval by Borrower is required in connection with any such assignment.</w:t>
      </w:r>
    </w:p>
    <w:p>
      <w:pPr>
        <w:spacing w:after="0" w:line="185"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14.1  </w:t>
      </w:r>
      <w:r>
        <w:rPr>
          <w:rFonts w:ascii="Arial" w:cs="Arial" w:eastAsia="Arial" w:hAnsi="Arial"/>
          <w:sz w:val="20"/>
          <w:szCs w:val="20"/>
          <w:b w:val="1"/>
          <w:bCs w:val="1"/>
          <w:u w:val="single" w:color="auto"/>
          <w:color w:val="auto"/>
        </w:rPr>
        <w:t>Amendments and Waivers</w:t>
      </w:r>
      <w:r>
        <w:rPr>
          <w:rFonts w:ascii="Arial" w:cs="Arial" w:eastAsia="Arial" w:hAnsi="Arial"/>
          <w:sz w:val="20"/>
          <w:szCs w:val="20"/>
          <w:u w:val="single" w:color="auto"/>
          <w:color w:val="auto"/>
        </w:rPr>
        <w:t>.</w:t>
      </w:r>
    </w:p>
    <w:p>
      <w:pPr>
        <w:spacing w:after="0" w:line="221" w:lineRule="exact"/>
        <w:rPr>
          <w:rFonts w:ascii="Arial" w:cs="Arial" w:eastAsia="Arial" w:hAnsi="Arial"/>
          <w:sz w:val="20"/>
          <w:szCs w:val="20"/>
          <w:b w:val="1"/>
          <w:bCs w:val="1"/>
          <w:color w:val="auto"/>
        </w:rPr>
      </w:pPr>
    </w:p>
    <w:p>
      <w:pPr>
        <w:jc w:val="both"/>
        <w:ind w:firstLine="1305"/>
        <w:spacing w:after="0" w:line="259" w:lineRule="auto"/>
        <w:tabs>
          <w:tab w:leader="none" w:pos="1696"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No amendment, waiver or other modification of any provision of this Agreement or any other Loan Document (other than Bank Product Agreements or the Fee Letter), and no consent with respect to any departure by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waiver, amendment, or consent shall, unless in writing and signed by all of the Lenders directly affected thereby and all of the Loan Parties that are party thereto, do any of the following:</w:t>
      </w:r>
    </w:p>
    <w:p>
      <w:pPr>
        <w:spacing w:after="0" w:line="178" w:lineRule="exact"/>
        <w:rPr>
          <w:rFonts w:ascii="Arial" w:cs="Arial" w:eastAsia="Arial" w:hAnsi="Arial"/>
          <w:sz w:val="19"/>
          <w:szCs w:val="19"/>
          <w:color w:val="auto"/>
        </w:rPr>
      </w:pPr>
    </w:p>
    <w:p>
      <w:pPr>
        <w:ind w:firstLine="1953"/>
        <w:spacing w:after="0" w:line="260" w:lineRule="auto"/>
        <w:tabs>
          <w:tab w:leader="none" w:pos="2393" w:val="left"/>
        </w:tabs>
        <w:numPr>
          <w:ilvl w:val="2"/>
          <w:numId w:val="142"/>
        </w:numPr>
        <w:rPr>
          <w:rFonts w:ascii="Arial" w:cs="Arial" w:eastAsia="Arial" w:hAnsi="Arial"/>
          <w:sz w:val="20"/>
          <w:szCs w:val="20"/>
          <w:color w:val="auto"/>
        </w:rPr>
      </w:pPr>
      <w:r>
        <w:rPr>
          <w:rFonts w:ascii="Arial" w:cs="Arial" w:eastAsia="Arial" w:hAnsi="Arial"/>
          <w:sz w:val="20"/>
          <w:szCs w:val="20"/>
          <w:color w:val="auto"/>
        </w:rPr>
        <w:t xml:space="preserve">increase the amount of or extend the expiration date of any Commitment of any Lender or amend, modify, or eliminate the last sentence of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firstLine="1953"/>
        <w:spacing w:after="0" w:line="260" w:lineRule="auto"/>
        <w:tabs>
          <w:tab w:leader="none" w:pos="2407" w:val="left"/>
        </w:tabs>
        <w:numPr>
          <w:ilvl w:val="2"/>
          <w:numId w:val="142"/>
        </w:numPr>
        <w:rPr>
          <w:rFonts w:ascii="Arial" w:cs="Arial" w:eastAsia="Arial" w:hAnsi="Arial"/>
          <w:sz w:val="20"/>
          <w:szCs w:val="20"/>
          <w:color w:val="auto"/>
        </w:rPr>
      </w:pPr>
      <w:r>
        <w:rPr>
          <w:rFonts w:ascii="Arial" w:cs="Arial" w:eastAsia="Arial" w:hAnsi="Arial"/>
          <w:sz w:val="20"/>
          <w:szCs w:val="20"/>
          <w:color w:val="auto"/>
        </w:rPr>
        <w:t>postpone or delay any date fixed by this Agreement or any other Loan Document for any payment of principal, interest, fees, or other amounts due hereunder or under any other Loan Document,</w:t>
      </w:r>
    </w:p>
    <w:p>
      <w:pPr>
        <w:spacing w:after="0" w:line="176" w:lineRule="exact"/>
        <w:rPr>
          <w:rFonts w:ascii="Arial" w:cs="Arial" w:eastAsia="Arial" w:hAnsi="Arial"/>
          <w:sz w:val="20"/>
          <w:szCs w:val="20"/>
          <w:color w:val="auto"/>
        </w:rPr>
      </w:pPr>
    </w:p>
    <w:p>
      <w:pPr>
        <w:jc w:val="both"/>
        <w:ind w:firstLine="1953"/>
        <w:spacing w:after="0" w:line="250" w:lineRule="auto"/>
        <w:tabs>
          <w:tab w:leader="none" w:pos="2448" w:val="left"/>
        </w:tabs>
        <w:numPr>
          <w:ilvl w:val="2"/>
          <w:numId w:val="142"/>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on, any loan or other extension of credit hereunder, or reduce any fees or other amounts payable hereunder or under any other Loan Document (except in connection with the waiver of applicability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2.6(c)</w:t>
      </w:r>
      <w:r>
        <w:rPr>
          <w:rFonts w:ascii="Arial" w:cs="Arial" w:eastAsia="Arial" w:hAnsi="Arial"/>
          <w:sz w:val="20"/>
          <w:szCs w:val="20"/>
          <w:color w:val="auto"/>
        </w:rPr>
        <w:t xml:space="preserve"> (which waiver shall be effective with the written consent of the Required Lenders)),</w:t>
      </w:r>
    </w:p>
    <w:p>
      <w:pPr>
        <w:spacing w:after="0" w:line="186" w:lineRule="exact"/>
        <w:rPr>
          <w:rFonts w:ascii="Arial" w:cs="Arial" w:eastAsia="Arial" w:hAnsi="Arial"/>
          <w:sz w:val="20"/>
          <w:szCs w:val="20"/>
          <w:color w:val="auto"/>
        </w:rPr>
      </w:pPr>
    </w:p>
    <w:p>
      <w:pPr>
        <w:ind w:left="2420" w:hanging="467"/>
        <w:spacing w:after="0"/>
        <w:tabs>
          <w:tab w:leader="none" w:pos="24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amend, modify, or eliminate this Section or any provision of this Agreement providing for consent or other action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all Lenders,</w:t>
      </w:r>
    </w:p>
    <w:p>
      <w:pPr>
        <w:spacing w:after="0" w:line="199" w:lineRule="exact"/>
        <w:rPr>
          <w:rFonts w:ascii="Arial" w:cs="Arial" w:eastAsia="Arial" w:hAnsi="Arial"/>
          <w:sz w:val="18"/>
          <w:szCs w:val="18"/>
          <w:color w:val="auto"/>
        </w:rPr>
      </w:pPr>
    </w:p>
    <w:p>
      <w:pPr>
        <w:ind w:left="2360" w:hanging="407"/>
        <w:spacing w:after="0"/>
        <w:tabs>
          <w:tab w:leader="none" w:pos="236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 xml:space="preserve">amend, modify, or eliminate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3.2</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 xml:space="preserve">amend, modify, or eliminate </w:t>
      </w:r>
      <w:r>
        <w:rPr>
          <w:rFonts w:ascii="Arial" w:cs="Arial" w:eastAsia="Arial" w:hAnsi="Arial"/>
          <w:sz w:val="20"/>
          <w:szCs w:val="20"/>
          <w:u w:val="single" w:color="auto"/>
          <w:color w:val="auto"/>
        </w:rPr>
        <w:t>Section 15.11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480" w:hanging="527"/>
        <w:spacing w:after="0"/>
        <w:tabs>
          <w:tab w:leader="none" w:pos="248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 xml:space="preserve">other than as permitted by </w:t>
      </w:r>
      <w:r>
        <w:rPr>
          <w:rFonts w:ascii="Arial" w:cs="Arial" w:eastAsia="Arial" w:hAnsi="Arial"/>
          <w:sz w:val="20"/>
          <w:szCs w:val="20"/>
          <w:u w:val="single" w:color="auto"/>
          <w:color w:val="auto"/>
        </w:rPr>
        <w:t>Section 15.11</w:t>
      </w:r>
      <w:r>
        <w:rPr>
          <w:rFonts w:ascii="Arial" w:cs="Arial" w:eastAsia="Arial" w:hAnsi="Arial"/>
          <w:sz w:val="20"/>
          <w:szCs w:val="20"/>
          <w:color w:val="auto"/>
        </w:rPr>
        <w:t>, release Agent’s Lien in and to any of the Collateral,</w:t>
      </w:r>
    </w:p>
    <w:p>
      <w:pPr>
        <w:spacing w:after="0" w:line="215" w:lineRule="exact"/>
        <w:rPr>
          <w:rFonts w:ascii="Arial" w:cs="Arial" w:eastAsia="Arial" w:hAnsi="Arial"/>
          <w:sz w:val="20"/>
          <w:szCs w:val="20"/>
          <w:color w:val="auto"/>
        </w:rPr>
      </w:pPr>
    </w:p>
    <w:p>
      <w:pPr>
        <w:ind w:left="2520" w:hanging="567"/>
        <w:spacing w:after="0"/>
        <w:tabs>
          <w:tab w:leader="none" w:pos="252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amend, modify, or eliminate the definitions of “Required Lenders” or “Pro Rata Share”,</w:t>
      </w:r>
    </w:p>
    <w:p>
      <w:pPr>
        <w:spacing w:after="0" w:line="200" w:lineRule="exact"/>
        <w:rPr>
          <w:sz w:val="20"/>
          <w:szCs w:val="20"/>
          <w:color w:val="auto"/>
        </w:rPr>
      </w:pPr>
    </w:p>
    <w:p>
      <w:pPr>
        <w:spacing w:after="0" w:line="25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825" w:right="239" w:bottom="1440" w:gutter="0" w:footer="0" w:header="0"/>
        </w:sectPr>
      </w:pPr>
    </w:p>
    <w:bookmarkStart w:id="148" w:name="page149"/>
    <w:bookmarkEnd w:id="148"/>
    <w:p>
      <w:pPr>
        <w:ind w:left="1760" w:hanging="467"/>
        <w:spacing w:after="0"/>
        <w:tabs>
          <w:tab w:leader="none" w:pos="176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contractually subordinate any of Agent’s Liens,</w:t>
      </w:r>
    </w:p>
    <w:p>
      <w:pPr>
        <w:spacing w:after="0" w:line="215" w:lineRule="exact"/>
        <w:rPr>
          <w:rFonts w:ascii="Arial" w:cs="Arial" w:eastAsia="Arial" w:hAnsi="Arial"/>
          <w:sz w:val="20"/>
          <w:szCs w:val="20"/>
          <w:color w:val="auto"/>
        </w:rPr>
      </w:pPr>
    </w:p>
    <w:p>
      <w:pPr>
        <w:jc w:val="both"/>
        <w:ind w:left="-660" w:firstLine="1953"/>
        <w:spacing w:after="0" w:line="291" w:lineRule="auto"/>
        <w:tabs>
          <w:tab w:leader="none" w:pos="172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other than in connection with a merger, liquidation, dissolution or sale of such Person expressly permitted by the terms hereof or the other Loan Documents, release Borrower or any Guarantor from any obligation for the payment of money or consent to the assignment or transfer by Borrower or any Guarantor of any of its rights or duties under this Agreement or the other Loan Documents, or</w:t>
      </w:r>
    </w:p>
    <w:p>
      <w:pPr>
        <w:spacing w:after="0" w:line="151" w:lineRule="exact"/>
        <w:rPr>
          <w:rFonts w:ascii="Arial" w:cs="Arial" w:eastAsia="Arial" w:hAnsi="Arial"/>
          <w:sz w:val="18"/>
          <w:szCs w:val="18"/>
          <w:color w:val="auto"/>
        </w:rPr>
      </w:pPr>
    </w:p>
    <w:p>
      <w:pPr>
        <w:ind w:left="1760" w:hanging="467"/>
        <w:spacing w:after="0"/>
        <w:tabs>
          <w:tab w:leader="none" w:pos="176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 xml:space="preserve">amend, modify, or eliminate any of the provisions of </w:t>
      </w:r>
      <w:r>
        <w:rPr>
          <w:rFonts w:ascii="Arial" w:cs="Arial" w:eastAsia="Arial" w:hAnsi="Arial"/>
          <w:sz w:val="20"/>
          <w:szCs w:val="20"/>
          <w:u w:val="single" w:color="auto"/>
          <w:color w:val="auto"/>
        </w:rPr>
        <w:t>Section 2.4(b)(i)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2.4(e)</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or</w:t>
      </w:r>
    </w:p>
    <w:p>
      <w:pPr>
        <w:spacing w:after="0" w:line="215" w:lineRule="exact"/>
        <w:rPr>
          <w:rFonts w:ascii="Arial" w:cs="Arial" w:eastAsia="Arial" w:hAnsi="Arial"/>
          <w:sz w:val="20"/>
          <w:szCs w:val="20"/>
          <w:color w:val="auto"/>
        </w:rPr>
      </w:pPr>
    </w:p>
    <w:p>
      <w:pPr>
        <w:ind w:left="-660" w:firstLine="1953"/>
        <w:spacing w:after="0" w:line="260" w:lineRule="auto"/>
        <w:tabs>
          <w:tab w:leader="none" w:pos="1859" w:val="left"/>
        </w:tabs>
        <w:numPr>
          <w:ilvl w:val="1"/>
          <w:numId w:val="143"/>
        </w:numPr>
        <w:rPr>
          <w:rFonts w:ascii="Arial" w:cs="Arial" w:eastAsia="Arial" w:hAnsi="Arial"/>
          <w:sz w:val="20"/>
          <w:szCs w:val="20"/>
          <w:color w:val="auto"/>
        </w:rPr>
      </w:pPr>
      <w:r>
        <w:rPr>
          <w:rFonts w:ascii="Arial" w:cs="Arial" w:eastAsia="Arial" w:hAnsi="Arial"/>
          <w:sz w:val="20"/>
          <w:szCs w:val="20"/>
          <w:color w:val="auto"/>
        </w:rPr>
        <w:t xml:space="preserve">amend, modify, or eliminate any of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to permit a Loan Party or an Affiliate of a Loan Party to become an Assignee or a Participant.</w:t>
      </w:r>
    </w:p>
    <w:p>
      <w:pPr>
        <w:spacing w:after="0" w:line="176" w:lineRule="exact"/>
        <w:rPr>
          <w:rFonts w:ascii="Arial" w:cs="Arial" w:eastAsia="Arial" w:hAnsi="Arial"/>
          <w:sz w:val="20"/>
          <w:szCs w:val="20"/>
          <w:color w:val="auto"/>
        </w:rPr>
      </w:pPr>
    </w:p>
    <w:p>
      <w:pPr>
        <w:ind w:left="1060" w:hanging="415"/>
        <w:spacing w:after="0"/>
        <w:tabs>
          <w:tab w:leader="none" w:pos="10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No amendment, waiver, modification, or consent shall amend, modify, waive, or eliminate,</w:t>
      </w:r>
    </w:p>
    <w:p>
      <w:pPr>
        <w:spacing w:after="0" w:line="215" w:lineRule="exact"/>
        <w:rPr>
          <w:rFonts w:ascii="Arial" w:cs="Arial" w:eastAsia="Arial" w:hAnsi="Arial"/>
          <w:sz w:val="20"/>
          <w:szCs w:val="20"/>
          <w:color w:val="auto"/>
        </w:rPr>
      </w:pPr>
    </w:p>
    <w:p>
      <w:pPr>
        <w:ind w:left="-660" w:firstLine="1953"/>
        <w:spacing w:after="0" w:line="260" w:lineRule="auto"/>
        <w:tabs>
          <w:tab w:leader="none" w:pos="1706"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definition of, or any of the terms or provisions of, the Fee Letter, without the written consent of Agent and Borrower (and shall not require the written consent of any of the Lenders),</w:t>
      </w:r>
    </w:p>
    <w:p>
      <w:pPr>
        <w:spacing w:after="0" w:line="176" w:lineRule="exact"/>
        <w:rPr>
          <w:rFonts w:ascii="Arial" w:cs="Arial" w:eastAsia="Arial" w:hAnsi="Arial"/>
          <w:sz w:val="20"/>
          <w:szCs w:val="20"/>
          <w:color w:val="auto"/>
        </w:rPr>
      </w:pPr>
    </w:p>
    <w:p>
      <w:pPr>
        <w:ind w:left="-660" w:firstLine="1953"/>
        <w:spacing w:after="0" w:line="260" w:lineRule="auto"/>
        <w:tabs>
          <w:tab w:leader="none" w:pos="1747" w:val="left"/>
        </w:tabs>
        <w:numPr>
          <w:ilvl w:val="1"/>
          <w:numId w:val="144"/>
        </w:numPr>
        <w:rPr>
          <w:rFonts w:ascii="Arial" w:cs="Arial" w:eastAsia="Arial" w:hAnsi="Arial"/>
          <w:sz w:val="20"/>
          <w:szCs w:val="20"/>
          <w:color w:val="auto"/>
        </w:rPr>
      </w:pPr>
      <w:r>
        <w:rPr>
          <w:rFonts w:ascii="Arial" w:cs="Arial" w:eastAsia="Arial" w:hAnsi="Arial"/>
          <w:sz w:val="20"/>
          <w:szCs w:val="20"/>
          <w:color w:val="auto"/>
        </w:rPr>
        <w:t xml:space="preserve">any provision of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pertaining to Agent, or any other rights or duties of Agent under this Agreement or the other Loan Documents, without the written consent of Agent, Borrower, and the Required Lenders;</w:t>
      </w:r>
    </w:p>
    <w:p>
      <w:pPr>
        <w:spacing w:after="0" w:line="176" w:lineRule="exact"/>
        <w:rPr>
          <w:rFonts w:ascii="Arial" w:cs="Arial" w:eastAsia="Arial" w:hAnsi="Arial"/>
          <w:sz w:val="20"/>
          <w:szCs w:val="20"/>
          <w:color w:val="auto"/>
        </w:rPr>
      </w:pPr>
    </w:p>
    <w:p>
      <w:pPr>
        <w:jc w:val="both"/>
        <w:ind w:left="-660" w:firstLine="1305"/>
        <w:spacing w:after="0" w:line="244" w:lineRule="auto"/>
        <w:tabs>
          <w:tab w:leader="none" w:pos="109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No amendment, waiver, modification, elimination, or consent shall amend, without written consent of Agent, Borrower and the Supermajority Lenders, modify, or eliminate the definition of Borrowing Base or any of the defined terms (including the definitions of Eligible Accounts, Eligible Finished Goods Inventory and Eligible Inventory) that are used in such definition to the extent that any such change results in more credit being made available to Borrower based upon the Borrowing Base, but not otherwise, or the definition of Maximum Revolver Amount (except as provided in </w:t>
      </w:r>
      <w:r>
        <w:rPr>
          <w:rFonts w:ascii="Arial" w:cs="Arial" w:eastAsia="Arial" w:hAnsi="Arial"/>
          <w:sz w:val="20"/>
          <w:szCs w:val="20"/>
          <w:u w:val="single" w:color="auto"/>
          <w:color w:val="auto"/>
        </w:rPr>
        <w:t>Section 2.15</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660" w:firstLine="1305"/>
        <w:spacing w:after="0" w:line="269" w:lineRule="auto"/>
        <w:tabs>
          <w:tab w:leader="none" w:pos="1182"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 and the Required Lenders;</w:t>
      </w:r>
    </w:p>
    <w:p>
      <w:pPr>
        <w:spacing w:after="0" w:line="170" w:lineRule="exact"/>
        <w:rPr>
          <w:rFonts w:ascii="Arial" w:cs="Arial" w:eastAsia="Arial" w:hAnsi="Arial"/>
          <w:sz w:val="19"/>
          <w:szCs w:val="19"/>
          <w:color w:val="auto"/>
        </w:rPr>
      </w:pPr>
    </w:p>
    <w:p>
      <w:pPr>
        <w:jc w:val="both"/>
        <w:ind w:left="-660" w:firstLine="1305"/>
        <w:spacing w:after="0" w:line="291" w:lineRule="auto"/>
        <w:tabs>
          <w:tab w:leader="none" w:pos="11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 and the Required Lenders; and</w:t>
      </w:r>
    </w:p>
    <w:p>
      <w:pPr>
        <w:spacing w:after="0" w:line="151" w:lineRule="exact"/>
        <w:rPr>
          <w:rFonts w:ascii="Arial" w:cs="Arial" w:eastAsia="Arial" w:hAnsi="Arial"/>
          <w:sz w:val="18"/>
          <w:szCs w:val="18"/>
          <w:color w:val="auto"/>
        </w:rPr>
      </w:pPr>
    </w:p>
    <w:p>
      <w:pPr>
        <w:jc w:val="both"/>
        <w:ind w:left="-660" w:firstLine="1305"/>
        <w:spacing w:after="0" w:line="243" w:lineRule="auto"/>
        <w:tabs>
          <w:tab w:leader="none" w:pos="1122"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14.1</w:t>
      </w:r>
      <w:r>
        <w:rPr>
          <w:rFonts w:ascii="Arial" w:cs="Arial" w:eastAsia="Arial" w:hAnsi="Arial"/>
          <w:sz w:val="20"/>
          <w:szCs w:val="20"/>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u w:val="single" w:color="auto"/>
          <w:color w:val="auto"/>
        </w:rPr>
        <w:t>Replacement of Certain Lenders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65"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0760"/>
          </w:cols>
          <w:pgMar w:left="900" w:top="825" w:right="239" w:bottom="1440" w:gutter="0" w:footer="0" w:header="0"/>
        </w:sectPr>
      </w:pPr>
    </w:p>
    <w:bookmarkStart w:id="149" w:name="page150"/>
    <w:bookmarkEnd w:id="149"/>
    <w:p>
      <w:pPr>
        <w:jc w:val="both"/>
        <w:ind w:firstLine="1305"/>
        <w:spacing w:after="0" w:line="257" w:lineRule="auto"/>
        <w:tabs>
          <w:tab w:leader="none" w:pos="171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Arial" w:cs="Arial" w:eastAsia="Arial" w:hAnsi="Arial"/>
          <w:sz w:val="19"/>
          <w:szCs w:val="19"/>
          <w:u w:val="single" w:color="auto"/>
          <w:color w:val="auto"/>
        </w:rPr>
        <w:t>Section 16</w:t>
      </w:r>
      <w:r>
        <w:rPr>
          <w:rFonts w:ascii="Arial" w:cs="Arial" w:eastAsia="Arial" w:hAnsi="Arial"/>
          <w:sz w:val="19"/>
          <w:szCs w:val="19"/>
          <w:color w:val="auto"/>
        </w:rPr>
        <w:t>, then Borrower or Agent, upon at least 5 Business Days prior irrevocable notice, may permanently replace any Lender that failed to give its consent, authorization, or agreement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or any Lender that made a claim for compensation (a “</w:t>
      </w:r>
      <w:r>
        <w:rPr>
          <w:rFonts w:ascii="Arial" w:cs="Arial" w:eastAsia="Arial" w:hAnsi="Arial"/>
          <w:sz w:val="19"/>
          <w:szCs w:val="19"/>
          <w:u w:val="single" w:color="auto"/>
          <w:color w:val="auto"/>
        </w:rPr>
        <w:t>Tax Lender</w:t>
      </w:r>
      <w:r>
        <w:rPr>
          <w:rFonts w:ascii="Arial" w:cs="Arial" w:eastAsia="Arial" w:hAnsi="Arial"/>
          <w:sz w:val="19"/>
          <w:szCs w:val="19"/>
          <w:color w:val="auto"/>
        </w:rPr>
        <w:t>”) with one or more Replacement Lenders, and the Non-Consenting Lender or Tax Lender, as applicable, shall have no right to refuse to be replaced hereunder. Such notice to replace the Non-Consenting Lender or Tax Lender, as applicable, shall specify an effective date for such replacement, which date shall not be later than 15 Business Days after the date such notice is given.</w:t>
      </w:r>
    </w:p>
    <w:p>
      <w:pPr>
        <w:spacing w:after="0" w:line="181" w:lineRule="exact"/>
        <w:rPr>
          <w:rFonts w:ascii="Arial" w:cs="Arial" w:eastAsia="Arial" w:hAnsi="Arial"/>
          <w:sz w:val="19"/>
          <w:szCs w:val="19"/>
          <w:color w:val="auto"/>
        </w:rPr>
      </w:pPr>
    </w:p>
    <w:p>
      <w:pPr>
        <w:jc w:val="both"/>
        <w:ind w:firstLine="1305"/>
        <w:spacing w:after="0" w:line="272" w:lineRule="auto"/>
        <w:tabs>
          <w:tab w:leader="none" w:pos="182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w:t>
      </w:r>
    </w:p>
    <w:p>
      <w:pPr>
        <w:spacing w:after="0" w:line="1" w:lineRule="exact"/>
        <w:rPr>
          <w:rFonts w:ascii="Arial" w:cs="Arial" w:eastAsia="Arial" w:hAnsi="Arial"/>
          <w:sz w:val="18"/>
          <w:szCs w:val="18"/>
          <w:color w:val="auto"/>
        </w:rPr>
      </w:pPr>
    </w:p>
    <w:p>
      <w:pPr>
        <w:jc w:val="both"/>
        <w:ind w:firstLine="8"/>
        <w:spacing w:after="0" w:line="269" w:lineRule="auto"/>
        <w:tabs>
          <w:tab w:leader="none" w:pos="2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all interest, fees and other amounts that may be due in payable in respect thereof, and (ii) an assumption of its Pro Rata Share of participations in the Letters of Credit). If the Non-Consenting Lender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 accordance with the terms of </w:t>
      </w:r>
      <w:r>
        <w:rPr>
          <w:rFonts w:ascii="Arial" w:cs="Arial" w:eastAsia="Arial" w:hAnsi="Arial"/>
          <w:sz w:val="18"/>
          <w:szCs w:val="18"/>
          <w:u w:val="single" w:color="auto"/>
          <w:color w:val="auto"/>
        </w:rPr>
        <w:t>Section 13.1</w:t>
      </w:r>
      <w:r>
        <w:rPr>
          <w:rFonts w:ascii="Arial" w:cs="Arial" w:eastAsia="Arial" w:hAnsi="Arial"/>
          <w:sz w:val="18"/>
          <w:szCs w:val="18"/>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to purchase a participation in each Letter of Credit, in an amount equal to its Pro Rata Share of participations in such Letters of Credit.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u w:val="single" w:color="auto"/>
          <w:color w:val="auto"/>
        </w:rPr>
        <w:t>No Waivers; Cumulative Remedies</w:t>
      </w:r>
      <w:r>
        <w:rPr>
          <w:rFonts w:ascii="Arial" w:cs="Arial" w:eastAsia="Arial" w:hAnsi="Arial"/>
          <w:sz w:val="19"/>
          <w:szCs w:val="19"/>
          <w:color w:val="auto"/>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Borrower of any provision of this Agreement. Agent’s and each Lender’s rights under this Agreement and the other Loan Documents will be cumulative and not exclusive of any other right or remedy that Agent or any Lender may have.</w:t>
      </w:r>
    </w:p>
    <w:p>
      <w:pPr>
        <w:spacing w:after="0" w:line="173"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AGENT; THE LENDER GROUP.</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b w:val="1"/>
          <w:bCs w:val="1"/>
          <w:u w:val="single" w:color="auto"/>
          <w:color w:val="auto"/>
        </w:rPr>
        <w:t>Appointment and Authorization of Agent</w:t>
      </w:r>
      <w:r>
        <w:rPr>
          <w:rFonts w:ascii="Arial" w:cs="Arial" w:eastAsia="Arial" w:hAnsi="Arial"/>
          <w:sz w:val="20"/>
          <w:szCs w:val="20"/>
          <w:color w:val="auto"/>
        </w:rPr>
        <w:t>. 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w:t>
      </w:r>
    </w:p>
    <w:p>
      <w:pPr>
        <w:spacing w:after="0" w:line="200" w:lineRule="exact"/>
        <w:rPr>
          <w:sz w:val="20"/>
          <w:szCs w:val="20"/>
          <w:color w:val="auto"/>
        </w:rPr>
      </w:pPr>
    </w:p>
    <w:p>
      <w:pPr>
        <w:spacing w:after="0" w:line="236"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825" w:right="239" w:bottom="1440" w:gutter="0" w:footer="0" w:header="0"/>
        </w:sectPr>
      </w:pPr>
    </w:p>
    <w:bookmarkStart w:id="150" w:name="page151"/>
    <w:bookmarkEnd w:id="150"/>
    <w:p>
      <w:pPr>
        <w:jc w:val="both"/>
        <w:spacing w:after="0" w:line="268" w:lineRule="auto"/>
        <w:rPr>
          <w:sz w:val="20"/>
          <w:szCs w:val="20"/>
          <w:color w:val="auto"/>
        </w:rPr>
      </w:pPr>
      <w:r>
        <w:rPr>
          <w:rFonts w:ascii="Arial" w:cs="Arial" w:eastAsia="Arial" w:hAnsi="Arial"/>
          <w:sz w:val="18"/>
          <w:szCs w:val="18"/>
          <w:color w:val="auto"/>
        </w:rPr>
        <w:t>Product Providers) on the conditions contained in this Section 15.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Borrower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b w:val="1"/>
          <w:bCs w:val="1"/>
          <w:u w:val="single" w:color="auto"/>
          <w:color w:val="auto"/>
        </w:rPr>
        <w:t>Delegation of Duties</w:t>
      </w:r>
      <w:r>
        <w:rPr>
          <w:rFonts w:ascii="Arial" w:cs="Arial" w:eastAsia="Arial" w:hAnsi="Arial"/>
          <w:sz w:val="20"/>
          <w:szCs w:val="20"/>
          <w:color w:val="auto"/>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b w:val="1"/>
          <w:bCs w:val="1"/>
          <w:u w:val="single" w:color="auto"/>
          <w:color w:val="auto"/>
        </w:rPr>
        <w:t>Liability of Agent</w:t>
      </w:r>
      <w:r>
        <w:rPr>
          <w:rFonts w:ascii="Arial" w:cs="Arial" w:eastAsia="Arial" w:hAnsi="Arial"/>
          <w:sz w:val="19"/>
          <w:szCs w:val="19"/>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Borrower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Borrower or its Subsidiaries or any other party to any Loan Document to perform its obligations hereunder or thereunder. No Agent-Related Person shall be under any obligation to any Lenders (or Bank Product Providers) to</w:t>
      </w:r>
    </w:p>
    <w:p>
      <w:pPr>
        <w:spacing w:after="0" w:line="200" w:lineRule="exact"/>
        <w:rPr>
          <w:sz w:val="20"/>
          <w:szCs w:val="20"/>
          <w:color w:val="auto"/>
        </w:rPr>
      </w:pPr>
    </w:p>
    <w:p>
      <w:pPr>
        <w:spacing w:after="0" w:line="226"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825" w:right="239" w:bottom="1440" w:gutter="0" w:footer="0" w:header="0"/>
        </w:sectPr>
      </w:pPr>
    </w:p>
    <w:bookmarkStart w:id="151" w:name="page152"/>
    <w:bookmarkEnd w:id="151"/>
    <w:p>
      <w:pPr>
        <w:jc w:val="both"/>
        <w:spacing w:after="0" w:line="260" w:lineRule="auto"/>
        <w:rPr>
          <w:sz w:val="20"/>
          <w:szCs w:val="20"/>
          <w:color w:val="auto"/>
        </w:rPr>
      </w:pPr>
      <w:r>
        <w:rPr>
          <w:rFonts w:ascii="Arial" w:cs="Arial" w:eastAsia="Arial" w:hAnsi="Arial"/>
          <w:sz w:val="20"/>
          <w:szCs w:val="20"/>
          <w:color w:val="auto"/>
        </w:rPr>
        <w:t>ascertain or to inquire as to the observance or performance of any of the agreements contained in, or conditions of, this Agreement or any other Loan Document, or to inspect the books and records or properties of Borrower or its Subsidiaries.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u w:val="single" w:color="auto"/>
          <w:color w:val="auto"/>
        </w:rPr>
        <w:t>Reliance by Agent</w:t>
      </w:r>
      <w:r>
        <w:rPr>
          <w:rFonts w:ascii="Arial" w:cs="Arial" w:eastAsia="Arial" w:hAnsi="Arial"/>
          <w:sz w:val="18"/>
          <w:szCs w:val="18"/>
          <w:u w:val="single" w:color="auto"/>
          <w:color w:val="auto"/>
        </w:rPr>
        <w:t>.</w:t>
      </w:r>
      <w:r>
        <w:rPr>
          <w:rFonts w:ascii="Arial" w:cs="Arial" w:eastAsia="Arial" w:hAnsi="Arial"/>
          <w:sz w:val="18"/>
          <w:szCs w:val="18"/>
          <w:color w:val="auto"/>
        </w:rPr>
        <w:t xml:space="preserve">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Notice of Default or Event of Default</w:t>
      </w:r>
      <w:r>
        <w:rPr>
          <w:rFonts w:ascii="Arial" w:cs="Arial" w:eastAsia="Arial" w:hAnsi="Arial"/>
          <w:sz w:val="18"/>
          <w:szCs w:val="18"/>
          <w:color w:val="auto"/>
        </w:rPr>
        <w:t>.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Section 15.4, Agent shall take such action with respect to such Default or Event of Default as may be requested by the Required Lenders in accordance with Section 9; provided, that unless and until Agent has received any such request, Agent may (but shall not be obligated to) take such action, or refrain from taking such action, with respect to such Default or Event of Default as it shall deem advisable.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u w:val="single" w:color="auto"/>
          <w:color w:val="auto"/>
        </w:rPr>
        <w:t>Credit Decision</w:t>
      </w:r>
      <w:r>
        <w:rPr>
          <w:rFonts w:ascii="Arial" w:cs="Arial" w:eastAsia="Arial" w:hAnsi="Arial"/>
          <w:sz w:val="18"/>
          <w:szCs w:val="18"/>
          <w:color w:val="auto"/>
        </w:rPr>
        <w:t>. Each Lender (and Bank Product Provider) acknowledges that none of the Agent-Related Persons has made any representation or warranty to it, and that no act by Agent hereinafter taken, including any review of the affairs of Borrower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Borrower or any other Person party to a Loan Document, and all applicable bank regulatory laws relating to the transactions contemplated hereby, and made its own decision to enter into this Agreement and to extend credit to Borrower.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825" w:right="239" w:bottom="1440" w:gutter="0" w:footer="0" w:header="0"/>
        </w:sectPr>
      </w:pPr>
    </w:p>
    <w:bookmarkStart w:id="152" w:name="page153"/>
    <w:bookmarkEnd w:id="152"/>
    <w:p>
      <w:pPr>
        <w:jc w:val="both"/>
        <w:spacing w:after="0" w:line="255" w:lineRule="auto"/>
        <w:rPr>
          <w:sz w:val="20"/>
          <w:szCs w:val="20"/>
          <w:color w:val="auto"/>
        </w:rPr>
      </w:pPr>
      <w:r>
        <w:rPr>
          <w:rFonts w:ascii="Arial" w:cs="Arial" w:eastAsia="Arial" w:hAnsi="Arial"/>
          <w:sz w:val="19"/>
          <w:szCs w:val="19"/>
          <w:color w:val="auto"/>
        </w:rPr>
        <w:t>and decisions in taking or not taking action under this Agreement and the other Loan Documents, and to make such investigations as it deems necessary to inform itself as to the business, prospects, operations, property, financial and other condition and creditworthiness of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u w:val="single" w:color="auto"/>
          <w:color w:val="auto"/>
        </w:rPr>
        <w:t>Costs and Expenses; Indemnification</w:t>
      </w:r>
      <w:r>
        <w:rPr>
          <w:rFonts w:ascii="Arial" w:cs="Arial" w:eastAsia="Arial" w:hAnsi="Arial"/>
          <w:sz w:val="18"/>
          <w:szCs w:val="18"/>
          <w:color w:val="auto"/>
        </w:rPr>
        <w:t>.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 is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Borrower or its Subsidiaries, each Lender hereby agrees that it is and shall be obligated to pay to Agent such Lender’s ratable share thereof. Whether or not the transactions contemplated hereby are consummated, each of the Lenders, on a ratable basis, shall indemnify and defend the Agent-Related Persons (to the extent not reimbursed by or on behalf of Borrower and without limiting the obligation of Borrower to do so) from and against any and all Indemnified Liabilities; provided,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 The undertaking in this Section shall survive the payment of all Obligations hereunder and the resignation or replacement of Agent.</w:t>
      </w:r>
    </w:p>
    <w:p>
      <w:pPr>
        <w:spacing w:after="0" w:line="1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b w:val="1"/>
          <w:bCs w:val="1"/>
          <w:u w:val="single" w:color="auto"/>
          <w:color w:val="auto"/>
        </w:rPr>
        <w:t>Agent in Individual Capacity</w:t>
      </w:r>
      <w:r>
        <w:rPr>
          <w:rFonts w:ascii="Arial" w:cs="Arial" w:eastAsia="Arial" w:hAnsi="Arial"/>
          <w:sz w:val="20"/>
          <w:szCs w:val="20"/>
          <w:color w:val="auto"/>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Borrower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w:t>
      </w:r>
    </w:p>
    <w:p>
      <w:pPr>
        <w:spacing w:after="0" w:line="200" w:lineRule="exact"/>
        <w:rPr>
          <w:sz w:val="20"/>
          <w:szCs w:val="20"/>
          <w:color w:val="auto"/>
        </w:rPr>
      </w:pPr>
    </w:p>
    <w:p>
      <w:pPr>
        <w:spacing w:after="0" w:line="23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825" w:right="239" w:bottom="1440" w:gutter="0" w:footer="0" w:header="0"/>
        </w:sectPr>
      </w:pPr>
    </w:p>
    <w:bookmarkStart w:id="153" w:name="page154"/>
    <w:bookmarkEnd w:id="153"/>
    <w:p>
      <w:pPr>
        <w:jc w:val="both"/>
        <w:spacing w:after="0" w:line="259" w:lineRule="auto"/>
        <w:rPr>
          <w:sz w:val="20"/>
          <w:szCs w:val="20"/>
          <w:color w:val="auto"/>
        </w:rPr>
      </w:pPr>
      <w:r>
        <w:rPr>
          <w:rFonts w:ascii="Arial" w:cs="Arial" w:eastAsia="Arial" w:hAnsi="Arial"/>
          <w:sz w:val="19"/>
          <w:szCs w:val="19"/>
          <w:color w:val="auto"/>
        </w:rPr>
        <w:t>activities, Wells Fargo or its Affiliates may receive information regarding Borrower or its Affiliates or any other Person party to any Loan Documents that is subject to confidentiality obligations in favor of Borrower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u w:val="single" w:color="auto"/>
          <w:color w:val="auto"/>
        </w:rPr>
        <w:t>Successor Agent</w:t>
      </w:r>
      <w:r>
        <w:rPr>
          <w:rFonts w:ascii="Arial" w:cs="Arial" w:eastAsia="Arial" w:hAnsi="Arial"/>
          <w:sz w:val="18"/>
          <w:szCs w:val="18"/>
          <w:color w:val="auto"/>
        </w:rPr>
        <w:t>. Agent may resign as Agent upon 30 days (10 days if an Event of Default has occurred and is continuing) prior written notice to the Lenders (unless such notice is waived by the Required Lenders) and Borrower (unless such notice is waived by Borrower) and without any notice to the Bank Product Providers. If Agent resigns under this Agreement, the Required Lenders shall be entitled, with (so long as no Event of Default has occurred and is continuing) the consent of Borrower (such consent not to be unreasonably withheld, delayed, or conditioned), appoint a successor Agent for the Lenders (and the Bank Product Providers).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Section 15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u w:val="single" w:color="auto"/>
          <w:color w:val="auto"/>
        </w:rPr>
        <w:t>Lender in Individual Capacity</w:t>
      </w:r>
      <w:r>
        <w:rPr>
          <w:rFonts w:ascii="Arial" w:cs="Arial" w:eastAsia="Arial" w:hAnsi="Arial"/>
          <w:sz w:val="18"/>
          <w:szCs w:val="18"/>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Borrower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Borrower or its Affiliates or any other Person party to any Loan Documents that is subject to confidentiality obligations in favor of Borrower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825" w:right="239" w:bottom="1440" w:gutter="0" w:footer="0" w:header="0"/>
        </w:sectPr>
      </w:pPr>
    </w:p>
    <w:bookmarkStart w:id="154" w:name="page155"/>
    <w:bookmarkEnd w:id="154"/>
    <w:p>
      <w:pPr>
        <w:ind w:left="652"/>
        <w:spacing w:after="0"/>
        <w:tabs>
          <w:tab w:leader="none" w:pos="1252"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8"/>
          <w:szCs w:val="18"/>
          <w:b w:val="1"/>
          <w:bCs w:val="1"/>
          <w:u w:val="single" w:color="auto"/>
          <w:color w:val="auto"/>
        </w:rPr>
        <w:t>Collateral Matters</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left="-8" w:firstLine="1305"/>
        <w:spacing w:after="0" w:line="268" w:lineRule="auto"/>
        <w:tabs>
          <w:tab w:leader="none" w:pos="171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Borrower of all of the Obligations, (ii) constituting property being sold or disposed of if a release is required or desirable in connection therewith and if Borrower certifies to Agent that the sale or disposition is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(and Agent may rely conclusively on any such certificate, without further inquiry), (iii) constituting property in which Borrower or its Subsidiaries owned no interest at the time Agent’s Lien was granted nor at any time thereafter, (iv) constituting property leased or licensed to Borrower or its Subsidiaries under a lease or license that has expired or is terminated in a transaction permitted under this Agreement, or (v) in connection with a credit bid or purchase authorized under this </w:t>
      </w:r>
      <w:r>
        <w:rPr>
          <w:rFonts w:ascii="Arial" w:cs="Arial" w:eastAsia="Arial" w:hAnsi="Arial"/>
          <w:sz w:val="18"/>
          <w:szCs w:val="18"/>
          <w:u w:val="single" w:color="auto"/>
          <w:color w:val="auto"/>
        </w:rPr>
        <w:t>Section 15.11</w:t>
      </w:r>
      <w:r>
        <w:rPr>
          <w:rFonts w:ascii="Arial" w:cs="Arial" w:eastAsia="Arial" w:hAnsi="Arial"/>
          <w:sz w:val="18"/>
          <w:szCs w:val="18"/>
          <w:color w:val="auto"/>
        </w:rPr>
        <w:t>. The Loan Parties and the Lenders hereby irrevocably authorize (and by entering into a Bank Product Agreement, each Bank Product Provider shall be deemed to authorize) Agent, based upon the instruction of the Required Lenders, to</w:t>
      </w:r>
    </w:p>
    <w:p>
      <w:pPr>
        <w:spacing w:after="0" w:line="2" w:lineRule="exact"/>
        <w:rPr>
          <w:rFonts w:ascii="Arial" w:cs="Arial" w:eastAsia="Arial" w:hAnsi="Arial"/>
          <w:sz w:val="18"/>
          <w:szCs w:val="18"/>
          <w:color w:val="auto"/>
        </w:rPr>
      </w:pPr>
    </w:p>
    <w:p>
      <w:pPr>
        <w:jc w:val="both"/>
        <w:ind w:left="-8" w:firstLine="8"/>
        <w:spacing w:after="0" w:line="267" w:lineRule="auto"/>
        <w:tabs>
          <w:tab w:leader="none" w:pos="2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consent to,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 at any time, the Lenders will (and if so requested, the Bank Product Providers will) confirm in writing Agent’s authority to release any such Liens on particular types or items of Collateral pursuant to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w:t>
      </w:r>
    </w:p>
    <w:p>
      <w:pPr>
        <w:spacing w:after="0" w:line="200" w:lineRule="exact"/>
        <w:rPr>
          <w:sz w:val="20"/>
          <w:szCs w:val="20"/>
          <w:color w:val="auto"/>
        </w:rPr>
      </w:pPr>
    </w:p>
    <w:p>
      <w:pPr>
        <w:spacing w:after="0" w:line="225" w:lineRule="exact"/>
        <w:rPr>
          <w:sz w:val="20"/>
          <w:szCs w:val="20"/>
          <w:color w:val="auto"/>
        </w:rPr>
      </w:pPr>
    </w:p>
    <w:p>
      <w:pPr>
        <w:ind w:left="7712"/>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12"/>
          </w:cols>
          <w:pgMar w:left="248" w:top="819" w:right="239" w:bottom="1440" w:gutter="0" w:footer="0" w:header="0"/>
        </w:sectPr>
      </w:pPr>
    </w:p>
    <w:bookmarkStart w:id="155" w:name="page156"/>
    <w:bookmarkEnd w:id="155"/>
    <w:p>
      <w:pPr>
        <w:jc w:val="both"/>
        <w:spacing w:after="0" w:line="244" w:lineRule="auto"/>
        <w:rPr>
          <w:sz w:val="20"/>
          <w:szCs w:val="20"/>
          <w:color w:val="auto"/>
        </w:rPr>
      </w:pPr>
      <w:r>
        <w:rPr>
          <w:rFonts w:ascii="Arial" w:cs="Arial" w:eastAsia="Arial" w:hAnsi="Arial"/>
          <w:sz w:val="20"/>
          <w:szCs w:val="20"/>
          <w:color w:val="auto"/>
        </w:rPr>
        <w:t>Borrower in respect of) any and all interests retained by Borrower, including, the proceeds of any sale, all of which shall continue to constitute part of the Collateral. Each Lender further hereby irrevocably authorize (and by entering into a Bank Product Agreement, each Bank Product Provider shall be deemed to irrevocably authorize) Agent, at its option and in its sole discretion, to subordinate any Lien granted to or held by Agent under any Loan Document to the holder of any Permitted Lien on such property if such Permitted Lien secures Permitted Purchase Money Indebtedness.</w:t>
      </w:r>
    </w:p>
    <w:p>
      <w:pPr>
        <w:spacing w:after="0" w:line="195" w:lineRule="exact"/>
        <w:rPr>
          <w:sz w:val="20"/>
          <w:szCs w:val="20"/>
          <w:color w:val="auto"/>
        </w:rPr>
      </w:pPr>
    </w:p>
    <w:p>
      <w:pPr>
        <w:jc w:val="both"/>
        <w:ind w:firstLine="1305"/>
        <w:spacing w:after="0" w:line="271" w:lineRule="auto"/>
        <w:tabs>
          <w:tab w:leader="none" w:pos="17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Agent shall have no obligation whatsoever to any of the Lenders (or the Bank Product Providers) (i) to verify or assure that the Collateral exists or is owned by Borrower or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6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15.12</w:t>
      </w:r>
      <w:r>
        <w:rPr>
          <w:sz w:val="20"/>
          <w:szCs w:val="20"/>
          <w:color w:val="auto"/>
        </w:rPr>
        <w:tab/>
      </w:r>
      <w:r>
        <w:rPr>
          <w:rFonts w:ascii="Arial" w:cs="Arial" w:eastAsia="Arial" w:hAnsi="Arial"/>
          <w:sz w:val="16"/>
          <w:szCs w:val="16"/>
          <w:b w:val="1"/>
          <w:bCs w:val="1"/>
          <w:u w:val="single" w:color="auto"/>
          <w:color w:val="auto"/>
        </w:rPr>
        <w:t>Restrictions on Actions by Lenders; Sharing of Payments</w:t>
      </w:r>
      <w:r>
        <w:rPr>
          <w:rFonts w:ascii="Arial" w:cs="Arial" w:eastAsia="Arial" w:hAnsi="Arial"/>
          <w:sz w:val="16"/>
          <w:szCs w:val="16"/>
          <w:u w:val="single" w:color="auto"/>
          <w:color w:val="auto"/>
        </w:rPr>
        <w:t>.</w:t>
      </w:r>
    </w:p>
    <w:p>
      <w:pPr>
        <w:spacing w:after="0" w:line="222" w:lineRule="exact"/>
        <w:rPr>
          <w:sz w:val="20"/>
          <w:szCs w:val="20"/>
          <w:color w:val="auto"/>
        </w:rPr>
      </w:pPr>
    </w:p>
    <w:p>
      <w:pPr>
        <w:jc w:val="both"/>
        <w:ind w:firstLine="1305"/>
        <w:spacing w:after="0" w:line="259" w:lineRule="auto"/>
        <w:tabs>
          <w:tab w:leader="none" w:pos="171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Borrower or its Subsidiaries or any deposit accounts of Borrower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Borrower or any Guarantor or to foreclose any Lien on, or otherwise enforce any security interest in, any of the Collateral.</w:t>
      </w:r>
    </w:p>
    <w:p>
      <w:pPr>
        <w:spacing w:after="0" w:line="178" w:lineRule="exact"/>
        <w:rPr>
          <w:rFonts w:ascii="Arial" w:cs="Arial" w:eastAsia="Arial" w:hAnsi="Arial"/>
          <w:sz w:val="19"/>
          <w:szCs w:val="19"/>
          <w:color w:val="auto"/>
        </w:rPr>
      </w:pPr>
    </w:p>
    <w:p>
      <w:pPr>
        <w:jc w:val="both"/>
        <w:ind w:firstLine="1305"/>
        <w:spacing w:after="0" w:line="271" w:lineRule="auto"/>
        <w:tabs>
          <w:tab w:leader="none" w:pos="182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65"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15.13 </w:t>
      </w:r>
      <w:r>
        <w:rPr>
          <w:rFonts w:ascii="Arial" w:cs="Arial" w:eastAsia="Arial" w:hAnsi="Arial"/>
          <w:sz w:val="20"/>
          <w:szCs w:val="20"/>
          <w:b w:val="1"/>
          <w:bCs w:val="1"/>
          <w:u w:val="single" w:color="auto"/>
          <w:color w:val="auto"/>
        </w:rPr>
        <w:t>Agency for Perfection</w:t>
      </w:r>
      <w:r>
        <w:rPr>
          <w:rFonts w:ascii="Arial" w:cs="Arial" w:eastAsia="Arial" w:hAnsi="Arial"/>
          <w:sz w:val="20"/>
          <w:szCs w:val="20"/>
          <w:color w:val="auto"/>
        </w:rPr>
        <w:t>. Agent hereby appoints each other Lender (and each Bank Product Provider) as its agent (and each Lender hereby accepts (and by entering into a Bank Product Agreement,</w:t>
      </w:r>
    </w:p>
    <w:p>
      <w:pPr>
        <w:spacing w:after="0" w:line="200" w:lineRule="exact"/>
        <w:rPr>
          <w:sz w:val="20"/>
          <w:szCs w:val="20"/>
          <w:color w:val="auto"/>
        </w:rPr>
      </w:pPr>
    </w:p>
    <w:p>
      <w:pPr>
        <w:spacing w:after="0" w:line="213"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825" w:right="239" w:bottom="1440" w:gutter="0" w:footer="0" w:header="0"/>
        </w:sectPr>
      </w:pPr>
    </w:p>
    <w:bookmarkStart w:id="156" w:name="page157"/>
    <w:bookmarkEnd w:id="156"/>
    <w:p>
      <w:pPr>
        <w:jc w:val="both"/>
        <w:spacing w:after="0" w:line="246" w:lineRule="auto"/>
        <w:rPr>
          <w:sz w:val="20"/>
          <w:szCs w:val="20"/>
          <w:color w:val="auto"/>
        </w:rPr>
      </w:pPr>
      <w:r>
        <w:rPr>
          <w:rFonts w:ascii="Arial" w:cs="Arial" w:eastAsia="Arial" w:hAnsi="Arial"/>
          <w:sz w:val="20"/>
          <w:szCs w:val="20"/>
          <w:color w:val="auto"/>
        </w:rPr>
        <w:t>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15.14 </w:t>
      </w:r>
      <w:r>
        <w:rPr>
          <w:rFonts w:ascii="Arial" w:cs="Arial" w:eastAsia="Arial" w:hAnsi="Arial"/>
          <w:sz w:val="20"/>
          <w:szCs w:val="20"/>
          <w:b w:val="1"/>
          <w:bCs w:val="1"/>
          <w:u w:val="single" w:color="auto"/>
          <w:color w:val="auto"/>
        </w:rPr>
        <w:t>Payments by Agent to the Lenders</w:t>
      </w:r>
      <w:r>
        <w:rPr>
          <w:rFonts w:ascii="Arial" w:cs="Arial" w:eastAsia="Arial" w:hAnsi="Arial"/>
          <w:sz w:val="20"/>
          <w:szCs w:val="20"/>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8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b w:val="1"/>
          <w:bCs w:val="1"/>
          <w:u w:val="single" w:color="auto"/>
          <w:color w:val="auto"/>
        </w:rPr>
        <w:t>Concerning the Collateral and Related Loan Documents</w:t>
      </w:r>
      <w:r>
        <w:rPr>
          <w:rFonts w:ascii="Arial" w:cs="Arial" w:eastAsia="Arial" w:hAnsi="Arial"/>
          <w:sz w:val="18"/>
          <w:szCs w:val="18"/>
          <w:color w:val="auto"/>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15.16 </w:t>
      </w:r>
      <w:r>
        <w:rPr>
          <w:rFonts w:ascii="Arial" w:cs="Arial" w:eastAsia="Arial" w:hAnsi="Arial"/>
          <w:sz w:val="20"/>
          <w:szCs w:val="20"/>
          <w:b w:val="1"/>
          <w:bCs w:val="1"/>
          <w:u w:val="single" w:color="auto"/>
          <w:color w:val="auto"/>
        </w:rPr>
        <w:t>Field Examination Reports; Confidentiality; Disclaimers by Lenders; Other Reports and Information</w:t>
      </w:r>
      <w:r>
        <w:rPr>
          <w:rFonts w:ascii="Arial" w:cs="Arial" w:eastAsia="Arial" w:hAnsi="Arial"/>
          <w:sz w:val="20"/>
          <w:szCs w:val="20"/>
          <w:color w:val="auto"/>
        </w:rPr>
        <w:t>. By becoming a party to this Agreement, each Lender:</w:t>
      </w:r>
    </w:p>
    <w:p>
      <w:pPr>
        <w:spacing w:after="0" w:line="170" w:lineRule="exact"/>
        <w:rPr>
          <w:sz w:val="20"/>
          <w:szCs w:val="20"/>
          <w:color w:val="auto"/>
        </w:rPr>
      </w:pPr>
    </w:p>
    <w:p>
      <w:pPr>
        <w:jc w:val="both"/>
        <w:ind w:firstLine="1305"/>
        <w:spacing w:after="0" w:line="250" w:lineRule="auto"/>
        <w:tabs>
          <w:tab w:leader="none" w:pos="176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is deemed to have requested that Agent furnish such Lender, promptly after it becomes available, a copy of each field examination report respecting Borrower or its Subsidiaries (each, a “</w:t>
      </w:r>
      <w:r>
        <w:rPr>
          <w:rFonts w:ascii="Arial" w:cs="Arial" w:eastAsia="Arial" w:hAnsi="Arial"/>
          <w:sz w:val="20"/>
          <w:szCs w:val="20"/>
          <w:u w:val="single" w:color="auto"/>
          <w:color w:val="auto"/>
        </w:rPr>
        <w:t>Report</w:t>
      </w:r>
      <w:r>
        <w:rPr>
          <w:rFonts w:ascii="Arial" w:cs="Arial" w:eastAsia="Arial" w:hAnsi="Arial"/>
          <w:sz w:val="20"/>
          <w:szCs w:val="20"/>
          <w:color w:val="auto"/>
        </w:rPr>
        <w:t>”) prepared by or at the request of Agent, and Agent shall so furnish each Lender with such Reports,</w:t>
      </w:r>
    </w:p>
    <w:p>
      <w:pPr>
        <w:spacing w:after="0" w:line="186" w:lineRule="exact"/>
        <w:rPr>
          <w:rFonts w:ascii="Arial" w:cs="Arial" w:eastAsia="Arial" w:hAnsi="Arial"/>
          <w:sz w:val="20"/>
          <w:szCs w:val="20"/>
          <w:color w:val="auto"/>
        </w:rPr>
      </w:pPr>
    </w:p>
    <w:p>
      <w:pPr>
        <w:ind w:firstLine="1305"/>
        <w:spacing w:after="0" w:line="260" w:lineRule="auto"/>
        <w:tabs>
          <w:tab w:leader="none" w:pos="1721" w:val="left"/>
        </w:tabs>
        <w:numPr>
          <w:ilvl w:val="0"/>
          <w:numId w:val="152"/>
        </w:numPr>
        <w:rPr>
          <w:rFonts w:ascii="Arial" w:cs="Arial" w:eastAsia="Arial" w:hAnsi="Arial"/>
          <w:sz w:val="20"/>
          <w:szCs w:val="20"/>
          <w:color w:val="auto"/>
        </w:rPr>
      </w:pPr>
      <w:r>
        <w:rPr>
          <w:rFonts w:ascii="Arial" w:cs="Arial" w:eastAsia="Arial" w:hAnsi="Arial"/>
          <w:sz w:val="20"/>
          <w:szCs w:val="20"/>
          <w:color w:val="auto"/>
        </w:rPr>
        <w:t>expressly agrees and acknowledges that Agent does not (i) make any representation or warranty as to the accuracy of any Report, and (ii) shall not be liable for any information contained in any Report,</w:t>
      </w:r>
    </w:p>
    <w:p>
      <w:pPr>
        <w:spacing w:after="0" w:line="176" w:lineRule="exact"/>
        <w:rPr>
          <w:rFonts w:ascii="Arial" w:cs="Arial" w:eastAsia="Arial" w:hAnsi="Arial"/>
          <w:sz w:val="20"/>
          <w:szCs w:val="20"/>
          <w:color w:val="auto"/>
        </w:rPr>
      </w:pPr>
    </w:p>
    <w:p>
      <w:pPr>
        <w:jc w:val="both"/>
        <w:ind w:firstLine="1305"/>
        <w:spacing w:after="0" w:line="269" w:lineRule="auto"/>
        <w:tabs>
          <w:tab w:leader="none" w:pos="175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expressly agrees and acknowledges that the Reports are not comprehensive audits or examinations, that Agent or other party performing any field examination will inspect only specific information regarding Borrower and its Subsidiaries and will rely significantly upon Borrower’s and its Subsidiaries’ books and records, as well as on representations of Borrower’s personnel,</w:t>
      </w:r>
    </w:p>
    <w:p>
      <w:pPr>
        <w:spacing w:after="0" w:line="170" w:lineRule="exact"/>
        <w:rPr>
          <w:rFonts w:ascii="Arial" w:cs="Arial" w:eastAsia="Arial" w:hAnsi="Arial"/>
          <w:sz w:val="19"/>
          <w:szCs w:val="19"/>
          <w:color w:val="auto"/>
        </w:rPr>
      </w:pPr>
    </w:p>
    <w:p>
      <w:pPr>
        <w:ind w:firstLine="1305"/>
        <w:spacing w:after="0" w:line="287" w:lineRule="auto"/>
        <w:tabs>
          <w:tab w:leader="none" w:pos="176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Arial" w:cs="Arial" w:eastAsia="Arial" w:hAnsi="Arial"/>
          <w:sz w:val="19"/>
          <w:szCs w:val="19"/>
          <w:u w:val="single" w:color="auto"/>
          <w:color w:val="auto"/>
        </w:rPr>
        <w:t>Section 17.9</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jc w:val="both"/>
        <w:ind w:firstLine="1305"/>
        <w:spacing w:after="0" w:line="257" w:lineRule="auto"/>
        <w:tabs>
          <w:tab w:leader="none" w:pos="1777"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 or the indemnifying Lender’s participation in, or the indemnifying Lender’s purchase of, a loan or loans of Borrower,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200" w:lineRule="exact"/>
        <w:rPr>
          <w:sz w:val="20"/>
          <w:szCs w:val="20"/>
          <w:color w:val="auto"/>
        </w:rPr>
      </w:pPr>
    </w:p>
    <w:p>
      <w:pPr>
        <w:spacing w:after="0" w:line="224"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825" w:right="239" w:bottom="1440" w:gutter="0" w:footer="0" w:header="0"/>
        </w:sectPr>
      </w:pPr>
    </w:p>
    <w:bookmarkStart w:id="157" w:name="page158"/>
    <w:bookmarkEnd w:id="157"/>
    <w:p>
      <w:pPr>
        <w:jc w:val="both"/>
        <w:ind w:firstLine="1305"/>
        <w:spacing w:after="0" w:line="272" w:lineRule="auto"/>
        <w:tabs>
          <w:tab w:leader="none" w:pos="168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addition to the foregoing, (x) any Lender may from time to time request of Agent in writing that Agent provide to such Lender a copy of any report or document provided by Borrower or its Subsidiaries to Agent that has not been contemporaneously provided by Borrower or such Subsidiary to such Lender, and, upon receipt of such request, Agent promptly shall provide a copy of same to such Lender,</w:t>
      </w:r>
    </w:p>
    <w:p>
      <w:pPr>
        <w:spacing w:after="0" w:line="1" w:lineRule="exact"/>
        <w:rPr>
          <w:rFonts w:ascii="Arial" w:cs="Arial" w:eastAsia="Arial" w:hAnsi="Arial"/>
          <w:sz w:val="18"/>
          <w:szCs w:val="18"/>
          <w:color w:val="auto"/>
        </w:rPr>
      </w:pPr>
    </w:p>
    <w:p>
      <w:pPr>
        <w:jc w:val="both"/>
        <w:ind w:firstLine="8"/>
        <w:spacing w:after="0" w:line="274" w:lineRule="auto"/>
        <w:tabs>
          <w:tab w:leader="none" w:pos="2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the extent that Agent is entitled, under any provision of the Loan Documents, to request additional reports or information from Borrower or its Subsidiaries, any Lender may, from time to time, reasonably request Agent to exercise such right as specified in such Lender’s notice to Agent, whereupon Agent promptly shall request of Borrower the additional reports or information reasonably specified by such Lender, and, upon receipt thereof from Borrower or such Subsidiary, Agent promptly shall provide a copy of same to such Lender, and (z) any time that Agent renders to Borrower a statement regarding the Loan Account, Agent shall send a copy of such statement to each Lender.</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b w:val="1"/>
          <w:bCs w:val="1"/>
          <w:u w:val="single" w:color="auto"/>
          <w:color w:val="auto"/>
        </w:rPr>
        <w:t>Several Obligations; No Liability</w:t>
      </w:r>
      <w:r>
        <w:rPr>
          <w:rFonts w:ascii="Arial" w:cs="Arial" w:eastAsia="Arial" w:hAnsi="Arial"/>
          <w:sz w:val="18"/>
          <w:szCs w:val="18"/>
          <w:color w:val="auto"/>
        </w:rPr>
        <w:t>.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Section 15.7, no member of the Lender Group shall have any liability for the acts of any other member of the Lender Group. No Lender shall be responsible to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16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TAXES.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All payments made by Borrower hereunder or under any note or other Loan Document will be made without setoff, counterclaim, or other defense. In addition, all such payments will be made free and clear of, and without deduction or withholding for, any present or future Indemnified Taxes, and in the event any deduction or withholding of Indemnified Taxes is required, Borrower shall comply with the next sentence of this Section 16.1. If any Indemnified Taxes are so levied or imposed, Borrower agrees to pay the full amount of such Indemnified Taxes and such additional amounts as may be necessary so that every payment of all amounts due under this Agreement, any note, or Loan Document, including any amount paid pursuant to this Section 16.1 after withholding or deduction for or on account of any Indemnified Taxes, will not be less than the amount provided for herein; provided, that Borrower shall not be required to increase any such amounts to the extent that the increase in such amount payable results from Agent’s or such Lender’s own willful misconduct or gross negligence (as finally determined by a court of competent jurisdiction). Borrower will furnish to Agent as promptly as possible after the date the payment of any Indemnified Tax is due pursuant to applicable law, certified copies of tax receipts evidencing such payment by Borrower. Borrower agrees to pay any present or future stamp, value added or documentary taxes or any other excise or property taxes, charges, or similar levies that arise from any payment made hereunder or from the execution, delivery, performance, recordation, or filing of, or otherwise with respect to this Agreement or any other Loan Document.</w:t>
      </w:r>
    </w:p>
    <w:p>
      <w:pPr>
        <w:spacing w:after="0" w:line="200" w:lineRule="exact"/>
        <w:rPr>
          <w:sz w:val="20"/>
          <w:szCs w:val="20"/>
          <w:color w:val="auto"/>
        </w:rPr>
      </w:pPr>
    </w:p>
    <w:p>
      <w:pPr>
        <w:spacing w:after="0" w:line="223"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825" w:right="239" w:bottom="1440" w:gutter="0" w:footer="0" w:header="0"/>
        </w:sectPr>
      </w:pPr>
    </w:p>
    <w:bookmarkStart w:id="158" w:name="page159"/>
    <w:bookmarkEnd w:id="158"/>
    <w:p>
      <w:pPr>
        <w:ind w:left="652"/>
        <w:spacing w:after="0"/>
        <w:tabs>
          <w:tab w:leader="none" w:pos="1152"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u w:val="single" w:color="auto"/>
          <w:color w:val="auto"/>
        </w:rPr>
        <w:t>Exemptions</w:t>
      </w:r>
      <w:r>
        <w:rPr>
          <w:rFonts w:ascii="Arial" w:cs="Arial" w:eastAsia="Arial" w:hAnsi="Arial"/>
          <w:sz w:val="16"/>
          <w:szCs w:val="16"/>
          <w:color w:val="auto"/>
        </w:rPr>
        <w:t>.</w:t>
      </w:r>
    </w:p>
    <w:p>
      <w:pPr>
        <w:spacing w:after="0" w:line="222" w:lineRule="exact"/>
        <w:rPr>
          <w:sz w:val="20"/>
          <w:szCs w:val="20"/>
          <w:color w:val="auto"/>
        </w:rPr>
      </w:pPr>
    </w:p>
    <w:p>
      <w:pPr>
        <w:jc w:val="both"/>
        <w:ind w:left="-8" w:firstLine="1305"/>
        <w:spacing w:after="0" w:line="250" w:lineRule="auto"/>
        <w:tabs>
          <w:tab w:leader="none" w:pos="1702" w:val="left"/>
        </w:tabs>
        <w:numPr>
          <w:ilvl w:val="1"/>
          <w:numId w:val="156"/>
        </w:numPr>
        <w:rPr>
          <w:rFonts w:ascii="Arial" w:cs="Arial" w:eastAsia="Arial" w:hAnsi="Arial"/>
          <w:sz w:val="20"/>
          <w:szCs w:val="20"/>
          <w:color w:val="auto"/>
        </w:rPr>
      </w:pPr>
      <w:r>
        <w:rPr>
          <w:rFonts w:ascii="Arial" w:cs="Arial" w:eastAsia="Arial" w:hAnsi="Arial"/>
          <w:sz w:val="20"/>
          <w:szCs w:val="20"/>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one of the following before receiving its first payment under this Agreement:</w:t>
      </w:r>
    </w:p>
    <w:p>
      <w:pPr>
        <w:spacing w:after="0" w:line="186" w:lineRule="exact"/>
        <w:rPr>
          <w:rFonts w:ascii="Arial" w:cs="Arial" w:eastAsia="Arial" w:hAnsi="Arial"/>
          <w:sz w:val="20"/>
          <w:szCs w:val="20"/>
          <w:color w:val="auto"/>
        </w:rPr>
      </w:pPr>
    </w:p>
    <w:p>
      <w:pPr>
        <w:jc w:val="both"/>
        <w:ind w:left="-8" w:firstLine="1953"/>
        <w:spacing w:after="0" w:line="272" w:lineRule="auto"/>
        <w:tabs>
          <w:tab w:leader="none" w:pos="2317"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if such Lender or Participant is entitled to claim an exemption from United States withholding tax pursuant to the portfolio interest exception, (A) a statement of the Lender or Participant, signed under penalty of perjury, that it is not a (I) a “</w:t>
      </w:r>
      <w:r>
        <w:rPr>
          <w:rFonts w:ascii="Arial" w:cs="Arial" w:eastAsia="Arial" w:hAnsi="Arial"/>
          <w:sz w:val="18"/>
          <w:szCs w:val="18"/>
          <w:u w:val="single" w:color="auto"/>
          <w:color w:val="auto"/>
        </w:rPr>
        <w:t>bank</w:t>
      </w:r>
      <w:r>
        <w:rPr>
          <w:rFonts w:ascii="Arial" w:cs="Arial" w:eastAsia="Arial" w:hAnsi="Arial"/>
          <w:sz w:val="18"/>
          <w:szCs w:val="18"/>
          <w:color w:val="auto"/>
        </w:rPr>
        <w:t>” as described in Section 881(c)(3)(A) of the IRC, (II) a 10% shareholder of Borrower (within the meaning of Section 871(h)(3)(B) of the IRC), or</w:t>
      </w:r>
    </w:p>
    <w:p>
      <w:pPr>
        <w:spacing w:after="0" w:line="1" w:lineRule="exact"/>
        <w:rPr>
          <w:rFonts w:ascii="Arial" w:cs="Arial" w:eastAsia="Arial" w:hAnsi="Arial"/>
          <w:sz w:val="18"/>
          <w:szCs w:val="18"/>
          <w:color w:val="auto"/>
        </w:rPr>
      </w:pPr>
    </w:p>
    <w:p>
      <w:pPr>
        <w:ind w:left="-8" w:firstLine="8"/>
        <w:spacing w:after="0" w:line="244" w:lineRule="auto"/>
        <w:tabs>
          <w:tab w:leader="none" w:pos="37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 controlled foreign corporation related to Borrower within the meaning of Section 864(d)(4) of the IRC, and (B) a properly completed and executed IRS Form W-8BEN or Form W-8IMY (with proper attachments);</w:t>
      </w:r>
    </w:p>
    <w:p>
      <w:pPr>
        <w:spacing w:after="0" w:line="191" w:lineRule="exact"/>
        <w:rPr>
          <w:rFonts w:ascii="Arial" w:cs="Arial" w:eastAsia="Arial" w:hAnsi="Arial"/>
          <w:sz w:val="20"/>
          <w:szCs w:val="20"/>
          <w:color w:val="auto"/>
        </w:rPr>
      </w:pPr>
    </w:p>
    <w:p>
      <w:pPr>
        <w:ind w:left="-8" w:firstLine="1953"/>
        <w:spacing w:after="0" w:line="260" w:lineRule="auto"/>
        <w:tabs>
          <w:tab w:leader="none" w:pos="2412" w:val="left"/>
        </w:tabs>
        <w:numPr>
          <w:ilvl w:val="2"/>
          <w:numId w:val="157"/>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an exemption from, or a reduction of, withholding tax under a United States tax treaty, a properly completed and executed copy of IRS Form W-8BEN;</w:t>
      </w:r>
    </w:p>
    <w:p>
      <w:pPr>
        <w:spacing w:after="0" w:line="176" w:lineRule="exact"/>
        <w:rPr>
          <w:rFonts w:ascii="Arial" w:cs="Arial" w:eastAsia="Arial" w:hAnsi="Arial"/>
          <w:sz w:val="20"/>
          <w:szCs w:val="20"/>
          <w:color w:val="auto"/>
        </w:rPr>
      </w:pPr>
    </w:p>
    <w:p>
      <w:pPr>
        <w:jc w:val="both"/>
        <w:ind w:left="-8" w:firstLine="1953"/>
        <w:spacing w:after="0" w:line="250" w:lineRule="auto"/>
        <w:tabs>
          <w:tab w:leader="none" w:pos="2454" w:val="left"/>
        </w:tabs>
        <w:numPr>
          <w:ilvl w:val="2"/>
          <w:numId w:val="157"/>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86" w:lineRule="exact"/>
        <w:rPr>
          <w:rFonts w:ascii="Arial" w:cs="Arial" w:eastAsia="Arial" w:hAnsi="Arial"/>
          <w:sz w:val="20"/>
          <w:szCs w:val="20"/>
          <w:color w:val="auto"/>
        </w:rPr>
      </w:pPr>
    </w:p>
    <w:p>
      <w:pPr>
        <w:jc w:val="both"/>
        <w:ind w:left="-8" w:firstLine="1953"/>
        <w:spacing w:after="0" w:line="250" w:lineRule="auto"/>
        <w:tabs>
          <w:tab w:leader="none" w:pos="2443" w:val="left"/>
        </w:tabs>
        <w:numPr>
          <w:ilvl w:val="2"/>
          <w:numId w:val="157"/>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that interest paid under this Agreement is exempt from United States withholding tax because such Lender or Participant serves as an intermediary, a properly completed and executed copy of IRS Form W-8IMY (with proper attachments); or</w:t>
      </w:r>
    </w:p>
    <w:p>
      <w:pPr>
        <w:spacing w:after="0" w:line="186" w:lineRule="exact"/>
        <w:rPr>
          <w:rFonts w:ascii="Arial" w:cs="Arial" w:eastAsia="Arial" w:hAnsi="Arial"/>
          <w:sz w:val="20"/>
          <w:szCs w:val="20"/>
          <w:color w:val="auto"/>
        </w:rPr>
      </w:pPr>
    </w:p>
    <w:p>
      <w:pPr>
        <w:jc w:val="both"/>
        <w:ind w:left="-8" w:firstLine="1953"/>
        <w:spacing w:after="0" w:line="250" w:lineRule="auto"/>
        <w:tabs>
          <w:tab w:leader="none" w:pos="2347" w:val="left"/>
        </w:tabs>
        <w:numPr>
          <w:ilvl w:val="2"/>
          <w:numId w:val="157"/>
        </w:numPr>
        <w:rPr>
          <w:rFonts w:ascii="Arial" w:cs="Arial" w:eastAsia="Arial" w:hAnsi="Arial"/>
          <w:sz w:val="20"/>
          <w:szCs w:val="20"/>
          <w:color w:val="auto"/>
        </w:rPr>
      </w:pPr>
      <w:r>
        <w:rPr>
          <w:rFonts w:ascii="Arial" w:cs="Arial" w:eastAsia="Arial" w:hAnsi="Arial"/>
          <w:sz w:val="20"/>
          <w:szCs w:val="20"/>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86" w:lineRule="exact"/>
        <w:rPr>
          <w:rFonts w:ascii="Arial" w:cs="Arial" w:eastAsia="Arial" w:hAnsi="Arial"/>
          <w:sz w:val="20"/>
          <w:szCs w:val="20"/>
          <w:color w:val="auto"/>
        </w:rPr>
      </w:pPr>
    </w:p>
    <w:p>
      <w:pPr>
        <w:jc w:val="both"/>
        <w:ind w:left="-8" w:firstLine="1305"/>
        <w:spacing w:after="0" w:line="269" w:lineRule="auto"/>
        <w:tabs>
          <w:tab w:leader="none" w:pos="179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Each Lender or Participant shall provide new forms (or successor forms) upon the expiration or obsolescence of any previously delivered forms and to promptly notify Agent (or, in the case of a Participant, to the Lender granting the participation only) of any change in circumstances which would modify or render invalid any claimed exemption or reduction.</w:t>
      </w:r>
    </w:p>
    <w:p>
      <w:pPr>
        <w:spacing w:after="0" w:line="170" w:lineRule="exact"/>
        <w:rPr>
          <w:rFonts w:ascii="Arial" w:cs="Arial" w:eastAsia="Arial" w:hAnsi="Arial"/>
          <w:sz w:val="19"/>
          <w:szCs w:val="19"/>
          <w:color w:val="auto"/>
        </w:rPr>
      </w:pPr>
    </w:p>
    <w:p>
      <w:pPr>
        <w:jc w:val="both"/>
        <w:ind w:left="-8" w:firstLine="1305"/>
        <w:spacing w:after="0" w:line="256" w:lineRule="auto"/>
        <w:tabs>
          <w:tab w:leader="none" w:pos="1729"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If a Lender or Participant claims an exemption from withholding tax in a jurisdiction other than the United States, such Lender or such Participant agrees with and in favor of Agent, to deliver to Agent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16.2(c)</w:t>
      </w:r>
      <w:r>
        <w:rPr>
          <w:rFonts w:ascii="Arial" w:cs="Arial" w:eastAsia="Arial" w:hAnsi="Arial"/>
          <w:sz w:val="19"/>
          <w:szCs w:val="19"/>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(or, in the case of a Participant, to the Lender granting the participation only) of any change in circumstances which would modify or render invalid any claimed exemption or reduction.</w:t>
      </w:r>
    </w:p>
    <w:p>
      <w:pPr>
        <w:spacing w:after="0" w:line="184" w:lineRule="exact"/>
        <w:rPr>
          <w:rFonts w:ascii="Arial" w:cs="Arial" w:eastAsia="Arial" w:hAnsi="Arial"/>
          <w:sz w:val="19"/>
          <w:szCs w:val="19"/>
          <w:color w:val="auto"/>
        </w:rPr>
      </w:pPr>
    </w:p>
    <w:p>
      <w:pPr>
        <w:jc w:val="both"/>
        <w:ind w:left="-8" w:firstLine="1305"/>
        <w:spacing w:after="0" w:line="250" w:lineRule="auto"/>
        <w:tabs>
          <w:tab w:leader="none" w:pos="174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If a Lender or Participant claims exemption from, or reduction of, withholding tax and such Lender or Participant sells, assigns, grants a participation in, or otherwise transfers all or part of the Obligations of Borrower to such Lender or Participant, such Lender or Participant agrees to notify Agent</w:t>
      </w:r>
    </w:p>
    <w:p>
      <w:pPr>
        <w:spacing w:after="0" w:line="200" w:lineRule="exact"/>
        <w:rPr>
          <w:sz w:val="20"/>
          <w:szCs w:val="20"/>
          <w:color w:val="auto"/>
        </w:rPr>
      </w:pPr>
    </w:p>
    <w:p>
      <w:pPr>
        <w:spacing w:after="0" w:line="229" w:lineRule="exact"/>
        <w:rPr>
          <w:sz w:val="20"/>
          <w:szCs w:val="20"/>
          <w:color w:val="auto"/>
        </w:rPr>
      </w:pPr>
    </w:p>
    <w:p>
      <w:pPr>
        <w:ind w:left="7712"/>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12"/>
          </w:cols>
          <w:pgMar w:left="248" w:top="819" w:right="239" w:bottom="1440" w:gutter="0" w:footer="0" w:header="0"/>
        </w:sectPr>
      </w:pPr>
    </w:p>
    <w:bookmarkStart w:id="159" w:name="page160"/>
    <w:bookmarkEnd w:id="159"/>
    <w:p>
      <w:pPr>
        <w:jc w:val="both"/>
        <w:spacing w:after="0" w:line="276" w:lineRule="auto"/>
        <w:rPr>
          <w:sz w:val="20"/>
          <w:szCs w:val="20"/>
          <w:color w:val="auto"/>
        </w:rPr>
      </w:pPr>
      <w:r>
        <w:rPr>
          <w:rFonts w:ascii="Arial" w:cs="Arial" w:eastAsia="Arial" w:hAnsi="Arial"/>
          <w:sz w:val="18"/>
          <w:szCs w:val="18"/>
          <w:color w:val="auto"/>
        </w:rPr>
        <w:t xml:space="preserve">(or, in the case of a sale of a participation interest, to the Lender granting the participation only) of the percentage amount in which it is no longer the beneficial owner of Obligations of Borrower to such Lender or Participant. To the extent of such percentage amount, Agent will treat such Lender’s or such Participant’s documentation provided pursuant to </w:t>
      </w:r>
      <w:r>
        <w:rPr>
          <w:rFonts w:ascii="Arial" w:cs="Arial" w:eastAsia="Arial" w:hAnsi="Arial"/>
          <w:sz w:val="18"/>
          <w:szCs w:val="18"/>
          <w:u w:val="single" w:color="auto"/>
          <w:color w:val="auto"/>
        </w:rPr>
        <w:t>Section 16.2(a)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as no longer valid. With respect to such percentage amount, such Participant or Assignee may provide new documentation, pursuant to </w:t>
      </w:r>
      <w:r>
        <w:rPr>
          <w:rFonts w:ascii="Arial" w:cs="Arial" w:eastAsia="Arial" w:hAnsi="Arial"/>
          <w:sz w:val="18"/>
          <w:szCs w:val="18"/>
          <w:u w:val="single" w:color="auto"/>
          <w:color w:val="auto"/>
        </w:rPr>
        <w:t>Section 16.2(a)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if applicable. Borrower agrees that each Participant shall be entitled to the benefits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thereto.</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b w:val="1"/>
          <w:bCs w:val="1"/>
          <w:u w:val="single" w:color="auto"/>
          <w:color w:val="auto"/>
        </w:rPr>
        <w:t>Reductions</w:t>
      </w:r>
      <w:r>
        <w:rPr>
          <w:rFonts w:ascii="Arial" w:cs="Arial" w:eastAsia="Arial" w:hAnsi="Arial"/>
          <w:sz w:val="16"/>
          <w:szCs w:val="16"/>
          <w:color w:val="auto"/>
        </w:rPr>
        <w:t>.</w:t>
      </w:r>
    </w:p>
    <w:p>
      <w:pPr>
        <w:spacing w:after="0" w:line="222" w:lineRule="exact"/>
        <w:rPr>
          <w:sz w:val="20"/>
          <w:szCs w:val="20"/>
          <w:color w:val="auto"/>
        </w:rPr>
      </w:pPr>
    </w:p>
    <w:p>
      <w:pPr>
        <w:jc w:val="both"/>
        <w:ind w:firstLine="1305"/>
        <w:spacing w:after="0" w:line="276" w:lineRule="auto"/>
        <w:tabs>
          <w:tab w:leader="none" w:pos="181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If a Lender or a Participant is entitled to a reduction in the applicable withholding tax, Agent (or, in the case of a Participant, to the Lender granting the participation) may withhold from any interest payment to such Lender or such Participant an amount equivalent to the applicable withholding tax after taking into account such reduction. If the forms or other documentation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are not delivered to Agent (or, in the case of a Participant, to the Lender granting the participation), then Agent (or, in the case of a Participant, to the Lender granting the participation) may withhold from any interest payment to such Lender or such Participant not providing such forms or other documentation an amount equivalent to the applicable withholding tax.</w:t>
      </w:r>
    </w:p>
    <w:p>
      <w:pPr>
        <w:spacing w:after="0" w:line="165" w:lineRule="exact"/>
        <w:rPr>
          <w:rFonts w:ascii="Arial" w:cs="Arial" w:eastAsia="Arial" w:hAnsi="Arial"/>
          <w:sz w:val="18"/>
          <w:szCs w:val="18"/>
          <w:color w:val="auto"/>
        </w:rPr>
      </w:pPr>
    </w:p>
    <w:p>
      <w:pPr>
        <w:jc w:val="both"/>
        <w:ind w:firstLine="1305"/>
        <w:spacing w:after="0" w:line="255" w:lineRule="auto"/>
        <w:tabs>
          <w:tab w:leader="none" w:pos="1707"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9"/>
          <w:szCs w:val="19"/>
          <w:u w:val="single" w:color="auto"/>
          <w:color w:val="auto"/>
        </w:rPr>
        <w:t>Section 16</w:t>
      </w:r>
      <w:r>
        <w:rPr>
          <w:rFonts w:ascii="Arial" w:cs="Arial" w:eastAsia="Arial" w:hAnsi="Arial"/>
          <w:sz w:val="19"/>
          <w:szCs w:val="19"/>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u w:val="single" w:color="auto"/>
          <w:color w:val="auto"/>
        </w:rPr>
        <w:t>Refunds</w:t>
      </w:r>
      <w:r>
        <w:rPr>
          <w:rFonts w:ascii="Arial" w:cs="Arial" w:eastAsia="Arial" w:hAnsi="Arial"/>
          <w:sz w:val="18"/>
          <w:szCs w:val="18"/>
          <w:color w:val="auto"/>
        </w:rPr>
        <w:t>. If Agent or a Lender determines, in its sole discretion, that it has received a refund of any Indemnified Taxes to which Borrower has paid additional amounts pursuant to this Section 16, so long as no Default or Event of Default has occurred and is continuing, it shall pay over such refund to Borrower (but only to the extent of payments made, or additional amounts paid, by Borrower under this Section 16 with respect to Indemnified Taxes giving rise to such a refund), net of all out-of-pocket expenses of Agent or such Lender and without interest (other than any interest paid by the applicable Governmental Authority with respect to such a refund); provided, that Borrower, upon the request of Agent or such Lender, agrees to repay the amount paid over to Borrower (plus any penalties, interest or other charges, imposed by the applicable Governmental Authority, other than such penalties, interest or other charges imposed as a result of the willful misconduct or gross negligence of Agent hereunder) to Agent or such Lender in the event Agent or such Lender is required to repay such refund to such Governmental Authority. Notwithstanding anything in this Agreement to the contrary, this Section 16 shall not be construed to require Agent or any Lender to make available its tax returns (or any other information which it deems confidential) to Borrower or any other Person.</w:t>
      </w:r>
    </w:p>
    <w:p>
      <w:pPr>
        <w:spacing w:after="0" w:line="200" w:lineRule="exact"/>
        <w:rPr>
          <w:sz w:val="20"/>
          <w:szCs w:val="20"/>
          <w:color w:val="auto"/>
        </w:rPr>
      </w:pPr>
    </w:p>
    <w:p>
      <w:pPr>
        <w:spacing w:after="0" w:line="215"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825" w:right="239" w:bottom="1440" w:gutter="0" w:footer="0" w:header="0"/>
        </w:sectPr>
      </w:pPr>
    </w:p>
    <w:bookmarkStart w:id="160" w:name="page161"/>
    <w:bookmarkEnd w:id="160"/>
    <w:p>
      <w:pPr>
        <w:ind w:left="660" w:hanging="652"/>
        <w:spacing w:after="0"/>
        <w:tabs>
          <w:tab w:leader="none" w:pos="66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This Agreement shall be binding and deemed effective when executed by Borrower, Agent, and each Lender whose signature is provided for on the signature pages hereof.</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b w:val="1"/>
          <w:bCs w:val="1"/>
          <w:u w:val="single" w:color="auto"/>
          <w:color w:val="auto"/>
        </w:rPr>
        <w:t>Section Headings</w:t>
      </w:r>
      <w:r>
        <w:rPr>
          <w:rFonts w:ascii="Arial" w:cs="Arial" w:eastAsia="Arial" w:hAnsi="Arial"/>
          <w:sz w:val="20"/>
          <w:szCs w:val="20"/>
          <w:color w:val="auto"/>
        </w:rPr>
        <w:t>. Headings and numbers have been set forth herein for convenience only. Unless the contrary is compelled by the context, everything contained in each Section applies equally to this entire Agreement.</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b w:val="1"/>
          <w:bCs w:val="1"/>
          <w:u w:val="single" w:color="auto"/>
          <w:color w:val="auto"/>
        </w:rPr>
        <w:t>Interpretation</w:t>
      </w:r>
      <w:r>
        <w:rPr>
          <w:rFonts w:ascii="Arial" w:cs="Arial" w:eastAsia="Arial" w:hAnsi="Arial"/>
          <w:sz w:val="20"/>
          <w:szCs w:val="20"/>
          <w:color w:val="auto"/>
        </w:rPr>
        <w:t>. Neither this Agreement nor any uncertainty or ambiguity herein shall be construed against the Lender Group or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b w:val="1"/>
          <w:bCs w:val="1"/>
          <w:u w:val="single" w:color="auto"/>
          <w:color w:val="auto"/>
        </w:rPr>
        <w:t>Severability of Provisions</w:t>
      </w:r>
      <w:r>
        <w:rPr>
          <w:rFonts w:ascii="Arial" w:cs="Arial" w:eastAsia="Arial" w:hAnsi="Arial"/>
          <w:sz w:val="20"/>
          <w:szCs w:val="20"/>
          <w:color w:val="auto"/>
        </w:rPr>
        <w:t>. Each provision of this Agreement shall be severable from every other provision of this Agreement for the purpose of determining the legal enforceability of any specific provision.</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u w:val="single" w:color="auto"/>
          <w:color w:val="auto"/>
        </w:rPr>
        <w:t>Bank Product Providers</w:t>
      </w:r>
      <w:r>
        <w:rPr>
          <w:rFonts w:ascii="Arial" w:cs="Arial" w:eastAsia="Arial" w:hAnsi="Arial"/>
          <w:sz w:val="18"/>
          <w:szCs w:val="18"/>
          <w:color w:val="auto"/>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 may obtain Bank Products from any Bank Product Provider, although Borrower is not required to do so.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w:t>
      </w:r>
    </w:p>
    <w:p>
      <w:pPr>
        <w:spacing w:after="0" w:line="200" w:lineRule="exact"/>
        <w:rPr>
          <w:sz w:val="20"/>
          <w:szCs w:val="20"/>
          <w:color w:val="auto"/>
        </w:rPr>
      </w:pPr>
    </w:p>
    <w:p>
      <w:pPr>
        <w:spacing w:after="0" w:line="23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819" w:right="239" w:bottom="1440" w:gutter="0" w:footer="0" w:header="0"/>
        </w:sectPr>
      </w:pPr>
    </w:p>
    <w:bookmarkStart w:id="161" w:name="page162"/>
    <w:bookmarkEnd w:id="161"/>
    <w:p>
      <w:pPr>
        <w:jc w:val="both"/>
        <w:ind w:right="20"/>
        <w:spacing w:after="0" w:line="260" w:lineRule="auto"/>
        <w:rPr>
          <w:sz w:val="20"/>
          <w:szCs w:val="20"/>
          <w:color w:val="auto"/>
        </w:rPr>
      </w:pPr>
      <w:r>
        <w:rPr>
          <w:rFonts w:ascii="Arial" w:cs="Arial" w:eastAsia="Arial" w:hAnsi="Arial"/>
          <w:sz w:val="20"/>
          <w:szCs w:val="20"/>
          <w:color w:val="auto"/>
        </w:rPr>
        <w:t>than in their capacities as Lenders, to the extent applicable) for any matter hereunder or under any of the other Loan Documents, including as to any matter relating to the Collateral or the release of Collateral or Guarantors.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b w:val="1"/>
          <w:bCs w:val="1"/>
          <w:u w:val="single" w:color="auto"/>
          <w:color w:val="auto"/>
        </w:rPr>
        <w:t>Debtor-Creditor Relationship</w:t>
      </w:r>
      <w:r>
        <w:rPr>
          <w:rFonts w:ascii="Arial" w:cs="Arial" w:eastAsia="Arial" w:hAnsi="Arial"/>
          <w:sz w:val="19"/>
          <w:szCs w:val="19"/>
          <w:color w:val="auto"/>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color w:val="auto"/>
        </w:rPr>
        <w:t xml:space="preserve">.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8"/>
          <w:szCs w:val="18"/>
          <w:b w:val="1"/>
          <w:bCs w:val="1"/>
          <w:u w:val="single" w:color="auto"/>
          <w:color w:val="auto"/>
        </w:rPr>
        <w:t>Revival and Reinstatement of Obligations; Certain Waivers</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firstLine="1305"/>
        <w:spacing w:after="0" w:line="269" w:lineRule="auto"/>
        <w:tabs>
          <w:tab w:leader="none" w:pos="16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Arial" w:cs="Arial" w:eastAsia="Arial" w:hAnsi="Arial"/>
          <w:sz w:val="18"/>
          <w:szCs w:val="18"/>
          <w:u w:val="single" w:color="auto"/>
          <w:color w:val="auto"/>
        </w:rPr>
        <w:t>Voidable Transfer</w:t>
      </w:r>
      <w:r>
        <w:rPr>
          <w:rFonts w:ascii="Arial" w:cs="Arial" w:eastAsia="Arial" w:hAnsi="Arial"/>
          <w:sz w:val="18"/>
          <w:szCs w:val="18"/>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w:t>
      </w:r>
    </w:p>
    <w:p>
      <w:pPr>
        <w:spacing w:after="0" w:line="175" w:lineRule="exact"/>
        <w:rPr>
          <w:rFonts w:ascii="Arial" w:cs="Arial" w:eastAsia="Arial" w:hAnsi="Arial"/>
          <w:sz w:val="18"/>
          <w:szCs w:val="18"/>
          <w:color w:val="auto"/>
        </w:rPr>
      </w:pPr>
    </w:p>
    <w:p>
      <w:pPr>
        <w:ind w:right="20" w:firstLine="1305"/>
        <w:spacing w:after="0" w:line="260" w:lineRule="auto"/>
        <w:tabs>
          <w:tab w:leader="none" w:pos="170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Anything to the contrary contained herein notwithstanding, if Agent or any Lender accepts a guaranty of only a portion of the Obligations pursuant to any guaranty, Borrower hereby waives</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825" w:right="239" w:bottom="1440" w:gutter="0" w:footer="0" w:header="0"/>
        </w:sectPr>
      </w:pPr>
    </w:p>
    <w:bookmarkStart w:id="162" w:name="page163"/>
    <w:bookmarkEnd w:id="162"/>
    <w:p>
      <w:pPr>
        <w:ind w:right="20"/>
        <w:spacing w:after="0" w:line="260" w:lineRule="auto"/>
        <w:rPr>
          <w:sz w:val="20"/>
          <w:szCs w:val="20"/>
          <w:color w:val="auto"/>
        </w:rPr>
      </w:pPr>
      <w:r>
        <w:rPr>
          <w:rFonts w:ascii="Arial" w:cs="Arial" w:eastAsia="Arial" w:hAnsi="Arial"/>
          <w:sz w:val="20"/>
          <w:szCs w:val="20"/>
          <w:color w:val="auto"/>
        </w:rPr>
        <w:t>its right under Section 2822(a) of the California Civil Code or any similar laws of any other applicable jurisdiction to designate the portion of the Obligations satisfied by the applicable guarantor’s partial payment.</w:t>
      </w:r>
    </w:p>
    <w:p>
      <w:pPr>
        <w:spacing w:after="0" w:line="1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18"/>
          <w:szCs w:val="18"/>
          <w:b w:val="1"/>
          <w:bCs w:val="1"/>
          <w:u w:val="single" w:color="auto"/>
          <w:color w:val="auto"/>
        </w:rPr>
        <w:t>Confidentiality</w:t>
      </w:r>
      <w:r>
        <w:rPr>
          <w:rFonts w:ascii="Arial" w:cs="Arial" w:eastAsia="Arial" w:hAnsi="Arial"/>
          <w:sz w:val="18"/>
          <w:szCs w:val="18"/>
          <w:u w:val="single" w:color="auto"/>
          <w:color w:val="auto"/>
        </w:rPr>
        <w:t>.</w:t>
      </w:r>
    </w:p>
    <w:p>
      <w:pPr>
        <w:spacing w:after="0" w:line="222" w:lineRule="exact"/>
        <w:rPr>
          <w:sz w:val="20"/>
          <w:szCs w:val="20"/>
          <w:color w:val="auto"/>
        </w:rPr>
      </w:pPr>
    </w:p>
    <w:p>
      <w:pPr>
        <w:jc w:val="both"/>
        <w:ind w:firstLine="1305"/>
        <w:spacing w:after="0" w:line="267" w:lineRule="auto"/>
        <w:tabs>
          <w:tab w:leader="none" w:pos="171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Agent and Lenders each individually (and not jointly or jointly and severally) agree that material, non-public information regarding Borrower and its Subsidiaries, their operations, assets, and existing and contemplated business plans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the “</w:t>
      </w:r>
      <w:r>
        <w:rPr>
          <w:rFonts w:ascii="Arial" w:cs="Arial" w:eastAsia="Arial" w:hAnsi="Arial"/>
          <w:sz w:val="18"/>
          <w:szCs w:val="18"/>
          <w:u w:val="single" w:color="auto"/>
          <w:color w:val="auto"/>
        </w:rPr>
        <w:t>Lender Group</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on a “need to know” basis in connection with this Agreement and the transactions contemplated hereby and on a confidential basis, (ii) to Subsidiaries and Affiliates of any member of the Lender Group (including the Bank Product Providers), provided that any such Subsidiary or Affiliate shall have agreed to receive such information hereunder subject to the terms of this </w:t>
      </w:r>
      <w:r>
        <w:rPr>
          <w:rFonts w:ascii="Arial" w:cs="Arial" w:eastAsia="Arial" w:hAnsi="Arial"/>
          <w:sz w:val="18"/>
          <w:szCs w:val="18"/>
          <w:u w:val="single" w:color="auto"/>
          <w:color w:val="auto"/>
        </w:rPr>
        <w:t>Section 17.9</w:t>
      </w:r>
      <w:r>
        <w:rPr>
          <w:rFonts w:ascii="Arial" w:cs="Arial" w:eastAsia="Arial" w:hAnsi="Arial"/>
          <w:sz w:val="18"/>
          <w:szCs w:val="18"/>
          <w:color w:val="auto"/>
        </w:rPr>
        <w:t>, (iii) as may be required by regulatory authorities so long as such authorities are informed of the confidential nature of such information, (iv) as may be required by statute, decision, or judicial or administrative order, rule, or regulation; provided that (x) prior to any disclosure under this clause (iv), the disclosing party agrees to provide Borrower with prior notice thereof, to the extent that it is practicable to do so and to the extent that the disclosing party is permitted to provide such prior notice to Borrower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 (vi) as requested or required by any Governmental Authority pursuant to any subpoena or other legal process, provided, that, (x) prior to any disclosure under this clause (vi) the disclosing party agrees to provide Borrower with prior written notice thereof, to the extent that it is practicable to do so and to the extent that the disclosing party is permitted to provide such prior written notice to Borrower pursuant to the terms of the subpoena or other legal process and (y) any disclosure under this clause (vi) shall be limited to the portion of the Confidential Information as may be required by such Governmental Authority pursuant to such subpoena or other legal process,</w:t>
      </w:r>
    </w:p>
    <w:p>
      <w:pPr>
        <w:spacing w:after="0" w:line="3" w:lineRule="exact"/>
        <w:rPr>
          <w:rFonts w:ascii="Arial" w:cs="Arial" w:eastAsia="Arial" w:hAnsi="Arial"/>
          <w:sz w:val="18"/>
          <w:szCs w:val="18"/>
          <w:color w:val="auto"/>
        </w:rPr>
      </w:pPr>
    </w:p>
    <w:p>
      <w:pPr>
        <w:jc w:val="both"/>
        <w:ind w:firstLine="8"/>
        <w:spacing w:after="0" w:line="253" w:lineRule="auto"/>
        <w:tabs>
          <w:tab w:leader="none" w:pos="39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provided that prior to receipt of Confidential Information any such assignee, participant, or pledgee shall have agreed in writing to receive such Confidential Information either subject to the terms of this </w:t>
      </w:r>
      <w:r>
        <w:rPr>
          <w:rFonts w:ascii="Arial" w:cs="Arial" w:eastAsia="Arial" w:hAnsi="Arial"/>
          <w:sz w:val="19"/>
          <w:szCs w:val="19"/>
          <w:u w:val="single" w:color="auto"/>
          <w:color w:val="auto"/>
        </w:rPr>
        <w:t>Section 17.9</w:t>
      </w:r>
      <w:r>
        <w:rPr>
          <w:rFonts w:ascii="Arial" w:cs="Arial" w:eastAsia="Arial" w:hAnsi="Arial"/>
          <w:sz w:val="19"/>
          <w:szCs w:val="19"/>
          <w:color w:val="auto"/>
        </w:rPr>
        <w:t xml:space="preserve"> or pursuant to confidentiality requirements substantially similar to those contained in this </w:t>
      </w:r>
      <w:r>
        <w:rPr>
          <w:rFonts w:ascii="Arial" w:cs="Arial" w:eastAsia="Arial" w:hAnsi="Arial"/>
          <w:sz w:val="19"/>
          <w:szCs w:val="19"/>
          <w:u w:val="single" w:color="auto"/>
          <w:color w:val="auto"/>
        </w:rPr>
        <w:t>Section 17.9</w:t>
      </w:r>
      <w:r>
        <w:rPr>
          <w:rFonts w:ascii="Arial" w:cs="Arial" w:eastAsia="Arial" w:hAnsi="Arial"/>
          <w:sz w:val="19"/>
          <w:szCs w:val="19"/>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prior to any disclosure to any Person (other than any Loan Party, Agent, any Lender, any of their respective Affiliates, or their respective counsel) under this clause (ix) with respect to litigation involving any Person (other than Borrower, Agent, any Lender, any of their respective Affiliates, or their respective counsel), the disclosing party agrees to provide Borrower with prior written notice thereof, and (x) in connection with, and to the extent reasonably necessary for, the exercise of any secured creditor remedy under this Agreement or under any other Loan Document.</w:t>
      </w:r>
    </w:p>
    <w:p>
      <w:pPr>
        <w:spacing w:after="0" w:line="191" w:lineRule="exact"/>
        <w:rPr>
          <w:rFonts w:ascii="Arial" w:cs="Arial" w:eastAsia="Arial" w:hAnsi="Arial"/>
          <w:sz w:val="19"/>
          <w:szCs w:val="19"/>
          <w:color w:val="auto"/>
        </w:rPr>
      </w:pPr>
    </w:p>
    <w:p>
      <w:pPr>
        <w:ind w:firstLine="1305"/>
        <w:spacing w:after="0" w:line="260" w:lineRule="auto"/>
        <w:tabs>
          <w:tab w:leader="none" w:pos="1761"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Agent may disclose information concerning the terms and conditions of this Agreement and the other Loan Documents to loan</w:t>
      </w:r>
    </w:p>
    <w:p>
      <w:pPr>
        <w:spacing w:after="0" w:line="200" w:lineRule="exact"/>
        <w:rPr>
          <w:sz w:val="20"/>
          <w:szCs w:val="20"/>
          <w:color w:val="auto"/>
        </w:rPr>
      </w:pPr>
    </w:p>
    <w:p>
      <w:pPr>
        <w:spacing w:after="0" w:line="22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825" w:right="239" w:bottom="1440" w:gutter="0" w:footer="0" w:header="0"/>
        </w:sectPr>
      </w:pPr>
    </w:p>
    <w:bookmarkStart w:id="163" w:name="page164"/>
    <w:bookmarkEnd w:id="163"/>
    <w:p>
      <w:pPr>
        <w:jc w:val="both"/>
        <w:spacing w:after="0" w:line="246" w:lineRule="auto"/>
        <w:rPr>
          <w:sz w:val="20"/>
          <w:szCs w:val="20"/>
          <w:color w:val="auto"/>
        </w:rPr>
      </w:pPr>
      <w:r>
        <w:rPr>
          <w:rFonts w:ascii="Arial" w:cs="Arial" w:eastAsia="Arial" w:hAnsi="Arial"/>
          <w:sz w:val="20"/>
          <w:szCs w:val="20"/>
          <w:color w:val="auto"/>
        </w:rPr>
        <w:t>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Borrower or the other Loan Parties and the Commitments provided hereunder in any “</w:t>
      </w:r>
      <w:r>
        <w:rPr>
          <w:rFonts w:ascii="Arial" w:cs="Arial" w:eastAsia="Arial" w:hAnsi="Arial"/>
          <w:sz w:val="20"/>
          <w:szCs w:val="20"/>
          <w:u w:val="single" w:color="auto"/>
          <w:color w:val="auto"/>
        </w:rPr>
        <w:t>tombstone</w:t>
      </w:r>
      <w:r>
        <w:rPr>
          <w:rFonts w:ascii="Arial" w:cs="Arial" w:eastAsia="Arial" w:hAnsi="Arial"/>
          <w:sz w:val="20"/>
          <w:szCs w:val="20"/>
          <w:color w:val="auto"/>
        </w:rPr>
        <w:t>” or other advertisements, on its website or in other marketing materials of the Agent.</w:t>
      </w:r>
    </w:p>
    <w:p>
      <w:pPr>
        <w:spacing w:after="0" w:line="192" w:lineRule="exact"/>
        <w:rPr>
          <w:sz w:val="20"/>
          <w:szCs w:val="20"/>
          <w:color w:val="auto"/>
        </w:rPr>
      </w:pPr>
    </w:p>
    <w:p>
      <w:pPr>
        <w:jc w:val="both"/>
        <w:ind w:firstLine="1305"/>
        <w:spacing w:after="0" w:line="271" w:lineRule="auto"/>
        <w:tabs>
          <w:tab w:leader="none" w:pos="183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Loan Parties hereby acknowledge that Agent or its Affiliates may make available to the Lenders materials or information provided by or on behalf of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certain of the Lenders may be “public-side” Lenders (i.e., Lenders that do not wish to receive material non-public information with respect to the Loan Parties or their securities) (each, a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w:t>
      </w:r>
      <w:r>
        <w:rPr>
          <w:rFonts w:ascii="Arial" w:cs="Arial" w:eastAsia="Arial" w:hAnsi="Arial"/>
          <w:sz w:val="18"/>
          <w:szCs w:val="18"/>
          <w:u w:val="single" w:color="auto"/>
          <w:color w:val="auto"/>
        </w:rPr>
        <w:t>Public Investor</w:t>
      </w:r>
      <w:r>
        <w:rPr>
          <w:rFonts w:ascii="Arial" w:cs="Arial" w:eastAsia="Arial" w:hAnsi="Arial"/>
          <w:sz w:val="18"/>
          <w:szCs w:val="18"/>
          <w:color w:val="auto"/>
        </w:rPr>
        <w:t>” (or such other similar term).</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17.10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17.11 </w:t>
      </w:r>
      <w:r>
        <w:rPr>
          <w:rFonts w:ascii="Arial" w:cs="Arial" w:eastAsia="Arial" w:hAnsi="Arial"/>
          <w:sz w:val="19"/>
          <w:szCs w:val="19"/>
          <w:b w:val="1"/>
          <w:bCs w:val="1"/>
          <w:u w:val="single" w:color="auto"/>
          <w:color w:val="auto"/>
        </w:rPr>
        <w:t>Patriot Act</w:t>
      </w:r>
      <w:r>
        <w:rPr>
          <w:rFonts w:ascii="Arial" w:cs="Arial" w:eastAsia="Arial" w:hAnsi="Arial"/>
          <w:sz w:val="19"/>
          <w:szCs w:val="19"/>
          <w:color w:val="auto"/>
        </w:rPr>
        <w:t>. Each Lender that is subject to the requirements of the Patriot Act hereby notifies Borrower that pursuant to the requirements of the Patriot Act, it is required to obtain, verify and record information that identifies Borrower, which information includes the name and address of Borrower and other information that will allow such Lender to identify Borrower in accordance with the Patriot Act. In addition, if Agent is required by law or regulation or internal policies to do so, it shall have the right to periodically conduct (a) Patriot Act searches, OFAC/PEP searches, and customary individual background checks for the Loan Parties and (b) OFAC/PEP searches and customary individual background checks for the Loan Parties’ senior management and key principals, and Borrower agrees to cooperate in respect of the conduct of such searches and further agrees that the reasonable costs and charges for such searches shall constitute Lender Group Expenses hereunder and be for the account of Borrower.</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w:t>
      </w:r>
    </w:p>
    <w:p>
      <w:pPr>
        <w:spacing w:after="0" w:line="40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825" w:right="239" w:bottom="1440" w:gutter="0" w:footer="0" w:header="0"/>
        </w:sectPr>
      </w:pPr>
    </w:p>
    <w:bookmarkStart w:id="164" w:name="page165"/>
    <w:bookmarkEnd w:id="164"/>
    <w:p>
      <w:pPr>
        <w:jc w:val="both"/>
        <w:spacing w:after="0" w:line="260" w:lineRule="auto"/>
        <w:rPr>
          <w:sz w:val="20"/>
          <w:szCs w:val="20"/>
          <w:color w:val="auto"/>
        </w:rPr>
      </w:pPr>
      <w:r>
        <w:rPr>
          <w:rFonts w:ascii="Arial" w:cs="Arial" w:eastAsia="Arial" w:hAnsi="Arial"/>
          <w:sz w:val="20"/>
          <w:szCs w:val="20"/>
          <w:color w:val="auto"/>
        </w:rPr>
        <w:t>repayment, prepayments, acceleration, reduction, increase, or change in the terms of any credit extended hereunder, except as otherwise expressly provided in such Bank Product Agreement.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b w:val="1"/>
          <w:bCs w:val="1"/>
          <w:u w:val="single" w:color="auto"/>
          <w:color w:val="auto"/>
        </w:rPr>
        <w:t>Currency Indemnity</w:t>
      </w:r>
      <w:r>
        <w:rPr>
          <w:rFonts w:ascii="Arial" w:cs="Arial" w:eastAsia="Arial" w:hAnsi="Arial"/>
          <w:sz w:val="18"/>
          <w:szCs w:val="18"/>
          <w:color w:val="auto"/>
        </w:rPr>
        <w:t>. If, for the purposes of obtaining judgment in any court in any jurisdiction with respect to this Agreement or any of the other Loan Documents, it becomes necessary to convert into the currency of such jurisdiction (the “Judgment Currency”) any amount due under this Agreement or under any of the other Loan Documents in any currency other than the Judgment Currency (the “Currency Due”), then conversion shall be made at the exchange rate at which Agent is able, on the relevant date, to purchase the Currency Due with the Judgment Currency prevailing on the Business Day before the day on which judgment is given. In the event that there is a change in the rate of exchange rate prevailing between the Business Day before the day on which the judgment is given and the date of receipt by Agent of the amount due, Loan Parties will, on the date of receipt by Agent, pay such additional amounts, if any, as may be necessary to ensure that the amount received by Agent on such date is the amount in the Judgment Currency which when converted at the rate of exchange prevailing on the date of receipt by Agent is the amount then due under this Agreement or such other of the Loan Documents in the Currency Due. If the amount of the Currency Due which Agent is able to purchase is less than the amount of the Currency Due originally due to it, Loan Parties shall indemnify and save Agent harmless from and against loss or damage arising as a result of such deficiency. The indemnity contained herein shall constitute an obligation separate and independent from the other obligations contained in this Agreement and the other Loan Documents, shall give rise to a separate and independent cause of action, shall apply irrespective of any indulgence granted by any Agent from time to time and shall continue in full force and effect notwithstanding any judgment or order for a liquidated sum in respect of an amount due under this Agreement or any of the other Loan Documents or under any judgment or order.</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b w:val="1"/>
          <w:bCs w:val="1"/>
          <w:u w:val="single" w:color="auto"/>
          <w:color w:val="auto"/>
        </w:rPr>
        <w:t>Amendment and Restatement of Existing Credit Agreement</w:t>
      </w:r>
      <w:r>
        <w:rPr>
          <w:rFonts w:ascii="Arial" w:cs="Arial" w:eastAsia="Arial" w:hAnsi="Arial"/>
          <w:sz w:val="18"/>
          <w:szCs w:val="18"/>
          <w:color w:val="auto"/>
        </w:rPr>
        <w:t>. This Agreement constitutes an amendment and restatement of the Existing Credit Agreement effective from and after the Restatement Closing Date. The execution and delivery of this Agreement and the consummation of the transactions contemplated hereby and by the other Loan Documents are not intended by the parties to be, and shall not constitute, a novation or an accord and satisfaction of the Obligations or any other obligations owing to Agent or the Lenders under the Existing Credit Agreement or any other Loan Document existing immediately prior to the Restatement Closing Date. On the Restatement Closing Date, the credit facilities and the terms and conditions thereof described in the Existing Credit Agreement shall be amended and replaced in their entirety by the credit facilities and the terms and conditions described herein, and all Loans, Letters of Credit, and other Obligations of Borrower outstanding as of such date under the Existing Credit Agreement shall be deemed to be Revolving Loans (or Swing Loans), Letters of Credit, and other Obligations outstanding under the corresponding facilities described herein (such that all Obligations which are outstanding on the Restatement Closing Date under the Existing Credit Agreement shall become Obligations under this Agreement), without further action by any Person. Each of the parties hereto hereby acknowledges and agrees that the grant of the security interests in the Collateral pursuant to the Guaranty and Security Agreement and in any other Loan Document is not intended to, nor shall it be construed, as constituting a release of any prior security interests granted by Borrower in favor of Agent for the benefit of itself, the Lenders, and the Bank Product Providers in or to any Collateral or any other Property of Borrower, but is intended to constitute a restatement and reconfirmation of the prior security interests granted by Borrower in favor of Agent for the benefit of itself, the Lenders, and the Bank Product Providers in and to the Collateral and a grant of a new security interest in any Collateral that is not included in the prior security grants by Borrower and in favor of Agent for the benefit of itself, the Lenders, and the Bank Product Providers to the extent such grant was not included in the prior security grants.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59"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825" w:right="239" w:bottom="1440" w:gutter="0" w:footer="0" w:header="0"/>
        </w:sectPr>
      </w:pPr>
    </w:p>
    <w:bookmarkStart w:id="165" w:name="page166"/>
    <w:bookmarkEnd w:id="165"/>
    <w:p>
      <w:pPr>
        <w:spacing w:after="0" w:line="200" w:lineRule="exact"/>
        <w:rPr>
          <w:sz w:val="20"/>
          <w:szCs w:val="20"/>
          <w:color w:val="auto"/>
        </w:rPr>
      </w:pPr>
    </w:p>
    <w:p>
      <w:pPr>
        <w:spacing w:after="0" w:line="21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019"/>
          </w:cols>
          <w:pgMar w:left="1440" w:top="1440" w:right="1440"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and delivered as of the date first above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ectPr>
          <w:pgSz w:w="11900" w:h="16838" w:orient="portrait"/>
          <w:cols w:equalWidth="0" w:num="1">
            <w:col w:w="11420"/>
          </w:cols>
          <w:pgMar w:left="240" w:top="8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ENPHASE ENERGY, INC.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ectPr>
          <w:pgSz w:w="11900" w:h="16838" w:orient="portrait"/>
          <w:cols w:equalWidth="0" w:num="2">
            <w:col w:w="4000" w:space="720"/>
            <w:col w:w="6700"/>
          </w:cols>
          <w:pgMar w:left="240" w:top="819" w:right="2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tbl>
      <w:tblPr>
        <w:tblLayout w:type="fixed"/>
        <w:tblInd w:w="4720" w:type="dxa"/>
        <w:tblCellMar>
          <w:top w:w="0" w:type="dxa"/>
          <w:left w:w="0" w:type="dxa"/>
          <w:bottom w:w="0" w:type="dxa"/>
          <w:right w:w="0" w:type="dxa"/>
        </w:tblCellMar>
      </w:tblP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By:</w:t>
            </w:r>
          </w:p>
        </w:tc>
        <w:tc>
          <w:tcPr>
            <w:tcW w:w="5600" w:type="dxa"/>
            <w:vAlign w:val="bottom"/>
          </w:tcPr>
          <w:p>
            <w:pPr>
              <w:ind w:left="40"/>
              <w:spacing w:after="0"/>
              <w:rPr>
                <w:sz w:val="20"/>
                <w:szCs w:val="20"/>
                <w:color w:val="auto"/>
              </w:rPr>
            </w:pPr>
            <w:r>
              <w:rPr>
                <w:rFonts w:ascii="Arial" w:cs="Arial" w:eastAsia="Arial" w:hAnsi="Arial"/>
                <w:sz w:val="20"/>
                <w:szCs w:val="20"/>
                <w:color w:val="auto"/>
              </w:rPr>
              <w:t>/s/ Kris Sennesael</w:t>
            </w:r>
          </w:p>
        </w:tc>
      </w:tr>
      <w:tr>
        <w:trPr>
          <w:trHeight w:val="158"/>
        </w:trPr>
        <w:tc>
          <w:tcPr>
            <w:tcW w:w="110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Name:</w:t>
            </w:r>
          </w:p>
        </w:tc>
        <w:tc>
          <w:tcPr>
            <w:tcW w:w="5600" w:type="dxa"/>
            <w:vAlign w:val="bottom"/>
          </w:tcPr>
          <w:p>
            <w:pPr>
              <w:ind w:left="40"/>
              <w:spacing w:after="0"/>
              <w:rPr>
                <w:sz w:val="20"/>
                <w:szCs w:val="20"/>
                <w:color w:val="auto"/>
              </w:rPr>
            </w:pPr>
            <w:r>
              <w:rPr>
                <w:rFonts w:ascii="Arial" w:cs="Arial" w:eastAsia="Arial" w:hAnsi="Arial"/>
                <w:sz w:val="20"/>
                <w:szCs w:val="20"/>
                <w:color w:val="auto"/>
              </w:rPr>
              <w:t>Kris Sennesael</w:t>
            </w:r>
          </w:p>
        </w:tc>
      </w:tr>
      <w:tr>
        <w:trPr>
          <w:trHeight w:val="158"/>
        </w:trPr>
        <w:tc>
          <w:tcPr>
            <w:tcW w:w="110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Title:</w:t>
            </w:r>
          </w:p>
        </w:tc>
        <w:tc>
          <w:tcPr>
            <w:tcW w:w="5600" w:type="dxa"/>
            <w:vAlign w:val="bottom"/>
          </w:tcPr>
          <w:p>
            <w:pPr>
              <w:ind w:left="40"/>
              <w:spacing w:after="0"/>
              <w:rPr>
                <w:sz w:val="20"/>
                <w:szCs w:val="20"/>
                <w:color w:val="auto"/>
              </w:rPr>
            </w:pPr>
            <w:r>
              <w:rPr>
                <w:rFonts w:ascii="Arial" w:cs="Arial" w:eastAsia="Arial" w:hAnsi="Arial"/>
                <w:sz w:val="20"/>
                <w:szCs w:val="20"/>
                <w:color w:val="auto"/>
              </w:rPr>
              <w:t>Vice President and Chief Financial Officer</w:t>
            </w:r>
          </w:p>
        </w:tc>
      </w:tr>
      <w:tr>
        <w:trPr>
          <w:trHeight w:val="158"/>
        </w:trPr>
        <w:tc>
          <w:tcPr>
            <w:tcW w:w="110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20"/>
          <w:szCs w:val="20"/>
          <w:b w:val="1"/>
          <w:bCs w:val="1"/>
          <w:color w:val="auto"/>
        </w:rPr>
        <w:t>AGENT AND LENDERS:</w:t>
      </w:r>
      <w:r>
        <w:rPr>
          <w:sz w:val="20"/>
          <w:szCs w:val="20"/>
          <w:color w:val="auto"/>
        </w:rPr>
        <w:tab/>
      </w:r>
      <w:r>
        <w:rPr>
          <w:rFonts w:ascii="Arial" w:cs="Arial" w:eastAsia="Arial" w:hAnsi="Arial"/>
          <w:sz w:val="19"/>
          <w:szCs w:val="19"/>
          <w:b w:val="1"/>
          <w:bCs w:val="1"/>
          <w:color w:val="auto"/>
        </w:rPr>
        <w:t>WELLS FARGO BANK, NATIONAL ASSOCIATION,</w:t>
      </w:r>
    </w:p>
    <w:p>
      <w:pPr>
        <w:spacing w:after="0" w:line="141"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a national banking association, as Agent and as a Lender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720" w:type="dxa"/>
        <w:tblCellMar>
          <w:top w:w="0" w:type="dxa"/>
          <w:left w:w="0" w:type="dxa"/>
          <w:bottom w:w="0" w:type="dxa"/>
          <w:right w:w="0" w:type="dxa"/>
        </w:tblCellMar>
      </w:tblP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By:</w:t>
            </w:r>
          </w:p>
        </w:tc>
        <w:tc>
          <w:tcPr>
            <w:tcW w:w="5600" w:type="dxa"/>
            <w:vAlign w:val="bottom"/>
          </w:tcPr>
          <w:p>
            <w:pPr>
              <w:ind w:left="40"/>
              <w:spacing w:after="0"/>
              <w:rPr>
                <w:sz w:val="20"/>
                <w:szCs w:val="20"/>
                <w:color w:val="auto"/>
              </w:rPr>
            </w:pPr>
            <w:r>
              <w:rPr>
                <w:rFonts w:ascii="Arial" w:cs="Arial" w:eastAsia="Arial" w:hAnsi="Arial"/>
                <w:sz w:val="20"/>
                <w:szCs w:val="20"/>
                <w:color w:val="auto"/>
              </w:rPr>
              <w:t>/s/ Sylvia S. Tran</w:t>
            </w:r>
          </w:p>
        </w:tc>
      </w:tr>
      <w:tr>
        <w:trPr>
          <w:trHeight w:val="158"/>
        </w:trPr>
        <w:tc>
          <w:tcPr>
            <w:tcW w:w="110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Name:</w:t>
            </w:r>
          </w:p>
        </w:tc>
        <w:tc>
          <w:tcPr>
            <w:tcW w:w="5600" w:type="dxa"/>
            <w:vAlign w:val="bottom"/>
          </w:tcPr>
          <w:p>
            <w:pPr>
              <w:ind w:left="40"/>
              <w:spacing w:after="0"/>
              <w:rPr>
                <w:sz w:val="20"/>
                <w:szCs w:val="20"/>
                <w:color w:val="auto"/>
              </w:rPr>
            </w:pPr>
            <w:r>
              <w:rPr>
                <w:rFonts w:ascii="Arial" w:cs="Arial" w:eastAsia="Arial" w:hAnsi="Arial"/>
                <w:sz w:val="20"/>
                <w:szCs w:val="20"/>
                <w:color w:val="auto"/>
              </w:rPr>
              <w:t>Sylvia S. Tran</w:t>
            </w:r>
          </w:p>
        </w:tc>
      </w:tr>
      <w:tr>
        <w:trPr>
          <w:trHeight w:val="158"/>
        </w:trPr>
        <w:tc>
          <w:tcPr>
            <w:tcW w:w="110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Title:</w:t>
            </w:r>
          </w:p>
        </w:tc>
        <w:tc>
          <w:tcPr>
            <w:tcW w:w="5600" w:type="dxa"/>
            <w:vAlign w:val="bottom"/>
          </w:tcPr>
          <w:p>
            <w:pPr>
              <w:ind w:left="40"/>
              <w:spacing w:after="0"/>
              <w:rPr>
                <w:sz w:val="20"/>
                <w:szCs w:val="20"/>
                <w:color w:val="auto"/>
              </w:rPr>
            </w:pPr>
            <w:r>
              <w:rPr>
                <w:rFonts w:ascii="Arial" w:cs="Arial" w:eastAsia="Arial" w:hAnsi="Arial"/>
                <w:sz w:val="20"/>
                <w:szCs w:val="20"/>
                <w:color w:val="auto"/>
              </w:rPr>
              <w:t>Vice President</w:t>
            </w:r>
          </w:p>
        </w:tc>
      </w:tr>
      <w:tr>
        <w:trPr>
          <w:trHeight w:val="158"/>
        </w:trPr>
        <w:tc>
          <w:tcPr>
            <w:tcW w:w="110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819" w:right="239"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20"/>
          <w:szCs w:val="20"/>
          <w:b w:val="1"/>
          <w:bCs w:val="1"/>
          <w:u w:val="single" w:color="auto"/>
          <w:color w:val="auto"/>
        </w:rPr>
        <w:t>Schedule 1.1</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used in the Agreement, the following terms shall have the following definitions: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means an account (as that term is defined in the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means any Person who is obligated on an Account, chattel paper, or a general intangible.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Changes</w:t>
      </w:r>
      <w:r>
        <w:rPr>
          <w:rFonts w:ascii="Arial" w:cs="Arial" w:eastAsia="Arial" w:hAnsi="Arial"/>
          <w:sz w:val="20"/>
          <w:szCs w:val="20"/>
          <w:color w:val="auto"/>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Indebtedness</w:t>
      </w:r>
      <w:r>
        <w:rPr>
          <w:rFonts w:ascii="Arial" w:cs="Arial" w:eastAsia="Arial" w:hAnsi="Arial"/>
          <w:sz w:val="19"/>
          <w:szCs w:val="19"/>
          <w:color w:val="auto"/>
        </w:rPr>
        <w:t xml:space="preserve">” means Indebtedness of a Person whose assets or Equity Interests are acquired by Borrower or any of its Subsidiaries in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such Indebtedness (a) is either purchase money Indebtedness or a Capital Lease with respect to Equipment or mortgage financing with respect to Real Property, (b) was in existence prior to the date of such Permitted Acquisition, and (c) was not incurred in connection with, or in contemplation of, such Permitted Acquisition.</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 the purchase or other acquisition by a Person or its Subsidiaries of all or substantially all of the assets of (or any division or business line of) any other Person, or (b) the purchase or other acquisition (whether by means of a merger, consolidation, or otherwise) by a Person or its Subsidiaries of all or substantially all of the Equity Interests of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Documents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13.1(a)</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definition of Eligible Accounts and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of the Agreement: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an Affiliate of such Person, (b) each director (or comparable manager) of a Person shall be deemed to be an Affiliate of such Person, and (c) each partnership in which a Person is a general partner shall be deemed an Affiliate of such Person.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has the meaning specified therefor in the preamble to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Persons</w:t>
      </w:r>
      <w:r>
        <w:rPr>
          <w:rFonts w:ascii="Arial" w:cs="Arial" w:eastAsia="Arial" w:hAnsi="Arial"/>
          <w:sz w:val="20"/>
          <w:szCs w:val="20"/>
          <w:color w:val="auto"/>
        </w:rPr>
        <w:t>” means Agent, together with its Affiliates, officers, directors, employees, attorneys, and agents.</w:t>
      </w:r>
    </w:p>
    <w:p>
      <w:pPr>
        <w:sectPr>
          <w:pgSz w:w="11900" w:h="16838" w:orient="portrait"/>
          <w:cols w:equalWidth="0" w:num="1">
            <w:col w:w="11420"/>
          </w:cols>
          <w:pgMar w:left="240" w:top="819" w:right="239" w:bottom="1440" w:gutter="0" w:footer="0" w:header="0"/>
        </w:sectPr>
      </w:pPr>
    </w:p>
    <w:bookmarkStart w:id="168" w:name="page169"/>
    <w:bookmarkEnd w:id="16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Account</w:t>
      </w:r>
      <w:r>
        <w:rPr>
          <w:rFonts w:ascii="Arial" w:cs="Arial" w:eastAsia="Arial" w:hAnsi="Arial"/>
          <w:sz w:val="20"/>
          <w:szCs w:val="20"/>
          <w:color w:val="auto"/>
        </w:rPr>
        <w:t xml:space="preserve">” means the Deposit Account of Agent identified on </w:t>
      </w:r>
      <w:r>
        <w:rPr>
          <w:rFonts w:ascii="Arial" w:cs="Arial" w:eastAsia="Arial" w:hAnsi="Arial"/>
          <w:sz w:val="20"/>
          <w:szCs w:val="20"/>
          <w:u w:val="single" w:color="auto"/>
          <w:color w:val="auto"/>
        </w:rPr>
        <w:t>Schedule A-1</w:t>
      </w:r>
      <w:r>
        <w:rPr>
          <w:rFonts w:ascii="Arial" w:cs="Arial" w:eastAsia="Arial" w:hAnsi="Arial"/>
          <w:sz w:val="20"/>
          <w:szCs w:val="20"/>
          <w:color w:val="auto"/>
        </w:rPr>
        <w:t xml:space="preserve"> to the Agreement (or such other Deposit Account of Agent that has been designated as such, in writing, by Agent to Borrower and the Lenders).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Liens</w:t>
      </w:r>
      <w:r>
        <w:rPr>
          <w:rFonts w:ascii="Arial" w:cs="Arial" w:eastAsia="Arial" w:hAnsi="Arial"/>
          <w:sz w:val="20"/>
          <w:szCs w:val="20"/>
          <w:color w:val="auto"/>
        </w:rPr>
        <w:t>” means the Liens granted by Borrower or its Subsidiaries to Agent under the Loan Documents and securing the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means the Amended and Restated Credit Agreement to which this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is attached.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means, as of any date of determination and with respect to each Type of Loan, as applicable, the applicable margin set forth in the following table that corresponds to the Average Availability of Borrower for the most recently completed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period from the Restatement Closing Date through and including December 31, 2015, the Applicable Margin shall be set at the margin in the row styled “Level I”;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time an Event of Default has occurred and is continuing and at the election of Agent or the Required Lenders, the Applicable Margin shall be set at the margin in the row styled “</w:t>
      </w:r>
      <w:r>
        <w:rPr>
          <w:rFonts w:ascii="Arial" w:cs="Arial" w:eastAsia="Arial" w:hAnsi="Arial"/>
          <w:sz w:val="19"/>
          <w:szCs w:val="19"/>
          <w:u w:val="single" w:color="auto"/>
          <w:color w:val="auto"/>
        </w:rPr>
        <w:t>Level I</w:t>
      </w:r>
      <w:r>
        <w:rPr>
          <w:rFonts w:ascii="Arial" w:cs="Arial" w:eastAsia="Arial" w:hAnsi="Arial"/>
          <w:sz w:val="19"/>
          <w:szCs w:val="19"/>
          <w:color w:val="auto"/>
        </w:rPr>
        <w:t>”:</w:t>
      </w: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60" w:type="dxa"/>
            <w:vAlign w:val="bottom"/>
            <w:tcBorders>
              <w:top w:val="single" w:sz="8" w:color="00000A"/>
              <w:left w:val="single" w:sz="8" w:color="00000A"/>
            </w:tcBorders>
          </w:tcPr>
          <w:p>
            <w:pPr>
              <w:spacing w:after="0"/>
              <w:rPr>
                <w:sz w:val="24"/>
                <w:szCs w:val="24"/>
                <w:color w:val="auto"/>
              </w:rPr>
            </w:pPr>
          </w:p>
        </w:tc>
        <w:tc>
          <w:tcPr>
            <w:tcW w:w="480" w:type="dxa"/>
            <w:vAlign w:val="bottom"/>
            <w:tcBorders>
              <w:top w:val="single" w:sz="8" w:color="00000A"/>
            </w:tcBorders>
          </w:tcPr>
          <w:p>
            <w:pPr>
              <w:spacing w:after="0"/>
              <w:rPr>
                <w:sz w:val="24"/>
                <w:szCs w:val="24"/>
                <w:color w:val="auto"/>
              </w:rPr>
            </w:pPr>
          </w:p>
        </w:tc>
        <w:tc>
          <w:tcPr>
            <w:tcW w:w="460" w:type="dxa"/>
            <w:vAlign w:val="bottom"/>
            <w:tcBorders>
              <w:top w:val="single" w:sz="8" w:color="00000A"/>
              <w:right w:val="single" w:sz="8" w:color="00000A"/>
            </w:tcBorders>
          </w:tcPr>
          <w:p>
            <w:pPr>
              <w:spacing w:after="0"/>
              <w:rPr>
                <w:sz w:val="24"/>
                <w:szCs w:val="24"/>
                <w:color w:val="auto"/>
              </w:rPr>
            </w:pPr>
          </w:p>
        </w:tc>
        <w:tc>
          <w:tcPr>
            <w:tcW w:w="240" w:type="dxa"/>
            <w:vAlign w:val="bottom"/>
            <w:tcBorders>
              <w:top w:val="single" w:sz="8" w:color="00000A"/>
            </w:tcBorders>
          </w:tcPr>
          <w:p>
            <w:pPr>
              <w:spacing w:after="0"/>
              <w:rPr>
                <w:sz w:val="24"/>
                <w:szCs w:val="24"/>
                <w:color w:val="auto"/>
              </w:rPr>
            </w:pPr>
          </w:p>
        </w:tc>
        <w:tc>
          <w:tcPr>
            <w:tcW w:w="200" w:type="dxa"/>
            <w:vAlign w:val="bottom"/>
            <w:tcBorders>
              <w:top w:val="single" w:sz="8" w:color="00000A"/>
            </w:tcBorders>
          </w:tcPr>
          <w:p>
            <w:pPr>
              <w:spacing w:after="0"/>
              <w:rPr>
                <w:sz w:val="24"/>
                <w:szCs w:val="24"/>
                <w:color w:val="auto"/>
              </w:rPr>
            </w:pPr>
          </w:p>
        </w:tc>
        <w:tc>
          <w:tcPr>
            <w:tcW w:w="120" w:type="dxa"/>
            <w:vAlign w:val="bottom"/>
            <w:tcBorders>
              <w:top w:val="single" w:sz="8" w:color="00000A"/>
            </w:tcBorders>
          </w:tcPr>
          <w:p>
            <w:pPr>
              <w:spacing w:after="0"/>
              <w:rPr>
                <w:sz w:val="24"/>
                <w:szCs w:val="24"/>
                <w:color w:val="auto"/>
              </w:rPr>
            </w:pPr>
          </w:p>
        </w:tc>
        <w:tc>
          <w:tcPr>
            <w:tcW w:w="1460" w:type="dxa"/>
            <w:vAlign w:val="bottom"/>
            <w:tcBorders>
              <w:top w:val="single" w:sz="8" w:color="00000A"/>
            </w:tcBorders>
          </w:tcPr>
          <w:p>
            <w:pPr>
              <w:spacing w:after="0"/>
              <w:rPr>
                <w:sz w:val="24"/>
                <w:szCs w:val="24"/>
                <w:color w:val="auto"/>
              </w:rPr>
            </w:pPr>
          </w:p>
        </w:tc>
        <w:tc>
          <w:tcPr>
            <w:tcW w:w="260" w:type="dxa"/>
            <w:vAlign w:val="bottom"/>
            <w:tcBorders>
              <w:top w:val="single" w:sz="8" w:color="00000A"/>
              <w:right w:val="single" w:sz="8" w:color="00000A"/>
            </w:tcBorders>
          </w:tcPr>
          <w:p>
            <w:pPr>
              <w:spacing w:after="0"/>
              <w:rPr>
                <w:sz w:val="24"/>
                <w:szCs w:val="24"/>
                <w:color w:val="auto"/>
              </w:rPr>
            </w:pPr>
          </w:p>
        </w:tc>
        <w:tc>
          <w:tcPr>
            <w:tcW w:w="220" w:type="dxa"/>
            <w:vAlign w:val="bottom"/>
            <w:tcBorders>
              <w:top w:val="single" w:sz="8" w:color="00000A"/>
            </w:tcBorders>
          </w:tcPr>
          <w:p>
            <w:pPr>
              <w:spacing w:after="0"/>
              <w:rPr>
                <w:sz w:val="24"/>
                <w:szCs w:val="24"/>
                <w:color w:val="auto"/>
              </w:rPr>
            </w:pPr>
          </w:p>
        </w:tc>
        <w:tc>
          <w:tcPr>
            <w:tcW w:w="1620" w:type="dxa"/>
            <w:vAlign w:val="bottom"/>
            <w:tcBorders>
              <w:top w:val="single" w:sz="8" w:color="00000A"/>
            </w:tcBorders>
            <w:gridSpan w:val="4"/>
          </w:tcPr>
          <w:p>
            <w:pPr>
              <w:jc w:val="center"/>
              <w:ind w:right="60"/>
              <w:spacing w:after="0"/>
              <w:rPr>
                <w:sz w:val="20"/>
                <w:szCs w:val="20"/>
                <w:color w:val="auto"/>
              </w:rPr>
            </w:pPr>
            <w:r>
              <w:rPr>
                <w:rFonts w:ascii="Arial" w:cs="Arial" w:eastAsia="Arial" w:hAnsi="Arial"/>
                <w:sz w:val="22"/>
                <w:szCs w:val="22"/>
                <w:color w:val="auto"/>
                <w:w w:val="89"/>
              </w:rPr>
              <w:t>Applicable Margin</w:t>
            </w:r>
          </w:p>
        </w:tc>
        <w:tc>
          <w:tcPr>
            <w:tcW w:w="100" w:type="dxa"/>
            <w:vAlign w:val="bottom"/>
            <w:tcBorders>
              <w:top w:val="single" w:sz="8" w:color="00000A"/>
              <w:right w:val="single" w:sz="8" w:color="00000A"/>
            </w:tcBorders>
          </w:tcPr>
          <w:p>
            <w:pPr>
              <w:spacing w:after="0"/>
              <w:rPr>
                <w:sz w:val="24"/>
                <w:szCs w:val="24"/>
                <w:color w:val="auto"/>
              </w:rPr>
            </w:pPr>
          </w:p>
        </w:tc>
        <w:tc>
          <w:tcPr>
            <w:tcW w:w="60" w:type="dxa"/>
            <w:vAlign w:val="bottom"/>
            <w:tcBorders>
              <w:top w:val="single" w:sz="8" w:color="00000A"/>
            </w:tcBorders>
          </w:tcPr>
          <w:p>
            <w:pPr>
              <w:spacing w:after="0"/>
              <w:rPr>
                <w:sz w:val="24"/>
                <w:szCs w:val="24"/>
                <w:color w:val="auto"/>
              </w:rPr>
            </w:pPr>
          </w:p>
        </w:tc>
        <w:tc>
          <w:tcPr>
            <w:tcW w:w="120" w:type="dxa"/>
            <w:vAlign w:val="bottom"/>
            <w:tcBorders>
              <w:top w:val="single" w:sz="8" w:color="00000A"/>
            </w:tcBorders>
          </w:tcPr>
          <w:p>
            <w:pPr>
              <w:spacing w:after="0"/>
              <w:rPr>
                <w:sz w:val="24"/>
                <w:szCs w:val="24"/>
                <w:color w:val="auto"/>
              </w:rPr>
            </w:pPr>
          </w:p>
        </w:tc>
        <w:tc>
          <w:tcPr>
            <w:tcW w:w="1760" w:type="dxa"/>
            <w:vAlign w:val="bottom"/>
            <w:tcBorders>
              <w:top w:val="single" w:sz="8" w:color="00000A"/>
              <w:right w:val="single" w:sz="8" w:color="00000A"/>
            </w:tcBorders>
            <w:gridSpan w:val="7"/>
          </w:tcPr>
          <w:p>
            <w:pPr>
              <w:jc w:val="center"/>
              <w:ind w:right="180"/>
              <w:spacing w:after="0"/>
              <w:rPr>
                <w:sz w:val="20"/>
                <w:szCs w:val="20"/>
                <w:color w:val="auto"/>
              </w:rPr>
            </w:pPr>
            <w:r>
              <w:rPr>
                <w:rFonts w:ascii="Arial" w:cs="Arial" w:eastAsia="Arial" w:hAnsi="Arial"/>
                <w:sz w:val="22"/>
                <w:szCs w:val="22"/>
                <w:color w:val="auto"/>
                <w:w w:val="90"/>
              </w:rPr>
              <w:t>Applicable Margin</w:t>
            </w:r>
          </w:p>
        </w:tc>
        <w:tc>
          <w:tcPr>
            <w:tcW w:w="60" w:type="dxa"/>
            <w:vAlign w:val="bottom"/>
            <w:tcBorders>
              <w:top w:val="single" w:sz="8" w:color="00000A"/>
            </w:tcBorders>
          </w:tcPr>
          <w:p>
            <w:pPr>
              <w:spacing w:after="0"/>
              <w:rPr>
                <w:sz w:val="24"/>
                <w:szCs w:val="24"/>
                <w:color w:val="auto"/>
              </w:rPr>
            </w:pPr>
          </w:p>
        </w:tc>
        <w:tc>
          <w:tcPr>
            <w:tcW w:w="60" w:type="dxa"/>
            <w:vAlign w:val="bottom"/>
            <w:tcBorders>
              <w:top w:val="single" w:sz="8" w:color="00000A"/>
            </w:tcBorders>
          </w:tcPr>
          <w:p>
            <w:pPr>
              <w:spacing w:after="0"/>
              <w:rPr>
                <w:sz w:val="24"/>
                <w:szCs w:val="24"/>
                <w:color w:val="auto"/>
              </w:rPr>
            </w:pPr>
          </w:p>
        </w:tc>
        <w:tc>
          <w:tcPr>
            <w:tcW w:w="460" w:type="dxa"/>
            <w:vAlign w:val="bottom"/>
            <w:tcBorders>
              <w:top w:val="single" w:sz="8" w:color="00000A"/>
            </w:tcBorders>
          </w:tcPr>
          <w:p>
            <w:pPr>
              <w:spacing w:after="0"/>
              <w:rPr>
                <w:sz w:val="24"/>
                <w:szCs w:val="24"/>
                <w:color w:val="auto"/>
              </w:rPr>
            </w:pPr>
          </w:p>
        </w:tc>
        <w:tc>
          <w:tcPr>
            <w:tcW w:w="720" w:type="dxa"/>
            <w:vAlign w:val="bottom"/>
            <w:tcBorders>
              <w:top w:val="single" w:sz="8" w:color="00000A"/>
            </w:tcBorders>
          </w:tcPr>
          <w:p>
            <w:pPr>
              <w:spacing w:after="0"/>
              <w:rPr>
                <w:sz w:val="24"/>
                <w:szCs w:val="24"/>
                <w:color w:val="auto"/>
              </w:rPr>
            </w:pPr>
          </w:p>
        </w:tc>
        <w:tc>
          <w:tcPr>
            <w:tcW w:w="460" w:type="dxa"/>
            <w:vAlign w:val="bottom"/>
            <w:tcBorders>
              <w:top w:val="single" w:sz="8" w:color="00000A"/>
            </w:tcBorders>
          </w:tcPr>
          <w:p>
            <w:pPr>
              <w:spacing w:after="0"/>
              <w:rPr>
                <w:sz w:val="24"/>
                <w:szCs w:val="24"/>
                <w:color w:val="auto"/>
              </w:rPr>
            </w:pPr>
          </w:p>
        </w:tc>
        <w:tc>
          <w:tcPr>
            <w:tcW w:w="60" w:type="dxa"/>
            <w:vAlign w:val="bottom"/>
            <w:tcBorders>
              <w:top w:val="single" w:sz="8" w:color="00000A"/>
            </w:tcBorders>
          </w:tcPr>
          <w:p>
            <w:pPr>
              <w:spacing w:after="0"/>
              <w:rPr>
                <w:sz w:val="24"/>
                <w:szCs w:val="24"/>
                <w:color w:val="auto"/>
              </w:rPr>
            </w:pPr>
          </w:p>
        </w:tc>
        <w:tc>
          <w:tcPr>
            <w:tcW w:w="100" w:type="dxa"/>
            <w:vAlign w:val="bottom"/>
            <w:tcBorders>
              <w:top w:val="single" w:sz="8" w:color="00000A"/>
              <w:right w:val="single" w:sz="8" w:color="00000A"/>
            </w:tcBorders>
          </w:tcPr>
          <w:p>
            <w:pPr>
              <w:spacing w:after="0"/>
              <w:rPr>
                <w:sz w:val="24"/>
                <w:szCs w:val="24"/>
                <w:color w:val="auto"/>
              </w:rPr>
            </w:pPr>
          </w:p>
        </w:tc>
        <w:tc>
          <w:tcPr>
            <w:tcW w:w="80" w:type="dxa"/>
            <w:vAlign w:val="bottom"/>
            <w:tcBorders>
              <w:top w:val="single" w:sz="8" w:color="00000A"/>
            </w:tcBorders>
          </w:tcPr>
          <w:p>
            <w:pPr>
              <w:spacing w:after="0"/>
              <w:rPr>
                <w:sz w:val="24"/>
                <w:szCs w:val="24"/>
                <w:color w:val="auto"/>
              </w:rPr>
            </w:pPr>
          </w:p>
        </w:tc>
        <w:tc>
          <w:tcPr>
            <w:tcW w:w="60" w:type="dxa"/>
            <w:vAlign w:val="bottom"/>
            <w:tcBorders>
              <w:top w:val="single" w:sz="8" w:color="00000A"/>
            </w:tcBorders>
          </w:tcPr>
          <w:p>
            <w:pPr>
              <w:spacing w:after="0"/>
              <w:rPr>
                <w:sz w:val="24"/>
                <w:szCs w:val="24"/>
                <w:color w:val="auto"/>
              </w:rPr>
            </w:pPr>
          </w:p>
        </w:tc>
        <w:tc>
          <w:tcPr>
            <w:tcW w:w="320" w:type="dxa"/>
            <w:vAlign w:val="bottom"/>
            <w:tcBorders>
              <w:top w:val="single" w:sz="8" w:color="00000A"/>
            </w:tcBorders>
          </w:tcPr>
          <w:p>
            <w:pPr>
              <w:spacing w:after="0"/>
              <w:rPr>
                <w:sz w:val="24"/>
                <w:szCs w:val="24"/>
                <w:color w:val="auto"/>
              </w:rPr>
            </w:pPr>
          </w:p>
        </w:tc>
        <w:tc>
          <w:tcPr>
            <w:tcW w:w="980" w:type="dxa"/>
            <w:vAlign w:val="bottom"/>
            <w:tcBorders>
              <w:top w:val="single" w:sz="8" w:color="00000A"/>
            </w:tcBorders>
          </w:tcPr>
          <w:p>
            <w:pPr>
              <w:spacing w:after="0"/>
              <w:rPr>
                <w:sz w:val="24"/>
                <w:szCs w:val="24"/>
                <w:color w:val="auto"/>
              </w:rPr>
            </w:pPr>
          </w:p>
        </w:tc>
        <w:tc>
          <w:tcPr>
            <w:tcW w:w="340" w:type="dxa"/>
            <w:vAlign w:val="bottom"/>
            <w:tcBorders>
              <w:top w:val="single" w:sz="8" w:color="00000A"/>
            </w:tcBorders>
          </w:tcPr>
          <w:p>
            <w:pPr>
              <w:spacing w:after="0"/>
              <w:rPr>
                <w:sz w:val="24"/>
                <w:szCs w:val="24"/>
                <w:color w:val="auto"/>
              </w:rPr>
            </w:pPr>
          </w:p>
        </w:tc>
        <w:tc>
          <w:tcPr>
            <w:tcW w:w="40" w:type="dxa"/>
            <w:vAlign w:val="bottom"/>
            <w:tcBorders>
              <w:top w:val="single" w:sz="8" w:color="00000A"/>
            </w:tcBorders>
          </w:tcPr>
          <w:p>
            <w:pPr>
              <w:spacing w:after="0"/>
              <w:rPr>
                <w:sz w:val="24"/>
                <w:szCs w:val="24"/>
                <w:color w:val="auto"/>
              </w:rPr>
            </w:pPr>
          </w:p>
        </w:tc>
        <w:tc>
          <w:tcPr>
            <w:tcW w:w="120" w:type="dxa"/>
            <w:vAlign w:val="bottom"/>
            <w:tcBorders>
              <w:top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 w:type="dxa"/>
            <w:vAlign w:val="bottom"/>
            <w:tcBorders>
              <w:left w:val="single" w:sz="8" w:color="00000A"/>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top w:val="single" w:sz="8" w:color="auto"/>
            </w:tcBorders>
            <w:gridSpan w:val="3"/>
          </w:tcPr>
          <w:p>
            <w:pPr>
              <w:jc w:val="center"/>
              <w:spacing w:after="0" w:line="223" w:lineRule="exact"/>
              <w:rPr>
                <w:sz w:val="20"/>
                <w:szCs w:val="20"/>
                <w:color w:val="auto"/>
              </w:rPr>
            </w:pPr>
            <w:r>
              <w:rPr>
                <w:rFonts w:ascii="Arial" w:cs="Arial" w:eastAsia="Arial" w:hAnsi="Arial"/>
                <w:sz w:val="22"/>
                <w:szCs w:val="22"/>
                <w:color w:val="auto"/>
                <w:w w:val="90"/>
              </w:rPr>
              <w:t>Relative to Dollar</w:t>
            </w:r>
          </w:p>
        </w:tc>
        <w:tc>
          <w:tcPr>
            <w:tcW w:w="100" w:type="dxa"/>
            <w:vAlign w:val="bottom"/>
            <w:tcBorders>
              <w:top w:val="single" w:sz="8" w:color="auto"/>
            </w:tcBorders>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gridSpan w:val="4"/>
          </w:tcPr>
          <w:p>
            <w:pPr>
              <w:jc w:val="center"/>
              <w:ind w:right="40"/>
              <w:spacing w:after="0" w:line="223" w:lineRule="exact"/>
              <w:rPr>
                <w:sz w:val="20"/>
                <w:szCs w:val="20"/>
                <w:color w:val="auto"/>
              </w:rPr>
            </w:pPr>
            <w:r>
              <w:rPr>
                <w:rFonts w:ascii="Arial" w:cs="Arial" w:eastAsia="Arial" w:hAnsi="Arial"/>
                <w:sz w:val="22"/>
                <w:szCs w:val="22"/>
                <w:color w:val="auto"/>
                <w:w w:val="91"/>
              </w:rPr>
              <w:t>Relative to Dollar</w:t>
            </w:r>
          </w:p>
        </w:tc>
        <w:tc>
          <w:tcPr>
            <w:tcW w:w="180" w:type="dxa"/>
            <w:vAlign w:val="bottom"/>
            <w:tcBorders>
              <w:right w:val="single" w:sz="8" w:color="00000A"/>
            </w:tcBorders>
            <w:gridSpan w:val="3"/>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22"/>
                <w:szCs w:val="22"/>
                <w:color w:val="auto"/>
                <w:w w:val="93"/>
              </w:rPr>
              <w:t>Applicable Margin</w:t>
            </w:r>
          </w:p>
        </w:tc>
        <w:tc>
          <w:tcPr>
            <w:tcW w:w="160" w:type="dxa"/>
            <w:vAlign w:val="bottom"/>
            <w:tcBorders>
              <w:right w:val="single" w:sz="8" w:color="00000A"/>
            </w:tcBorders>
            <w:gridSpan w:val="2"/>
            <w:vMerge w:val="restart"/>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Borders>
              <w:right w:val="single" w:sz="8" w:color="00000A"/>
            </w:tcBorders>
            <w:gridSpan w:val="6"/>
            <w:vMerge w:val="restart"/>
          </w:tcPr>
          <w:p>
            <w:pPr>
              <w:jc w:val="center"/>
              <w:ind w:right="100"/>
              <w:spacing w:after="0"/>
              <w:rPr>
                <w:sz w:val="20"/>
                <w:szCs w:val="20"/>
                <w:color w:val="auto"/>
              </w:rPr>
            </w:pPr>
            <w:r>
              <w:rPr>
                <w:rFonts w:ascii="Arial" w:cs="Arial" w:eastAsia="Arial" w:hAnsi="Arial"/>
                <w:sz w:val="22"/>
                <w:szCs w:val="22"/>
                <w:color w:val="auto"/>
                <w:w w:val="93"/>
              </w:rPr>
              <w:t>Applicable Margin</w:t>
            </w:r>
          </w:p>
        </w:tc>
        <w:tc>
          <w:tcPr>
            <w:tcW w:w="0" w:type="dxa"/>
            <w:vAlign w:val="bottom"/>
          </w:tcPr>
          <w:p>
            <w:pPr>
              <w:spacing w:after="0"/>
              <w:rPr>
                <w:sz w:val="1"/>
                <w:szCs w:val="1"/>
                <w:color w:val="auto"/>
              </w:rPr>
            </w:pPr>
          </w:p>
        </w:tc>
      </w:tr>
      <w:tr>
        <w:trPr>
          <w:trHeight w:val="20"/>
        </w:trPr>
        <w:tc>
          <w:tcPr>
            <w:tcW w:w="460" w:type="dxa"/>
            <w:vAlign w:val="bottom"/>
            <w:tcBorders>
              <w:left w:val="single" w:sz="8" w:color="00000A"/>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right w:val="single" w:sz="8" w:color="00000A"/>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60" w:type="dxa"/>
            <w:vAlign w:val="bottom"/>
            <w:tcBorders>
              <w:right w:val="single" w:sz="8" w:color="00000A"/>
            </w:tcBorders>
            <w:gridSpan w:val="2"/>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60" w:type="dxa"/>
            <w:vAlign w:val="bottom"/>
            <w:tcBorders>
              <w:right w:val="single" w:sz="8" w:color="00000A"/>
            </w:tcBorders>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left w:val="single" w:sz="8" w:color="00000A"/>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right w:val="single" w:sz="8" w:color="00000A"/>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Borders>
              <w:right w:val="single" w:sz="8" w:color="00000A"/>
            </w:tcBorders>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jc w:val="center"/>
              <w:spacing w:after="0" w:line="223" w:lineRule="exact"/>
              <w:rPr>
                <w:sz w:val="20"/>
                <w:szCs w:val="20"/>
                <w:color w:val="auto"/>
              </w:rPr>
            </w:pPr>
            <w:r>
              <w:rPr>
                <w:rFonts w:ascii="Arial" w:cs="Arial" w:eastAsia="Arial" w:hAnsi="Arial"/>
                <w:sz w:val="22"/>
                <w:szCs w:val="22"/>
                <w:color w:val="auto"/>
                <w:w w:val="82"/>
              </w:rPr>
              <w:t>Denominated Loans</w:t>
            </w:r>
          </w:p>
        </w:tc>
        <w:tc>
          <w:tcPr>
            <w:tcW w:w="100" w:type="dxa"/>
            <w:vAlign w:val="bottom"/>
            <w:tcBorders>
              <w:right w:val="single" w:sz="8" w:color="00000A"/>
            </w:tcBorders>
            <w:vMerge w:val="restart"/>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Borders>
              <w:right w:val="single" w:sz="8" w:color="00000A"/>
            </w:tcBorders>
            <w:gridSpan w:val="7"/>
            <w:vMerge w:val="restart"/>
          </w:tcPr>
          <w:p>
            <w:pPr>
              <w:jc w:val="center"/>
              <w:ind w:right="120"/>
              <w:spacing w:after="0" w:line="223" w:lineRule="exact"/>
              <w:rPr>
                <w:sz w:val="20"/>
                <w:szCs w:val="20"/>
                <w:color w:val="auto"/>
              </w:rPr>
            </w:pPr>
            <w:r>
              <w:rPr>
                <w:rFonts w:ascii="Arial" w:cs="Arial" w:eastAsia="Arial" w:hAnsi="Arial"/>
                <w:sz w:val="22"/>
                <w:szCs w:val="22"/>
                <w:color w:val="auto"/>
                <w:w w:val="83"/>
              </w:rPr>
              <w:t>Denominated Loans</w:t>
            </w: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60" w:type="dxa"/>
            <w:vAlign w:val="bottom"/>
            <w:tcBorders>
              <w:right w:val="single" w:sz="8" w:color="00000A"/>
            </w:tcBorders>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860" w:type="dxa"/>
            <w:vAlign w:val="bottom"/>
            <w:tcBorders>
              <w:right w:val="single" w:sz="8" w:color="00000A"/>
            </w:tcBorders>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Borders>
              <w:left w:val="single" w:sz="8" w:color="00000A"/>
            </w:tcBorders>
          </w:tcPr>
          <w:p>
            <w:pPr>
              <w:spacing w:after="0"/>
              <w:rPr>
                <w:sz w:val="8"/>
                <w:szCs w:val="8"/>
                <w:color w:val="auto"/>
              </w:rPr>
            </w:pPr>
          </w:p>
        </w:tc>
        <w:tc>
          <w:tcPr>
            <w:tcW w:w="940" w:type="dxa"/>
            <w:vAlign w:val="bottom"/>
            <w:tcBorders>
              <w:right w:val="single" w:sz="8" w:color="00000A"/>
            </w:tcBorders>
            <w:gridSpan w:val="2"/>
            <w:vMerge w:val="restart"/>
          </w:tcPr>
          <w:p>
            <w:pPr>
              <w:jc w:val="center"/>
              <w:ind w:right="460"/>
              <w:spacing w:after="0" w:line="223" w:lineRule="exact"/>
              <w:rPr>
                <w:sz w:val="20"/>
                <w:szCs w:val="20"/>
                <w:color w:val="auto"/>
              </w:rPr>
            </w:pPr>
            <w:r>
              <w:rPr>
                <w:rFonts w:ascii="Arial" w:cs="Arial" w:eastAsia="Arial" w:hAnsi="Arial"/>
                <w:sz w:val="22"/>
                <w:szCs w:val="22"/>
                <w:color w:val="auto"/>
                <w:w w:val="91"/>
              </w:rPr>
              <w:t>Level</w:t>
            </w:r>
          </w:p>
        </w:tc>
        <w:tc>
          <w:tcPr>
            <w:tcW w:w="2280" w:type="dxa"/>
            <w:vAlign w:val="bottom"/>
            <w:tcBorders>
              <w:right w:val="single" w:sz="8" w:color="00000A"/>
            </w:tcBorders>
            <w:gridSpan w:val="5"/>
            <w:vMerge w:val="restart"/>
          </w:tcPr>
          <w:p>
            <w:pPr>
              <w:jc w:val="center"/>
              <w:ind w:right="20"/>
              <w:spacing w:after="0" w:line="223" w:lineRule="exact"/>
              <w:rPr>
                <w:sz w:val="20"/>
                <w:szCs w:val="20"/>
                <w:color w:val="auto"/>
              </w:rPr>
            </w:pPr>
            <w:r>
              <w:rPr>
                <w:rFonts w:ascii="Arial" w:cs="Arial" w:eastAsia="Arial" w:hAnsi="Arial"/>
                <w:sz w:val="22"/>
                <w:szCs w:val="22"/>
                <w:color w:val="auto"/>
                <w:w w:val="92"/>
              </w:rPr>
              <w:t>Average Availability</w:t>
            </w:r>
          </w:p>
        </w:tc>
        <w:tc>
          <w:tcPr>
            <w:tcW w:w="22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100" w:type="dxa"/>
            <w:vAlign w:val="bottom"/>
            <w:tcBorders>
              <w:right w:val="single" w:sz="8" w:color="00000A"/>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Borders>
              <w:right w:val="single" w:sz="8" w:color="00000A"/>
            </w:tcBorders>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tcBorders>
              <w:top w:val="single" w:sz="8" w:color="auto"/>
            </w:tcBorders>
            <w:gridSpan w:val="3"/>
            <w:vMerge w:val="restart"/>
          </w:tcPr>
          <w:p>
            <w:pPr>
              <w:jc w:val="center"/>
              <w:spacing w:after="0" w:line="223" w:lineRule="exact"/>
              <w:rPr>
                <w:sz w:val="20"/>
                <w:szCs w:val="20"/>
                <w:color w:val="auto"/>
              </w:rPr>
            </w:pPr>
            <w:r>
              <w:rPr>
                <w:rFonts w:ascii="Arial" w:cs="Arial" w:eastAsia="Arial" w:hAnsi="Arial"/>
                <w:sz w:val="22"/>
                <w:szCs w:val="22"/>
                <w:color w:val="auto"/>
                <w:w w:val="91"/>
              </w:rPr>
              <w:t>for Euro</w:t>
            </w:r>
          </w:p>
        </w:tc>
        <w:tc>
          <w:tcPr>
            <w:tcW w:w="160" w:type="dxa"/>
            <w:vAlign w:val="bottom"/>
            <w:tcBorders>
              <w:right w:val="single" w:sz="8" w:color="00000A"/>
            </w:tcBorders>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tcBorders>
              <w:top w:val="single" w:sz="8" w:color="auto"/>
            </w:tcBorders>
            <w:gridSpan w:val="3"/>
            <w:vMerge w:val="restart"/>
          </w:tcPr>
          <w:p>
            <w:pPr>
              <w:jc w:val="center"/>
              <w:ind w:right="20"/>
              <w:spacing w:after="0" w:line="223" w:lineRule="exact"/>
              <w:rPr>
                <w:sz w:val="20"/>
                <w:szCs w:val="20"/>
                <w:color w:val="auto"/>
              </w:rPr>
            </w:pPr>
            <w:r>
              <w:rPr>
                <w:rFonts w:ascii="Arial" w:cs="Arial" w:eastAsia="Arial" w:hAnsi="Arial"/>
                <w:sz w:val="22"/>
                <w:szCs w:val="22"/>
                <w:color w:val="auto"/>
                <w:w w:val="92"/>
              </w:rPr>
              <w:t>for Sterling</w:t>
            </w:r>
          </w:p>
        </w:tc>
        <w:tc>
          <w:tcPr>
            <w:tcW w:w="160" w:type="dxa"/>
            <w:vAlign w:val="bottom"/>
            <w:tcBorders>
              <w:right w:val="single" w:sz="8" w:color="00000A"/>
            </w:tcBorders>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00000A"/>
            </w:tcBorders>
          </w:tcPr>
          <w:p>
            <w:pPr>
              <w:spacing w:after="0" w:line="20" w:lineRule="exact"/>
              <w:rPr>
                <w:sz w:val="1"/>
                <w:szCs w:val="1"/>
                <w:color w:val="auto"/>
              </w:rPr>
            </w:pPr>
          </w:p>
        </w:tc>
        <w:tc>
          <w:tcPr>
            <w:tcW w:w="940" w:type="dxa"/>
            <w:vAlign w:val="bottom"/>
            <w:tcBorders>
              <w:right w:val="single" w:sz="8" w:color="00000A"/>
            </w:tcBorders>
            <w:gridSpan w:val="2"/>
            <w:vMerge w:val="continue"/>
          </w:tcPr>
          <w:p>
            <w:pPr>
              <w:spacing w:after="0" w:line="20" w:lineRule="exact"/>
              <w:rPr>
                <w:sz w:val="1"/>
                <w:szCs w:val="1"/>
                <w:color w:val="auto"/>
              </w:rPr>
            </w:pPr>
          </w:p>
        </w:tc>
        <w:tc>
          <w:tcPr>
            <w:tcW w:w="2280" w:type="dxa"/>
            <w:vAlign w:val="bottom"/>
            <w:tcBorders>
              <w:right w:val="single" w:sz="8" w:color="00000A"/>
            </w:tcBorders>
            <w:gridSpan w:val="5"/>
            <w:vMerge w:val="continue"/>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60" w:type="dxa"/>
            <w:vAlign w:val="bottom"/>
            <w:tcBorders>
              <w:right w:val="single" w:sz="8" w:color="00000A"/>
            </w:tcBorders>
            <w:gridSpan w:val="2"/>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60" w:type="dxa"/>
            <w:vAlign w:val="bottom"/>
            <w:tcBorders>
              <w:right w:val="single" w:sz="8" w:color="00000A"/>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left w:val="single" w:sz="8" w:color="00000A"/>
            </w:tcBorders>
          </w:tcPr>
          <w:p>
            <w:pPr>
              <w:spacing w:after="0"/>
              <w:rPr>
                <w:sz w:val="8"/>
                <w:szCs w:val="8"/>
                <w:color w:val="auto"/>
              </w:rPr>
            </w:pPr>
          </w:p>
        </w:tc>
        <w:tc>
          <w:tcPr>
            <w:tcW w:w="940" w:type="dxa"/>
            <w:vAlign w:val="bottom"/>
            <w:tcBorders>
              <w:right w:val="single" w:sz="8" w:color="00000A"/>
            </w:tcBorders>
            <w:gridSpan w:val="2"/>
            <w:vMerge w:val="continue"/>
          </w:tcPr>
          <w:p>
            <w:pPr>
              <w:spacing w:after="0"/>
              <w:rPr>
                <w:sz w:val="8"/>
                <w:szCs w:val="8"/>
                <w:color w:val="auto"/>
              </w:rPr>
            </w:pPr>
          </w:p>
        </w:tc>
        <w:tc>
          <w:tcPr>
            <w:tcW w:w="2280" w:type="dxa"/>
            <w:vAlign w:val="bottom"/>
            <w:tcBorders>
              <w:right w:val="single" w:sz="8" w:color="00000A"/>
            </w:tcBorders>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gridSpan w:val="3"/>
            <w:vMerge w:val="restart"/>
          </w:tcPr>
          <w:p>
            <w:pPr>
              <w:jc w:val="center"/>
              <w:spacing w:after="0" w:line="209" w:lineRule="exact"/>
              <w:rPr>
                <w:sz w:val="20"/>
                <w:szCs w:val="20"/>
                <w:color w:val="auto"/>
              </w:rPr>
            </w:pPr>
            <w:r>
              <w:rPr>
                <w:rFonts w:ascii="Arial" w:cs="Arial" w:eastAsia="Arial" w:hAnsi="Arial"/>
                <w:sz w:val="22"/>
                <w:szCs w:val="22"/>
                <w:color w:val="auto"/>
                <w:w w:val="82"/>
              </w:rPr>
              <w:t>that are Base Rate</w:t>
            </w:r>
          </w:p>
        </w:tc>
        <w:tc>
          <w:tcPr>
            <w:tcW w:w="100" w:type="dxa"/>
            <w:vAlign w:val="bottom"/>
          </w:tcPr>
          <w:p>
            <w:pPr>
              <w:spacing w:after="0"/>
              <w:rPr>
                <w:sz w:val="8"/>
                <w:szCs w:val="8"/>
                <w:color w:val="auto"/>
              </w:rPr>
            </w:pPr>
          </w:p>
        </w:tc>
        <w:tc>
          <w:tcPr>
            <w:tcW w:w="100" w:type="dxa"/>
            <w:vAlign w:val="bottom"/>
            <w:tcBorders>
              <w:right w:val="single" w:sz="8" w:color="00000A"/>
            </w:tcBorders>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gridSpan w:val="7"/>
            <w:vMerge w:val="restart"/>
          </w:tcPr>
          <w:p>
            <w:pPr>
              <w:jc w:val="center"/>
              <w:spacing w:after="0" w:line="209" w:lineRule="exact"/>
              <w:rPr>
                <w:sz w:val="20"/>
                <w:szCs w:val="20"/>
                <w:color w:val="auto"/>
              </w:rPr>
            </w:pPr>
            <w:r>
              <w:rPr>
                <w:rFonts w:ascii="Arial" w:cs="Arial" w:eastAsia="Arial" w:hAnsi="Arial"/>
                <w:sz w:val="22"/>
                <w:szCs w:val="22"/>
                <w:color w:val="auto"/>
                <w:w w:val="89"/>
              </w:rPr>
              <w:t>that are LIBOR Rate</w:t>
            </w:r>
          </w:p>
        </w:tc>
        <w:tc>
          <w:tcPr>
            <w:tcW w:w="100" w:type="dxa"/>
            <w:vAlign w:val="bottom"/>
            <w:tcBorders>
              <w:right w:val="single" w:sz="8" w:color="00000A"/>
            </w:tcBorders>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60" w:type="dxa"/>
            <w:vAlign w:val="bottom"/>
            <w:tcBorders>
              <w:right w:val="single" w:sz="8" w:color="00000A"/>
            </w:tcBorders>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60" w:type="dxa"/>
            <w:vAlign w:val="bottom"/>
            <w:tcBorders>
              <w:right w:val="single" w:sz="8" w:color="00000A"/>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00000A"/>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right w:val="single" w:sz="8" w:color="00000A"/>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200" w:type="dxa"/>
            <w:vAlign w:val="bottom"/>
            <w:tcBorders>
              <w:right w:val="single" w:sz="8" w:color="00000A"/>
            </w:tcBorders>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780" w:type="dxa"/>
            <w:vAlign w:val="bottom"/>
            <w:gridSpan w:val="7"/>
            <w:vMerge w:val="continue"/>
          </w:tcPr>
          <w:p>
            <w:pPr>
              <w:spacing w:after="0" w:line="20" w:lineRule="exact"/>
              <w:rPr>
                <w:sz w:val="1"/>
                <w:szCs w:val="1"/>
                <w:color w:val="auto"/>
              </w:rPr>
            </w:pPr>
          </w:p>
        </w:tc>
        <w:tc>
          <w:tcPr>
            <w:tcW w:w="100" w:type="dxa"/>
            <w:vAlign w:val="bottom"/>
            <w:tcBorders>
              <w:right w:val="single" w:sz="8" w:color="00000A"/>
            </w:tcBorders>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60" w:type="dxa"/>
            <w:vAlign w:val="bottom"/>
            <w:tcBorders>
              <w:left w:val="single" w:sz="8" w:color="00000A"/>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right w:val="single" w:sz="8" w:color="00000A"/>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Borders>
              <w:right w:val="single" w:sz="8" w:color="00000A"/>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200" w:type="dxa"/>
            <w:vAlign w:val="bottom"/>
            <w:tcBorders>
              <w:right w:val="single" w:sz="8" w:color="00000A"/>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780" w:type="dxa"/>
            <w:vAlign w:val="bottom"/>
            <w:tcBorders>
              <w:bottom w:val="single" w:sz="8" w:color="auto"/>
            </w:tcBorders>
            <w:gridSpan w:val="7"/>
            <w:vMerge w:val="continue"/>
          </w:tcPr>
          <w:p>
            <w:pPr>
              <w:spacing w:after="0"/>
              <w:rPr>
                <w:sz w:val="8"/>
                <w:szCs w:val="8"/>
                <w:color w:val="auto"/>
              </w:rPr>
            </w:pPr>
          </w:p>
        </w:tc>
        <w:tc>
          <w:tcPr>
            <w:tcW w:w="100" w:type="dxa"/>
            <w:vAlign w:val="bottom"/>
            <w:tcBorders>
              <w:right w:val="single" w:sz="8" w:color="00000A"/>
            </w:tcBorders>
            <w:vMerge w:val="continue"/>
          </w:tcPr>
          <w:p>
            <w:pPr>
              <w:spacing w:after="0"/>
              <w:rPr>
                <w:sz w:val="8"/>
                <w:szCs w:val="8"/>
                <w:color w:val="auto"/>
              </w:rPr>
            </w:pPr>
          </w:p>
        </w:tc>
        <w:tc>
          <w:tcPr>
            <w:tcW w:w="1920" w:type="dxa"/>
            <w:vAlign w:val="bottom"/>
            <w:tcBorders>
              <w:right w:val="single" w:sz="8" w:color="00000A"/>
            </w:tcBorders>
            <w:gridSpan w:val="7"/>
            <w:vMerge w:val="restart"/>
          </w:tcPr>
          <w:p>
            <w:pPr>
              <w:jc w:val="center"/>
              <w:ind w:right="40"/>
              <w:spacing w:after="0" w:line="209" w:lineRule="exact"/>
              <w:rPr>
                <w:sz w:val="20"/>
                <w:szCs w:val="20"/>
                <w:color w:val="auto"/>
              </w:rPr>
            </w:pPr>
            <w:r>
              <w:rPr>
                <w:rFonts w:ascii="Arial" w:cs="Arial" w:eastAsia="Arial" w:hAnsi="Arial"/>
                <w:sz w:val="22"/>
                <w:szCs w:val="22"/>
                <w:color w:val="auto"/>
                <w:w w:val="89"/>
              </w:rPr>
              <w:t>Denominated Loans</w:t>
            </w:r>
          </w:p>
        </w:tc>
        <w:tc>
          <w:tcPr>
            <w:tcW w:w="1940" w:type="dxa"/>
            <w:vAlign w:val="bottom"/>
            <w:tcBorders>
              <w:right w:val="single" w:sz="8" w:color="00000A"/>
            </w:tcBorders>
            <w:gridSpan w:val="7"/>
            <w:vMerge w:val="restart"/>
          </w:tcPr>
          <w:p>
            <w:pPr>
              <w:jc w:val="center"/>
              <w:ind w:right="40"/>
              <w:spacing w:after="0" w:line="209" w:lineRule="exact"/>
              <w:rPr>
                <w:sz w:val="20"/>
                <w:szCs w:val="20"/>
                <w:color w:val="auto"/>
              </w:rPr>
            </w:pPr>
            <w:r>
              <w:rPr>
                <w:rFonts w:ascii="Arial" w:cs="Arial" w:eastAsia="Arial" w:hAnsi="Arial"/>
                <w:sz w:val="22"/>
                <w:szCs w:val="22"/>
                <w:color w:val="auto"/>
                <w:w w:val="88"/>
              </w:rPr>
              <w:t>Denominated Loans</w:t>
            </w:r>
          </w:p>
        </w:tc>
        <w:tc>
          <w:tcPr>
            <w:tcW w:w="0" w:type="dxa"/>
            <w:vAlign w:val="bottom"/>
          </w:tcPr>
          <w:p>
            <w:pPr>
              <w:spacing w:after="0"/>
              <w:rPr>
                <w:sz w:val="1"/>
                <w:szCs w:val="1"/>
                <w:color w:val="auto"/>
              </w:rPr>
            </w:pPr>
          </w:p>
        </w:tc>
      </w:tr>
      <w:tr>
        <w:trPr>
          <w:trHeight w:val="95"/>
        </w:trPr>
        <w:tc>
          <w:tcPr>
            <w:tcW w:w="460" w:type="dxa"/>
            <w:vAlign w:val="bottom"/>
            <w:tcBorders>
              <w:left w:val="single" w:sz="8" w:color="00000A"/>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right w:val="single" w:sz="8" w:color="00000A"/>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Borders>
              <w:right w:val="single" w:sz="8" w:color="00000A"/>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00000A"/>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760" w:type="dxa"/>
            <w:vAlign w:val="bottom"/>
            <w:tcBorders>
              <w:right w:val="single" w:sz="8" w:color="00000A"/>
            </w:tcBorders>
            <w:gridSpan w:val="7"/>
            <w:vMerge w:val="restart"/>
          </w:tcPr>
          <w:p>
            <w:pPr>
              <w:jc w:val="center"/>
              <w:ind w:right="140"/>
              <w:spacing w:after="0" w:line="223" w:lineRule="exact"/>
              <w:rPr>
                <w:sz w:val="20"/>
                <w:szCs w:val="20"/>
                <w:color w:val="auto"/>
              </w:rPr>
            </w:pPr>
            <w:r>
              <w:rPr>
                <w:rFonts w:ascii="Arial" w:cs="Arial" w:eastAsia="Arial" w:hAnsi="Arial"/>
                <w:sz w:val="22"/>
                <w:szCs w:val="22"/>
                <w:color w:val="auto"/>
                <w:w w:val="88"/>
              </w:rPr>
              <w:t>Loans (the “LIBOR</w:t>
            </w:r>
          </w:p>
        </w:tc>
        <w:tc>
          <w:tcPr>
            <w:tcW w:w="1920" w:type="dxa"/>
            <w:vAlign w:val="bottom"/>
            <w:tcBorders>
              <w:right w:val="single" w:sz="8" w:color="00000A"/>
            </w:tcBorders>
            <w:gridSpan w:val="7"/>
            <w:vMerge w:val="continue"/>
          </w:tcPr>
          <w:p>
            <w:pPr>
              <w:spacing w:after="0"/>
              <w:rPr>
                <w:sz w:val="8"/>
                <w:szCs w:val="8"/>
                <w:color w:val="auto"/>
              </w:rPr>
            </w:pPr>
          </w:p>
        </w:tc>
        <w:tc>
          <w:tcPr>
            <w:tcW w:w="1940" w:type="dxa"/>
            <w:vAlign w:val="bottom"/>
            <w:tcBorders>
              <w:right w:val="single" w:sz="8" w:color="00000A"/>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00000A"/>
            </w:tcBorders>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Borders>
              <w:right w:val="single" w:sz="8" w:color="00000A"/>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Borders>
              <w:right w:val="single" w:sz="8" w:color="00000A"/>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right w:val="single" w:sz="8" w:color="00000A"/>
            </w:tcBorders>
            <w:gridSpan w:val="5"/>
          </w:tcPr>
          <w:p>
            <w:pPr>
              <w:jc w:val="center"/>
              <w:ind w:right="240"/>
              <w:spacing w:after="0" w:line="108" w:lineRule="exact"/>
              <w:rPr>
                <w:sz w:val="20"/>
                <w:szCs w:val="20"/>
                <w:color w:val="auto"/>
              </w:rPr>
            </w:pPr>
            <w:r>
              <w:rPr>
                <w:rFonts w:ascii="Arial" w:cs="Arial" w:eastAsia="Arial" w:hAnsi="Arial"/>
                <w:sz w:val="12"/>
                <w:szCs w:val="12"/>
                <w:color w:val="auto"/>
              </w:rPr>
              <w:t>Loans (the “Base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right w:val="single" w:sz="8" w:color="00000A"/>
            </w:tcBorders>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60" w:type="dxa"/>
            <w:vAlign w:val="bottom"/>
            <w:tcBorders>
              <w:left w:val="single" w:sz="8" w:color="00000A"/>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top w:val="single" w:sz="8" w:color="auto"/>
            </w:tcBorders>
            <w:gridSpan w:val="3"/>
          </w:tcPr>
          <w:p>
            <w:pPr>
              <w:jc w:val="center"/>
              <w:ind w:right="40"/>
              <w:spacing w:after="0" w:line="223" w:lineRule="exact"/>
              <w:rPr>
                <w:sz w:val="20"/>
                <w:szCs w:val="20"/>
                <w:color w:val="auto"/>
              </w:rPr>
            </w:pPr>
            <w:r>
              <w:rPr>
                <w:rFonts w:ascii="Arial" w:cs="Arial" w:eastAsia="Arial" w:hAnsi="Arial"/>
                <w:sz w:val="22"/>
                <w:szCs w:val="22"/>
                <w:color w:val="auto"/>
                <w:w w:val="92"/>
              </w:rPr>
              <w:t>Rate Margin”)</w:t>
            </w:r>
          </w:p>
        </w:tc>
        <w:tc>
          <w:tcPr>
            <w:tcW w:w="200" w:type="dxa"/>
            <w:vAlign w:val="bottom"/>
            <w:tcBorders>
              <w:right w:val="single" w:sz="8" w:color="00000A"/>
            </w:tcBorders>
            <w:gridSpan w:val="2"/>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4"/>
          </w:tcPr>
          <w:p>
            <w:pPr>
              <w:jc w:val="center"/>
              <w:ind w:right="240"/>
              <w:spacing w:after="0" w:line="223" w:lineRule="exact"/>
              <w:rPr>
                <w:sz w:val="20"/>
                <w:szCs w:val="20"/>
                <w:color w:val="auto"/>
              </w:rPr>
            </w:pPr>
            <w:r>
              <w:rPr>
                <w:rFonts w:ascii="Arial" w:cs="Arial" w:eastAsia="Arial" w:hAnsi="Arial"/>
                <w:sz w:val="22"/>
                <w:szCs w:val="22"/>
                <w:color w:val="auto"/>
                <w:w w:val="93"/>
              </w:rPr>
              <w:t>Rate Margin”)</w:t>
            </w:r>
          </w:p>
        </w:tc>
        <w:tc>
          <w:tcPr>
            <w:tcW w:w="120" w:type="dxa"/>
            <w:vAlign w:val="bottom"/>
            <w:tcBorders>
              <w:right w:val="single" w:sz="8" w:color="00000A"/>
            </w:tcBorders>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00000A"/>
              <w:bottom w:val="single" w:sz="8" w:color="00000A"/>
            </w:tcBorders>
          </w:tcPr>
          <w:p>
            <w:pPr>
              <w:spacing w:after="0"/>
              <w:rPr>
                <w:sz w:val="20"/>
                <w:szCs w:val="20"/>
                <w:color w:val="auto"/>
              </w:rPr>
            </w:pPr>
          </w:p>
        </w:tc>
        <w:tc>
          <w:tcPr>
            <w:tcW w:w="480" w:type="dxa"/>
            <w:vAlign w:val="bottom"/>
            <w:tcBorders>
              <w:bottom w:val="single" w:sz="8" w:color="00000A"/>
            </w:tcBorders>
          </w:tcPr>
          <w:p>
            <w:pPr>
              <w:spacing w:after="0"/>
              <w:rPr>
                <w:sz w:val="20"/>
                <w:szCs w:val="20"/>
                <w:color w:val="auto"/>
              </w:rPr>
            </w:pPr>
          </w:p>
        </w:tc>
        <w:tc>
          <w:tcPr>
            <w:tcW w:w="460" w:type="dxa"/>
            <w:vAlign w:val="bottom"/>
            <w:tcBorders>
              <w:bottom w:val="single" w:sz="8" w:color="00000A"/>
              <w:right w:val="single" w:sz="8" w:color="00000A"/>
            </w:tcBorders>
          </w:tcPr>
          <w:p>
            <w:pPr>
              <w:spacing w:after="0"/>
              <w:rPr>
                <w:sz w:val="20"/>
                <w:szCs w:val="20"/>
                <w:color w:val="auto"/>
              </w:rPr>
            </w:pPr>
          </w:p>
        </w:tc>
        <w:tc>
          <w:tcPr>
            <w:tcW w:w="240" w:type="dxa"/>
            <w:vAlign w:val="bottom"/>
            <w:tcBorders>
              <w:bottom w:val="single" w:sz="8" w:color="00000A"/>
            </w:tcBorders>
          </w:tcPr>
          <w:p>
            <w:pPr>
              <w:spacing w:after="0"/>
              <w:rPr>
                <w:sz w:val="20"/>
                <w:szCs w:val="20"/>
                <w:color w:val="auto"/>
              </w:rPr>
            </w:pPr>
          </w:p>
        </w:tc>
        <w:tc>
          <w:tcPr>
            <w:tcW w:w="200" w:type="dxa"/>
            <w:vAlign w:val="bottom"/>
            <w:tcBorders>
              <w:bottom w:val="single" w:sz="8" w:color="00000A"/>
            </w:tcBorders>
          </w:tcPr>
          <w:p>
            <w:pPr>
              <w:spacing w:after="0"/>
              <w:rPr>
                <w:sz w:val="20"/>
                <w:szCs w:val="20"/>
                <w:color w:val="auto"/>
              </w:rPr>
            </w:pPr>
          </w:p>
        </w:tc>
        <w:tc>
          <w:tcPr>
            <w:tcW w:w="120" w:type="dxa"/>
            <w:vAlign w:val="bottom"/>
            <w:tcBorders>
              <w:bottom w:val="single" w:sz="8" w:color="00000A"/>
            </w:tcBorders>
          </w:tcPr>
          <w:p>
            <w:pPr>
              <w:spacing w:after="0"/>
              <w:rPr>
                <w:sz w:val="20"/>
                <w:szCs w:val="20"/>
                <w:color w:val="auto"/>
              </w:rPr>
            </w:pPr>
          </w:p>
        </w:tc>
        <w:tc>
          <w:tcPr>
            <w:tcW w:w="1460" w:type="dxa"/>
            <w:vAlign w:val="bottom"/>
            <w:tcBorders>
              <w:bottom w:val="single" w:sz="8" w:color="00000A"/>
            </w:tcBorders>
          </w:tcPr>
          <w:p>
            <w:pPr>
              <w:spacing w:after="0"/>
              <w:rPr>
                <w:sz w:val="20"/>
                <w:szCs w:val="20"/>
                <w:color w:val="auto"/>
              </w:rPr>
            </w:pPr>
          </w:p>
        </w:tc>
        <w:tc>
          <w:tcPr>
            <w:tcW w:w="260" w:type="dxa"/>
            <w:vAlign w:val="bottom"/>
            <w:tcBorders>
              <w:bottom w:val="single" w:sz="8" w:color="00000A"/>
              <w:right w:val="single" w:sz="8" w:color="00000A"/>
            </w:tcBorders>
          </w:tcPr>
          <w:p>
            <w:pPr>
              <w:spacing w:after="0"/>
              <w:rPr>
                <w:sz w:val="20"/>
                <w:szCs w:val="20"/>
                <w:color w:val="auto"/>
              </w:rPr>
            </w:pPr>
          </w:p>
        </w:tc>
        <w:tc>
          <w:tcPr>
            <w:tcW w:w="220" w:type="dxa"/>
            <w:vAlign w:val="bottom"/>
            <w:tcBorders>
              <w:bottom w:val="single" w:sz="8" w:color="00000A"/>
            </w:tcBorders>
          </w:tcPr>
          <w:p>
            <w:pPr>
              <w:spacing w:after="0"/>
              <w:rPr>
                <w:sz w:val="20"/>
                <w:szCs w:val="20"/>
                <w:color w:val="auto"/>
              </w:rPr>
            </w:pPr>
          </w:p>
        </w:tc>
        <w:tc>
          <w:tcPr>
            <w:tcW w:w="120" w:type="dxa"/>
            <w:vAlign w:val="bottom"/>
            <w:tcBorders>
              <w:bottom w:val="single" w:sz="8" w:color="00000A"/>
            </w:tcBorders>
          </w:tcPr>
          <w:p>
            <w:pPr>
              <w:spacing w:after="0"/>
              <w:rPr>
                <w:sz w:val="20"/>
                <w:szCs w:val="20"/>
                <w:color w:val="auto"/>
              </w:rPr>
            </w:pPr>
          </w:p>
        </w:tc>
        <w:tc>
          <w:tcPr>
            <w:tcW w:w="1240" w:type="dxa"/>
            <w:vAlign w:val="bottom"/>
            <w:tcBorders>
              <w:top w:val="single" w:sz="8" w:color="auto"/>
              <w:bottom w:val="single" w:sz="8" w:color="00000A"/>
            </w:tcBorders>
          </w:tcPr>
          <w:p>
            <w:pPr>
              <w:spacing w:after="0"/>
              <w:rPr>
                <w:sz w:val="20"/>
                <w:szCs w:val="20"/>
                <w:color w:val="auto"/>
              </w:rPr>
            </w:pPr>
          </w:p>
        </w:tc>
        <w:tc>
          <w:tcPr>
            <w:tcW w:w="160" w:type="dxa"/>
            <w:vAlign w:val="bottom"/>
            <w:tcBorders>
              <w:bottom w:val="single" w:sz="8" w:color="00000A"/>
            </w:tcBorders>
          </w:tcPr>
          <w:p>
            <w:pPr>
              <w:spacing w:after="0"/>
              <w:rPr>
                <w:sz w:val="20"/>
                <w:szCs w:val="20"/>
                <w:color w:val="auto"/>
              </w:rPr>
            </w:pPr>
          </w:p>
        </w:tc>
        <w:tc>
          <w:tcPr>
            <w:tcW w:w="100" w:type="dxa"/>
            <w:vAlign w:val="bottom"/>
            <w:tcBorders>
              <w:bottom w:val="single" w:sz="8" w:color="00000A"/>
            </w:tcBorders>
          </w:tcPr>
          <w:p>
            <w:pPr>
              <w:spacing w:after="0"/>
              <w:rPr>
                <w:sz w:val="20"/>
                <w:szCs w:val="20"/>
                <w:color w:val="auto"/>
              </w:rPr>
            </w:pPr>
          </w:p>
        </w:tc>
        <w:tc>
          <w:tcPr>
            <w:tcW w:w="100" w:type="dxa"/>
            <w:vAlign w:val="bottom"/>
            <w:tcBorders>
              <w:bottom w:val="single" w:sz="8" w:color="00000A"/>
              <w:right w:val="single" w:sz="8" w:color="00000A"/>
            </w:tcBorders>
          </w:tcPr>
          <w:p>
            <w:pPr>
              <w:spacing w:after="0"/>
              <w:rPr>
                <w:sz w:val="20"/>
                <w:szCs w:val="20"/>
                <w:color w:val="auto"/>
              </w:rPr>
            </w:pPr>
          </w:p>
        </w:tc>
        <w:tc>
          <w:tcPr>
            <w:tcW w:w="60" w:type="dxa"/>
            <w:vAlign w:val="bottom"/>
            <w:tcBorders>
              <w:bottom w:val="single" w:sz="8" w:color="00000A"/>
            </w:tcBorders>
          </w:tcPr>
          <w:p>
            <w:pPr>
              <w:spacing w:after="0"/>
              <w:rPr>
                <w:sz w:val="20"/>
                <w:szCs w:val="20"/>
                <w:color w:val="auto"/>
              </w:rPr>
            </w:pPr>
          </w:p>
        </w:tc>
        <w:tc>
          <w:tcPr>
            <w:tcW w:w="120" w:type="dxa"/>
            <w:vAlign w:val="bottom"/>
            <w:tcBorders>
              <w:bottom w:val="single" w:sz="8" w:color="00000A"/>
            </w:tcBorders>
          </w:tcPr>
          <w:p>
            <w:pPr>
              <w:spacing w:after="0"/>
              <w:rPr>
                <w:sz w:val="20"/>
                <w:szCs w:val="20"/>
                <w:color w:val="auto"/>
              </w:rPr>
            </w:pPr>
          </w:p>
        </w:tc>
        <w:tc>
          <w:tcPr>
            <w:tcW w:w="140" w:type="dxa"/>
            <w:vAlign w:val="bottom"/>
            <w:tcBorders>
              <w:bottom w:val="single" w:sz="8" w:color="00000A"/>
            </w:tcBorders>
          </w:tcPr>
          <w:p>
            <w:pPr>
              <w:spacing w:after="0"/>
              <w:rPr>
                <w:sz w:val="20"/>
                <w:szCs w:val="20"/>
                <w:color w:val="auto"/>
              </w:rPr>
            </w:pPr>
          </w:p>
        </w:tc>
        <w:tc>
          <w:tcPr>
            <w:tcW w:w="1260" w:type="dxa"/>
            <w:vAlign w:val="bottom"/>
            <w:tcBorders>
              <w:top w:val="single" w:sz="8" w:color="auto"/>
              <w:bottom w:val="single" w:sz="8" w:color="00000A"/>
            </w:tcBorders>
          </w:tcPr>
          <w:p>
            <w:pPr>
              <w:spacing w:after="0"/>
              <w:rPr>
                <w:sz w:val="20"/>
                <w:szCs w:val="20"/>
                <w:color w:val="auto"/>
              </w:rPr>
            </w:pPr>
          </w:p>
        </w:tc>
        <w:tc>
          <w:tcPr>
            <w:tcW w:w="140" w:type="dxa"/>
            <w:vAlign w:val="bottom"/>
            <w:tcBorders>
              <w:bottom w:val="single" w:sz="8" w:color="00000A"/>
            </w:tcBorders>
          </w:tcPr>
          <w:p>
            <w:pPr>
              <w:spacing w:after="0"/>
              <w:rPr>
                <w:sz w:val="20"/>
                <w:szCs w:val="20"/>
                <w:color w:val="auto"/>
              </w:rPr>
            </w:pPr>
          </w:p>
        </w:tc>
        <w:tc>
          <w:tcPr>
            <w:tcW w:w="40" w:type="dxa"/>
            <w:vAlign w:val="bottom"/>
            <w:tcBorders>
              <w:bottom w:val="single" w:sz="8" w:color="00000A"/>
            </w:tcBorders>
          </w:tcPr>
          <w:p>
            <w:pPr>
              <w:spacing w:after="0"/>
              <w:rPr>
                <w:sz w:val="20"/>
                <w:szCs w:val="20"/>
                <w:color w:val="auto"/>
              </w:rPr>
            </w:pPr>
          </w:p>
        </w:tc>
        <w:tc>
          <w:tcPr>
            <w:tcW w:w="60" w:type="dxa"/>
            <w:vAlign w:val="bottom"/>
            <w:tcBorders>
              <w:bottom w:val="single" w:sz="8" w:color="00000A"/>
            </w:tcBorders>
          </w:tcPr>
          <w:p>
            <w:pPr>
              <w:spacing w:after="0"/>
              <w:rPr>
                <w:sz w:val="20"/>
                <w:szCs w:val="20"/>
                <w:color w:val="auto"/>
              </w:rPr>
            </w:pPr>
          </w:p>
        </w:tc>
        <w:tc>
          <w:tcPr>
            <w:tcW w:w="20" w:type="dxa"/>
            <w:vAlign w:val="bottom"/>
            <w:tcBorders>
              <w:bottom w:val="single" w:sz="8" w:color="00000A"/>
            </w:tcBorders>
          </w:tcPr>
          <w:p>
            <w:pPr>
              <w:spacing w:after="0"/>
              <w:rPr>
                <w:sz w:val="20"/>
                <w:szCs w:val="20"/>
                <w:color w:val="auto"/>
              </w:rPr>
            </w:pPr>
          </w:p>
        </w:tc>
        <w:tc>
          <w:tcPr>
            <w:tcW w:w="100" w:type="dxa"/>
            <w:vAlign w:val="bottom"/>
            <w:tcBorders>
              <w:bottom w:val="single" w:sz="8" w:color="00000A"/>
              <w:right w:val="single" w:sz="8" w:color="00000A"/>
            </w:tcBorders>
          </w:tcPr>
          <w:p>
            <w:pPr>
              <w:spacing w:after="0"/>
              <w:rPr>
                <w:sz w:val="20"/>
                <w:szCs w:val="20"/>
                <w:color w:val="auto"/>
              </w:rPr>
            </w:pPr>
          </w:p>
        </w:tc>
        <w:tc>
          <w:tcPr>
            <w:tcW w:w="60" w:type="dxa"/>
            <w:vAlign w:val="bottom"/>
            <w:tcBorders>
              <w:bottom w:val="single" w:sz="8" w:color="00000A"/>
            </w:tcBorders>
          </w:tcPr>
          <w:p>
            <w:pPr>
              <w:spacing w:after="0"/>
              <w:rPr>
                <w:sz w:val="20"/>
                <w:szCs w:val="20"/>
                <w:color w:val="auto"/>
              </w:rPr>
            </w:pPr>
          </w:p>
        </w:tc>
        <w:tc>
          <w:tcPr>
            <w:tcW w:w="60" w:type="dxa"/>
            <w:vAlign w:val="bottom"/>
            <w:tcBorders>
              <w:bottom w:val="single" w:sz="8" w:color="00000A"/>
            </w:tcBorders>
          </w:tcPr>
          <w:p>
            <w:pPr>
              <w:spacing w:after="0"/>
              <w:rPr>
                <w:sz w:val="20"/>
                <w:szCs w:val="20"/>
                <w:color w:val="auto"/>
              </w:rPr>
            </w:pPr>
          </w:p>
        </w:tc>
        <w:tc>
          <w:tcPr>
            <w:tcW w:w="460" w:type="dxa"/>
            <w:vAlign w:val="bottom"/>
            <w:tcBorders>
              <w:bottom w:val="single" w:sz="8" w:color="00000A"/>
            </w:tcBorders>
          </w:tcPr>
          <w:p>
            <w:pPr>
              <w:spacing w:after="0"/>
              <w:rPr>
                <w:sz w:val="20"/>
                <w:szCs w:val="20"/>
                <w:color w:val="auto"/>
              </w:rPr>
            </w:pPr>
          </w:p>
        </w:tc>
        <w:tc>
          <w:tcPr>
            <w:tcW w:w="720" w:type="dxa"/>
            <w:vAlign w:val="bottom"/>
            <w:tcBorders>
              <w:bottom w:val="single" w:sz="8" w:color="00000A"/>
            </w:tcBorders>
          </w:tcPr>
          <w:p>
            <w:pPr>
              <w:spacing w:after="0"/>
              <w:rPr>
                <w:sz w:val="20"/>
                <w:szCs w:val="20"/>
                <w:color w:val="auto"/>
              </w:rPr>
            </w:pPr>
          </w:p>
        </w:tc>
        <w:tc>
          <w:tcPr>
            <w:tcW w:w="460" w:type="dxa"/>
            <w:vAlign w:val="bottom"/>
            <w:tcBorders>
              <w:bottom w:val="single" w:sz="8" w:color="00000A"/>
            </w:tcBorders>
          </w:tcPr>
          <w:p>
            <w:pPr>
              <w:spacing w:after="0"/>
              <w:rPr>
                <w:sz w:val="20"/>
                <w:szCs w:val="20"/>
                <w:color w:val="auto"/>
              </w:rPr>
            </w:pPr>
          </w:p>
        </w:tc>
        <w:tc>
          <w:tcPr>
            <w:tcW w:w="60" w:type="dxa"/>
            <w:vAlign w:val="bottom"/>
            <w:tcBorders>
              <w:bottom w:val="single" w:sz="8" w:color="00000A"/>
            </w:tcBorders>
          </w:tcPr>
          <w:p>
            <w:pPr>
              <w:spacing w:after="0"/>
              <w:rPr>
                <w:sz w:val="20"/>
                <w:szCs w:val="20"/>
                <w:color w:val="auto"/>
              </w:rPr>
            </w:pPr>
          </w:p>
        </w:tc>
        <w:tc>
          <w:tcPr>
            <w:tcW w:w="100" w:type="dxa"/>
            <w:vAlign w:val="bottom"/>
            <w:tcBorders>
              <w:bottom w:val="single" w:sz="8" w:color="00000A"/>
              <w:right w:val="single" w:sz="8" w:color="00000A"/>
            </w:tcBorders>
          </w:tcPr>
          <w:p>
            <w:pPr>
              <w:spacing w:after="0"/>
              <w:rPr>
                <w:sz w:val="20"/>
                <w:szCs w:val="20"/>
                <w:color w:val="auto"/>
              </w:rPr>
            </w:pPr>
          </w:p>
        </w:tc>
        <w:tc>
          <w:tcPr>
            <w:tcW w:w="80" w:type="dxa"/>
            <w:vAlign w:val="bottom"/>
            <w:tcBorders>
              <w:bottom w:val="single" w:sz="8" w:color="00000A"/>
            </w:tcBorders>
          </w:tcPr>
          <w:p>
            <w:pPr>
              <w:spacing w:after="0"/>
              <w:rPr>
                <w:sz w:val="20"/>
                <w:szCs w:val="20"/>
                <w:color w:val="auto"/>
              </w:rPr>
            </w:pPr>
          </w:p>
        </w:tc>
        <w:tc>
          <w:tcPr>
            <w:tcW w:w="6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tcBorders>
          </w:tcPr>
          <w:p>
            <w:pPr>
              <w:spacing w:after="0"/>
              <w:rPr>
                <w:sz w:val="20"/>
                <w:szCs w:val="20"/>
                <w:color w:val="auto"/>
              </w:rPr>
            </w:pPr>
          </w:p>
        </w:tc>
        <w:tc>
          <w:tcPr>
            <w:tcW w:w="980" w:type="dxa"/>
            <w:vAlign w:val="bottom"/>
            <w:tcBorders>
              <w:bottom w:val="single" w:sz="8" w:color="00000A"/>
            </w:tcBorders>
          </w:tcPr>
          <w:p>
            <w:pPr>
              <w:spacing w:after="0"/>
              <w:rPr>
                <w:sz w:val="20"/>
                <w:szCs w:val="20"/>
                <w:color w:val="auto"/>
              </w:rPr>
            </w:pPr>
          </w:p>
        </w:tc>
        <w:tc>
          <w:tcPr>
            <w:tcW w:w="340" w:type="dxa"/>
            <w:vAlign w:val="bottom"/>
            <w:tcBorders>
              <w:bottom w:val="single" w:sz="8" w:color="00000A"/>
            </w:tcBorders>
          </w:tcPr>
          <w:p>
            <w:pPr>
              <w:spacing w:after="0"/>
              <w:rPr>
                <w:sz w:val="20"/>
                <w:szCs w:val="20"/>
                <w:color w:val="auto"/>
              </w:rPr>
            </w:pPr>
          </w:p>
        </w:tc>
        <w:tc>
          <w:tcPr>
            <w:tcW w:w="40" w:type="dxa"/>
            <w:vAlign w:val="bottom"/>
            <w:tcBorders>
              <w:bottom w:val="single" w:sz="8" w:color="00000A"/>
            </w:tcBorders>
          </w:tcPr>
          <w:p>
            <w:pPr>
              <w:spacing w:after="0"/>
              <w:rPr>
                <w:sz w:val="20"/>
                <w:szCs w:val="20"/>
                <w:color w:val="auto"/>
              </w:rPr>
            </w:pPr>
          </w:p>
        </w:tc>
        <w:tc>
          <w:tcPr>
            <w:tcW w:w="12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0" w:type="dxa"/>
            <w:vAlign w:val="bottom"/>
            <w:tcBorders>
              <w:left w:val="single" w:sz="8" w:color="00000A"/>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right w:val="single" w:sz="8" w:color="00000A"/>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Borders>
              <w:right w:val="single" w:sz="8" w:color="00000A"/>
            </w:tcBorders>
            <w:gridSpan w:val="3"/>
          </w:tcPr>
          <w:p>
            <w:pPr>
              <w:jc w:val="center"/>
              <w:ind w:right="440"/>
              <w:spacing w:after="0"/>
              <w:rPr>
                <w:sz w:val="20"/>
                <w:szCs w:val="20"/>
                <w:color w:val="auto"/>
              </w:rPr>
            </w:pPr>
            <w:r>
              <w:rPr>
                <w:rFonts w:ascii="Arial" w:cs="Arial" w:eastAsia="Arial" w:hAnsi="Arial"/>
                <w:sz w:val="22"/>
                <w:szCs w:val="22"/>
                <w:color w:val="auto"/>
                <w:w w:val="90"/>
              </w:rPr>
              <w:t>&lt; 33.33% of the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00000A"/>
            </w:tcBorders>
          </w:tcPr>
          <w:p>
            <w:pPr>
              <w:spacing w:after="0"/>
              <w:rPr>
                <w:sz w:val="21"/>
                <w:szCs w:val="21"/>
                <w:color w:val="auto"/>
              </w:rPr>
            </w:pPr>
          </w:p>
        </w:tc>
        <w:tc>
          <w:tcPr>
            <w:tcW w:w="940" w:type="dxa"/>
            <w:vAlign w:val="bottom"/>
            <w:tcBorders>
              <w:right w:val="single" w:sz="8" w:color="00000A"/>
            </w:tcBorders>
            <w:gridSpan w:val="2"/>
          </w:tcPr>
          <w:p>
            <w:pPr>
              <w:jc w:val="center"/>
              <w:ind w:right="460"/>
              <w:spacing w:after="0" w:line="243" w:lineRule="exact"/>
              <w:rPr>
                <w:sz w:val="20"/>
                <w:szCs w:val="20"/>
                <w:color w:val="auto"/>
              </w:rPr>
            </w:pPr>
            <w:r>
              <w:rPr>
                <w:rFonts w:ascii="Arial" w:cs="Arial" w:eastAsia="Arial" w:hAnsi="Arial"/>
                <w:sz w:val="22"/>
                <w:szCs w:val="22"/>
                <w:color w:val="auto"/>
              </w:rPr>
              <w:t>I</w:t>
            </w:r>
          </w:p>
        </w:tc>
        <w:tc>
          <w:tcPr>
            <w:tcW w:w="240" w:type="dxa"/>
            <w:vAlign w:val="bottom"/>
          </w:tcPr>
          <w:p>
            <w:pPr>
              <w:spacing w:after="0"/>
              <w:rPr>
                <w:sz w:val="21"/>
                <w:szCs w:val="21"/>
                <w:color w:val="auto"/>
              </w:rPr>
            </w:pPr>
          </w:p>
        </w:tc>
        <w:tc>
          <w:tcPr>
            <w:tcW w:w="2040" w:type="dxa"/>
            <w:vAlign w:val="bottom"/>
            <w:tcBorders>
              <w:right w:val="single" w:sz="8" w:color="00000A"/>
            </w:tcBorders>
            <w:gridSpan w:val="4"/>
          </w:tcPr>
          <w:p>
            <w:pPr>
              <w:jc w:val="center"/>
              <w:ind w:right="260"/>
              <w:spacing w:after="0" w:line="243" w:lineRule="exact"/>
              <w:rPr>
                <w:sz w:val="20"/>
                <w:szCs w:val="20"/>
                <w:color w:val="auto"/>
              </w:rPr>
            </w:pPr>
            <w:r>
              <w:rPr>
                <w:rFonts w:ascii="Arial" w:cs="Arial" w:eastAsia="Arial" w:hAnsi="Arial"/>
                <w:sz w:val="22"/>
                <w:szCs w:val="22"/>
                <w:color w:val="auto"/>
                <w:w w:val="92"/>
              </w:rPr>
              <w:t>Maximum Revolver</w:t>
            </w:r>
          </w:p>
        </w:tc>
        <w:tc>
          <w:tcPr>
            <w:tcW w:w="1580" w:type="dxa"/>
            <w:vAlign w:val="bottom"/>
            <w:gridSpan w:val="3"/>
          </w:tcPr>
          <w:p>
            <w:pPr>
              <w:jc w:val="center"/>
              <w:ind w:left="232"/>
              <w:spacing w:after="0" w:line="243" w:lineRule="exact"/>
              <w:rPr>
                <w:sz w:val="20"/>
                <w:szCs w:val="20"/>
                <w:color w:val="auto"/>
              </w:rPr>
            </w:pPr>
            <w:r>
              <w:rPr>
                <w:rFonts w:ascii="Arial" w:cs="Arial" w:eastAsia="Arial" w:hAnsi="Arial"/>
                <w:sz w:val="22"/>
                <w:szCs w:val="22"/>
                <w:color w:val="auto"/>
                <w:w w:val="89"/>
              </w:rPr>
              <w:t>2.00%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1580" w:type="dxa"/>
            <w:vAlign w:val="bottom"/>
            <w:gridSpan w:val="4"/>
          </w:tcPr>
          <w:p>
            <w:pPr>
              <w:jc w:val="center"/>
              <w:ind w:left="232"/>
              <w:spacing w:after="0" w:line="243" w:lineRule="exact"/>
              <w:rPr>
                <w:sz w:val="20"/>
                <w:szCs w:val="20"/>
                <w:color w:val="auto"/>
              </w:rPr>
            </w:pPr>
            <w:r>
              <w:rPr>
                <w:rFonts w:ascii="Arial" w:cs="Arial" w:eastAsia="Arial" w:hAnsi="Arial"/>
                <w:sz w:val="22"/>
                <w:szCs w:val="22"/>
                <w:color w:val="auto"/>
                <w:w w:val="89"/>
              </w:rPr>
              <w:t>3.00%</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1300" w:type="dxa"/>
            <w:vAlign w:val="bottom"/>
            <w:gridSpan w:val="4"/>
          </w:tcPr>
          <w:p>
            <w:pPr>
              <w:jc w:val="center"/>
              <w:ind w:left="472"/>
              <w:spacing w:after="0" w:line="243" w:lineRule="exact"/>
              <w:rPr>
                <w:sz w:val="20"/>
                <w:szCs w:val="20"/>
                <w:color w:val="auto"/>
              </w:rPr>
            </w:pPr>
            <w:r>
              <w:rPr>
                <w:rFonts w:ascii="Arial" w:cs="Arial" w:eastAsia="Arial" w:hAnsi="Arial"/>
                <w:sz w:val="22"/>
                <w:szCs w:val="22"/>
                <w:color w:val="auto"/>
                <w:w w:val="89"/>
              </w:rPr>
              <w:t>3.75%</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1440" w:type="dxa"/>
            <w:vAlign w:val="bottom"/>
            <w:gridSpan w:val="4"/>
          </w:tcPr>
          <w:p>
            <w:pPr>
              <w:jc w:val="center"/>
              <w:ind w:left="372"/>
              <w:spacing w:after="0" w:line="243" w:lineRule="exact"/>
              <w:rPr>
                <w:sz w:val="20"/>
                <w:szCs w:val="20"/>
                <w:color w:val="auto"/>
              </w:rPr>
            </w:pPr>
            <w:r>
              <w:rPr>
                <w:rFonts w:ascii="Arial" w:cs="Arial" w:eastAsia="Arial" w:hAnsi="Arial"/>
                <w:sz w:val="22"/>
                <w:szCs w:val="22"/>
                <w:color w:val="auto"/>
                <w:w w:val="89"/>
              </w:rPr>
              <w:t>3.75%</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00000A"/>
            </w:tcBorders>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Borders>
              <w:right w:val="single" w:sz="8" w:color="00000A"/>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22"/>
                <w:szCs w:val="22"/>
                <w:color w:val="auto"/>
                <w:w w:val="92"/>
              </w:rPr>
              <w:t>Amount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60" w:type="dxa"/>
            <w:vAlign w:val="bottom"/>
            <w:tcBorders>
              <w:left w:val="single" w:sz="8" w:color="00000A"/>
              <w:bottom w:val="single" w:sz="8" w:color="00000A"/>
            </w:tcBorders>
          </w:tcPr>
          <w:p>
            <w:pPr>
              <w:spacing w:after="0"/>
              <w:rPr>
                <w:sz w:val="17"/>
                <w:szCs w:val="17"/>
                <w:color w:val="auto"/>
              </w:rPr>
            </w:pPr>
          </w:p>
        </w:tc>
        <w:tc>
          <w:tcPr>
            <w:tcW w:w="480" w:type="dxa"/>
            <w:vAlign w:val="bottom"/>
            <w:tcBorders>
              <w:bottom w:val="single" w:sz="8" w:color="00000A"/>
            </w:tcBorders>
          </w:tcPr>
          <w:p>
            <w:pPr>
              <w:spacing w:after="0"/>
              <w:rPr>
                <w:sz w:val="17"/>
                <w:szCs w:val="17"/>
                <w:color w:val="auto"/>
              </w:rPr>
            </w:pPr>
          </w:p>
        </w:tc>
        <w:tc>
          <w:tcPr>
            <w:tcW w:w="460" w:type="dxa"/>
            <w:vAlign w:val="bottom"/>
            <w:tcBorders>
              <w:bottom w:val="single" w:sz="8" w:color="00000A"/>
              <w:right w:val="single" w:sz="8" w:color="00000A"/>
            </w:tcBorders>
          </w:tcPr>
          <w:p>
            <w:pPr>
              <w:spacing w:after="0"/>
              <w:rPr>
                <w:sz w:val="17"/>
                <w:szCs w:val="17"/>
                <w:color w:val="auto"/>
              </w:rPr>
            </w:pPr>
          </w:p>
        </w:tc>
        <w:tc>
          <w:tcPr>
            <w:tcW w:w="240" w:type="dxa"/>
            <w:vAlign w:val="bottom"/>
            <w:tcBorders>
              <w:bottom w:val="single" w:sz="8" w:color="00000A"/>
            </w:tcBorders>
          </w:tcPr>
          <w:p>
            <w:pPr>
              <w:spacing w:after="0"/>
              <w:rPr>
                <w:sz w:val="17"/>
                <w:szCs w:val="17"/>
                <w:color w:val="auto"/>
              </w:rPr>
            </w:pPr>
          </w:p>
        </w:tc>
        <w:tc>
          <w:tcPr>
            <w:tcW w:w="200" w:type="dxa"/>
            <w:vAlign w:val="bottom"/>
            <w:tcBorders>
              <w:bottom w:val="single" w:sz="8" w:color="00000A"/>
            </w:tcBorders>
          </w:tcPr>
          <w:p>
            <w:pPr>
              <w:spacing w:after="0"/>
              <w:rPr>
                <w:sz w:val="17"/>
                <w:szCs w:val="17"/>
                <w:color w:val="auto"/>
              </w:rPr>
            </w:pPr>
          </w:p>
        </w:tc>
        <w:tc>
          <w:tcPr>
            <w:tcW w:w="120" w:type="dxa"/>
            <w:vAlign w:val="bottom"/>
            <w:tcBorders>
              <w:bottom w:val="single" w:sz="8" w:color="00000A"/>
            </w:tcBorders>
          </w:tcPr>
          <w:p>
            <w:pPr>
              <w:spacing w:after="0"/>
              <w:rPr>
                <w:sz w:val="17"/>
                <w:szCs w:val="17"/>
                <w:color w:val="auto"/>
              </w:rPr>
            </w:pPr>
          </w:p>
        </w:tc>
        <w:tc>
          <w:tcPr>
            <w:tcW w:w="1460" w:type="dxa"/>
            <w:vAlign w:val="bottom"/>
            <w:tcBorders>
              <w:bottom w:val="single" w:sz="8" w:color="00000A"/>
            </w:tcBorders>
          </w:tcPr>
          <w:p>
            <w:pPr>
              <w:spacing w:after="0"/>
              <w:rPr>
                <w:sz w:val="17"/>
                <w:szCs w:val="17"/>
                <w:color w:val="auto"/>
              </w:rPr>
            </w:pPr>
          </w:p>
        </w:tc>
        <w:tc>
          <w:tcPr>
            <w:tcW w:w="260" w:type="dxa"/>
            <w:vAlign w:val="bottom"/>
            <w:tcBorders>
              <w:bottom w:val="single" w:sz="8" w:color="00000A"/>
              <w:right w:val="single" w:sz="8" w:color="00000A"/>
            </w:tcBorders>
          </w:tcPr>
          <w:p>
            <w:pPr>
              <w:spacing w:after="0"/>
              <w:rPr>
                <w:sz w:val="17"/>
                <w:szCs w:val="17"/>
                <w:color w:val="auto"/>
              </w:rPr>
            </w:pPr>
          </w:p>
        </w:tc>
        <w:tc>
          <w:tcPr>
            <w:tcW w:w="220" w:type="dxa"/>
            <w:vAlign w:val="bottom"/>
            <w:tcBorders>
              <w:bottom w:val="single" w:sz="8" w:color="00000A"/>
            </w:tcBorders>
          </w:tcPr>
          <w:p>
            <w:pPr>
              <w:spacing w:after="0"/>
              <w:rPr>
                <w:sz w:val="17"/>
                <w:szCs w:val="17"/>
                <w:color w:val="auto"/>
              </w:rPr>
            </w:pPr>
          </w:p>
        </w:tc>
        <w:tc>
          <w:tcPr>
            <w:tcW w:w="120" w:type="dxa"/>
            <w:vAlign w:val="bottom"/>
            <w:tcBorders>
              <w:bottom w:val="single" w:sz="8" w:color="00000A"/>
            </w:tcBorders>
          </w:tcPr>
          <w:p>
            <w:pPr>
              <w:spacing w:after="0"/>
              <w:rPr>
                <w:sz w:val="17"/>
                <w:szCs w:val="17"/>
                <w:color w:val="auto"/>
              </w:rPr>
            </w:pPr>
          </w:p>
        </w:tc>
        <w:tc>
          <w:tcPr>
            <w:tcW w:w="1240" w:type="dxa"/>
            <w:vAlign w:val="bottom"/>
            <w:tcBorders>
              <w:bottom w:val="single" w:sz="8" w:color="00000A"/>
            </w:tcBorders>
          </w:tcPr>
          <w:p>
            <w:pPr>
              <w:spacing w:after="0"/>
              <w:rPr>
                <w:sz w:val="17"/>
                <w:szCs w:val="17"/>
                <w:color w:val="auto"/>
              </w:rPr>
            </w:pPr>
          </w:p>
        </w:tc>
        <w:tc>
          <w:tcPr>
            <w:tcW w:w="160" w:type="dxa"/>
            <w:vAlign w:val="bottom"/>
            <w:tcBorders>
              <w:bottom w:val="single" w:sz="8" w:color="00000A"/>
            </w:tcBorders>
          </w:tcPr>
          <w:p>
            <w:pPr>
              <w:spacing w:after="0"/>
              <w:rPr>
                <w:sz w:val="17"/>
                <w:szCs w:val="17"/>
                <w:color w:val="auto"/>
              </w:rPr>
            </w:pPr>
          </w:p>
        </w:tc>
        <w:tc>
          <w:tcPr>
            <w:tcW w:w="100" w:type="dxa"/>
            <w:vAlign w:val="bottom"/>
            <w:tcBorders>
              <w:bottom w:val="single" w:sz="8" w:color="00000A"/>
            </w:tcBorders>
          </w:tcPr>
          <w:p>
            <w:pPr>
              <w:spacing w:after="0"/>
              <w:rPr>
                <w:sz w:val="17"/>
                <w:szCs w:val="17"/>
                <w:color w:val="auto"/>
              </w:rPr>
            </w:pPr>
          </w:p>
        </w:tc>
        <w:tc>
          <w:tcPr>
            <w:tcW w:w="100" w:type="dxa"/>
            <w:vAlign w:val="bottom"/>
            <w:tcBorders>
              <w:bottom w:val="single" w:sz="8" w:color="00000A"/>
              <w:right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120" w:type="dxa"/>
            <w:vAlign w:val="bottom"/>
            <w:tcBorders>
              <w:bottom w:val="single" w:sz="8" w:color="00000A"/>
            </w:tcBorders>
          </w:tcPr>
          <w:p>
            <w:pPr>
              <w:spacing w:after="0"/>
              <w:rPr>
                <w:sz w:val="17"/>
                <w:szCs w:val="17"/>
                <w:color w:val="auto"/>
              </w:rPr>
            </w:pPr>
          </w:p>
        </w:tc>
        <w:tc>
          <w:tcPr>
            <w:tcW w:w="140" w:type="dxa"/>
            <w:vAlign w:val="bottom"/>
            <w:tcBorders>
              <w:bottom w:val="single" w:sz="8" w:color="00000A"/>
            </w:tcBorders>
          </w:tcPr>
          <w:p>
            <w:pPr>
              <w:spacing w:after="0"/>
              <w:rPr>
                <w:sz w:val="17"/>
                <w:szCs w:val="17"/>
                <w:color w:val="auto"/>
              </w:rPr>
            </w:pPr>
          </w:p>
        </w:tc>
        <w:tc>
          <w:tcPr>
            <w:tcW w:w="1260" w:type="dxa"/>
            <w:vAlign w:val="bottom"/>
            <w:tcBorders>
              <w:bottom w:val="single" w:sz="8" w:color="00000A"/>
            </w:tcBorders>
          </w:tcPr>
          <w:p>
            <w:pPr>
              <w:spacing w:after="0"/>
              <w:rPr>
                <w:sz w:val="17"/>
                <w:szCs w:val="17"/>
                <w:color w:val="auto"/>
              </w:rPr>
            </w:pPr>
          </w:p>
        </w:tc>
        <w:tc>
          <w:tcPr>
            <w:tcW w:w="140" w:type="dxa"/>
            <w:vAlign w:val="bottom"/>
            <w:tcBorders>
              <w:bottom w:val="single" w:sz="8" w:color="00000A"/>
            </w:tcBorders>
          </w:tcPr>
          <w:p>
            <w:pPr>
              <w:spacing w:after="0"/>
              <w:rPr>
                <w:sz w:val="17"/>
                <w:szCs w:val="17"/>
                <w:color w:val="auto"/>
              </w:rPr>
            </w:pPr>
          </w:p>
        </w:tc>
        <w:tc>
          <w:tcPr>
            <w:tcW w:w="4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20" w:type="dxa"/>
            <w:vAlign w:val="bottom"/>
            <w:tcBorders>
              <w:bottom w:val="single" w:sz="8" w:color="00000A"/>
            </w:tcBorders>
          </w:tcPr>
          <w:p>
            <w:pPr>
              <w:spacing w:after="0"/>
              <w:rPr>
                <w:sz w:val="17"/>
                <w:szCs w:val="17"/>
                <w:color w:val="auto"/>
              </w:rPr>
            </w:pPr>
          </w:p>
        </w:tc>
        <w:tc>
          <w:tcPr>
            <w:tcW w:w="100" w:type="dxa"/>
            <w:vAlign w:val="bottom"/>
            <w:tcBorders>
              <w:bottom w:val="single" w:sz="8" w:color="00000A"/>
              <w:right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460" w:type="dxa"/>
            <w:vAlign w:val="bottom"/>
            <w:tcBorders>
              <w:bottom w:val="single" w:sz="8" w:color="00000A"/>
            </w:tcBorders>
          </w:tcPr>
          <w:p>
            <w:pPr>
              <w:spacing w:after="0"/>
              <w:rPr>
                <w:sz w:val="17"/>
                <w:szCs w:val="17"/>
                <w:color w:val="auto"/>
              </w:rPr>
            </w:pPr>
          </w:p>
        </w:tc>
        <w:tc>
          <w:tcPr>
            <w:tcW w:w="720" w:type="dxa"/>
            <w:vAlign w:val="bottom"/>
            <w:tcBorders>
              <w:bottom w:val="single" w:sz="8" w:color="00000A"/>
            </w:tcBorders>
          </w:tcPr>
          <w:p>
            <w:pPr>
              <w:spacing w:after="0"/>
              <w:rPr>
                <w:sz w:val="17"/>
                <w:szCs w:val="17"/>
                <w:color w:val="auto"/>
              </w:rPr>
            </w:pPr>
          </w:p>
        </w:tc>
        <w:tc>
          <w:tcPr>
            <w:tcW w:w="46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100" w:type="dxa"/>
            <w:vAlign w:val="bottom"/>
            <w:tcBorders>
              <w:bottom w:val="single" w:sz="8" w:color="00000A"/>
              <w:right w:val="single" w:sz="8" w:color="00000A"/>
            </w:tcBorders>
          </w:tcPr>
          <w:p>
            <w:pPr>
              <w:spacing w:after="0"/>
              <w:rPr>
                <w:sz w:val="17"/>
                <w:szCs w:val="17"/>
                <w:color w:val="auto"/>
              </w:rPr>
            </w:pPr>
          </w:p>
        </w:tc>
        <w:tc>
          <w:tcPr>
            <w:tcW w:w="80" w:type="dxa"/>
            <w:vAlign w:val="bottom"/>
            <w:tcBorders>
              <w:bottom w:val="single" w:sz="8" w:color="00000A"/>
            </w:tcBorders>
          </w:tcPr>
          <w:p>
            <w:pPr>
              <w:spacing w:after="0"/>
              <w:rPr>
                <w:sz w:val="17"/>
                <w:szCs w:val="17"/>
                <w:color w:val="auto"/>
              </w:rPr>
            </w:pPr>
          </w:p>
        </w:tc>
        <w:tc>
          <w:tcPr>
            <w:tcW w:w="60" w:type="dxa"/>
            <w:vAlign w:val="bottom"/>
            <w:tcBorders>
              <w:bottom w:val="single" w:sz="8" w:color="00000A"/>
            </w:tcBorders>
          </w:tcPr>
          <w:p>
            <w:pPr>
              <w:spacing w:after="0"/>
              <w:rPr>
                <w:sz w:val="17"/>
                <w:szCs w:val="17"/>
                <w:color w:val="auto"/>
              </w:rPr>
            </w:pPr>
          </w:p>
        </w:tc>
        <w:tc>
          <w:tcPr>
            <w:tcW w:w="320" w:type="dxa"/>
            <w:vAlign w:val="bottom"/>
            <w:tcBorders>
              <w:bottom w:val="single" w:sz="8" w:color="00000A"/>
            </w:tcBorders>
          </w:tcPr>
          <w:p>
            <w:pPr>
              <w:spacing w:after="0"/>
              <w:rPr>
                <w:sz w:val="17"/>
                <w:szCs w:val="17"/>
                <w:color w:val="auto"/>
              </w:rPr>
            </w:pPr>
          </w:p>
        </w:tc>
        <w:tc>
          <w:tcPr>
            <w:tcW w:w="980" w:type="dxa"/>
            <w:vAlign w:val="bottom"/>
            <w:tcBorders>
              <w:bottom w:val="single" w:sz="8" w:color="00000A"/>
            </w:tcBorders>
          </w:tcPr>
          <w:p>
            <w:pPr>
              <w:spacing w:after="0"/>
              <w:rPr>
                <w:sz w:val="17"/>
                <w:szCs w:val="17"/>
                <w:color w:val="auto"/>
              </w:rPr>
            </w:pPr>
          </w:p>
        </w:tc>
        <w:tc>
          <w:tcPr>
            <w:tcW w:w="340" w:type="dxa"/>
            <w:vAlign w:val="bottom"/>
            <w:tcBorders>
              <w:bottom w:val="single" w:sz="8" w:color="00000A"/>
            </w:tcBorders>
          </w:tcPr>
          <w:p>
            <w:pPr>
              <w:spacing w:after="0"/>
              <w:rPr>
                <w:sz w:val="17"/>
                <w:szCs w:val="17"/>
                <w:color w:val="auto"/>
              </w:rPr>
            </w:pPr>
          </w:p>
        </w:tc>
        <w:tc>
          <w:tcPr>
            <w:tcW w:w="40" w:type="dxa"/>
            <w:vAlign w:val="bottom"/>
            <w:tcBorders>
              <w:bottom w:val="single" w:sz="8" w:color="00000A"/>
            </w:tcBorders>
          </w:tcPr>
          <w:p>
            <w:pPr>
              <w:spacing w:after="0"/>
              <w:rPr>
                <w:sz w:val="17"/>
                <w:szCs w:val="17"/>
                <w:color w:val="auto"/>
              </w:rPr>
            </w:pPr>
          </w:p>
        </w:tc>
        <w:tc>
          <w:tcPr>
            <w:tcW w:w="12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460" w:type="dxa"/>
            <w:vAlign w:val="bottom"/>
            <w:tcBorders>
              <w:left w:val="single" w:sz="8" w:color="00000A"/>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right w:val="single" w:sz="8" w:color="00000A"/>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Borders>
              <w:right w:val="single" w:sz="8" w:color="00000A"/>
            </w:tcBorders>
            <w:gridSpan w:val="3"/>
          </w:tcPr>
          <w:p>
            <w:pPr>
              <w:jc w:val="center"/>
              <w:ind w:right="440"/>
              <w:spacing w:after="0"/>
              <w:rPr>
                <w:sz w:val="20"/>
                <w:szCs w:val="20"/>
                <w:color w:val="auto"/>
              </w:rPr>
            </w:pPr>
            <w:r>
              <w:rPr>
                <w:rFonts w:ascii="Arial" w:cs="Arial" w:eastAsia="Arial" w:hAnsi="Arial"/>
                <w:sz w:val="22"/>
                <w:szCs w:val="22"/>
                <w:color w:val="auto"/>
                <w:w w:val="90"/>
              </w:rPr>
              <w:t>&lt; 66.67% of the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00000A"/>
            </w:tcBorders>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Borders>
              <w:right w:val="single" w:sz="8" w:color="00000A"/>
            </w:tcBorders>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right w:val="single" w:sz="8" w:color="00000A"/>
            </w:tcBorders>
            <w:gridSpan w:val="4"/>
          </w:tcPr>
          <w:p>
            <w:pPr>
              <w:jc w:val="center"/>
              <w:ind w:right="260"/>
              <w:spacing w:after="0" w:line="243" w:lineRule="exact"/>
              <w:rPr>
                <w:sz w:val="20"/>
                <w:szCs w:val="20"/>
                <w:color w:val="auto"/>
              </w:rPr>
            </w:pPr>
            <w:r>
              <w:rPr>
                <w:rFonts w:ascii="Arial" w:cs="Arial" w:eastAsia="Arial" w:hAnsi="Arial"/>
                <w:sz w:val="22"/>
                <w:szCs w:val="22"/>
                <w:color w:val="auto"/>
                <w:w w:val="92"/>
              </w:rPr>
              <w:t>Maximum Revolver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00000A"/>
            </w:tcBorders>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Borders>
              <w:right w:val="single" w:sz="8" w:color="00000A"/>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22"/>
                <w:szCs w:val="22"/>
                <w:color w:val="auto"/>
                <w:w w:val="92"/>
              </w:rPr>
              <w:t>Amount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60" w:type="dxa"/>
            <w:vAlign w:val="bottom"/>
            <w:tcBorders>
              <w:left w:val="single" w:sz="8" w:color="00000A"/>
            </w:tcBorders>
          </w:tcPr>
          <w:p>
            <w:pPr>
              <w:spacing w:after="0"/>
              <w:rPr>
                <w:sz w:val="24"/>
                <w:szCs w:val="24"/>
                <w:color w:val="auto"/>
              </w:rPr>
            </w:pPr>
          </w:p>
        </w:tc>
        <w:tc>
          <w:tcPr>
            <w:tcW w:w="940" w:type="dxa"/>
            <w:vAlign w:val="bottom"/>
            <w:tcBorders>
              <w:right w:val="single" w:sz="8" w:color="00000A"/>
            </w:tcBorders>
            <w:gridSpan w:val="2"/>
          </w:tcPr>
          <w:p>
            <w:pPr>
              <w:jc w:val="center"/>
              <w:ind w:right="440"/>
              <w:spacing w:after="0"/>
              <w:rPr>
                <w:sz w:val="20"/>
                <w:szCs w:val="20"/>
                <w:color w:val="auto"/>
              </w:rPr>
            </w:pPr>
            <w:r>
              <w:rPr>
                <w:rFonts w:ascii="Arial" w:cs="Arial" w:eastAsia="Arial" w:hAnsi="Arial"/>
                <w:sz w:val="22"/>
                <w:szCs w:val="22"/>
                <w:color w:val="auto"/>
              </w:rPr>
              <w:t>II</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22"/>
                <w:szCs w:val="22"/>
                <w:color w:val="auto"/>
                <w:w w:val="81"/>
              </w:rPr>
              <w:t>and</w:t>
            </w:r>
          </w:p>
        </w:tc>
        <w:tc>
          <w:tcPr>
            <w:tcW w:w="1580" w:type="dxa"/>
            <w:vAlign w:val="bottom"/>
            <w:gridSpan w:val="3"/>
          </w:tcPr>
          <w:p>
            <w:pPr>
              <w:jc w:val="center"/>
              <w:ind w:left="232"/>
              <w:spacing w:after="0"/>
              <w:rPr>
                <w:sz w:val="20"/>
                <w:szCs w:val="20"/>
                <w:color w:val="auto"/>
              </w:rPr>
            </w:pPr>
            <w:r>
              <w:rPr>
                <w:rFonts w:ascii="Arial" w:cs="Arial" w:eastAsia="Arial" w:hAnsi="Arial"/>
                <w:sz w:val="22"/>
                <w:szCs w:val="22"/>
                <w:color w:val="auto"/>
                <w:w w:val="89"/>
              </w:rPr>
              <w:t>1.50%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580" w:type="dxa"/>
            <w:vAlign w:val="bottom"/>
            <w:gridSpan w:val="4"/>
          </w:tcPr>
          <w:p>
            <w:pPr>
              <w:jc w:val="center"/>
              <w:ind w:left="232"/>
              <w:spacing w:after="0"/>
              <w:rPr>
                <w:sz w:val="20"/>
                <w:szCs w:val="20"/>
                <w:color w:val="auto"/>
              </w:rPr>
            </w:pPr>
            <w:r>
              <w:rPr>
                <w:rFonts w:ascii="Arial" w:cs="Arial" w:eastAsia="Arial" w:hAnsi="Arial"/>
                <w:sz w:val="22"/>
                <w:szCs w:val="22"/>
                <w:color w:val="auto"/>
                <w:w w:val="89"/>
              </w:rPr>
              <w:t>2.50%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300" w:type="dxa"/>
            <w:vAlign w:val="bottom"/>
            <w:gridSpan w:val="4"/>
          </w:tcPr>
          <w:p>
            <w:pPr>
              <w:jc w:val="center"/>
              <w:ind w:left="472"/>
              <w:spacing w:after="0"/>
              <w:rPr>
                <w:sz w:val="20"/>
                <w:szCs w:val="20"/>
                <w:color w:val="auto"/>
              </w:rPr>
            </w:pPr>
            <w:r>
              <w:rPr>
                <w:rFonts w:ascii="Arial" w:cs="Arial" w:eastAsia="Arial" w:hAnsi="Arial"/>
                <w:sz w:val="22"/>
                <w:szCs w:val="22"/>
                <w:color w:val="auto"/>
                <w:w w:val="89"/>
              </w:rPr>
              <w:t>3.25%</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440" w:type="dxa"/>
            <w:vAlign w:val="bottom"/>
            <w:gridSpan w:val="4"/>
          </w:tcPr>
          <w:p>
            <w:pPr>
              <w:jc w:val="center"/>
              <w:ind w:left="372"/>
              <w:spacing w:after="0"/>
              <w:rPr>
                <w:sz w:val="20"/>
                <w:szCs w:val="20"/>
                <w:color w:val="auto"/>
              </w:rPr>
            </w:pPr>
            <w:r>
              <w:rPr>
                <w:rFonts w:ascii="Arial" w:cs="Arial" w:eastAsia="Arial" w:hAnsi="Arial"/>
                <w:sz w:val="22"/>
                <w:szCs w:val="22"/>
                <w:color w:val="auto"/>
                <w:w w:val="89"/>
              </w:rPr>
              <w:t>3.25%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60" w:type="dxa"/>
            <w:vAlign w:val="bottom"/>
            <w:tcBorders>
              <w:left w:val="single" w:sz="8" w:color="00000A"/>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right w:val="single" w:sz="8" w:color="00000A"/>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Borders>
              <w:right w:val="single" w:sz="8" w:color="00000A"/>
            </w:tcBorders>
            <w:gridSpan w:val="3"/>
          </w:tcPr>
          <w:p>
            <w:pPr>
              <w:jc w:val="center"/>
              <w:ind w:right="460"/>
              <w:spacing w:after="0"/>
              <w:rPr>
                <w:sz w:val="20"/>
                <w:szCs w:val="20"/>
                <w:color w:val="auto"/>
              </w:rPr>
            </w:pPr>
            <w:r>
              <w:rPr>
                <w:rFonts w:ascii="Arial" w:cs="Arial" w:eastAsia="Arial" w:hAnsi="Arial"/>
                <w:sz w:val="22"/>
                <w:szCs w:val="22"/>
                <w:color w:val="auto"/>
                <w:w w:val="89"/>
              </w:rPr>
              <w:t>≥ 33.33% of the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00000A"/>
            </w:tcBorders>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Borders>
              <w:right w:val="single" w:sz="8" w:color="00000A"/>
            </w:tcBorders>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right w:val="single" w:sz="8" w:color="00000A"/>
            </w:tcBorders>
            <w:gridSpan w:val="4"/>
          </w:tcPr>
          <w:p>
            <w:pPr>
              <w:jc w:val="center"/>
              <w:ind w:right="260"/>
              <w:spacing w:after="0" w:line="243" w:lineRule="exact"/>
              <w:rPr>
                <w:sz w:val="20"/>
                <w:szCs w:val="20"/>
                <w:color w:val="auto"/>
              </w:rPr>
            </w:pPr>
            <w:r>
              <w:rPr>
                <w:rFonts w:ascii="Arial" w:cs="Arial" w:eastAsia="Arial" w:hAnsi="Arial"/>
                <w:sz w:val="22"/>
                <w:szCs w:val="22"/>
                <w:color w:val="auto"/>
                <w:w w:val="92"/>
              </w:rPr>
              <w:t>Maximum Revolver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00000A"/>
            </w:tcBorders>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Borders>
              <w:right w:val="single" w:sz="8" w:color="00000A"/>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22"/>
                <w:szCs w:val="22"/>
                <w:color w:val="auto"/>
                <w:w w:val="92"/>
              </w:rPr>
              <w:t>Amount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460" w:type="dxa"/>
            <w:vAlign w:val="bottom"/>
            <w:tcBorders>
              <w:left w:val="single" w:sz="8" w:color="00000A"/>
              <w:bottom w:val="single" w:sz="8" w:color="00000A"/>
            </w:tcBorders>
          </w:tcPr>
          <w:p>
            <w:pPr>
              <w:spacing w:after="0"/>
              <w:rPr>
                <w:sz w:val="10"/>
                <w:szCs w:val="10"/>
                <w:color w:val="auto"/>
              </w:rPr>
            </w:pPr>
          </w:p>
        </w:tc>
        <w:tc>
          <w:tcPr>
            <w:tcW w:w="480" w:type="dxa"/>
            <w:vAlign w:val="bottom"/>
            <w:tcBorders>
              <w:bottom w:val="single" w:sz="8" w:color="00000A"/>
            </w:tcBorders>
          </w:tcPr>
          <w:p>
            <w:pPr>
              <w:spacing w:after="0"/>
              <w:rPr>
                <w:sz w:val="10"/>
                <w:szCs w:val="10"/>
                <w:color w:val="auto"/>
              </w:rPr>
            </w:pPr>
          </w:p>
        </w:tc>
        <w:tc>
          <w:tcPr>
            <w:tcW w:w="460" w:type="dxa"/>
            <w:vAlign w:val="bottom"/>
            <w:tcBorders>
              <w:bottom w:val="single" w:sz="8" w:color="00000A"/>
              <w:right w:val="single" w:sz="8" w:color="00000A"/>
            </w:tcBorders>
          </w:tcPr>
          <w:p>
            <w:pPr>
              <w:spacing w:after="0"/>
              <w:rPr>
                <w:sz w:val="10"/>
                <w:szCs w:val="10"/>
                <w:color w:val="auto"/>
              </w:rPr>
            </w:pPr>
          </w:p>
        </w:tc>
        <w:tc>
          <w:tcPr>
            <w:tcW w:w="240" w:type="dxa"/>
            <w:vAlign w:val="bottom"/>
            <w:tcBorders>
              <w:bottom w:val="single" w:sz="8" w:color="00000A"/>
            </w:tcBorders>
          </w:tcPr>
          <w:p>
            <w:pPr>
              <w:spacing w:after="0"/>
              <w:rPr>
                <w:sz w:val="10"/>
                <w:szCs w:val="10"/>
                <w:color w:val="auto"/>
              </w:rPr>
            </w:pPr>
          </w:p>
        </w:tc>
        <w:tc>
          <w:tcPr>
            <w:tcW w:w="20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tcBorders>
          </w:tcPr>
          <w:p>
            <w:pPr>
              <w:spacing w:after="0"/>
              <w:rPr>
                <w:sz w:val="10"/>
                <w:szCs w:val="10"/>
                <w:color w:val="auto"/>
              </w:rPr>
            </w:pPr>
          </w:p>
        </w:tc>
        <w:tc>
          <w:tcPr>
            <w:tcW w:w="1460" w:type="dxa"/>
            <w:vAlign w:val="bottom"/>
            <w:tcBorders>
              <w:bottom w:val="single" w:sz="8" w:color="00000A"/>
            </w:tcBorders>
          </w:tcPr>
          <w:p>
            <w:pPr>
              <w:spacing w:after="0"/>
              <w:rPr>
                <w:sz w:val="10"/>
                <w:szCs w:val="10"/>
                <w:color w:val="auto"/>
              </w:rPr>
            </w:pPr>
          </w:p>
        </w:tc>
        <w:tc>
          <w:tcPr>
            <w:tcW w:w="260" w:type="dxa"/>
            <w:vAlign w:val="bottom"/>
            <w:tcBorders>
              <w:bottom w:val="single" w:sz="8" w:color="00000A"/>
              <w:right w:val="single" w:sz="8" w:color="00000A"/>
            </w:tcBorders>
          </w:tcPr>
          <w:p>
            <w:pPr>
              <w:spacing w:after="0"/>
              <w:rPr>
                <w:sz w:val="10"/>
                <w:szCs w:val="10"/>
                <w:color w:val="auto"/>
              </w:rPr>
            </w:pPr>
          </w:p>
        </w:tc>
        <w:tc>
          <w:tcPr>
            <w:tcW w:w="22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tcBorders>
          </w:tcPr>
          <w:p>
            <w:pPr>
              <w:spacing w:after="0"/>
              <w:rPr>
                <w:sz w:val="10"/>
                <w:szCs w:val="10"/>
                <w:color w:val="auto"/>
              </w:rPr>
            </w:pPr>
          </w:p>
        </w:tc>
        <w:tc>
          <w:tcPr>
            <w:tcW w:w="1240" w:type="dxa"/>
            <w:vAlign w:val="bottom"/>
            <w:tcBorders>
              <w:bottom w:val="single" w:sz="8" w:color="00000A"/>
            </w:tcBorders>
          </w:tcPr>
          <w:p>
            <w:pPr>
              <w:spacing w:after="0"/>
              <w:rPr>
                <w:sz w:val="10"/>
                <w:szCs w:val="10"/>
                <w:color w:val="auto"/>
              </w:rPr>
            </w:pPr>
          </w:p>
        </w:tc>
        <w:tc>
          <w:tcPr>
            <w:tcW w:w="16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tcBorders>
          </w:tcPr>
          <w:p>
            <w:pPr>
              <w:spacing w:after="0"/>
              <w:rPr>
                <w:sz w:val="10"/>
                <w:szCs w:val="10"/>
                <w:color w:val="auto"/>
              </w:rPr>
            </w:pPr>
          </w:p>
        </w:tc>
        <w:tc>
          <w:tcPr>
            <w:tcW w:w="140" w:type="dxa"/>
            <w:vAlign w:val="bottom"/>
            <w:tcBorders>
              <w:bottom w:val="single" w:sz="8" w:color="00000A"/>
            </w:tcBorders>
          </w:tcPr>
          <w:p>
            <w:pPr>
              <w:spacing w:after="0"/>
              <w:rPr>
                <w:sz w:val="10"/>
                <w:szCs w:val="10"/>
                <w:color w:val="auto"/>
              </w:rPr>
            </w:pPr>
          </w:p>
        </w:tc>
        <w:tc>
          <w:tcPr>
            <w:tcW w:w="1260" w:type="dxa"/>
            <w:vAlign w:val="bottom"/>
            <w:tcBorders>
              <w:bottom w:val="single" w:sz="8" w:color="00000A"/>
            </w:tcBorders>
          </w:tcPr>
          <w:p>
            <w:pPr>
              <w:spacing w:after="0"/>
              <w:rPr>
                <w:sz w:val="10"/>
                <w:szCs w:val="10"/>
                <w:color w:val="auto"/>
              </w:rPr>
            </w:pPr>
          </w:p>
        </w:tc>
        <w:tc>
          <w:tcPr>
            <w:tcW w:w="140" w:type="dxa"/>
            <w:vAlign w:val="bottom"/>
            <w:tcBorders>
              <w:bottom w:val="single" w:sz="8" w:color="00000A"/>
            </w:tcBorders>
          </w:tcPr>
          <w:p>
            <w:pPr>
              <w:spacing w:after="0"/>
              <w:rPr>
                <w:sz w:val="10"/>
                <w:szCs w:val="10"/>
                <w:color w:val="auto"/>
              </w:rPr>
            </w:pPr>
          </w:p>
        </w:tc>
        <w:tc>
          <w:tcPr>
            <w:tcW w:w="4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2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460" w:type="dxa"/>
            <w:vAlign w:val="bottom"/>
            <w:tcBorders>
              <w:bottom w:val="single" w:sz="8" w:color="00000A"/>
            </w:tcBorders>
          </w:tcPr>
          <w:p>
            <w:pPr>
              <w:spacing w:after="0"/>
              <w:rPr>
                <w:sz w:val="10"/>
                <w:szCs w:val="10"/>
                <w:color w:val="auto"/>
              </w:rPr>
            </w:pPr>
          </w:p>
        </w:tc>
        <w:tc>
          <w:tcPr>
            <w:tcW w:w="720" w:type="dxa"/>
            <w:vAlign w:val="bottom"/>
            <w:tcBorders>
              <w:bottom w:val="single" w:sz="8" w:color="00000A"/>
            </w:tcBorders>
          </w:tcPr>
          <w:p>
            <w:pPr>
              <w:spacing w:after="0"/>
              <w:rPr>
                <w:sz w:val="10"/>
                <w:szCs w:val="10"/>
                <w:color w:val="auto"/>
              </w:rPr>
            </w:pPr>
          </w:p>
        </w:tc>
        <w:tc>
          <w:tcPr>
            <w:tcW w:w="46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00000A"/>
            </w:tcBorders>
          </w:tcPr>
          <w:p>
            <w:pPr>
              <w:spacing w:after="0"/>
              <w:rPr>
                <w:sz w:val="10"/>
                <w:szCs w:val="10"/>
                <w:color w:val="auto"/>
              </w:rPr>
            </w:pPr>
          </w:p>
        </w:tc>
        <w:tc>
          <w:tcPr>
            <w:tcW w:w="8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320" w:type="dxa"/>
            <w:vAlign w:val="bottom"/>
            <w:tcBorders>
              <w:bottom w:val="single" w:sz="8" w:color="00000A"/>
            </w:tcBorders>
          </w:tcPr>
          <w:p>
            <w:pPr>
              <w:spacing w:after="0"/>
              <w:rPr>
                <w:sz w:val="10"/>
                <w:szCs w:val="10"/>
                <w:color w:val="auto"/>
              </w:rPr>
            </w:pPr>
          </w:p>
        </w:tc>
        <w:tc>
          <w:tcPr>
            <w:tcW w:w="980" w:type="dxa"/>
            <w:vAlign w:val="bottom"/>
            <w:tcBorders>
              <w:bottom w:val="single" w:sz="8" w:color="00000A"/>
            </w:tcBorders>
          </w:tcPr>
          <w:p>
            <w:pPr>
              <w:spacing w:after="0"/>
              <w:rPr>
                <w:sz w:val="10"/>
                <w:szCs w:val="10"/>
                <w:color w:val="auto"/>
              </w:rPr>
            </w:pPr>
          </w:p>
        </w:tc>
        <w:tc>
          <w:tcPr>
            <w:tcW w:w="340" w:type="dxa"/>
            <w:vAlign w:val="bottom"/>
            <w:tcBorders>
              <w:bottom w:val="single" w:sz="8" w:color="00000A"/>
            </w:tcBorders>
          </w:tcPr>
          <w:p>
            <w:pPr>
              <w:spacing w:after="0"/>
              <w:rPr>
                <w:sz w:val="10"/>
                <w:szCs w:val="10"/>
                <w:color w:val="auto"/>
              </w:rPr>
            </w:pPr>
          </w:p>
        </w:tc>
        <w:tc>
          <w:tcPr>
            <w:tcW w:w="4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460" w:type="dxa"/>
            <w:vAlign w:val="bottom"/>
            <w:tcBorders>
              <w:left w:val="single" w:sz="8" w:color="00000A"/>
            </w:tcBorders>
          </w:tcPr>
          <w:p>
            <w:pPr>
              <w:spacing w:after="0"/>
              <w:rPr>
                <w:sz w:val="24"/>
                <w:szCs w:val="24"/>
                <w:color w:val="auto"/>
              </w:rPr>
            </w:pPr>
          </w:p>
        </w:tc>
        <w:tc>
          <w:tcPr>
            <w:tcW w:w="940" w:type="dxa"/>
            <w:vAlign w:val="bottom"/>
            <w:tcBorders>
              <w:right w:val="single" w:sz="8" w:color="00000A"/>
            </w:tcBorders>
            <w:gridSpan w:val="2"/>
            <w:vMerge w:val="restart"/>
          </w:tcPr>
          <w:p>
            <w:pPr>
              <w:jc w:val="center"/>
              <w:ind w:right="440"/>
              <w:spacing w:after="0"/>
              <w:rPr>
                <w:sz w:val="20"/>
                <w:szCs w:val="20"/>
                <w:color w:val="auto"/>
              </w:rPr>
            </w:pPr>
            <w:r>
              <w:rPr>
                <w:rFonts w:ascii="Arial" w:cs="Arial" w:eastAsia="Arial" w:hAnsi="Arial"/>
                <w:sz w:val="22"/>
                <w:szCs w:val="22"/>
                <w:color w:val="auto"/>
              </w:rPr>
              <w:t>III</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Borders>
              <w:right w:val="single" w:sz="8" w:color="00000A"/>
            </w:tcBorders>
            <w:gridSpan w:val="3"/>
          </w:tcPr>
          <w:p>
            <w:pPr>
              <w:jc w:val="center"/>
              <w:ind w:right="440"/>
              <w:spacing w:after="0"/>
              <w:rPr>
                <w:sz w:val="20"/>
                <w:szCs w:val="20"/>
                <w:color w:val="auto"/>
              </w:rPr>
            </w:pPr>
            <w:r>
              <w:rPr>
                <w:rFonts w:ascii="Arial" w:cs="Arial" w:eastAsia="Arial" w:hAnsi="Arial"/>
                <w:sz w:val="22"/>
                <w:szCs w:val="22"/>
                <w:color w:val="auto"/>
                <w:w w:val="90"/>
              </w:rPr>
              <w:t>&gt; 66.67% of the</w:t>
            </w:r>
          </w:p>
        </w:tc>
        <w:tc>
          <w:tcPr>
            <w:tcW w:w="1580" w:type="dxa"/>
            <w:vAlign w:val="bottom"/>
            <w:gridSpan w:val="3"/>
            <w:vMerge w:val="restart"/>
          </w:tcPr>
          <w:p>
            <w:pPr>
              <w:jc w:val="center"/>
              <w:ind w:left="232"/>
              <w:spacing w:after="0"/>
              <w:rPr>
                <w:sz w:val="20"/>
                <w:szCs w:val="20"/>
                <w:color w:val="auto"/>
              </w:rPr>
            </w:pPr>
            <w:r>
              <w:rPr>
                <w:rFonts w:ascii="Arial" w:cs="Arial" w:eastAsia="Arial" w:hAnsi="Arial"/>
                <w:sz w:val="22"/>
                <w:szCs w:val="22"/>
                <w:color w:val="auto"/>
                <w:w w:val="89"/>
              </w:rPr>
              <w:t>1.00%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580" w:type="dxa"/>
            <w:vAlign w:val="bottom"/>
            <w:gridSpan w:val="4"/>
            <w:vMerge w:val="restart"/>
          </w:tcPr>
          <w:p>
            <w:pPr>
              <w:jc w:val="center"/>
              <w:ind w:left="232"/>
              <w:spacing w:after="0"/>
              <w:rPr>
                <w:sz w:val="20"/>
                <w:szCs w:val="20"/>
                <w:color w:val="auto"/>
              </w:rPr>
            </w:pPr>
            <w:r>
              <w:rPr>
                <w:rFonts w:ascii="Arial" w:cs="Arial" w:eastAsia="Arial" w:hAnsi="Arial"/>
                <w:sz w:val="22"/>
                <w:szCs w:val="22"/>
                <w:color w:val="auto"/>
                <w:w w:val="89"/>
              </w:rPr>
              <w:t>2.00%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300" w:type="dxa"/>
            <w:vAlign w:val="bottom"/>
            <w:gridSpan w:val="4"/>
            <w:vMerge w:val="restart"/>
          </w:tcPr>
          <w:p>
            <w:pPr>
              <w:jc w:val="center"/>
              <w:ind w:left="472"/>
              <w:spacing w:after="0"/>
              <w:rPr>
                <w:sz w:val="20"/>
                <w:szCs w:val="20"/>
                <w:color w:val="auto"/>
              </w:rPr>
            </w:pPr>
            <w:r>
              <w:rPr>
                <w:rFonts w:ascii="Arial" w:cs="Arial" w:eastAsia="Arial" w:hAnsi="Arial"/>
                <w:sz w:val="22"/>
                <w:szCs w:val="22"/>
                <w:color w:val="auto"/>
                <w:w w:val="89"/>
              </w:rPr>
              <w:t>2.75%</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440" w:type="dxa"/>
            <w:vAlign w:val="bottom"/>
            <w:gridSpan w:val="4"/>
            <w:vMerge w:val="restart"/>
          </w:tcPr>
          <w:p>
            <w:pPr>
              <w:jc w:val="center"/>
              <w:ind w:left="372"/>
              <w:spacing w:after="0"/>
              <w:rPr>
                <w:sz w:val="20"/>
                <w:szCs w:val="20"/>
                <w:color w:val="auto"/>
              </w:rPr>
            </w:pPr>
            <w:r>
              <w:rPr>
                <w:rFonts w:ascii="Arial" w:cs="Arial" w:eastAsia="Arial" w:hAnsi="Arial"/>
                <w:sz w:val="22"/>
                <w:szCs w:val="22"/>
                <w:color w:val="auto"/>
                <w:w w:val="89"/>
              </w:rPr>
              <w:t>2.75%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00000A"/>
            </w:tcBorders>
          </w:tcPr>
          <w:p>
            <w:pPr>
              <w:spacing w:after="0" w:line="20" w:lineRule="exact"/>
              <w:rPr>
                <w:sz w:val="1"/>
                <w:szCs w:val="1"/>
                <w:color w:val="auto"/>
              </w:rPr>
            </w:pPr>
          </w:p>
        </w:tc>
        <w:tc>
          <w:tcPr>
            <w:tcW w:w="940" w:type="dxa"/>
            <w:vAlign w:val="bottom"/>
            <w:tcBorders>
              <w:right w:val="single" w:sz="8" w:color="00000A"/>
            </w:tcBorders>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tcBorders>
              <w:right w:val="single" w:sz="8" w:color="00000A"/>
            </w:tcBorders>
            <w:gridSpan w:val="2"/>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130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0A"/>
            </w:tcBorders>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60" w:type="dxa"/>
            <w:vAlign w:val="bottom"/>
            <w:tcBorders>
              <w:left w:val="single" w:sz="8" w:color="00000A"/>
            </w:tcBorders>
          </w:tcPr>
          <w:p>
            <w:pPr>
              <w:spacing w:after="0"/>
              <w:rPr>
                <w:sz w:val="21"/>
                <w:szCs w:val="21"/>
                <w:color w:val="auto"/>
              </w:rPr>
            </w:pPr>
          </w:p>
        </w:tc>
        <w:tc>
          <w:tcPr>
            <w:tcW w:w="940" w:type="dxa"/>
            <w:vAlign w:val="bottom"/>
            <w:tcBorders>
              <w:right w:val="single" w:sz="8" w:color="00000A"/>
            </w:tcBorders>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right w:val="single" w:sz="8" w:color="00000A"/>
            </w:tcBorders>
            <w:gridSpan w:val="4"/>
          </w:tcPr>
          <w:p>
            <w:pPr>
              <w:jc w:val="center"/>
              <w:ind w:right="260"/>
              <w:spacing w:after="0" w:line="242" w:lineRule="exact"/>
              <w:rPr>
                <w:sz w:val="20"/>
                <w:szCs w:val="20"/>
                <w:color w:val="auto"/>
              </w:rPr>
            </w:pPr>
            <w:r>
              <w:rPr>
                <w:rFonts w:ascii="Arial" w:cs="Arial" w:eastAsia="Arial" w:hAnsi="Arial"/>
                <w:sz w:val="22"/>
                <w:szCs w:val="22"/>
                <w:color w:val="auto"/>
                <w:w w:val="92"/>
              </w:rPr>
              <w:t>Maximum Revolver</w:t>
            </w:r>
          </w:p>
        </w:tc>
        <w:tc>
          <w:tcPr>
            <w:tcW w:w="15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158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1300" w:type="dxa"/>
            <w:vAlign w:val="bottom"/>
            <w:gridSpan w:val="4"/>
            <w:vMerge w:val="continue"/>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right w:val="single" w:sz="8" w:color="00000A"/>
            </w:tcBorders>
          </w:tcPr>
          <w:p>
            <w:pPr>
              <w:spacing w:after="0"/>
              <w:rPr>
                <w:sz w:val="21"/>
                <w:szCs w:val="21"/>
                <w:color w:val="auto"/>
              </w:rPr>
            </w:pPr>
          </w:p>
        </w:tc>
        <w:tc>
          <w:tcPr>
            <w:tcW w:w="1440" w:type="dxa"/>
            <w:vAlign w:val="bottom"/>
            <w:gridSpan w:val="4"/>
            <w:vMerge w:val="continue"/>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00000A"/>
            </w:tcBorders>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Borders>
              <w:right w:val="single" w:sz="8" w:color="00000A"/>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00000A"/>
            </w:tcBorders>
            <w:gridSpan w:val="2"/>
          </w:tcPr>
          <w:p>
            <w:pPr>
              <w:jc w:val="center"/>
              <w:ind w:right="580"/>
              <w:spacing w:after="0"/>
              <w:rPr>
                <w:sz w:val="20"/>
                <w:szCs w:val="20"/>
                <w:color w:val="auto"/>
              </w:rPr>
            </w:pPr>
            <w:r>
              <w:rPr>
                <w:rFonts w:ascii="Arial" w:cs="Arial" w:eastAsia="Arial" w:hAnsi="Arial"/>
                <w:sz w:val="22"/>
                <w:szCs w:val="22"/>
                <w:color w:val="auto"/>
                <w:w w:val="92"/>
              </w:rPr>
              <w:t>Amount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right w:val="single" w:sz="8" w:color="00000A"/>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460" w:type="dxa"/>
            <w:vAlign w:val="bottom"/>
            <w:tcBorders>
              <w:left w:val="single" w:sz="8" w:color="00000A"/>
              <w:bottom w:val="single" w:sz="8" w:color="00000A"/>
            </w:tcBorders>
          </w:tcPr>
          <w:p>
            <w:pPr>
              <w:spacing w:after="0"/>
              <w:rPr>
                <w:sz w:val="10"/>
                <w:szCs w:val="10"/>
                <w:color w:val="auto"/>
              </w:rPr>
            </w:pPr>
          </w:p>
        </w:tc>
        <w:tc>
          <w:tcPr>
            <w:tcW w:w="480" w:type="dxa"/>
            <w:vAlign w:val="bottom"/>
            <w:tcBorders>
              <w:bottom w:val="single" w:sz="8" w:color="00000A"/>
            </w:tcBorders>
          </w:tcPr>
          <w:p>
            <w:pPr>
              <w:spacing w:after="0"/>
              <w:rPr>
                <w:sz w:val="10"/>
                <w:szCs w:val="10"/>
                <w:color w:val="auto"/>
              </w:rPr>
            </w:pPr>
          </w:p>
        </w:tc>
        <w:tc>
          <w:tcPr>
            <w:tcW w:w="460" w:type="dxa"/>
            <w:vAlign w:val="bottom"/>
            <w:tcBorders>
              <w:bottom w:val="single" w:sz="8" w:color="00000A"/>
              <w:right w:val="single" w:sz="8" w:color="00000A"/>
            </w:tcBorders>
          </w:tcPr>
          <w:p>
            <w:pPr>
              <w:spacing w:after="0"/>
              <w:rPr>
                <w:sz w:val="10"/>
                <w:szCs w:val="10"/>
                <w:color w:val="auto"/>
              </w:rPr>
            </w:pPr>
          </w:p>
        </w:tc>
        <w:tc>
          <w:tcPr>
            <w:tcW w:w="240" w:type="dxa"/>
            <w:vAlign w:val="bottom"/>
            <w:tcBorders>
              <w:bottom w:val="single" w:sz="8" w:color="00000A"/>
            </w:tcBorders>
          </w:tcPr>
          <w:p>
            <w:pPr>
              <w:spacing w:after="0"/>
              <w:rPr>
                <w:sz w:val="10"/>
                <w:szCs w:val="10"/>
                <w:color w:val="auto"/>
              </w:rPr>
            </w:pPr>
          </w:p>
        </w:tc>
        <w:tc>
          <w:tcPr>
            <w:tcW w:w="20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tcBorders>
          </w:tcPr>
          <w:p>
            <w:pPr>
              <w:spacing w:after="0"/>
              <w:rPr>
                <w:sz w:val="10"/>
                <w:szCs w:val="10"/>
                <w:color w:val="auto"/>
              </w:rPr>
            </w:pPr>
          </w:p>
        </w:tc>
        <w:tc>
          <w:tcPr>
            <w:tcW w:w="1460" w:type="dxa"/>
            <w:vAlign w:val="bottom"/>
            <w:tcBorders>
              <w:bottom w:val="single" w:sz="8" w:color="00000A"/>
            </w:tcBorders>
          </w:tcPr>
          <w:p>
            <w:pPr>
              <w:spacing w:after="0"/>
              <w:rPr>
                <w:sz w:val="10"/>
                <w:szCs w:val="10"/>
                <w:color w:val="auto"/>
              </w:rPr>
            </w:pPr>
          </w:p>
        </w:tc>
        <w:tc>
          <w:tcPr>
            <w:tcW w:w="260" w:type="dxa"/>
            <w:vAlign w:val="bottom"/>
            <w:tcBorders>
              <w:bottom w:val="single" w:sz="8" w:color="00000A"/>
              <w:right w:val="single" w:sz="8" w:color="00000A"/>
            </w:tcBorders>
          </w:tcPr>
          <w:p>
            <w:pPr>
              <w:spacing w:after="0"/>
              <w:rPr>
                <w:sz w:val="10"/>
                <w:szCs w:val="10"/>
                <w:color w:val="auto"/>
              </w:rPr>
            </w:pPr>
          </w:p>
        </w:tc>
        <w:tc>
          <w:tcPr>
            <w:tcW w:w="22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tcBorders>
          </w:tcPr>
          <w:p>
            <w:pPr>
              <w:spacing w:after="0"/>
              <w:rPr>
                <w:sz w:val="10"/>
                <w:szCs w:val="10"/>
                <w:color w:val="auto"/>
              </w:rPr>
            </w:pPr>
          </w:p>
        </w:tc>
        <w:tc>
          <w:tcPr>
            <w:tcW w:w="1240" w:type="dxa"/>
            <w:vAlign w:val="bottom"/>
            <w:tcBorders>
              <w:bottom w:val="single" w:sz="8" w:color="00000A"/>
            </w:tcBorders>
          </w:tcPr>
          <w:p>
            <w:pPr>
              <w:spacing w:after="0"/>
              <w:rPr>
                <w:sz w:val="10"/>
                <w:szCs w:val="10"/>
                <w:color w:val="auto"/>
              </w:rPr>
            </w:pPr>
          </w:p>
        </w:tc>
        <w:tc>
          <w:tcPr>
            <w:tcW w:w="16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tcBorders>
          </w:tcPr>
          <w:p>
            <w:pPr>
              <w:spacing w:after="0"/>
              <w:rPr>
                <w:sz w:val="10"/>
                <w:szCs w:val="10"/>
                <w:color w:val="auto"/>
              </w:rPr>
            </w:pPr>
          </w:p>
        </w:tc>
        <w:tc>
          <w:tcPr>
            <w:tcW w:w="140" w:type="dxa"/>
            <w:vAlign w:val="bottom"/>
            <w:tcBorders>
              <w:bottom w:val="single" w:sz="8" w:color="00000A"/>
            </w:tcBorders>
          </w:tcPr>
          <w:p>
            <w:pPr>
              <w:spacing w:after="0"/>
              <w:rPr>
                <w:sz w:val="10"/>
                <w:szCs w:val="10"/>
                <w:color w:val="auto"/>
              </w:rPr>
            </w:pPr>
          </w:p>
        </w:tc>
        <w:tc>
          <w:tcPr>
            <w:tcW w:w="1260" w:type="dxa"/>
            <w:vAlign w:val="bottom"/>
            <w:tcBorders>
              <w:bottom w:val="single" w:sz="8" w:color="00000A"/>
            </w:tcBorders>
          </w:tcPr>
          <w:p>
            <w:pPr>
              <w:spacing w:after="0"/>
              <w:rPr>
                <w:sz w:val="10"/>
                <w:szCs w:val="10"/>
                <w:color w:val="auto"/>
              </w:rPr>
            </w:pPr>
          </w:p>
        </w:tc>
        <w:tc>
          <w:tcPr>
            <w:tcW w:w="140" w:type="dxa"/>
            <w:vAlign w:val="bottom"/>
            <w:tcBorders>
              <w:bottom w:val="single" w:sz="8" w:color="00000A"/>
            </w:tcBorders>
          </w:tcPr>
          <w:p>
            <w:pPr>
              <w:spacing w:after="0"/>
              <w:rPr>
                <w:sz w:val="10"/>
                <w:szCs w:val="10"/>
                <w:color w:val="auto"/>
              </w:rPr>
            </w:pPr>
          </w:p>
        </w:tc>
        <w:tc>
          <w:tcPr>
            <w:tcW w:w="4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2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460" w:type="dxa"/>
            <w:vAlign w:val="bottom"/>
            <w:tcBorders>
              <w:bottom w:val="single" w:sz="8" w:color="00000A"/>
            </w:tcBorders>
          </w:tcPr>
          <w:p>
            <w:pPr>
              <w:spacing w:after="0"/>
              <w:rPr>
                <w:sz w:val="10"/>
                <w:szCs w:val="10"/>
                <w:color w:val="auto"/>
              </w:rPr>
            </w:pPr>
          </w:p>
        </w:tc>
        <w:tc>
          <w:tcPr>
            <w:tcW w:w="720" w:type="dxa"/>
            <w:vAlign w:val="bottom"/>
            <w:tcBorders>
              <w:bottom w:val="single" w:sz="8" w:color="00000A"/>
            </w:tcBorders>
          </w:tcPr>
          <w:p>
            <w:pPr>
              <w:spacing w:after="0"/>
              <w:rPr>
                <w:sz w:val="10"/>
                <w:szCs w:val="10"/>
                <w:color w:val="auto"/>
              </w:rPr>
            </w:pPr>
          </w:p>
        </w:tc>
        <w:tc>
          <w:tcPr>
            <w:tcW w:w="46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00000A"/>
            </w:tcBorders>
          </w:tcPr>
          <w:p>
            <w:pPr>
              <w:spacing w:after="0"/>
              <w:rPr>
                <w:sz w:val="10"/>
                <w:szCs w:val="10"/>
                <w:color w:val="auto"/>
              </w:rPr>
            </w:pPr>
          </w:p>
        </w:tc>
        <w:tc>
          <w:tcPr>
            <w:tcW w:w="80" w:type="dxa"/>
            <w:vAlign w:val="bottom"/>
            <w:tcBorders>
              <w:bottom w:val="single" w:sz="8" w:color="00000A"/>
            </w:tcBorders>
          </w:tcPr>
          <w:p>
            <w:pPr>
              <w:spacing w:after="0"/>
              <w:rPr>
                <w:sz w:val="10"/>
                <w:szCs w:val="10"/>
                <w:color w:val="auto"/>
              </w:rPr>
            </w:pPr>
          </w:p>
        </w:tc>
        <w:tc>
          <w:tcPr>
            <w:tcW w:w="60" w:type="dxa"/>
            <w:vAlign w:val="bottom"/>
            <w:tcBorders>
              <w:bottom w:val="single" w:sz="8" w:color="00000A"/>
            </w:tcBorders>
          </w:tcPr>
          <w:p>
            <w:pPr>
              <w:spacing w:after="0"/>
              <w:rPr>
                <w:sz w:val="10"/>
                <w:szCs w:val="10"/>
                <w:color w:val="auto"/>
              </w:rPr>
            </w:pPr>
          </w:p>
        </w:tc>
        <w:tc>
          <w:tcPr>
            <w:tcW w:w="320" w:type="dxa"/>
            <w:vAlign w:val="bottom"/>
            <w:tcBorders>
              <w:bottom w:val="single" w:sz="8" w:color="00000A"/>
            </w:tcBorders>
          </w:tcPr>
          <w:p>
            <w:pPr>
              <w:spacing w:after="0"/>
              <w:rPr>
                <w:sz w:val="10"/>
                <w:szCs w:val="10"/>
                <w:color w:val="auto"/>
              </w:rPr>
            </w:pPr>
          </w:p>
        </w:tc>
        <w:tc>
          <w:tcPr>
            <w:tcW w:w="980" w:type="dxa"/>
            <w:vAlign w:val="bottom"/>
            <w:tcBorders>
              <w:bottom w:val="single" w:sz="8" w:color="00000A"/>
            </w:tcBorders>
          </w:tcPr>
          <w:p>
            <w:pPr>
              <w:spacing w:after="0"/>
              <w:rPr>
                <w:sz w:val="10"/>
                <w:szCs w:val="10"/>
                <w:color w:val="auto"/>
              </w:rPr>
            </w:pPr>
          </w:p>
        </w:tc>
        <w:tc>
          <w:tcPr>
            <w:tcW w:w="340" w:type="dxa"/>
            <w:vAlign w:val="bottom"/>
            <w:tcBorders>
              <w:bottom w:val="single" w:sz="8" w:color="00000A"/>
            </w:tcBorders>
          </w:tcPr>
          <w:p>
            <w:pPr>
              <w:spacing w:after="0"/>
              <w:rPr>
                <w:sz w:val="10"/>
                <w:szCs w:val="10"/>
                <w:color w:val="auto"/>
              </w:rPr>
            </w:pPr>
          </w:p>
        </w:tc>
        <w:tc>
          <w:tcPr>
            <w:tcW w:w="40" w:type="dxa"/>
            <w:vAlign w:val="bottom"/>
            <w:tcBorders>
              <w:bottom w:val="single" w:sz="8" w:color="00000A"/>
            </w:tcBorders>
          </w:tcPr>
          <w:p>
            <w:pPr>
              <w:spacing w:after="0"/>
              <w:rPr>
                <w:sz w:val="10"/>
                <w:szCs w:val="10"/>
                <w:color w:val="auto"/>
              </w:rPr>
            </w:pPr>
          </w:p>
        </w:tc>
        <w:tc>
          <w:tcPr>
            <w:tcW w:w="12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Applicable Margin shall be re-determined as of the first day of each fiscal month of Borrower.</w:t>
      </w:r>
    </w:p>
    <w:p>
      <w:pPr>
        <w:sectPr>
          <w:pgSz w:w="11900" w:h="16838" w:orient="portrait"/>
          <w:cols w:equalWidth="0" w:num="1">
            <w:col w:w="11420"/>
          </w:cols>
          <w:pgMar w:left="240" w:top="825" w:right="239" w:bottom="1440" w:gutter="0" w:footer="0" w:header="0"/>
        </w:sectPr>
      </w:pPr>
    </w:p>
    <w:bookmarkStart w:id="169" w:name="page170"/>
    <w:bookmarkEnd w:id="1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 Event</w:t>
      </w:r>
      <w:r>
        <w:rPr>
          <w:rFonts w:ascii="Arial" w:cs="Arial" w:eastAsia="Arial" w:hAnsi="Arial"/>
          <w:sz w:val="18"/>
          <w:szCs w:val="18"/>
          <w:color w:val="auto"/>
        </w:rPr>
        <w:t>” means the occurrence of (a) a failure by Borrower to repay all of the Obligations in full on the Maturity Date, or</w:t>
      </w:r>
    </w:p>
    <w:p>
      <w:pPr>
        <w:spacing w:after="0" w:line="39" w:lineRule="exact"/>
        <w:rPr>
          <w:sz w:val="20"/>
          <w:szCs w:val="20"/>
          <w:color w:val="auto"/>
        </w:rPr>
      </w:pPr>
    </w:p>
    <w:p>
      <w:pPr>
        <w:ind w:firstLine="8"/>
        <w:spacing w:after="0" w:line="244" w:lineRule="auto"/>
        <w:tabs>
          <w:tab w:leader="none" w:pos="30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an Event of Default and the election by Agent or the Required Lenders to require that payments and proceeds of Collateral be applied pursuant to </w:t>
      </w:r>
      <w:r>
        <w:rPr>
          <w:rFonts w:ascii="Arial" w:cs="Arial" w:eastAsia="Arial" w:hAnsi="Arial"/>
          <w:sz w:val="20"/>
          <w:szCs w:val="20"/>
          <w:u w:val="single" w:color="auto"/>
          <w:color w:val="auto"/>
        </w:rPr>
        <w:t>Section 2.4(b)(ii)</w:t>
      </w:r>
      <w:r>
        <w:rPr>
          <w:rFonts w:ascii="Arial" w:cs="Arial" w:eastAsia="Arial" w:hAnsi="Arial"/>
          <w:sz w:val="20"/>
          <w:szCs w:val="20"/>
          <w:color w:val="auto"/>
        </w:rPr>
        <w:t xml:space="preserve"> of the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13.1(a)</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Acceptance</w:t>
      </w:r>
      <w:r>
        <w:rPr>
          <w:rFonts w:ascii="Arial" w:cs="Arial" w:eastAsia="Arial" w:hAnsi="Arial"/>
          <w:sz w:val="20"/>
          <w:szCs w:val="20"/>
          <w:color w:val="auto"/>
        </w:rPr>
        <w:t xml:space="preserve">” means an Assignment and Acceptance Agreement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to the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Person</w:t>
      </w:r>
      <w:r>
        <w:rPr>
          <w:rFonts w:ascii="Arial" w:cs="Arial" w:eastAsia="Arial" w:hAnsi="Arial"/>
          <w:sz w:val="20"/>
          <w:szCs w:val="20"/>
          <w:color w:val="auto"/>
        </w:rPr>
        <w:t xml:space="preserve">” means any one of the individuals identified on </w:t>
      </w:r>
      <w:r>
        <w:rPr>
          <w:rFonts w:ascii="Arial" w:cs="Arial" w:eastAsia="Arial" w:hAnsi="Arial"/>
          <w:sz w:val="20"/>
          <w:szCs w:val="20"/>
          <w:u w:val="single" w:color="auto"/>
          <w:color w:val="auto"/>
        </w:rPr>
        <w:t>Schedule A-2</w:t>
      </w:r>
      <w:r>
        <w:rPr>
          <w:rFonts w:ascii="Arial" w:cs="Arial" w:eastAsia="Arial" w:hAnsi="Arial"/>
          <w:sz w:val="20"/>
          <w:szCs w:val="20"/>
          <w:color w:val="auto"/>
        </w:rPr>
        <w:t xml:space="preserve"> to the Agreement, as such schedule is updated from time to time by written notice from Borrower to Agent.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means, as of any date of determination, the amount that Borrower is entitled to borrow as Revolving Loans under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the Agreement (after giving effect to the then outstanding Revolver Usage).</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Increase Amount</w:t>
      </w:r>
      <w:r>
        <w:rPr>
          <w:rFonts w:ascii="Arial" w:cs="Arial" w:eastAsia="Arial" w:hAnsi="Arial"/>
          <w:sz w:val="19"/>
          <w:szCs w:val="19"/>
          <w:color w:val="auto"/>
        </w:rPr>
        <w:t xml:space="preserve">” means, as of any date of determination, an amount equal to the result of (a) $25,000,000 minus (b) the aggregate principal amount of Increases to the Revolver Commitments previously made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of the Agreement.</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Availability</w:t>
      </w:r>
      <w:r>
        <w:rPr>
          <w:rFonts w:ascii="Arial" w:cs="Arial" w:eastAsia="Arial" w:hAnsi="Arial"/>
          <w:sz w:val="19"/>
          <w:szCs w:val="19"/>
          <w:color w:val="auto"/>
        </w:rPr>
        <w:t>” means, with respect to any period, the sum of the aggregate amount of Availability for each Business Day in such period (calculated as of the end of each respective Business Day) divided by the number of Business Days in such period.</w:t>
      </w:r>
    </w:p>
    <w:p>
      <w:pPr>
        <w:spacing w:after="0" w:line="15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Revolver Usage</w:t>
      </w:r>
      <w:r>
        <w:rPr>
          <w:rFonts w:ascii="Arial" w:cs="Arial" w:eastAsia="Arial" w:hAnsi="Arial"/>
          <w:sz w:val="18"/>
          <w:szCs w:val="18"/>
          <w:color w:val="auto"/>
        </w:rPr>
        <w:t>” means, with respect to any period, the sum of the aggregate amount of Revolver Usage for each Business Day in such period (calculated as of the end of each respective Business Day) divided by the number of Business Days in such period.</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w:t>
      </w:r>
      <w:r>
        <w:rPr>
          <w:rFonts w:ascii="Arial" w:cs="Arial" w:eastAsia="Arial" w:hAnsi="Arial"/>
          <w:sz w:val="20"/>
          <w:szCs w:val="20"/>
          <w:color w:val="auto"/>
        </w:rPr>
        <w:t>” means any one or more of the following financial products or accommodations extended to Borrower or its Subsidiaries by a Bank Product Provider: (a) credit cards (including commercial cards (including so-called “purchase cards”, “procurement cards” or “p-cards”)), (b) credit card processing services, (c) debit cards, (d) stored value cards, (e) Cash Management Services, or (f) transactions under Hedge Agreements.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Agreements</w:t>
      </w:r>
      <w:r>
        <w:rPr>
          <w:rFonts w:ascii="Arial" w:cs="Arial" w:eastAsia="Arial" w:hAnsi="Arial"/>
          <w:sz w:val="20"/>
          <w:szCs w:val="20"/>
          <w:color w:val="auto"/>
        </w:rPr>
        <w:t>” means those agreements entered into from time to time by Borrower or its Subsidiaries with a Bank Product Provider in connection with the obtaining of any of the Bank Products.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with respect to the then existing Bank Product Obligations (other than Hedge Obligations).</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Obligations</w:t>
      </w:r>
      <w:r>
        <w:rPr>
          <w:rFonts w:ascii="Arial" w:cs="Arial" w:eastAsia="Arial" w:hAnsi="Arial"/>
          <w:sz w:val="20"/>
          <w:szCs w:val="20"/>
          <w:color w:val="auto"/>
        </w:rPr>
        <w:t xml:space="preserve">” means (a) all obligations, liabilities, reimbursement obligations, fees, or expenses owing by Borrower or its Subsidiaries to any Bank Product Provider 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Borrower or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in order for any item described in clauses</w:t>
      </w:r>
    </w:p>
    <w:p>
      <w:pPr>
        <w:sectPr>
          <w:pgSz w:w="11900" w:h="16838" w:orient="portrait"/>
          <w:cols w:equalWidth="0" w:num="1">
            <w:col w:w="11420"/>
          </w:cols>
          <w:pgMar w:left="240" w:top="825" w:right="239" w:bottom="1440" w:gutter="0" w:footer="0" w:header="0"/>
        </w:sectPr>
      </w:pPr>
    </w:p>
    <w:bookmarkStart w:id="170" w:name="page171"/>
    <w:bookmarkEnd w:id="170"/>
    <w:p>
      <w:pPr>
        <w:jc w:val="both"/>
        <w:ind w:firstLine="8"/>
        <w:spacing w:after="0" w:line="263" w:lineRule="auto"/>
        <w:tabs>
          <w:tab w:leader="none" w:pos="27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(b), or (c) above, as applicable, to constitute “Bank Product Obligations”, if the applicable Bank Product Provider is any Person other than Wells Fargo or its Affiliates, then the applicable Bank Product must have been provided on or after the Restatement Closing Date and Agent shall have received a Bank Product Provider Agreement within 10 days (or such later date as permitted by Agent in its sole discretion) after the date of the provision of the applicable Bank Product to Borrower or its Subsidiaries.</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Provider</w:t>
      </w:r>
      <w:r>
        <w:rPr>
          <w:rFonts w:ascii="Arial" w:cs="Arial" w:eastAsia="Arial" w:hAnsi="Arial"/>
          <w:sz w:val="18"/>
          <w:szCs w:val="18"/>
          <w:color w:val="auto"/>
        </w:rPr>
        <w:t xml:space="preserve">” means any Lender or any of its Affiliates, including each of the foregoing in its capacity, if applicable, as a Hedge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Person (other than Wells Fargo or its Affiliates) shall constitute a Bank Product Provider with respect to a Bank Product unless and until Agent receives a Bank Product Provider Agreement from such Person and with respect to the applicable Bank Product within 10 days (or such later date as permitted by Agent in its sole discretion) after the provision of such Bank Product to Borrower or its Subsidiaries;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at any time, a Lender ceases to be a Lender under the Agreement, then, from and after the date on which it ceases to be a Lender thereunder,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 Provider Agreement</w:t>
      </w:r>
      <w:r>
        <w:rPr>
          <w:rFonts w:ascii="Arial" w:cs="Arial" w:eastAsia="Arial" w:hAnsi="Arial"/>
          <w:sz w:val="19"/>
          <w:szCs w:val="19"/>
          <w:color w:val="auto"/>
        </w:rPr>
        <w:t xml:space="preserve">” means an agreement in substantially the form attached hereto as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to the Agreement, in form and substance satisfactory to Agent, duly executed by the applicable Bank Product Provider, Borrower, and Agent.</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Reserves</w:t>
      </w:r>
      <w:r>
        <w:rPr>
          <w:rFonts w:ascii="Arial" w:cs="Arial" w:eastAsia="Arial" w:hAnsi="Arial"/>
          <w:sz w:val="20"/>
          <w:szCs w:val="20"/>
          <w:color w:val="auto"/>
        </w:rPr>
        <w:t>” means, as of any date of determination, those reserves that Agent deems necessary or appropriate to establish (based upon the Bank Product Providers’ determination of the liabilities and obligations of Borrower and its Subsidiaries in respect of Bank Product Obligations) in respect of Bank Products then provided or outstanding.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as in effect from time to time.</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the greatest of (a) zero percent per annum, (b) the Federal Funds Rate plus ½%, (c) the LIBOR Rate (which rate shall be calculated based upon an Interest Period of 1 month and shall be determined on a daily basis), plus 1 percentage point, and (d) the rate of interest announced, from time to time, within Wells Fargo at its principal office in San Francisco as its “</w:t>
      </w:r>
      <w:r>
        <w:rPr>
          <w:rFonts w:ascii="Arial" w:cs="Arial" w:eastAsia="Arial" w:hAnsi="Arial"/>
          <w:sz w:val="19"/>
          <w:szCs w:val="19"/>
          <w:u w:val="single" w:color="auto"/>
          <w:color w:val="auto"/>
        </w:rPr>
        <w:t>prime rate</w:t>
      </w:r>
      <w:r>
        <w:rPr>
          <w:rFonts w:ascii="Arial" w:cs="Arial" w:eastAsia="Arial" w:hAnsi="Arial"/>
          <w:sz w:val="19"/>
          <w:szCs w:val="19"/>
          <w:color w:val="auto"/>
        </w:rPr>
        <w:t>”,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each portion of a Dollar Denominated Loan that bears interest at a rate determined by reference to the Base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Margin</w:t>
      </w:r>
      <w:r>
        <w:rPr>
          <w:rFonts w:ascii="Arial" w:cs="Arial" w:eastAsia="Arial" w:hAnsi="Arial"/>
          <w:sz w:val="20"/>
          <w:szCs w:val="20"/>
          <w:color w:val="auto"/>
        </w:rPr>
        <w:t>” has the meaning set forth in the definition of Applicable Margin.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 “defined benefit plan” (as defined in Section 3(35) of ERISA) for which Borrower or any of its Subsidiaries or ERISA Affiliates has been an “employer” (as defined in Section 3(5) of ERISA) within the past six years.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 as to any Person, the board of directors (or comparable managers) of such Person, or any committee thereof duly authorized to act on behalf of the board of directors (or comparable managers).</w:t>
      </w:r>
    </w:p>
    <w:p>
      <w:pPr>
        <w:sectPr>
          <w:pgSz w:w="11900" w:h="16838" w:orient="portrait"/>
          <w:cols w:equalWidth="0" w:num="1">
            <w:col w:w="11420"/>
          </w:cols>
          <w:pgMar w:left="240" w:top="825" w:right="239" w:bottom="1440" w:gutter="0" w:footer="0" w:header="0"/>
        </w:sectPr>
      </w:pPr>
    </w:p>
    <w:bookmarkStart w:id="171" w:name="page172"/>
    <w:bookmarkEnd w:id="171"/>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Governors</w:t>
      </w:r>
      <w:r>
        <w:rPr>
          <w:rFonts w:ascii="Arial" w:cs="Arial" w:eastAsia="Arial" w:hAnsi="Arial"/>
          <w:sz w:val="19"/>
          <w:szCs w:val="19"/>
          <w:color w:val="auto"/>
        </w:rPr>
        <w:t>” means the Board of Governors of the Federal Reserve System of the United States (or any successor).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therefor in the preamble to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consisting of Revolving Loans made on the same day by the Lenders (or Agent on behalf thereof), or by Swing Lender in the case of a Swing Loan, or by Agent in the case of an Extraordinary Advance.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w:t>
      </w:r>
      <w:r>
        <w:rPr>
          <w:rFonts w:ascii="Arial" w:cs="Arial" w:eastAsia="Arial" w:hAnsi="Arial"/>
          <w:sz w:val="20"/>
          <w:szCs w:val="20"/>
          <w:color w:val="auto"/>
        </w:rPr>
        <w:t>” means, as of any date of determination, the result of:</w:t>
      </w:r>
    </w:p>
    <w:p>
      <w:pPr>
        <w:spacing w:after="0" w:line="229" w:lineRule="exact"/>
        <w:rPr>
          <w:sz w:val="20"/>
          <w:szCs w:val="20"/>
          <w:color w:val="auto"/>
        </w:rPr>
      </w:pPr>
    </w:p>
    <w:p>
      <w:pPr>
        <w:jc w:val="both"/>
        <w:ind w:firstLine="1305"/>
        <w:spacing w:after="0" w:line="278" w:lineRule="auto"/>
        <w:tabs>
          <w:tab w:leader="none" w:pos="178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the sum of (i) 85% of the amount of Eligible Accounts (excluding any Eligible Envoy Accounts covered in clause (ii) hereof) plus (ii) the lower of (x) 70% of the amount of Borrower’s Eligible Envoy Accounts and (y) $5,000,000, less (iii) the amount, if any, of the Dilution Reserve, </w:t>
      </w:r>
      <w:r>
        <w:rPr>
          <w:rFonts w:ascii="Arial" w:cs="Arial" w:eastAsia="Arial" w:hAnsi="Arial"/>
          <w:sz w:val="20"/>
          <w:szCs w:val="20"/>
          <w:i w:val="1"/>
          <w:iCs w:val="1"/>
          <w:color w:val="auto"/>
        </w:rPr>
        <w:t>plus</w:t>
      </w:r>
    </w:p>
    <w:p>
      <w:pPr>
        <w:spacing w:after="0" w:line="105" w:lineRule="exact"/>
        <w:rPr>
          <w:rFonts w:ascii="Arial" w:cs="Arial" w:eastAsia="Arial" w:hAnsi="Arial"/>
          <w:sz w:val="20"/>
          <w:szCs w:val="20"/>
          <w:color w:val="auto"/>
        </w:rPr>
      </w:pPr>
    </w:p>
    <w:p>
      <w:pPr>
        <w:jc w:val="both"/>
        <w:ind w:firstLine="1305"/>
        <w:spacing w:after="0" w:line="297" w:lineRule="auto"/>
        <w:tabs>
          <w:tab w:leader="none" w:pos="1833"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the lowest of</w:t>
      </w:r>
      <w:r>
        <w:rPr>
          <w:rFonts w:ascii="Arial" w:cs="Arial" w:eastAsia="Arial" w:hAnsi="Arial"/>
          <w:sz w:val="18"/>
          <w:szCs w:val="18"/>
          <w:color w:val="auto"/>
        </w:rPr>
        <w:t>: (i) 65% of the value (calculated at the lower of cost or market on a basis consistent with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accounting practices) of Eligible Micro-Inverters Inventory plus Eligible Cables Inventory plus Eligible Excess Cables Inventory at such time, (ii) 85% of the Net Recovery Percentage identified in the most recent inventory appraisal ordered and obtained by Agent multiplied by the value (calculated at the lower of cost or market on a basis consistent with the Borrower’s historical accounting practices) of Eligible Micro-Inverters Inventory plus Eligible Cables Inventory plus Eligible Excess Cables Inventory (such determination may be made as to different categories of Eligible Finished Goods Inventory based upon the Net Recovery Percentage applicable to such categories) at such time,</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1.0 times the amount in clause (a) hereof, and (iv) $25,000,000, </w:t>
      </w:r>
      <w:r>
        <w:rPr>
          <w:rFonts w:ascii="Arial" w:cs="Arial" w:eastAsia="Arial" w:hAnsi="Arial"/>
          <w:sz w:val="20"/>
          <w:szCs w:val="20"/>
          <w:i w:val="1"/>
          <w:iCs w:val="1"/>
          <w:color w:val="auto"/>
        </w:rPr>
        <w:t>less</w:t>
      </w:r>
    </w:p>
    <w:p>
      <w:pPr>
        <w:spacing w:after="0" w:line="161" w:lineRule="exact"/>
        <w:rPr>
          <w:rFonts w:ascii="Arial" w:cs="Arial" w:eastAsia="Arial" w:hAnsi="Arial"/>
          <w:sz w:val="20"/>
          <w:szCs w:val="20"/>
          <w:color w:val="auto"/>
        </w:rPr>
      </w:pPr>
    </w:p>
    <w:p>
      <w:pPr>
        <w:ind w:left="1720" w:hanging="415"/>
        <w:spacing w:after="0"/>
        <w:tabs>
          <w:tab w:leader="none" w:pos="172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 xml:space="preserve">the aggregate amount of reserves, if any, established by Agent under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of the Agreement.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Certificate</w:t>
      </w:r>
      <w:r>
        <w:rPr>
          <w:rFonts w:ascii="Arial" w:cs="Arial" w:eastAsia="Arial" w:hAnsi="Arial"/>
          <w:sz w:val="20"/>
          <w:szCs w:val="20"/>
          <w:color w:val="auto"/>
        </w:rPr>
        <w:t xml:space="preserve">” means a certificate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that is not a Saturday, Sunday, or other day on which banks are authorized or required to close in the state of California; provided that (i) when used in connection with a Eurocurrency Base Rate Loan, the term “Business Day” shall also exclude any day on which banks are not open for dealings in deposits in the applicable currency in which interest on such Eurocurrency Base Rate Loan is calculated based on LIBOR, (ii) when used in connection with a Eurocurrency Base Rate Loan denominated in Euros, the term “Business Day” shall also exclude any day which is not a TARGET Day (as determined by the Agent in good faith) and (iii) when used in connection with any LIBOR Rate Loan, the term “Business Day” shall also exclude any day on which banks are closed for dealings in Dollar deposits in the London interbank market.</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(b) expenditures made during such period to consummate one or more Permitted Acquisitions,</w:t>
      </w:r>
    </w:p>
    <w:p>
      <w:pPr>
        <w:sectPr>
          <w:pgSz w:w="11900" w:h="16838" w:orient="portrait"/>
          <w:cols w:equalWidth="0" w:num="1">
            <w:col w:w="11420"/>
          </w:cols>
          <w:pgMar w:left="240" w:top="825" w:right="239" w:bottom="1440" w:gutter="0" w:footer="0" w:header="0"/>
        </w:sectPr>
      </w:pPr>
    </w:p>
    <w:bookmarkStart w:id="172" w:name="page173"/>
    <w:bookmarkEnd w:id="172"/>
    <w:p>
      <w:pPr>
        <w:jc w:val="both"/>
        <w:spacing w:after="0" w:line="260" w:lineRule="auto"/>
        <w:rPr>
          <w:sz w:val="20"/>
          <w:szCs w:val="20"/>
          <w:color w:val="auto"/>
        </w:rPr>
      </w:pPr>
      <w:r>
        <w:rPr>
          <w:rFonts w:ascii="Arial" w:cs="Arial" w:eastAsia="Arial" w:hAnsi="Arial"/>
          <w:sz w:val="20"/>
          <w:szCs w:val="20"/>
          <w:color w:val="auto"/>
        </w:rPr>
        <w:t>and (c) expenditures during such period that, pursuant to a written agreement, are reimbursed by a third Person (excluding Borrower or any of its Affiliates).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 Obligation</w:t>
      </w:r>
      <w:r>
        <w:rPr>
          <w:rFonts w:ascii="Arial" w:cs="Arial" w:eastAsia="Arial" w:hAnsi="Arial"/>
          <w:sz w:val="20"/>
          <w:szCs w:val="20"/>
          <w:color w:val="auto"/>
        </w:rPr>
        <w:t>” means that portion of the obligations under a Capital Lease that is required to be capitalized in accordance with GAAP.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w:t>
      </w:r>
      <w:r>
        <w:rPr>
          <w:rFonts w:ascii="Arial" w:cs="Arial" w:eastAsia="Arial" w:hAnsi="Arial"/>
          <w:sz w:val="19"/>
          <w:szCs w:val="19"/>
          <w:color w:val="auto"/>
        </w:rPr>
        <w:t>” means a lease that is required to be capitalized for financial reporting purposes in accordance with GAAP.</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marketable direct obligations issued by, or unconditionally guaranteed by, the United States or issued by any agency thereof and backed by the full faith and credit of the United States, in each case maturing within 1 year from the date of acquisition thereof, (b) marketable direct obligations issued or fully guaranteed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w:t>
      </w:r>
      <w:r>
        <w:rPr>
          <w:rFonts w:ascii="Arial" w:cs="Arial" w:eastAsia="Arial" w:hAnsi="Arial"/>
          <w:sz w:val="18"/>
          <w:szCs w:val="18"/>
          <w:u w:val="single" w:color="auto"/>
          <w:color w:val="auto"/>
        </w:rPr>
        <w:t>S&amp;P</w:t>
      </w:r>
      <w:r>
        <w:rPr>
          <w:rFonts w:ascii="Arial" w:cs="Arial" w:eastAsia="Arial" w:hAnsi="Arial"/>
          <w:sz w:val="18"/>
          <w:szCs w:val="18"/>
          <w:color w:val="auto"/>
        </w:rPr>
        <w:t>”) or Moody’s Investors Service, Inc. (“</w:t>
      </w:r>
      <w:r>
        <w:rPr>
          <w:rFonts w:ascii="Arial" w:cs="Arial" w:eastAsia="Arial" w:hAnsi="Arial"/>
          <w:sz w:val="18"/>
          <w:szCs w:val="18"/>
          <w:u w:val="single" w:color="auto"/>
          <w:color w:val="auto"/>
        </w:rPr>
        <w:t>Moody’s</w:t>
      </w:r>
      <w:r>
        <w:rPr>
          <w:rFonts w:ascii="Arial" w:cs="Arial" w:eastAsia="Arial" w:hAnsi="Arial"/>
          <w:sz w:val="18"/>
          <w:szCs w:val="18"/>
          <w:color w:val="auto"/>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1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Services</w:t>
      </w:r>
      <w:r>
        <w:rPr>
          <w:rFonts w:ascii="Arial" w:cs="Arial" w:eastAsia="Arial" w:hAnsi="Arial"/>
          <w:sz w:val="20"/>
          <w:szCs w:val="20"/>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customary cash management arrangements.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that:</w:t>
      </w:r>
    </w:p>
    <w:p>
      <w:pPr>
        <w:spacing w:after="0" w:line="229" w:lineRule="exact"/>
        <w:rPr>
          <w:sz w:val="20"/>
          <w:szCs w:val="20"/>
          <w:color w:val="auto"/>
        </w:rPr>
      </w:pPr>
    </w:p>
    <w:p>
      <w:pPr>
        <w:jc w:val="both"/>
        <w:ind w:firstLine="1305"/>
        <w:spacing w:after="0" w:line="274" w:lineRule="auto"/>
        <w:tabs>
          <w:tab w:leader="none" w:pos="175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acquired beneficial ownership, directly or indirectly, of Equity Interests of Borrower (or other securities convertible into such Equity Interests) representing 40% or more of the combined voting power of all Equity Interests of Borrower entitled (without regard to the occurrence of any contingency) to vote for the election of members of the Board of Directors of Borrower; or</w:t>
      </w:r>
    </w:p>
    <w:p>
      <w:pPr>
        <w:spacing w:after="0" w:line="111" w:lineRule="exact"/>
        <w:rPr>
          <w:rFonts w:ascii="Arial" w:cs="Arial" w:eastAsia="Arial" w:hAnsi="Arial"/>
          <w:sz w:val="20"/>
          <w:szCs w:val="20"/>
          <w:color w:val="auto"/>
        </w:rPr>
      </w:pPr>
    </w:p>
    <w:p>
      <w:pPr>
        <w:ind w:firstLine="1305"/>
        <w:spacing w:after="0" w:line="289" w:lineRule="auto"/>
        <w:tabs>
          <w:tab w:leader="none" w:pos="173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Borrower fails to own and control, directly or indirectly, 100% of the Equity Interests of each other Loan Party, other than as a result of (i) a Permitted Disposition or (ii) Permitted Acquisitions</w:t>
      </w:r>
    </w:p>
    <w:p>
      <w:pPr>
        <w:sectPr>
          <w:pgSz w:w="11900" w:h="16838" w:orient="portrait"/>
          <w:cols w:equalWidth="0" w:num="1">
            <w:col w:w="11420"/>
          </w:cols>
          <w:pgMar w:left="240" w:top="825" w:right="239" w:bottom="1440" w:gutter="0" w:footer="0" w:header="0"/>
        </w:sectPr>
      </w:pPr>
    </w:p>
    <w:bookmarkStart w:id="173" w:name="page174"/>
    <w:bookmarkEnd w:id="173"/>
    <w:p>
      <w:pPr>
        <w:jc w:val="both"/>
        <w:spacing w:after="0" w:line="289" w:lineRule="auto"/>
        <w:rPr>
          <w:sz w:val="20"/>
          <w:szCs w:val="20"/>
          <w:color w:val="auto"/>
        </w:rPr>
      </w:pPr>
      <w:r>
        <w:rPr>
          <w:rFonts w:ascii="Arial" w:cs="Arial" w:eastAsia="Arial" w:hAnsi="Arial"/>
          <w:sz w:val="20"/>
          <w:szCs w:val="20"/>
          <w:color w:val="auto"/>
        </w:rPr>
        <w:t>or Permitted Investments resulting in Borrower owning more than 50% of the Equity Interests of an entity, but less than 100% of the Equity Interests of such entity.</w:t>
      </w:r>
    </w:p>
    <w:p>
      <w:pPr>
        <w:spacing w:after="0" w:line="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the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provided that notwithstanding anything in the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9"/>
          <w:szCs w:val="19"/>
          <w:u w:val="single" w:color="auto"/>
          <w:color w:val="auto"/>
        </w:rPr>
        <w:t>Change in Law,</w:t>
      </w:r>
      <w:r>
        <w:rPr>
          <w:rFonts w:ascii="Arial" w:cs="Arial" w:eastAsia="Arial" w:hAnsi="Arial"/>
          <w:sz w:val="19"/>
          <w:szCs w:val="19"/>
          <w:color w:val="auto"/>
        </w:rPr>
        <w:t>”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California Uniform Commercial Code, as in effect from time to time.</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assets and interests in assets and proceeds thereof now owned or hereafter acquired by Borrower or any Loan Party in or upon which a Lien is granted by such Person in favor of Agent or the Lenders under any of the Loan Documents.</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Access Agreement</w:t>
      </w:r>
      <w:r>
        <w:rPr>
          <w:rFonts w:ascii="Arial" w:cs="Arial" w:eastAsia="Arial" w:hAnsi="Arial"/>
          <w:sz w:val="19"/>
          <w:szCs w:val="19"/>
          <w:color w:val="auto"/>
        </w:rPr>
        <w:t>” means a landlord waiver, bailee letter, or acknowledgement agreement of any lessor, warehouseman, processor, consignee, or other Person in possession of, having a Lien upon, or having rights or interests in Borrower’s or any Loan Party’s books and records, Equipment, or Inventory, in each case, in form and substance reasonably satisfactory to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Collection Account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5.16</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Arial" w:cs="Arial" w:eastAsia="Arial" w:hAnsi="Arial"/>
          <w:sz w:val="20"/>
          <w:szCs w:val="20"/>
          <w:u w:val="single" w:color="auto"/>
          <w:color w:val="auto"/>
        </w:rPr>
        <w:t>Schedule C-1</w:t>
      </w:r>
      <w:r>
        <w:rPr>
          <w:rFonts w:ascii="Arial" w:cs="Arial" w:eastAsia="Arial" w:hAnsi="Arial"/>
          <w:sz w:val="20"/>
          <w:szCs w:val="20"/>
          <w:color w:val="auto"/>
        </w:rPr>
        <w:t xml:space="preserve"> to the Agreement or in the Assignment and Acceptance pursuant to which such Lender became a Lender under the Agreement, as such amounts may be reduced or increased from time to time pursuant to assignments made in accordance with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of the Agreement.</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C-1</w:t>
      </w:r>
      <w:r>
        <w:rPr>
          <w:rFonts w:ascii="Arial" w:cs="Arial" w:eastAsia="Arial" w:hAnsi="Arial"/>
          <w:sz w:val="20"/>
          <w:szCs w:val="20"/>
          <w:color w:val="auto"/>
        </w:rPr>
        <w:t xml:space="preserve"> to the Agreement delivered by the chief financial officer of Borrower to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17.9(a)</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means a control agreement, in form and substance reasonably satisfactory to Agent, executed and delivered by Borrower or one of its Subsidiaries, Agent, and the applicable securities intermediary (with respect to a Securities Account) or bank (with respect to a Deposit Account).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Currency Due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17.13</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 event, condition, or default that, with the giving of notice, the passage of time, or both, would be an Event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Default.</w:t>
      </w:r>
    </w:p>
    <w:p>
      <w:pPr>
        <w:sectPr>
          <w:pgSz w:w="11900" w:h="16838" w:orient="portrait"/>
          <w:cols w:equalWidth="0" w:num="1">
            <w:col w:w="11420"/>
          </w:cols>
          <w:pgMar w:left="240" w:top="839" w:right="239" w:bottom="1440" w:gutter="0" w:footer="0" w:header="0"/>
        </w:sectPr>
      </w:pPr>
    </w:p>
    <w:bookmarkStart w:id="174" w:name="page175"/>
    <w:bookmarkEnd w:id="174"/>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fund any amounts required to be funded by it under the Agreement on the date that it is required to do so under the Agreement (including the failure to make available to Agent amounts required pursuant to a Settlement or to make a required payment in connection with a Letter of Credit Disbursement), (b) notified the Borrower, Agent, or any Lender in writing that it does not intend to comply with all or any portion of its funding obligations under the Agreement, (c) has made a public statement to the effect that it does not intend to comply with its funding obligations under the Agreement or under other agreements generally (as reasonably determined by Agent) under which it has committed to extend credit, (d) failed, within 1 Business Day after written request by Agent, to confirm that it will comply with the terms of the Agreement relating to its obligations to fund any amounts required to be funded by it under the Agreement, (e) otherwise failed to pay over to Agent or any other Lender any other amount required to be paid by it under the Agreement on the date that it is required to do so under the Agreement, or (f) (i) becomes or is insolvent or has a parent company that has become or is insolvent or (ii) becomes the subject of a bankruptcy or insolvency proceeding, or has had a receiver, conservator, trustee, or custodian or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193"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 Rate</w:t>
      </w:r>
      <w:r>
        <w:rPr>
          <w:rFonts w:ascii="Arial" w:cs="Arial" w:eastAsia="Arial" w:hAnsi="Arial"/>
          <w:sz w:val="16"/>
          <w:szCs w:val="16"/>
          <w:color w:val="auto"/>
        </w:rPr>
        <w:t>” means (a) for the first 3 days from and after the date the relevant payment is due, the Base Rate, and (b) thereafter, the interest rate then applicable to Revolving Loans that are Base Rate Loans (inclusive of the Base Rate Margin applicable thereto).</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means any deposit account (as that term is defined in the Code).</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Account</w:t>
      </w:r>
      <w:r>
        <w:rPr>
          <w:rFonts w:ascii="Arial" w:cs="Arial" w:eastAsia="Arial" w:hAnsi="Arial"/>
          <w:sz w:val="19"/>
          <w:szCs w:val="19"/>
          <w:color w:val="auto"/>
        </w:rPr>
        <w:t xml:space="preserve">” means the Deposit Account of Borrower identified on </w:t>
      </w:r>
      <w:r>
        <w:rPr>
          <w:rFonts w:ascii="Arial" w:cs="Arial" w:eastAsia="Arial" w:hAnsi="Arial"/>
          <w:sz w:val="19"/>
          <w:szCs w:val="19"/>
          <w:u w:val="single" w:color="auto"/>
          <w:color w:val="auto"/>
        </w:rPr>
        <w:t>Schedule D-1</w:t>
      </w:r>
      <w:r>
        <w:rPr>
          <w:rFonts w:ascii="Arial" w:cs="Arial" w:eastAsia="Arial" w:hAnsi="Arial"/>
          <w:sz w:val="19"/>
          <w:szCs w:val="19"/>
          <w:color w:val="auto"/>
        </w:rPr>
        <w:t xml:space="preserve"> to the Disclosure Letter (or such other Deposit Account of Borrower located at Designated Account Bank that has been designated as such, in writing, by Borrower to Agent).</w:t>
      </w:r>
    </w:p>
    <w:p>
      <w:pPr>
        <w:spacing w:after="0" w:line="15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Account Bank</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Schedule D-1</w:t>
      </w:r>
      <w:r>
        <w:rPr>
          <w:rFonts w:ascii="Arial" w:cs="Arial" w:eastAsia="Arial" w:hAnsi="Arial"/>
          <w:sz w:val="20"/>
          <w:szCs w:val="20"/>
          <w:color w:val="auto"/>
        </w:rPr>
        <w:t xml:space="preserve"> to the Disclosure Letter (or such other bank that is located within the United States that has been designated as such, in writing, by Borrower to Agent).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w:t>
      </w:r>
      <w:r>
        <w:rPr>
          <w:rFonts w:ascii="Arial" w:cs="Arial" w:eastAsia="Arial" w:hAnsi="Arial"/>
          <w:sz w:val="18"/>
          <w:szCs w:val="18"/>
          <w:color w:val="auto"/>
        </w:rPr>
        <w:t>” means, as of any date of determination, a percentage, based upon experience of the highest of the immediately prior 3, 6, 9 or 12 months, that is the result of dividing the Dollar amount of (a) bad debt write-downs, discounts, advertising allowances, credits, or other dilutive items with respect to Borrower’s Accounts during such period, by (b) Borrower’s billings with respect to Accounts during such period.</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Dilution Reserve</w:t>
      </w:r>
      <w:r>
        <w:rPr>
          <w:rFonts w:ascii="Arial" w:cs="Arial" w:eastAsia="Arial" w:hAnsi="Arial"/>
          <w:sz w:val="20"/>
          <w:szCs w:val="20"/>
          <w:color w:val="auto"/>
        </w:rPr>
        <w:t>” means, as of any date of determination, an amount sufficient to reduce the advance rate against Eligible Accounts by 1 percentage point for each percentage point by which Dilution is in excess of 5%.</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Letter</w:t>
      </w:r>
      <w:r>
        <w:rPr>
          <w:rFonts w:ascii="Arial" w:cs="Arial" w:eastAsia="Arial" w:hAnsi="Arial"/>
          <w:sz w:val="20"/>
          <w:szCs w:val="20"/>
          <w:color w:val="auto"/>
        </w:rPr>
        <w:t>” means the letter dated as of the Restatement Closing Date delivered to Agent containing information with respect to the Loan Parties and their Subsidiaries.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w:t>
      </w:r>
    </w:p>
    <w:p>
      <w:pPr>
        <w:sectPr>
          <w:pgSz w:w="11900" w:h="16838" w:orient="portrait"/>
          <w:cols w:equalWidth="0" w:num="1">
            <w:col w:w="11420"/>
          </w:cols>
          <w:pgMar w:left="240" w:top="825" w:right="239" w:bottom="1440" w:gutter="0" w:footer="0" w:header="0"/>
        </w:sectPr>
      </w:pPr>
    </w:p>
    <w:bookmarkStart w:id="175" w:name="page176"/>
    <w:bookmarkEnd w:id="175"/>
    <w:p>
      <w:pPr>
        <w:jc w:val="both"/>
        <w:spacing w:after="0" w:line="244" w:lineRule="auto"/>
        <w:rPr>
          <w:sz w:val="20"/>
          <w:szCs w:val="20"/>
          <w:color w:val="auto"/>
        </w:rPr>
      </w:pPr>
      <w:r>
        <w:rPr>
          <w:rFonts w:ascii="Arial" w:cs="Arial" w:eastAsia="Arial" w:hAnsi="Arial"/>
          <w:sz w:val="20"/>
          <w:szCs w:val="20"/>
          <w:color w:val="auto"/>
        </w:rPr>
        <w:t>or asset sale event shall be subject to the prior repayment in full of the Loans and all other Obligations that are accrued and payable and the termination of the Commitments),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180 days after the Maturity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Denominated Loan</w:t>
      </w:r>
      <w:r>
        <w:rPr>
          <w:rFonts w:ascii="Arial" w:cs="Arial" w:eastAsia="Arial" w:hAnsi="Arial"/>
          <w:sz w:val="20"/>
          <w:szCs w:val="20"/>
          <w:color w:val="auto"/>
        </w:rPr>
        <w:t>” means a Loan denominated in Dollars.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United States dollars.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of Borrower that was formed under the laws of the United States or any state of the United States or the District of Columbia.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Document</w:t>
      </w:r>
      <w:r>
        <w:rPr>
          <w:rFonts w:ascii="Arial" w:cs="Arial" w:eastAsia="Arial" w:hAnsi="Arial"/>
          <w:sz w:val="18"/>
          <w:szCs w:val="18"/>
          <w:color w:val="auto"/>
        </w:rPr>
        <w:t>” means any Letter of Credit or other document presented for purposes of drawing under any Letter of Credit.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Earn-Outs</w:t>
      </w:r>
      <w:r>
        <w:rPr>
          <w:rFonts w:ascii="Arial" w:cs="Arial" w:eastAsia="Arial" w:hAnsi="Arial"/>
          <w:sz w:val="20"/>
          <w:szCs w:val="20"/>
          <w:color w:val="auto"/>
        </w:rPr>
        <w:t xml:space="preserve"> ” shall mean unsecured liabilities of a Loan Party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means, with respect to any fiscal period and with respect to any Person,</w:t>
      </w:r>
    </w:p>
    <w:p>
      <w:pPr>
        <w:spacing w:after="0" w:line="229" w:lineRule="exact"/>
        <w:rPr>
          <w:sz w:val="20"/>
          <w:szCs w:val="20"/>
          <w:color w:val="auto"/>
        </w:rPr>
      </w:pPr>
    </w:p>
    <w:p>
      <w:pPr>
        <w:ind w:left="1720" w:hanging="415"/>
        <w:spacing w:after="0"/>
        <w:tabs>
          <w:tab w:leader="none" w:pos="172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such Person’s consolidated net earnings (or loss),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minus</w:t>
      </w:r>
      <w:r>
        <w:rPr>
          <w:rFonts w:ascii="Arial" w:cs="Arial" w:eastAsia="Arial" w:hAnsi="Arial"/>
          <w:sz w:val="20"/>
          <w:szCs w:val="20"/>
          <w:color w:val="auto"/>
        </w:rPr>
        <w:t>,</w:t>
      </w:r>
    </w:p>
    <w:p>
      <w:pPr>
        <w:spacing w:after="0" w:line="162" w:lineRule="exact"/>
        <w:rPr>
          <w:sz w:val="20"/>
          <w:szCs w:val="20"/>
          <w:color w:val="auto"/>
        </w:rPr>
      </w:pPr>
    </w:p>
    <w:p>
      <w:pPr>
        <w:ind w:firstLine="1305"/>
        <w:spacing w:after="0" w:line="289" w:lineRule="auto"/>
        <w:tabs>
          <w:tab w:leader="none" w:pos="1897"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without duplication, the sum of the following amounts of such Person for such period to the extent included in determining consolidated net earnings (or loss) for such period:</w:t>
      </w:r>
    </w:p>
    <w:p>
      <w:pPr>
        <w:spacing w:after="0" w:line="80" w:lineRule="exact"/>
        <w:rPr>
          <w:rFonts w:ascii="Arial" w:cs="Arial" w:eastAsia="Arial" w:hAnsi="Arial"/>
          <w:sz w:val="20"/>
          <w:szCs w:val="20"/>
          <w:color w:val="auto"/>
        </w:rPr>
      </w:pPr>
    </w:p>
    <w:p>
      <w:pPr>
        <w:ind w:left="2340" w:hanging="387"/>
        <w:spacing w:after="0"/>
        <w:tabs>
          <w:tab w:leader="none" w:pos="234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non-recurring gains,</w:t>
      </w:r>
    </w:p>
    <w:p>
      <w:pPr>
        <w:spacing w:after="0" w:line="215" w:lineRule="exact"/>
        <w:rPr>
          <w:rFonts w:ascii="Arial" w:cs="Arial" w:eastAsia="Arial" w:hAnsi="Arial"/>
          <w:sz w:val="20"/>
          <w:szCs w:val="20"/>
          <w:color w:val="auto"/>
        </w:rPr>
      </w:pPr>
    </w:p>
    <w:p>
      <w:pPr>
        <w:ind w:left="2400" w:hanging="447"/>
        <w:spacing w:after="0"/>
        <w:tabs>
          <w:tab w:leader="none" w:pos="240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interest income, and</w:t>
      </w:r>
    </w:p>
    <w:p>
      <w:pPr>
        <w:spacing w:after="0" w:line="215" w:lineRule="exact"/>
        <w:rPr>
          <w:rFonts w:ascii="Arial" w:cs="Arial" w:eastAsia="Arial" w:hAnsi="Arial"/>
          <w:sz w:val="20"/>
          <w:szCs w:val="20"/>
          <w:color w:val="auto"/>
        </w:rPr>
      </w:pPr>
    </w:p>
    <w:p>
      <w:pPr>
        <w:ind w:left="2440" w:hanging="487"/>
        <w:spacing w:after="0"/>
        <w:tabs>
          <w:tab w:leader="none" w:pos="24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exchange, translation or performance gains relating to any hedging transactions or foreign currency fluctuations,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plus,</w:t>
      </w:r>
    </w:p>
    <w:p>
      <w:pPr>
        <w:spacing w:after="0" w:line="162" w:lineRule="exact"/>
        <w:rPr>
          <w:sz w:val="20"/>
          <w:szCs w:val="20"/>
          <w:color w:val="auto"/>
        </w:rPr>
      </w:pPr>
    </w:p>
    <w:p>
      <w:pPr>
        <w:ind w:firstLine="1305"/>
        <w:spacing w:after="0" w:line="289" w:lineRule="auto"/>
        <w:tabs>
          <w:tab w:leader="none" w:pos="188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without duplication, the sum of the following amounts of such Person for such period to the extent included in determining consolidated net earnings (or loss) for such period:</w:t>
      </w:r>
    </w:p>
    <w:p>
      <w:pPr>
        <w:spacing w:after="0" w:line="80" w:lineRule="exact"/>
        <w:rPr>
          <w:rFonts w:ascii="Arial" w:cs="Arial" w:eastAsia="Arial" w:hAnsi="Arial"/>
          <w:sz w:val="20"/>
          <w:szCs w:val="20"/>
          <w:color w:val="auto"/>
        </w:rPr>
      </w:pPr>
    </w:p>
    <w:p>
      <w:pPr>
        <w:ind w:left="2340" w:hanging="387"/>
        <w:spacing w:after="0"/>
        <w:tabs>
          <w:tab w:leader="none" w:pos="23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non-cash non-recurring losses,</w:t>
      </w:r>
    </w:p>
    <w:p>
      <w:pPr>
        <w:spacing w:after="0" w:line="215" w:lineRule="exact"/>
        <w:rPr>
          <w:rFonts w:ascii="Arial" w:cs="Arial" w:eastAsia="Arial" w:hAnsi="Arial"/>
          <w:sz w:val="20"/>
          <w:szCs w:val="20"/>
          <w:color w:val="auto"/>
        </w:rPr>
      </w:pPr>
    </w:p>
    <w:p>
      <w:pPr>
        <w:ind w:left="2400" w:hanging="447"/>
        <w:spacing w:after="0"/>
        <w:tabs>
          <w:tab w:leader="none" w:pos="240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the aggregate of the interest expense of such Person,</w:t>
      </w:r>
    </w:p>
    <w:p>
      <w:pPr>
        <w:spacing w:after="0" w:line="215" w:lineRule="exact"/>
        <w:rPr>
          <w:rFonts w:ascii="Arial" w:cs="Arial" w:eastAsia="Arial" w:hAnsi="Arial"/>
          <w:sz w:val="20"/>
          <w:szCs w:val="20"/>
          <w:color w:val="auto"/>
        </w:rPr>
      </w:pPr>
    </w:p>
    <w:p>
      <w:pPr>
        <w:ind w:left="2440" w:hanging="487"/>
        <w:spacing w:after="0"/>
        <w:tabs>
          <w:tab w:leader="none" w:pos="24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5" w:lineRule="exact"/>
        <w:rPr>
          <w:rFonts w:ascii="Arial" w:cs="Arial" w:eastAsia="Arial" w:hAnsi="Arial"/>
          <w:sz w:val="20"/>
          <w:szCs w:val="20"/>
          <w:color w:val="auto"/>
        </w:rPr>
      </w:pPr>
    </w:p>
    <w:p>
      <w:pPr>
        <w:ind w:left="2440" w:hanging="487"/>
        <w:spacing w:after="0"/>
        <w:tabs>
          <w:tab w:leader="none" w:pos="244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depreciation and amortization for such period,</w:t>
      </w:r>
    </w:p>
    <w:p>
      <w:pPr>
        <w:sectPr>
          <w:pgSz w:w="11900" w:h="16838" w:orient="portrait"/>
          <w:cols w:equalWidth="0" w:num="1">
            <w:col w:w="11420"/>
          </w:cols>
          <w:pgMar w:left="240" w:top="825" w:right="239" w:bottom="1440" w:gutter="0" w:footer="0" w:header="0"/>
        </w:sectPr>
      </w:pPr>
    </w:p>
    <w:bookmarkStart w:id="176" w:name="page177"/>
    <w:bookmarkEnd w:id="176"/>
    <w:p>
      <w:pPr>
        <w:jc w:val="both"/>
        <w:ind w:left="1300" w:firstLine="653"/>
        <w:spacing w:after="0" w:line="278" w:lineRule="auto"/>
        <w:tabs>
          <w:tab w:leader="none" w:pos="237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non-cash compensation expense (including deferred non-cash compensation expense), or other non-cash expenses or charges, arising from the sale or issuance of Equity Interests, the granting of stock options, and the granting of stock appreciation rights and similar arrangements (including any repricing, amendment, modification, substitution, or change or any such Equity Interests, stock option, stock appreciation rights, or similar arrangements)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any such expenses or charges when paid in cash to the extent not deducted in the computation of net earnings (or loss), and</w:t>
      </w:r>
    </w:p>
    <w:p>
      <w:pPr>
        <w:spacing w:after="0" w:line="165" w:lineRule="exact"/>
        <w:rPr>
          <w:rFonts w:ascii="Arial" w:cs="Arial" w:eastAsia="Arial" w:hAnsi="Arial"/>
          <w:sz w:val="18"/>
          <w:szCs w:val="18"/>
          <w:color w:val="auto"/>
        </w:rPr>
      </w:pPr>
    </w:p>
    <w:p>
      <w:pPr>
        <w:ind w:left="1300" w:firstLine="653"/>
        <w:spacing w:after="0" w:line="260" w:lineRule="auto"/>
        <w:tabs>
          <w:tab w:leader="none" w:pos="2489" w:val="left"/>
        </w:tabs>
        <w:numPr>
          <w:ilvl w:val="0"/>
          <w:numId w:val="172"/>
        </w:numPr>
        <w:rPr>
          <w:rFonts w:ascii="Arial" w:cs="Arial" w:eastAsia="Arial" w:hAnsi="Arial"/>
          <w:sz w:val="20"/>
          <w:szCs w:val="20"/>
          <w:color w:val="auto"/>
        </w:rPr>
      </w:pPr>
      <w:r>
        <w:rPr>
          <w:rFonts w:ascii="Arial" w:cs="Arial" w:eastAsia="Arial" w:hAnsi="Arial"/>
          <w:sz w:val="20"/>
          <w:szCs w:val="20"/>
          <w:color w:val="auto"/>
        </w:rPr>
        <w:t>non-cash exchange, translation, or performance losses relating to any hedging transactions or foreign currency fluctuations, in each case, determined on a consolidated basis in accordance with GAAP.</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Accounts</w:t>
      </w:r>
      <w:r>
        <w:rPr>
          <w:rFonts w:ascii="Arial" w:cs="Arial" w:eastAsia="Arial" w:hAnsi="Arial"/>
          <w:sz w:val="20"/>
          <w:szCs w:val="20"/>
          <w:color w:val="auto"/>
        </w:rPr>
        <w:t>” means those Accounts created by Borrower in the ordinary course of its business, that arise out of Borrower’s sale of goods or rendition of services, that comply with each of the representations and warranties respecting Eligible Accounts made in the Loan Documents, and that are not excluded as ineligible by virtue of one or more of the excluding criteria set forth below; provided, that such criteria may be revised from time to time by Agent in Agent’s Permitted Discretion to address the results of any field examination performed by (or on behalf of) Agent from time to time after the Restatement Closing Date. In determining the amount to be included, Eligible Accounts shall be calculated net of customer deposits, unapplied cash, taxes, discounts, credits, allowances, and rebates. Eligible Accounts shall not include the following:</w:t>
      </w:r>
    </w:p>
    <w:p>
      <w:pPr>
        <w:spacing w:after="0" w:line="207" w:lineRule="exact"/>
        <w:rPr>
          <w:sz w:val="20"/>
          <w:szCs w:val="20"/>
          <w:color w:val="auto"/>
        </w:rPr>
      </w:pPr>
    </w:p>
    <w:p>
      <w:pPr>
        <w:ind w:right="20" w:firstLine="1305"/>
        <w:spacing w:after="0" w:line="289" w:lineRule="auto"/>
        <w:tabs>
          <w:tab w:leader="none" w:pos="175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Accounts that the Account Debtor has failed to pay within the earlier of (i) 90 days of original invoice date and (ii) 60 days of due date, or Accounts with selling terms of more than 90 days,</w:t>
      </w:r>
    </w:p>
    <w:p>
      <w:pPr>
        <w:spacing w:after="0" w:line="94" w:lineRule="exact"/>
        <w:rPr>
          <w:rFonts w:ascii="Arial" w:cs="Arial" w:eastAsia="Arial" w:hAnsi="Arial"/>
          <w:sz w:val="20"/>
          <w:szCs w:val="20"/>
          <w:color w:val="auto"/>
        </w:rPr>
      </w:pPr>
    </w:p>
    <w:p>
      <w:pPr>
        <w:ind w:firstLine="1305"/>
        <w:spacing w:after="0" w:line="289" w:lineRule="auto"/>
        <w:tabs>
          <w:tab w:leader="none" w:pos="171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Accounts owed by an Account Debtor (or its Affiliates) where 50% or more of all Accounts owed by that Account Debtor (or its Affiliates) are deemed ineligible under clause (a) above,</w:t>
      </w:r>
    </w:p>
    <w:p>
      <w:pPr>
        <w:spacing w:after="0" w:line="94" w:lineRule="exact"/>
        <w:rPr>
          <w:rFonts w:ascii="Arial" w:cs="Arial" w:eastAsia="Arial" w:hAnsi="Arial"/>
          <w:sz w:val="20"/>
          <w:szCs w:val="20"/>
          <w:color w:val="auto"/>
        </w:rPr>
      </w:pPr>
    </w:p>
    <w:p>
      <w:pPr>
        <w:ind w:firstLine="1305"/>
        <w:spacing w:after="0" w:line="289" w:lineRule="auto"/>
        <w:tabs>
          <w:tab w:leader="none" w:pos="174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an Affiliate of Borrower or an employee or agent of Borrower or any Affiliate of Borrower,</w:t>
      </w:r>
    </w:p>
    <w:p>
      <w:pPr>
        <w:spacing w:after="0" w:line="94" w:lineRule="exact"/>
        <w:rPr>
          <w:rFonts w:ascii="Arial" w:cs="Arial" w:eastAsia="Arial" w:hAnsi="Arial"/>
          <w:sz w:val="20"/>
          <w:szCs w:val="20"/>
          <w:color w:val="auto"/>
        </w:rPr>
      </w:pPr>
    </w:p>
    <w:p>
      <w:pPr>
        <w:jc w:val="both"/>
        <w:ind w:right="20" w:firstLine="1305"/>
        <w:spacing w:after="0" w:line="278" w:lineRule="auto"/>
        <w:tabs>
          <w:tab w:leader="none" w:pos="176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Accounts arising in a transaction wherein goods are placed on consignment or are sold pursuant to a guaranteed sale, a sale or return, a sale on approval, a bill and hold, or any other terms by reason of which the payment by the Account Debtor may be conditional,</w:t>
      </w:r>
    </w:p>
    <w:p>
      <w:pPr>
        <w:spacing w:after="0" w:line="105" w:lineRule="exact"/>
        <w:rPr>
          <w:rFonts w:ascii="Arial" w:cs="Arial" w:eastAsia="Arial" w:hAnsi="Arial"/>
          <w:sz w:val="20"/>
          <w:szCs w:val="20"/>
          <w:color w:val="auto"/>
        </w:rPr>
      </w:pPr>
    </w:p>
    <w:p>
      <w:pPr>
        <w:ind w:left="1720" w:hanging="415"/>
        <w:spacing w:after="0"/>
        <w:tabs>
          <w:tab w:leader="none" w:pos="17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Accounts that are not payable in Dollars,</w:t>
      </w:r>
    </w:p>
    <w:p>
      <w:pPr>
        <w:spacing w:after="0" w:line="161" w:lineRule="exact"/>
        <w:rPr>
          <w:rFonts w:ascii="Arial" w:cs="Arial" w:eastAsia="Arial" w:hAnsi="Arial"/>
          <w:sz w:val="20"/>
          <w:szCs w:val="20"/>
          <w:color w:val="auto"/>
        </w:rPr>
      </w:pPr>
    </w:p>
    <w:p>
      <w:pPr>
        <w:jc w:val="both"/>
        <w:ind w:firstLine="1305"/>
        <w:spacing w:after="0" w:line="304" w:lineRule="auto"/>
        <w:tabs>
          <w:tab w:leader="none" w:pos="174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Accounts with respect to which the Account Debtor either (i) does not maintain its chief executive office in the United States or Canada, or (ii) is not organized under the laws of the United States, Canada or any state or province thereof, or (iii) is the government of any foreign country or sovereign state, or of any state, province, municipality, or other political 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is directly drawable by Agent, or (B) the Account is covered by credit insurance in form, substance, and amount, and by an insurer, reasonably satisfactory to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Accounts with respect to which the Account Debtor either maintains its chief executive office in Canada or is organized under the laws of Canada or any province thereof must be governed by United States law.</w:t>
      </w:r>
    </w:p>
    <w:p>
      <w:pPr>
        <w:sectPr>
          <w:pgSz w:w="11900" w:h="16838" w:orient="portrait"/>
          <w:cols w:equalWidth="0" w:num="1">
            <w:col w:w="11420"/>
          </w:cols>
          <w:pgMar w:left="240" w:top="825" w:right="239" w:bottom="1440" w:gutter="0" w:footer="0" w:header="0"/>
        </w:sectPr>
      </w:pPr>
    </w:p>
    <w:bookmarkStart w:id="177" w:name="page178"/>
    <w:bookmarkEnd w:id="177"/>
    <w:p>
      <w:pPr>
        <w:jc w:val="both"/>
        <w:ind w:left="-1200" w:firstLine="1305"/>
        <w:spacing w:after="0" w:line="299" w:lineRule="auto"/>
        <w:tabs>
          <w:tab w:leader="none" w:pos="67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Accounts with respect to which the Account Debtor is either (i) the United States or any department, agency, or instrumentality of the United States (exclusive, however, of Accounts with respect to which Borrower has complied, to the reasonable satisfaction of Agent, with the Assignment of Claims Act, 31 USC §3727), or (ii) any state or local government of the United States,</w:t>
      </w:r>
    </w:p>
    <w:p>
      <w:pPr>
        <w:spacing w:after="0" w:line="88" w:lineRule="exact"/>
        <w:rPr>
          <w:rFonts w:ascii="Arial" w:cs="Arial" w:eastAsia="Arial" w:hAnsi="Arial"/>
          <w:sz w:val="19"/>
          <w:szCs w:val="19"/>
          <w:color w:val="auto"/>
        </w:rPr>
      </w:pPr>
    </w:p>
    <w:p>
      <w:pPr>
        <w:jc w:val="both"/>
        <w:ind w:left="-1200" w:firstLine="1305"/>
        <w:spacing w:after="0" w:line="278" w:lineRule="auto"/>
        <w:tabs>
          <w:tab w:leader="none" w:pos="521"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 creditor of Borrower, has or has asserted a right of recoupment or setoff (unless, in each case, non-offset letters reasonably satisfactory to Agent are provided), or has disputed its obligation to pay all or any portion of the Account, to the extent of such claim, right of recoupment or setoff, or dispute,</w:t>
      </w:r>
    </w:p>
    <w:p>
      <w:pPr>
        <w:spacing w:after="0" w:line="105" w:lineRule="exact"/>
        <w:rPr>
          <w:rFonts w:ascii="Arial" w:cs="Arial" w:eastAsia="Arial" w:hAnsi="Arial"/>
          <w:sz w:val="20"/>
          <w:szCs w:val="20"/>
          <w:color w:val="auto"/>
        </w:rPr>
      </w:pPr>
    </w:p>
    <w:p>
      <w:pPr>
        <w:jc w:val="both"/>
        <w:ind w:left="-1200" w:firstLine="1305"/>
        <w:spacing w:after="0" w:line="285" w:lineRule="auto"/>
        <w:tabs>
          <w:tab w:leader="none" w:pos="61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Accounts with respect to (x) those Account Debtors disclosed in writing to Agent by Borrower on or prior to the Restatement Closing Date, whose total obligations exceed 15%, as so disclosed (in each case, such percentage, as applied to a particular such Account Debtor, being subject to reduction by Agent in its Permitted Discretion if the creditworthiness of such Account Debtor deteriorates) of all Eligible Accounts (but the portion of the Accounts not in excess of the foregoing applicable percentages may be deemed Eligible Accounts), to the extent of the obligations owing by such Account Debtor in excess of such percentage, and (y) all other Account Debtors, whose total obligations to Borrower exceed 10% (such percentage, as applied to a particular such Account Debtor, being subject to reduction by Agent in its Permitted Discretion if the creditworthiness of such Account Debtor deteriorates) of all Eligible Accounts (but the portion of the Accounts not in excess of the foregoing applicable percentages may be deemed Eligible Accounts), to the extent of the obligations owing by such Account Debtor in excess of such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spacing w:after="0" w:line="103" w:lineRule="exact"/>
        <w:rPr>
          <w:rFonts w:ascii="Arial" w:cs="Arial" w:eastAsia="Arial" w:hAnsi="Arial"/>
          <w:sz w:val="19"/>
          <w:szCs w:val="19"/>
          <w:color w:val="auto"/>
        </w:rPr>
      </w:pPr>
    </w:p>
    <w:p>
      <w:pPr>
        <w:jc w:val="both"/>
        <w:ind w:left="-1200" w:firstLine="1305"/>
        <w:spacing w:after="0" w:line="278" w:lineRule="auto"/>
        <w:tabs>
          <w:tab w:leader="none" w:pos="47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subject to an Insolvency Proceeding, is not Solvent, has gone out of business, or as to which Borrower has received notice of an imminent Insolvency Proceeding or a material impairment of the financial condition of such Account Debtor,</w:t>
      </w:r>
    </w:p>
    <w:p>
      <w:pPr>
        <w:spacing w:after="0" w:line="105" w:lineRule="exact"/>
        <w:rPr>
          <w:rFonts w:ascii="Arial" w:cs="Arial" w:eastAsia="Arial" w:hAnsi="Arial"/>
          <w:sz w:val="20"/>
          <w:szCs w:val="20"/>
          <w:color w:val="auto"/>
        </w:rPr>
      </w:pPr>
    </w:p>
    <w:p>
      <w:pPr>
        <w:ind w:left="-1200" w:firstLine="1305"/>
        <w:spacing w:after="0" w:line="289" w:lineRule="auto"/>
        <w:tabs>
          <w:tab w:leader="none" w:pos="54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the collection of which, Agent, in its Permitted Discretion, believes to be doubtful, including by reason of the Account Debtor’s financial condition,</w:t>
      </w:r>
    </w:p>
    <w:p>
      <w:pPr>
        <w:spacing w:after="0" w:line="94" w:lineRule="exact"/>
        <w:rPr>
          <w:rFonts w:ascii="Arial" w:cs="Arial" w:eastAsia="Arial" w:hAnsi="Arial"/>
          <w:sz w:val="20"/>
          <w:szCs w:val="20"/>
          <w:color w:val="auto"/>
        </w:rPr>
      </w:pPr>
    </w:p>
    <w:p>
      <w:pPr>
        <w:ind w:left="480" w:hanging="375"/>
        <w:spacing w:after="0"/>
        <w:tabs>
          <w:tab w:leader="none" w:pos="48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that are not subject to a valid and perfected first priority Agent’s Lien,</w:t>
      </w:r>
    </w:p>
    <w:p>
      <w:pPr>
        <w:spacing w:after="0" w:line="161" w:lineRule="exact"/>
        <w:rPr>
          <w:rFonts w:ascii="Arial" w:cs="Arial" w:eastAsia="Arial" w:hAnsi="Arial"/>
          <w:sz w:val="20"/>
          <w:szCs w:val="20"/>
          <w:color w:val="auto"/>
        </w:rPr>
      </w:pPr>
    </w:p>
    <w:p>
      <w:pPr>
        <w:ind w:left="-1200" w:firstLine="1305"/>
        <w:spacing w:after="0" w:line="289" w:lineRule="auto"/>
        <w:tabs>
          <w:tab w:leader="none" w:pos="56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94" w:lineRule="exact"/>
        <w:rPr>
          <w:rFonts w:ascii="Arial" w:cs="Arial" w:eastAsia="Arial" w:hAnsi="Arial"/>
          <w:sz w:val="20"/>
          <w:szCs w:val="20"/>
          <w:color w:val="auto"/>
        </w:rPr>
      </w:pPr>
    </w:p>
    <w:p>
      <w:pPr>
        <w:ind w:left="520" w:hanging="415"/>
        <w:spacing w:after="0"/>
        <w:tabs>
          <w:tab w:leader="none" w:pos="52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 Sanctioned Person or Sanctioned Entity,</w:t>
      </w:r>
    </w:p>
    <w:p>
      <w:pPr>
        <w:spacing w:after="0" w:line="161" w:lineRule="exact"/>
        <w:rPr>
          <w:rFonts w:ascii="Arial" w:cs="Arial" w:eastAsia="Arial" w:hAnsi="Arial"/>
          <w:sz w:val="20"/>
          <w:szCs w:val="20"/>
          <w:color w:val="auto"/>
        </w:rPr>
      </w:pPr>
    </w:p>
    <w:p>
      <w:pPr>
        <w:ind w:left="-1200" w:right="20" w:firstLine="1305"/>
        <w:spacing w:after="0" w:line="289" w:lineRule="auto"/>
        <w:tabs>
          <w:tab w:leader="none" w:pos="66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that represent the right to receive progress payments or other advance billings that are due prior to the completion of performance by Borrower of the subject contract for goods or services,</w:t>
      </w:r>
    </w:p>
    <w:p>
      <w:pPr>
        <w:spacing w:after="0" w:line="94" w:lineRule="exact"/>
        <w:rPr>
          <w:rFonts w:ascii="Arial" w:cs="Arial" w:eastAsia="Arial" w:hAnsi="Arial"/>
          <w:sz w:val="20"/>
          <w:szCs w:val="20"/>
          <w:color w:val="auto"/>
        </w:rPr>
      </w:pPr>
    </w:p>
    <w:p>
      <w:pPr>
        <w:jc w:val="both"/>
        <w:ind w:left="-1200" w:firstLine="1305"/>
        <w:spacing w:after="0" w:line="278" w:lineRule="auto"/>
        <w:tabs>
          <w:tab w:leader="none" w:pos="52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Accounts owned by a target acquired in connection with a Permitted Acquisition, until the completion of an appraisal and field examination with respect to such Accounts, in each case, reasonably satisfactory to Agent (which appraisal and field examination may be conducted prior to the closing of such Permitted Acquisition), or</w:t>
      </w:r>
    </w:p>
    <w:p>
      <w:pPr>
        <w:sectPr>
          <w:pgSz w:w="11900" w:h="16838" w:orient="portrait"/>
          <w:cols w:equalWidth="0" w:num="1">
            <w:col w:w="10220"/>
          </w:cols>
          <w:pgMar w:left="1440" w:top="839" w:right="239" w:bottom="1440" w:gutter="0" w:footer="0" w:header="0"/>
        </w:sectPr>
      </w:pPr>
    </w:p>
    <w:bookmarkStart w:id="178" w:name="page179"/>
    <w:bookmarkEnd w:id="178"/>
    <w:p>
      <w:pPr>
        <w:ind w:left="660" w:right="2560" w:firstLine="645"/>
        <w:spacing w:after="0" w:line="477" w:lineRule="auto"/>
        <w:tabs>
          <w:tab w:leader="none" w:pos="16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Paramit Corporation or Flextronics. “</w:t>
      </w:r>
      <w:r>
        <w:rPr>
          <w:rFonts w:ascii="Arial" w:cs="Arial" w:eastAsia="Arial" w:hAnsi="Arial"/>
          <w:sz w:val="18"/>
          <w:szCs w:val="18"/>
          <w:u w:val="single" w:color="auto"/>
          <w:color w:val="auto"/>
        </w:rPr>
        <w:t>Eligible Cables Inventory</w:t>
      </w:r>
      <w:r>
        <w:rPr>
          <w:rFonts w:ascii="Arial" w:cs="Arial" w:eastAsia="Arial" w:hAnsi="Arial"/>
          <w:sz w:val="18"/>
          <w:szCs w:val="18"/>
          <w:color w:val="auto"/>
        </w:rPr>
        <w:t>” means Eligible Finished Goods Inventory consisting of cables.</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Envoy Accounts</w:t>
      </w:r>
      <w:r>
        <w:rPr>
          <w:rFonts w:ascii="Arial" w:cs="Arial" w:eastAsia="Arial" w:hAnsi="Arial"/>
          <w:sz w:val="20"/>
          <w:szCs w:val="20"/>
          <w:color w:val="auto"/>
        </w:rPr>
        <w:t>” means those Eligible Accounts constituting Envoy receivables, which reflect specified products or SKU numbers, in accordance with the form of Borrowing Base Certificate.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Excess Cables Inventory</w:t>
      </w:r>
      <w:r>
        <w:rPr>
          <w:rFonts w:ascii="Arial" w:cs="Arial" w:eastAsia="Arial" w:hAnsi="Arial"/>
          <w:sz w:val="20"/>
          <w:szCs w:val="20"/>
          <w:color w:val="auto"/>
        </w:rPr>
        <w:t>” means Eligible Finished Goods Inventory consisting of excess cables in accordance with the form of Borrowing Base Certificate.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Finished Goods Inventory</w:t>
      </w:r>
      <w:r>
        <w:rPr>
          <w:rFonts w:ascii="Arial" w:cs="Arial" w:eastAsia="Arial" w:hAnsi="Arial"/>
          <w:sz w:val="20"/>
          <w:szCs w:val="20"/>
          <w:color w:val="auto"/>
        </w:rPr>
        <w:t>” shall mean Inventory that qualifies as Eligible Inventory and consists of first quality finished goods held for sale in the ordinary course of Borrower’s business.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Inventory</w:t>
      </w:r>
      <w:r>
        <w:rPr>
          <w:rFonts w:ascii="Arial" w:cs="Arial" w:eastAsia="Arial" w:hAnsi="Arial"/>
          <w:sz w:val="19"/>
          <w:szCs w:val="19"/>
          <w:color w:val="auto"/>
        </w:rPr>
        <w:t>” means Inventory of Borrower, that complies with each of the representations and warranties respecting Eligible Inventory made in the Loan Documents, and that is not excluded as ineligible by virtue of one or more of the excluding criteria set forth below; provided, that such criteria may be revised from time to time by Agent in Agent’s Permitted Discretion to address the results of any field examination or appraisal performed by Agent from time to time after the Restatement Closing Date. In determining the amount to be so included, Inventory shall be valued at the lower of cost or market on a basis consistent with Borrower’s historical accounting practices. An item of Inventory shall not be included in Eligible Inventory if:</w:t>
      </w:r>
    </w:p>
    <w:p>
      <w:pPr>
        <w:spacing w:after="0" w:line="192" w:lineRule="exact"/>
        <w:rPr>
          <w:sz w:val="20"/>
          <w:szCs w:val="20"/>
          <w:color w:val="auto"/>
        </w:rPr>
      </w:pPr>
    </w:p>
    <w:p>
      <w:pPr>
        <w:ind w:left="1720" w:hanging="415"/>
        <w:spacing w:after="0"/>
        <w:tabs>
          <w:tab w:leader="none" w:pos="17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Borrower does not have good, valid, and marketable title thereto,</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Borrower does not have actual and exclusive possession thereof (either directly or through a bailee or agent of Borrower),</w:t>
      </w:r>
    </w:p>
    <w:p>
      <w:pPr>
        <w:spacing w:after="0" w:line="184" w:lineRule="exact"/>
        <w:rPr>
          <w:rFonts w:ascii="Arial" w:cs="Arial" w:eastAsia="Arial" w:hAnsi="Arial"/>
          <w:sz w:val="18"/>
          <w:szCs w:val="18"/>
          <w:color w:val="auto"/>
        </w:rPr>
      </w:pPr>
    </w:p>
    <w:p>
      <w:pPr>
        <w:jc w:val="both"/>
        <w:ind w:firstLine="1305"/>
        <w:spacing w:after="0" w:line="293" w:lineRule="auto"/>
        <w:tabs>
          <w:tab w:leader="none" w:pos="182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it is not located at one of the locations in the continental United States or Canada set forth on </w:t>
      </w:r>
      <w:r>
        <w:rPr>
          <w:rFonts w:ascii="Arial" w:cs="Arial" w:eastAsia="Arial" w:hAnsi="Arial"/>
          <w:sz w:val="19"/>
          <w:szCs w:val="19"/>
          <w:u w:val="single" w:color="auto"/>
          <w:color w:val="auto"/>
        </w:rPr>
        <w:t>Schedule E-1</w:t>
      </w:r>
      <w:r>
        <w:rPr>
          <w:rFonts w:ascii="Arial" w:cs="Arial" w:eastAsia="Arial" w:hAnsi="Arial"/>
          <w:sz w:val="19"/>
          <w:szCs w:val="19"/>
          <w:color w:val="auto"/>
        </w:rPr>
        <w:t xml:space="preserve"> to the Disclosure Letter or the Flextronics Facility (or in-transit from one such location to another such location);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Inventory located at the Flextronics Facility or in-transit from one location on </w:t>
      </w:r>
      <w:r>
        <w:rPr>
          <w:rFonts w:ascii="Arial" w:cs="Arial" w:eastAsia="Arial" w:hAnsi="Arial"/>
          <w:sz w:val="19"/>
          <w:szCs w:val="19"/>
          <w:u w:val="single" w:color="auto"/>
          <w:color w:val="auto"/>
        </w:rPr>
        <w:t>Schedule E-1</w:t>
      </w:r>
      <w:r>
        <w:rPr>
          <w:rFonts w:ascii="Arial" w:cs="Arial" w:eastAsia="Arial" w:hAnsi="Arial"/>
          <w:sz w:val="19"/>
          <w:szCs w:val="19"/>
          <w:color w:val="auto"/>
        </w:rPr>
        <w:t xml:space="preserve"> of the Disclosure Letter to the Flextronics Facility, or vice versa, a Flextronics Non-Offset and Access Agreement has been executed and delivered and is in full force and effect,</w:t>
      </w:r>
    </w:p>
    <w:p>
      <w:pPr>
        <w:spacing w:after="0" w:line="94" w:lineRule="exact"/>
        <w:rPr>
          <w:rFonts w:ascii="Arial" w:cs="Arial" w:eastAsia="Arial" w:hAnsi="Arial"/>
          <w:sz w:val="19"/>
          <w:szCs w:val="19"/>
          <w:color w:val="auto"/>
        </w:rPr>
      </w:pPr>
    </w:p>
    <w:p>
      <w:pPr>
        <w:jc w:val="both"/>
        <w:ind w:firstLine="1305"/>
        <w:spacing w:after="0" w:line="278" w:lineRule="auto"/>
        <w:tabs>
          <w:tab w:leader="none" w:pos="1761"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it is in-transit to or from a location of Borrower (other than in-transit from one location set forth on </w:t>
      </w:r>
      <w:r>
        <w:rPr>
          <w:rFonts w:ascii="Arial" w:cs="Arial" w:eastAsia="Arial" w:hAnsi="Arial"/>
          <w:sz w:val="20"/>
          <w:szCs w:val="20"/>
          <w:u w:val="single" w:color="auto"/>
          <w:color w:val="auto"/>
        </w:rPr>
        <w:t>Schedule E-1</w:t>
      </w:r>
      <w:r>
        <w:rPr>
          <w:rFonts w:ascii="Arial" w:cs="Arial" w:eastAsia="Arial" w:hAnsi="Arial"/>
          <w:sz w:val="20"/>
          <w:szCs w:val="20"/>
          <w:color w:val="auto"/>
        </w:rPr>
        <w:t xml:space="preserve"> of the Disclosure Letter to another location set forth on </w:t>
      </w:r>
      <w:r>
        <w:rPr>
          <w:rFonts w:ascii="Arial" w:cs="Arial" w:eastAsia="Arial" w:hAnsi="Arial"/>
          <w:sz w:val="20"/>
          <w:szCs w:val="20"/>
          <w:u w:val="single" w:color="auto"/>
          <w:color w:val="auto"/>
        </w:rPr>
        <w:t>Schedule E-1</w:t>
      </w:r>
      <w:r>
        <w:rPr>
          <w:rFonts w:ascii="Arial" w:cs="Arial" w:eastAsia="Arial" w:hAnsi="Arial"/>
          <w:sz w:val="20"/>
          <w:szCs w:val="20"/>
          <w:color w:val="auto"/>
        </w:rPr>
        <w:t xml:space="preserve"> of the Disclosure Letter (or the Flextronics Facility; provided that a Flextronics Non-Offset and Access Agreement has been executed and delivered and is in full force and effect)),</w:t>
      </w:r>
    </w:p>
    <w:p>
      <w:pPr>
        <w:spacing w:after="0" w:line="105" w:lineRule="exact"/>
        <w:rPr>
          <w:rFonts w:ascii="Arial" w:cs="Arial" w:eastAsia="Arial" w:hAnsi="Arial"/>
          <w:sz w:val="20"/>
          <w:szCs w:val="20"/>
          <w:color w:val="auto"/>
        </w:rPr>
      </w:pPr>
    </w:p>
    <w:p>
      <w:pPr>
        <w:jc w:val="both"/>
        <w:ind w:firstLine="1305"/>
        <w:spacing w:after="0" w:line="278" w:lineRule="auto"/>
        <w:tabs>
          <w:tab w:leader="none" w:pos="183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it is located on real property leased by Borrower or in a contract warehouse, in each case, unless it is subject to a Collateral Access Agreement executed by the lessor or warehouseman, as the case may be, and unless it is segregated or otherwise separately identifiable from goods of others, if any, stored on the premises,</w:t>
      </w:r>
    </w:p>
    <w:p>
      <w:pPr>
        <w:spacing w:after="0" w:line="105" w:lineRule="exact"/>
        <w:rPr>
          <w:rFonts w:ascii="Arial" w:cs="Arial" w:eastAsia="Arial" w:hAnsi="Arial"/>
          <w:sz w:val="20"/>
          <w:szCs w:val="20"/>
          <w:color w:val="auto"/>
        </w:rPr>
      </w:pPr>
    </w:p>
    <w:p>
      <w:pPr>
        <w:ind w:left="1700" w:hanging="395"/>
        <w:spacing w:after="0"/>
        <w:tabs>
          <w:tab w:leader="none" w:pos="17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it is the subject of a bill of lading or other document of title,</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it is not subject to a valid and first priority Agent’s Lien,</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it consists of goods returned or rejected by Borrower’s customers,</w:t>
      </w:r>
    </w:p>
    <w:p>
      <w:pPr>
        <w:sectPr>
          <w:pgSz w:w="11900" w:h="16838" w:orient="portrait"/>
          <w:cols w:equalWidth="0" w:num="1">
            <w:col w:w="11420"/>
          </w:cols>
          <w:pgMar w:left="240" w:top="839" w:right="239" w:bottom="1440" w:gutter="0" w:footer="0" w:header="0"/>
        </w:sectPr>
      </w:pPr>
    </w:p>
    <w:bookmarkStart w:id="179" w:name="page180"/>
    <w:bookmarkEnd w:id="179"/>
    <w:p>
      <w:pPr>
        <w:jc w:val="both"/>
        <w:ind w:firstLine="1305"/>
        <w:spacing w:after="0" w:line="278" w:lineRule="auto"/>
        <w:tabs>
          <w:tab w:leader="none" w:pos="168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it consists of goods that are obsolete or slow moving, restrictive or custom items, work-in-process, raw materials, or goods that constitute spare parts, packaging and shipping materials, supplies used or consumed in Borrower’s business, bill and hold goods, defective goods, “seconds,” or Inventory acquired on consignment,</w:t>
      </w:r>
    </w:p>
    <w:p>
      <w:pPr>
        <w:spacing w:after="0" w:line="105" w:lineRule="exact"/>
        <w:rPr>
          <w:rFonts w:ascii="Arial" w:cs="Arial" w:eastAsia="Arial" w:hAnsi="Arial"/>
          <w:sz w:val="20"/>
          <w:szCs w:val="20"/>
          <w:color w:val="auto"/>
        </w:rPr>
      </w:pPr>
    </w:p>
    <w:p>
      <w:pPr>
        <w:ind w:firstLine="1305"/>
        <w:spacing w:after="0" w:line="289" w:lineRule="auto"/>
        <w:tabs>
          <w:tab w:leader="none" w:pos="169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it is subject to third party trademark, licensing or other proprietary rights, unless Agent is satisfied that such Inventory can be freely sold by Agent on and after the occurrence of an Event of a Default despite such third party rights, or</w:t>
      </w:r>
    </w:p>
    <w:p>
      <w:pPr>
        <w:spacing w:after="0" w:line="94" w:lineRule="exact"/>
        <w:rPr>
          <w:rFonts w:ascii="Arial" w:cs="Arial" w:eastAsia="Arial" w:hAnsi="Arial"/>
          <w:sz w:val="20"/>
          <w:szCs w:val="20"/>
          <w:color w:val="auto"/>
        </w:rPr>
      </w:pPr>
    </w:p>
    <w:p>
      <w:pPr>
        <w:jc w:val="both"/>
        <w:ind w:firstLine="1305"/>
        <w:spacing w:after="0" w:line="278" w:lineRule="auto"/>
        <w:tabs>
          <w:tab w:leader="none" w:pos="175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it was acquired in connection with a Permitted Acquisition, until the completion of an appraisal and field examination of such Inventory, in each case, reasonably satisfactory to Agent (which appraisal and field examination may be conducted prior to the closing of such Permitted Acquisition).</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Micro-Inverters Inventory</w:t>
      </w:r>
      <w:r>
        <w:rPr>
          <w:rFonts w:ascii="Arial" w:cs="Arial" w:eastAsia="Arial" w:hAnsi="Arial"/>
          <w:sz w:val="20"/>
          <w:szCs w:val="20"/>
          <w:color w:val="auto"/>
        </w:rPr>
        <w:t>” means Eligible Finished Goods Inventory consisting of micro-inverters.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Plan</w:t>
      </w:r>
      <w:r>
        <w:rPr>
          <w:rFonts w:ascii="Arial" w:cs="Arial" w:eastAsia="Arial" w:hAnsi="Arial"/>
          <w:sz w:val="20"/>
          <w:szCs w:val="20"/>
          <w:color w:val="auto"/>
        </w:rPr>
        <w:t>” means any employee benefit plan within the meaning of Section 3(3) of ERISA, whether or not subject to ERISA, (a) that is or within the preceding six (6) years has been sponsored, maintained or contributed to by any Loan Party or ERISA Affiliate or (b) to which any Loan Party or ERISA Affiliate has, or has had at any time within the preceding six (6) years, any liability, contingent or otherwise.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Action</w:t>
      </w:r>
      <w:r>
        <w:rPr>
          <w:rFonts w:ascii="Arial" w:cs="Arial" w:eastAsia="Arial" w:hAnsi="Arial"/>
          <w:sz w:val="20"/>
          <w:szCs w:val="20"/>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Subsidiary of a Borrower, or any of their predecessors in interest, (b) from adjoining properties or businesses, or (c) from or onto any facilities which received Hazardous Materials generated by any Borrower, any Subsidiary of a Borrower, or any of their predecessors in interest.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Borrower or its Subsidiaries, relating to the environment, the effect of the environment on employee health, or Hazardous Materials, in each case as amended from time to time.</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Liabilities</w:t>
      </w:r>
      <w:r>
        <w:rPr>
          <w:rFonts w:ascii="Arial" w:cs="Arial" w:eastAsia="Arial" w:hAnsi="Arial"/>
          <w:sz w:val="20"/>
          <w:szCs w:val="20"/>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Lien</w:t>
      </w:r>
      <w:r>
        <w:rPr>
          <w:rFonts w:ascii="Arial" w:cs="Arial" w:eastAsia="Arial" w:hAnsi="Arial"/>
          <w:sz w:val="20"/>
          <w:szCs w:val="20"/>
          <w:color w:val="auto"/>
        </w:rPr>
        <w:t>” means any Lien in favor of any Governmental Authority for Environmental Liabilities.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means equipment (as that term is defined in the Code).</w:t>
      </w:r>
    </w:p>
    <w:p>
      <w:pPr>
        <w:sectPr>
          <w:pgSz w:w="11900" w:h="16838" w:orient="portrait"/>
          <w:cols w:equalWidth="0" w:num="1">
            <w:col w:w="11420"/>
          </w:cols>
          <w:pgMar w:left="240" w:top="839" w:right="239" w:bottom="1440" w:gutter="0" w:footer="0" w:header="0"/>
        </w:sectPr>
      </w:pPr>
    </w:p>
    <w:bookmarkStart w:id="180" w:name="page181"/>
    <w:bookmarkEnd w:id="180"/>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w:t>
      </w:r>
      <w:r>
        <w:rPr>
          <w:rFonts w:ascii="Arial" w:cs="Arial" w:eastAsia="Arial" w:hAnsi="Arial"/>
          <w:sz w:val="20"/>
          <w:szCs w:val="20"/>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any successor statutes, and all regulations and guidance promulgated thereunder. Any reference to a specific section of ERISA shall be deemed to be a reference to such section of ERISA and any successor statutes, and all regulations and guidance promulgated thereunder.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each entity, trade or business (whether or not incorporated) that together with a Loan Party or a Subsidiary would be (or has been) treated as a “single employer” within the meaning of section 4001(b)(1) of ERISA or subsections (b), (c), (m) or (o) of section 414 of the IRC. ERISA Affiliate shall include any Subsidiary of any Loan Party.</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EURIBOR</w:t>
      </w:r>
      <w:r>
        <w:rPr>
          <w:rFonts w:ascii="Arial" w:cs="Arial" w:eastAsia="Arial" w:hAnsi="Arial"/>
          <w:sz w:val="16"/>
          <w:szCs w:val="16"/>
          <w:color w:val="auto"/>
        </w:rPr>
        <w:t>” means, in relation to any Euro Denominated Loan and for the relevant Interest Period, the percentage rate per annum determined by the Banking Federation of the European Union for the duration of the applicable Interest Period denominated in Euro, taken at or about 12:00 noon (Brussels time) on the date which is 2 Business Days prior to the commencement of such Interest Period (and, if any such rate is below zero, the EURIBOR Rate shall be deemed to be zero). In the event that such rate is not available at such time for any reason, then “EURIBOR” with respect to such Euro Denominated Loan for such Interest Period shall be at the rate at which deposits in Euros of $5,000,000 (or the US Dollar Equivalent thereof) and for a maturity comparable to such Interest Period are offered by the principal London office of Agent in immediately available funds in the London interbank market at approximately 11:00 a.m. London time on the date which is 2 Business Days prior to the commencement of such Interest Period (and, if any such rate is below zero, the EURIBOR Rate shall be deemed to be zero).</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the single currency of the Participating Member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Denominated Loan</w:t>
      </w:r>
      <w:r>
        <w:rPr>
          <w:rFonts w:ascii="Arial" w:cs="Arial" w:eastAsia="Arial" w:hAnsi="Arial"/>
          <w:sz w:val="20"/>
          <w:szCs w:val="20"/>
          <w:color w:val="auto"/>
        </w:rPr>
        <w:t>” means each Loan denominated in Euros at the time of the incurrence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Base Rate</w:t>
      </w:r>
      <w:r>
        <w:rPr>
          <w:rFonts w:ascii="Arial" w:cs="Arial" w:eastAsia="Arial" w:hAnsi="Arial"/>
          <w:sz w:val="19"/>
          <w:szCs w:val="19"/>
          <w:color w:val="auto"/>
        </w:rPr>
        <w:t>” means, in relation to Loans denominated in (a) Euros, EURIBOR, or (b) Sterling, the LIBOR Rate.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Base Rate Loans</w:t>
      </w:r>
      <w:r>
        <w:rPr>
          <w:rFonts w:ascii="Arial" w:cs="Arial" w:eastAsia="Arial" w:hAnsi="Arial"/>
          <w:sz w:val="18"/>
          <w:szCs w:val="18"/>
          <w:color w:val="auto"/>
        </w:rPr>
        <w:t>” means European Denominated Loans which bear interest at the applicable Eurocurrency Base Rate.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European Denominated Loan</w:t>
      </w:r>
      <w:r>
        <w:rPr>
          <w:rFonts w:ascii="Arial" w:cs="Arial" w:eastAsia="Arial" w:hAnsi="Arial"/>
          <w:sz w:val="20"/>
          <w:szCs w:val="20"/>
          <w:color w:val="auto"/>
        </w:rPr>
        <w:t>” means each Euro Denominated Loan or Sterling Denominated Loan.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in effect from time to time.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Rate</w:t>
      </w:r>
      <w:r>
        <w:rPr>
          <w:rFonts w:ascii="Arial" w:cs="Arial" w:eastAsia="Arial" w:hAnsi="Arial"/>
          <w:sz w:val="20"/>
          <w:szCs w:val="20"/>
          <w:color w:val="auto"/>
        </w:rPr>
        <w:t>” means on any date, as determined by Agent, the spot selling rate posted by Reuters on its website for the sale of the applicable currency for Dollars at approximately 11:00 a.m., Local Time, on such date; provided, that if, for any reason, no such spot rate is being quoted, the spot selling rate shall</w:t>
      </w:r>
    </w:p>
    <w:p>
      <w:pPr>
        <w:sectPr>
          <w:pgSz w:w="11900" w:h="16838" w:orient="portrait"/>
          <w:cols w:equalWidth="0" w:num="1">
            <w:col w:w="11420"/>
          </w:cols>
          <w:pgMar w:left="240" w:top="825" w:right="239" w:bottom="1440" w:gutter="0" w:footer="0" w:header="0"/>
        </w:sectPr>
      </w:pPr>
    </w:p>
    <w:bookmarkStart w:id="181" w:name="page182"/>
    <w:bookmarkEnd w:id="181"/>
    <w:p>
      <w:pPr>
        <w:jc w:val="both"/>
        <w:spacing w:after="0" w:line="282" w:lineRule="auto"/>
        <w:rPr>
          <w:sz w:val="20"/>
          <w:szCs w:val="20"/>
          <w:color w:val="auto"/>
        </w:rPr>
      </w:pPr>
      <w:r>
        <w:rPr>
          <w:rFonts w:ascii="Arial" w:cs="Arial" w:eastAsia="Arial" w:hAnsi="Arial"/>
          <w:sz w:val="18"/>
          <w:szCs w:val="18"/>
          <w:color w:val="auto"/>
        </w:rPr>
        <w:t>be determined by reference to such publicly available service for displaying exchange rates as may be reasonably selected by Agent, or, in the event no such service is available, such spot selling rate shall instead be the rate reasonably determined by Agent as the spot rate of exchange in the market where its foreign currency exchange operations in respect of the applicable currency are then being conducted, at or about 11:00 a.m., Local Time, on the applicable date for the purchase of the relevant currency for delivery two (2) Business Days later.</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Accounts</w:t>
      </w:r>
      <w:r>
        <w:rPr>
          <w:rFonts w:ascii="Arial" w:cs="Arial" w:eastAsia="Arial" w:hAnsi="Arial"/>
          <w:sz w:val="20"/>
          <w:szCs w:val="20"/>
          <w:color w:val="auto"/>
        </w:rPr>
        <w:t>” means (a) any Deposit Accounts maintained with a financial institution, other than the Agent, exclusively established to cash collateralize letters of credit not issued under the Agreement and Hedge Obligations, in each case, permitted by the Agreement and (b) any foreign Deposit Accounts or Securities Accounts.</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Domestic Subsidiary</w:t>
      </w:r>
      <w:r>
        <w:rPr>
          <w:rFonts w:ascii="Arial" w:cs="Arial" w:eastAsia="Arial" w:hAnsi="Arial"/>
          <w:sz w:val="19"/>
          <w:szCs w:val="19"/>
          <w:color w:val="auto"/>
        </w:rPr>
        <w:t>” means any Domestic Subsidiary of Borrower that is treated as a disregarded entity for United States purposes and substantially all of the assets of which consist of equity and/or debt of one or more Foreign Subsidiaries.</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(i) any tax imposed on the net income or net profits of any Lender or any Participant (including any branch profits taxes or similar taxes and any franchise taxes imposed in lieu of net income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each case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the Agreement or any other Loan Document); (ii) taxes resulting from a Lender’s or a Participant’s failure to comply with the requirements of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of the Agreement, (iii) any United States federal withholding taxes that would be imposed on amounts payable to a Foreign Lender based upon the applicable withholding rate in effect at the time such Foreign Lender becomes a party to the Agreement (or designates a new lending office),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Taxes shall include (A) any amount that such Foreign Lender (or its assignor, if any) was previously entitled to receive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Agreement, if any, with respect to such withholding tax at the time such Foreign Lender becomes a party to the Agreement (or designates a new lending office), and (B) additional United States federal withholding taxes that may be imposed after the time such Foreign Lender becomes a party to the Agreement (or designates a new lending office), as a result of a change in law, rule, regulation, order or other decision with respect to any of the foregoing by any Governmental Authority, and (iv) any United States federal withholding taxes imposed under FATCA.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specified therefor in the recitals to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Extraordinary Advances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2.3(d)(iii)</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IRC, as of the date of the Agreement (or any amended or successor version that is substantively comparable and not materially more onerous to comply with) and any current or future regulations or official interpretation thereof.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that certain amended and restated fee letter, dated as of even date with the Agreement, between Borrower and Agent, in form and substance reasonably satisfactory to Agent.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means, for any period, a fluctuating interest rate per annum equal to, for each day during such period, the weighted average of the rates on overnight federal funds transactions with</w:t>
      </w:r>
    </w:p>
    <w:p>
      <w:pPr>
        <w:sectPr>
          <w:pgSz w:w="11900" w:h="16838" w:orient="portrait"/>
          <w:cols w:equalWidth="0" w:num="1">
            <w:col w:w="11420"/>
          </w:cols>
          <w:pgMar w:left="240" w:top="825" w:right="239" w:bottom="1440" w:gutter="0" w:footer="0" w:header="0"/>
        </w:sectPr>
      </w:pPr>
    </w:p>
    <w:bookmarkStart w:id="182" w:name="page183"/>
    <w:bookmarkEnd w:id="182"/>
    <w:p>
      <w:pPr>
        <w:jc w:val="both"/>
        <w:ind w:right="20"/>
        <w:spacing w:after="0" w:line="269" w:lineRule="auto"/>
        <w:rPr>
          <w:sz w:val="20"/>
          <w:szCs w:val="20"/>
          <w:color w:val="auto"/>
        </w:rPr>
      </w:pPr>
      <w:r>
        <w:rPr>
          <w:rFonts w:ascii="Arial" w:cs="Arial" w:eastAsia="Arial" w:hAnsi="Arial"/>
          <w:sz w:val="19"/>
          <w:szCs w:val="19"/>
          <w:color w:val="auto"/>
        </w:rPr>
        <w:t>members of the Federal Reserve System arranged by federal funds brokers,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Charges</w:t>
      </w:r>
      <w:r>
        <w:rPr>
          <w:rFonts w:ascii="Arial" w:cs="Arial" w:eastAsia="Arial" w:hAnsi="Arial"/>
          <w:sz w:val="19"/>
          <w:szCs w:val="19"/>
          <w:color w:val="auto"/>
        </w:rPr>
        <w:t>” means, with respect to any fiscal period and with respect to Borrower determined on a consolidated basis in accordance with GAAP, the sum, without duplication, of (a) Interest Expense accrued (other than interest paid-in-kind, amortization of financing fees, and other non-cash Interest Expense) during such period, (b) principal payments in respect of Indebtedness that are required to be paid during such period, and (c) all federal, state, and local income taxes accrued during such period. For purposes of this definition, “principal payments” (a) shall be determined without giving effect to any voluntary prepayments made during the applicable period and (b) shall be deemed to include the Indebtedness in respect of Capital Leases.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means, with respect to any fiscal period and with respect to Borrower determined on a consolidated basis in accordance with GAAP, the ratio of (a) EBITDA for such period minus Capital Expenditures made (to the extent not already incurred in a prior period) or incurred during such period, to (b) Fixed Charges for such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Flextronics</w:t>
      </w:r>
      <w:r>
        <w:rPr>
          <w:rFonts w:ascii="Arial" w:cs="Arial" w:eastAsia="Arial" w:hAnsi="Arial"/>
          <w:sz w:val="20"/>
          <w:szCs w:val="20"/>
          <w:color w:val="auto"/>
        </w:rPr>
        <w:t>” means Flextronics International Ltd., an entity incorporated in the Republic of Singapore.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Flextronics Facility</w:t>
      </w:r>
      <w:r>
        <w:rPr>
          <w:rFonts w:ascii="Arial" w:cs="Arial" w:eastAsia="Arial" w:hAnsi="Arial"/>
          <w:sz w:val="20"/>
          <w:szCs w:val="20"/>
          <w:color w:val="auto"/>
        </w:rPr>
        <w:t>” means that certain facility owned and operated by Flextronics America LLC, located at 847 Gibraltar Drive, Milpitas, California 95035.</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Flextronics Non-Offset and Access Agreement</w:t>
      </w:r>
      <w:r>
        <w:rPr>
          <w:rFonts w:ascii="Arial" w:cs="Arial" w:eastAsia="Arial" w:hAnsi="Arial"/>
          <w:sz w:val="19"/>
          <w:szCs w:val="19"/>
          <w:color w:val="auto"/>
        </w:rPr>
        <w:t>” means a Non-Offset and Access Agreement by and among Flextronics, Agent, Borrower and any Loan Party that has Inventory located at the Flextronics Facility, in form and substance satisfactory to Agent.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Participant that is not a United States person within the meaning of IRC section 7701(a)(30).</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 any Subsidiary of Borrower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means the date on which a Borrowing occurs.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Losses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2.12(f)</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in effect from time to time in the United States, consistently applied.</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Governing Documents</w:t>
      </w:r>
      <w:r>
        <w:rPr>
          <w:rFonts w:ascii="Arial" w:cs="Arial" w:eastAsia="Arial" w:hAnsi="Arial"/>
          <w:sz w:val="20"/>
          <w:szCs w:val="20"/>
          <w:color w:val="auto"/>
        </w:rPr>
        <w:t>” means, with respect to any Person, the certificate or articles of incorporation, by-laws, or other organizational documents of such Person.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any nation or any political subdivision thereof, whether at the national, state, territorial, provincial,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ectPr>
          <w:pgSz w:w="11900" w:h="16838" w:orient="portrait"/>
          <w:cols w:equalWidth="0" w:num="1">
            <w:col w:w="11420"/>
          </w:cols>
          <w:pgMar w:left="240" w:top="825" w:right="239" w:bottom="1440" w:gutter="0" w:footer="0" w:header="0"/>
        </w:sectPr>
      </w:pPr>
    </w:p>
    <w:bookmarkStart w:id="183" w:name="page184"/>
    <w:bookmarkEnd w:id="183"/>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(a) each Domestic Subsidiary of Borrower that is not an Excluded Domestic Subsidiary, and (b) each other Person that becomes a guarantor after the Restatement Closing Date pursuant to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of the Agreement.</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and Security Agreement</w:t>
      </w:r>
      <w:r>
        <w:rPr>
          <w:rFonts w:ascii="Arial" w:cs="Arial" w:eastAsia="Arial" w:hAnsi="Arial"/>
          <w:sz w:val="18"/>
          <w:szCs w:val="18"/>
          <w:color w:val="auto"/>
        </w:rPr>
        <w:t>” means an amended and restated guaranty and security agreement, dated as of even date with the Agreement, in form and substance reasonably satisfactory to Agent, executed and delivered by Borrower and each of the Guarantors to Agent.</w:t>
      </w:r>
    </w:p>
    <w:p>
      <w:pPr>
        <w:spacing w:after="0" w:line="1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w:t>
      </w:r>
      <w:r>
        <w:rPr>
          <w:rFonts w:ascii="Arial" w:cs="Arial" w:eastAsia="Arial" w:hAnsi="Arial"/>
          <w:sz w:val="20"/>
          <w:szCs w:val="20"/>
          <w:color w:val="auto"/>
        </w:rPr>
        <w:t>” means a “swap agreement” as that term is defined in Section 101(53B)(A) of the Bankruptcy Code.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Obligations</w:t>
      </w:r>
      <w:r>
        <w:rPr>
          <w:rFonts w:ascii="Arial" w:cs="Arial" w:eastAsia="Arial" w:hAnsi="Arial"/>
          <w:sz w:val="20"/>
          <w:szCs w:val="20"/>
          <w:color w:val="auto"/>
        </w:rPr>
        <w:t>” means any and all obligations or liabilities, whether absolute or contingent, due or to become due, now existing or hereafter arising, of Borrower or its Subsidiaries arising under, owing pursuant to, or existing in respect of Hedge Agreements entered into with one or more of the Hedge Providers.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Provider</w:t>
      </w:r>
      <w:r>
        <w:rPr>
          <w:rFonts w:ascii="Arial" w:cs="Arial" w:eastAsia="Arial" w:hAnsi="Arial"/>
          <w:sz w:val="20"/>
          <w:szCs w:val="20"/>
          <w:color w:val="auto"/>
        </w:rPr>
        <w:t xml:space="preserve">” means any Lender or any of its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Person (other than Wells Fargo or its Affiliates) shall constitute a Hedge Provider unless and until Agent receives a Bank Product Provider Agreement from such Person and with respect to the applicable Hedge Agreement within 10 days (or such later date as permitted by Agent in its sole discretion) after the execution and delivery of such Hedge Agreement with Borrower or its Subsidiaries;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at any time, a Lender ceases to be a Lender under the Agreement,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Joinder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 and, for the avoidance of doubt, other than royalty payments payable in the ordinary course of business in respect of non-exclusive licenses), (f) all monetary obligations of such Person owing under Hedge</w:t>
      </w:r>
    </w:p>
    <w:p>
      <w:pPr>
        <w:sectPr>
          <w:pgSz w:w="11900" w:h="16838" w:orient="portrait"/>
          <w:cols w:equalWidth="0" w:num="1">
            <w:col w:w="11420"/>
          </w:cols>
          <w:pgMar w:left="240" w:top="825" w:right="239" w:bottom="1440" w:gutter="0" w:footer="0" w:header="0"/>
        </w:sectPr>
      </w:pPr>
    </w:p>
    <w:bookmarkStart w:id="184" w:name="page185"/>
    <w:bookmarkEnd w:id="184"/>
    <w:p>
      <w:pPr>
        <w:jc w:val="both"/>
        <w:spacing w:after="0" w:line="256" w:lineRule="auto"/>
        <w:rPr>
          <w:sz w:val="20"/>
          <w:szCs w:val="20"/>
          <w:color w:val="auto"/>
        </w:rPr>
      </w:pPr>
      <w:r>
        <w:rPr>
          <w:rFonts w:ascii="Arial" w:cs="Arial" w:eastAsia="Arial" w:hAnsi="Arial"/>
          <w:sz w:val="19"/>
          <w:szCs w:val="19"/>
          <w:color w:val="auto"/>
        </w:rPr>
        <w:t>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any Taxes other than Excluded Taxes.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Proceeding</w:t>
      </w:r>
      <w:r>
        <w:rPr>
          <w:rFonts w:ascii="Arial" w:cs="Arial" w:eastAsia="Arial" w:hAnsi="Arial"/>
          <w:sz w:val="19"/>
          <w:szCs w:val="19"/>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7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means an intercompany subordination agreement, dated as of even date with the Agreement, executed and delivered by Borrower, each of its Subsidiaries, and Agent, the form and substance of which is reasonably satisfactory to Agent.</w:t>
      </w:r>
    </w:p>
    <w:p>
      <w:pPr>
        <w:spacing w:after="0" w:line="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xml:space="preserve">” means each request by Borrower to borrow Base Rate Loans, LIBOR Rate Loans or European Denominated Loans, to continue Eurocurrency Base Rate Loans or LIBOR Rate Loans or to convert Loans into LIBOR Rate Loans or European Denominated Loans, in each case pursuant to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of the Agreement, which request shall be in the form of </w:t>
      </w:r>
      <w:r>
        <w:rPr>
          <w:rFonts w:ascii="Arial" w:cs="Arial" w:eastAsia="Arial" w:hAnsi="Arial"/>
          <w:sz w:val="20"/>
          <w:szCs w:val="20"/>
          <w:u w:val="single" w:color="auto"/>
          <w:color w:val="auto"/>
        </w:rPr>
        <w:t>Exhibit L-1</w:t>
      </w:r>
      <w:r>
        <w:rPr>
          <w:rFonts w:ascii="Arial" w:cs="Arial" w:eastAsia="Arial" w:hAnsi="Arial"/>
          <w:sz w:val="20"/>
          <w:szCs w:val="20"/>
          <w:color w:val="auto"/>
        </w:rPr>
        <w:t xml:space="preserve"> or otherwise as mutually agreed upon by Borrower and Agent.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w:t>
      </w:r>
      <w:r>
        <w:rPr>
          <w:rFonts w:ascii="Arial" w:cs="Arial" w:eastAsia="Arial" w:hAnsi="Arial"/>
          <w:sz w:val="20"/>
          <w:szCs w:val="20"/>
          <w:color w:val="auto"/>
        </w:rPr>
        <w:t>” means, for any period, the aggregate of the interest expense of Borrower for such period, determined on a consolidated basis in accordance with GAAP.</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 with respect to each European Denominated Loan, a period commencing on the date of the making of such Loan (or the continuation of a Eurocurrency Base Rate Loan or the conversion of a Base Rate Loan to a Eurocurrency Base Rate Loan) and ending 1, 2, 3 or 6 months thereafter and (b) with respect to each LIBOR Rate Loan, a period commencing on the date of the making of such LIBOR Rate Loan (or the continuation of a LIBOR Rate Loan or the conversion of a Base Rate Loan to a LIBOR Rate Loan) and ending 1, 2, 3 or 6 months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(i) interest shall accrue at the applicable rate based upon the Eurocurrency Base Rate or the LIBOR Rate, as applicable, from and including the first day of each Interest Period to, but excluding, the day on which any Interest Period expires, (ii) any Interest Period that would end on a day that is not a Business Day shall be extended to the next succeeding Business Day unless such Business Day falls in another calendar month, in which case such Interest Period shall end on the next preceding Business Day, (iii) with respect to an Interest Period that begins on the last Business Day of a calendar month (or on a day for which there is no numerically corresponding day in the calendar month at the end of such Interest Period), the Interest Period shall end on</w:t>
      </w:r>
    </w:p>
    <w:p>
      <w:pPr>
        <w:sectPr>
          <w:pgSz w:w="11900" w:h="16838" w:orient="portrait"/>
          <w:cols w:equalWidth="0" w:num="1">
            <w:col w:w="11420"/>
          </w:cols>
          <w:pgMar w:left="240" w:top="825" w:right="239" w:bottom="1440" w:gutter="0" w:footer="0" w:header="0"/>
        </w:sectPr>
      </w:pPr>
    </w:p>
    <w:bookmarkStart w:id="185" w:name="page186"/>
    <w:bookmarkEnd w:id="185"/>
    <w:p>
      <w:pPr>
        <w:jc w:val="both"/>
        <w:ind w:right="20"/>
        <w:spacing w:after="0" w:line="260" w:lineRule="auto"/>
        <w:rPr>
          <w:sz w:val="20"/>
          <w:szCs w:val="20"/>
          <w:color w:val="auto"/>
        </w:rPr>
      </w:pPr>
      <w:r>
        <w:rPr>
          <w:rFonts w:ascii="Arial" w:cs="Arial" w:eastAsia="Arial" w:hAnsi="Arial"/>
          <w:sz w:val="20"/>
          <w:szCs w:val="20"/>
          <w:color w:val="auto"/>
        </w:rPr>
        <w:t>the last Business Day of the calendar month that is 1, 2, 3 or 6 months after the date on which the Interest Period began, as applicable, and (iv) Borrower may not elect an Interest Period which will end after the Maturity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means inventory (as that term is defined in the Code).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 Reserves</w:t>
      </w:r>
      <w:r>
        <w:rPr>
          <w:rFonts w:ascii="Arial" w:cs="Arial" w:eastAsia="Arial" w:hAnsi="Arial"/>
          <w:sz w:val="20"/>
          <w:szCs w:val="20"/>
          <w:color w:val="auto"/>
        </w:rPr>
        <w:t xml:space="preserve">” means, as of any date of determination, (a) Landlord Reserves, and (b) those reserves that Agent deems necessary or appropriate, in its Permitted Discretion and subject to </w:t>
      </w:r>
      <w:r>
        <w:rPr>
          <w:rFonts w:ascii="Arial" w:cs="Arial" w:eastAsia="Arial" w:hAnsi="Arial"/>
          <w:sz w:val="20"/>
          <w:szCs w:val="20"/>
          <w:u w:val="single" w:color="auto"/>
          <w:color w:val="auto"/>
        </w:rPr>
        <w:t>Section 2.1(c)</w:t>
      </w:r>
      <w:r>
        <w:rPr>
          <w:rFonts w:ascii="Arial" w:cs="Arial" w:eastAsia="Arial" w:hAnsi="Arial"/>
          <w:sz w:val="20"/>
          <w:szCs w:val="20"/>
          <w:color w:val="auto"/>
        </w:rPr>
        <w:t>, to establish and maintain (including reserves for slow moving Inventory and Inventory shrinkage) with respect to Eligible Inventory or the Maximum Revolver Amount.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plus the cost of all additions thereto, without any adjustment for increases or decreases in value, or write-ups, write-downs, or write-offs with respect to such Investment.</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IRC</w:t>
      </w:r>
      <w:r>
        <w:rPr>
          <w:rFonts w:ascii="Arial" w:cs="Arial" w:eastAsia="Arial" w:hAnsi="Arial"/>
          <w:sz w:val="20"/>
          <w:szCs w:val="20"/>
          <w:color w:val="auto"/>
        </w:rPr>
        <w:t>” means the Internal Revenue Code of 1986, as amended, and any successor statutes, and all regulations and guidance promulgated thereunder. Any reference to a specific section of the IRC shall be deemed to be a reference to such section of the IRC and any successor statutes, and all regulations and guidance promulgated thereunder.</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(International Chamber of Commerce Publication No. 590) and any subsequent revision thereof adopted by the International Chamber of Commerce on the date such Letter of Credit is issued.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w:t>
      </w:r>
      <w:r>
        <w:rPr>
          <w:rFonts w:ascii="Arial" w:cs="Arial" w:eastAsia="Arial" w:hAnsi="Arial"/>
          <w:sz w:val="20"/>
          <w:szCs w:val="20"/>
          <w:color w:val="auto"/>
        </w:rPr>
        <w:t>” means, with respect to any Letter of Credit, a letter of credit application, a letter of credit agreement, or any other document, agreement or instrument entered into (or to be entered into) by Borrower in favor of Issuing Bank and relating to such Letter of Credit.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w:t>
      </w:r>
      <w:r>
        <w:rPr>
          <w:rFonts w:ascii="Arial" w:cs="Arial" w:eastAsia="Arial" w:hAnsi="Arial"/>
          <w:sz w:val="20"/>
          <w:szCs w:val="20"/>
          <w:color w:val="auto"/>
        </w:rPr>
        <w:t xml:space="preserve">” means Wells Fargo or any other Lender that, at the request of Borrower and with the consent of Agent, agrees, in such Lender’s sole discretion, to become an Issuing Bank for the purpose of issuing Letters of Credit pursuant to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 Agreement, and Issuing Bank shall be a Lender.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17.13</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Landlord Reserve</w:t>
      </w:r>
      <w:r>
        <w:rPr>
          <w:rFonts w:ascii="Arial" w:cs="Arial" w:eastAsia="Arial" w:hAnsi="Arial"/>
          <w:sz w:val="20"/>
          <w:szCs w:val="20"/>
          <w:color w:val="auto"/>
        </w:rPr>
        <w:t>” means, as to each location at which Borrower has Inventory or books and records located and as to which a Collateral Access Agreement (or with respect to the Flextronics Facility, a Flextronics Non-Offset and Access Agreement), has not been received by Agent, a reserve in an amount equal to the greater of (a) the number of months rent for which the landlord will have, under applicable law, a Lien in the Inventory of Borrower to secure the payment of rent or other amounts under the lease relative to such location, or (b) 3 months rent under the lease relative to such location.</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set forth in the preamble to the Agreement, shall include Issuing Bank and the Swing Lender, and shall also include any other Person made a party to the Agreement pursuant to</w:t>
      </w:r>
    </w:p>
    <w:p>
      <w:pPr>
        <w:sectPr>
          <w:pgSz w:w="11900" w:h="16838" w:orient="portrait"/>
          <w:cols w:equalWidth="0" w:num="1">
            <w:col w:w="11420"/>
          </w:cols>
          <w:pgMar w:left="240" w:top="825"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 xml:space="preserve">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of the Agreement and “</w:t>
      </w:r>
      <w:r>
        <w:rPr>
          <w:rFonts w:ascii="Arial" w:cs="Arial" w:eastAsia="Arial" w:hAnsi="Arial"/>
          <w:sz w:val="20"/>
          <w:szCs w:val="20"/>
          <w:u w:val="single" w:color="auto"/>
          <w:color w:val="auto"/>
        </w:rPr>
        <w:t>Lenders</w:t>
      </w:r>
      <w:r>
        <w:rPr>
          <w:rFonts w:ascii="Arial" w:cs="Arial" w:eastAsia="Arial" w:hAnsi="Arial"/>
          <w:sz w:val="20"/>
          <w:szCs w:val="20"/>
          <w:color w:val="auto"/>
        </w:rPr>
        <w:t>” means each of the Lenders or any one or more of them.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w:t>
      </w:r>
      <w:r>
        <w:rPr>
          <w:rFonts w:ascii="Arial" w:cs="Arial" w:eastAsia="Arial" w:hAnsi="Arial"/>
          <w:sz w:val="18"/>
          <w:szCs w:val="18"/>
          <w:color w:val="auto"/>
        </w:rPr>
        <w:t>” means each of the Lenders (including Issuing Bank and the Swing Lender) and Agent, or any one or more of them.</w:t>
      </w:r>
    </w:p>
    <w:p>
      <w:pPr>
        <w:spacing w:after="0" w:line="23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 Expenses</w:t>
      </w:r>
      <w:r>
        <w:rPr>
          <w:rFonts w:ascii="Arial" w:cs="Arial" w:eastAsia="Arial" w:hAnsi="Arial"/>
          <w:sz w:val="16"/>
          <w:szCs w:val="16"/>
          <w:color w:val="auto"/>
        </w:rPr>
        <w:t>” means all (a) costs or expenses (including taxes and insurance premiums) required to be paid by Borrower or its Subsidiaries under any of the Loan Documents that are paid, advanced, or incurred by the Lender Group, (b) documented out-of-pocket fees or charges paid or incurred by Agent in connection with the Lender Group’s transactions with Borrower or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OFAC/PEP searches related to Borrower or its Subsidiaries, (d) Agent’s customary fees and charges (as adjusted from time to time) with respect to the disbursement of funds (or the receipt of funds) to or for the account of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w:t>
      </w:r>
    </w:p>
    <w:p>
      <w:pPr>
        <w:spacing w:after="0" w:line="182" w:lineRule="exact"/>
        <w:rPr>
          <w:sz w:val="20"/>
          <w:szCs w:val="20"/>
          <w:color w:val="auto"/>
        </w:rPr>
      </w:pPr>
    </w:p>
    <w:p>
      <w:pPr>
        <w:jc w:val="both"/>
        <w:ind w:firstLine="8"/>
        <w:spacing w:after="0" w:line="268" w:lineRule="auto"/>
        <w:tabs>
          <w:tab w:leader="none" w:pos="30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field examination, appraisal, and valuation fees and expenses of Agent related to any field examinations, appraisals, or valuation to the extent of the fees and charges (and up to the amount of any limitation)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Agreement, (h) Agent’s reasonable costs and expenses (including reasonable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Borrower or any of its Subsidiaries, (i) Agent’s reasonable documented costs and expenses (including reasonable documented attorneys fees and due diligence expenses) incurred in advising, structuring, drafting, reviewing, administering (including travel, meals, and lodging), syndicating (including reasonable costs and expenses relative to CUSIPs, DXSyndicate™, SyndTrak or other communication costs incurred in connection with a syndication of the loan facilities), or amending, waiving, or modifying the Loan Documents, and (j) Agent’s and each Lender’s reasonable documented costs and expenses (including reasonable documented attorneys, accountants, consultants, and other advisors fees and expenses) incurred in terminating, enforcing (including attorneys, accountants, consultants, and other advisors fees and expenses incurred in connection with a “</w:t>
      </w:r>
      <w:r>
        <w:rPr>
          <w:rFonts w:ascii="Arial" w:cs="Arial" w:eastAsia="Arial" w:hAnsi="Arial"/>
          <w:sz w:val="18"/>
          <w:szCs w:val="18"/>
          <w:u w:val="single" w:color="auto"/>
          <w:color w:val="auto"/>
        </w:rPr>
        <w:t>workout,</w:t>
      </w:r>
      <w:r>
        <w:rPr>
          <w:rFonts w:ascii="Arial" w:cs="Arial" w:eastAsia="Arial" w:hAnsi="Arial"/>
          <w:sz w:val="18"/>
          <w:szCs w:val="18"/>
          <w:color w:val="auto"/>
        </w:rPr>
        <w:t>” a “restructuring,” or an Insolvency Proceeding concerning Borrower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Group Representatives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means, with respect to any Lender, such Lender, together with such Lender’s Affiliates, officers, directors, employees, attorneys, and agents.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 letter of credit (as that term is defined in the Code) issued by Issuing Bank.</w:t>
      </w:r>
    </w:p>
    <w:p>
      <w:pPr>
        <w:sectPr>
          <w:pgSz w:w="11900" w:h="16838" w:orient="portrait"/>
          <w:cols w:equalWidth="0" w:num="1">
            <w:col w:w="11420"/>
          </w:cols>
          <w:pgMar w:left="240" w:top="825" w:right="239" w:bottom="1440" w:gutter="0" w:footer="0" w:header="0"/>
        </w:sectPr>
      </w:pPr>
    </w:p>
    <w:bookmarkStart w:id="187" w:name="page188"/>
    <w:bookmarkEnd w:id="187"/>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Collateralization</w:t>
      </w:r>
      <w:r>
        <w:rPr>
          <w:rFonts w:ascii="Arial" w:cs="Arial" w:eastAsia="Arial" w:hAnsi="Arial"/>
          <w:sz w:val="19"/>
          <w:szCs w:val="19"/>
          <w:color w:val="auto"/>
        </w:rPr>
        <w:t xml:space="preserve">” means either (a) providing cash collateral (pursuant to documentation reasonably satisfactory to Agent, including provisions that specify that the Letter of Credit Fees and all commissions, fees, charges and expenses provided for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2.11(k)</w:t>
      </w:r>
      <w:r>
        <w:rPr>
          <w:rFonts w:ascii="Arial" w:cs="Arial" w:eastAsia="Arial" w:hAnsi="Arial"/>
          <w:sz w:val="19"/>
          <w:szCs w:val="19"/>
          <w:color w:val="auto"/>
        </w:rPr>
        <w:t xml:space="preserve"> of the Agreement (including any fronting fees) will continue to accrue while the Letters of Credit are outstanding) to be held by Agent for the benefit of the Revolving Lenders in an amount equal to 105% of the then existing Letter of Credit Usage, (b) delivering to Agent documentation executed by all beneficiaries under the Letters of Credit, in form and substance reasonably satisfactory to Agent and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the Agreement will continue to accrue while the Letters of Credit are outstanding and that any such fees that accrue must be an amount that can be drawn under any such standby letter of credit).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Disbursement</w:t>
      </w:r>
      <w:r>
        <w:rPr>
          <w:rFonts w:ascii="Arial" w:cs="Arial" w:eastAsia="Arial" w:hAnsi="Arial"/>
          <w:sz w:val="20"/>
          <w:szCs w:val="20"/>
          <w:color w:val="auto"/>
        </w:rPr>
        <w:t>” means a payment made by Issuing Bank pursuant to a Letter of Credit.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Exposure</w:t>
      </w:r>
      <w:r>
        <w:rPr>
          <w:rFonts w:ascii="Arial" w:cs="Arial" w:eastAsia="Arial" w:hAnsi="Arial"/>
          <w:sz w:val="20"/>
          <w:szCs w:val="20"/>
          <w:color w:val="auto"/>
        </w:rPr>
        <w:t>” means, as of any date of determination with respect to any Lender, such Lender’s Pro Rata Share of the Letter of Credit Usage on such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Indemnified Costs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Related Person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Usage</w:t>
      </w:r>
      <w:r>
        <w:rPr>
          <w:rFonts w:ascii="Arial" w:cs="Arial" w:eastAsia="Arial" w:hAnsi="Arial"/>
          <w:sz w:val="18"/>
          <w:szCs w:val="18"/>
          <w:color w:val="auto"/>
        </w:rPr>
        <w:t>” means, as of any date of determination, the aggregate undrawn amount of all outstanding Letters of Credit.</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means (a) when used in relation to a LIBOR Rate Loan, the rate per annum as reported on Reuters Screen LIBOR01 page (or on any successor page) 2 Business Days prior to the commencement of the requested Interest Period, for a term, and in an amount, comparable to the Interest Period and the amount of the LIBOR Rate Loan requested (whether as an initial LIBOR Rate Loan or as a continuation of a LIBOR Rate Loan or as a conversion of a Base Rate Loan to a LIBOR Rate Loan) by Borrower in accordance with the Agreement (and, if any such rate is below zero, the LIBOR Rate shall be deemed to be zero), which determination shall be made by Agent and shall be conclusive in the absence of manifest error, and (b) when used in relation to a Sterling Denominated Loan, the rate per annum equal to the British Bankers’ Association Interest Settlement Rate for the duration of the applicable Interest Period denominated in Sterling taken at or about 11:00 a.m. (London time) on the date which is 2 Business Days prior to the commencement of such Interest Period as determined by the Agent, from time to time for purposes of providing quotations of interest rates applicable to deposits in Sterling in the London interbank market);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such rate is not available at such time for any reason, then the “</w:t>
      </w:r>
      <w:r>
        <w:rPr>
          <w:rFonts w:ascii="Arial" w:cs="Arial" w:eastAsia="Arial" w:hAnsi="Arial"/>
          <w:sz w:val="18"/>
          <w:szCs w:val="18"/>
          <w:u w:val="single" w:color="auto"/>
          <w:color w:val="auto"/>
        </w:rPr>
        <w:t>LIBOR Rate</w:t>
      </w:r>
      <w:r>
        <w:rPr>
          <w:rFonts w:ascii="Arial" w:cs="Arial" w:eastAsia="Arial" w:hAnsi="Arial"/>
          <w:sz w:val="18"/>
          <w:szCs w:val="18"/>
          <w:color w:val="auto"/>
        </w:rPr>
        <w:t>” with respect to such Sterling Denominated Loan for such Interest Period shall be the rate at which deposits in Sterling of $5,000,000 (or the US Dollar Equivalent thereof) and for a maturity comparable to such Interest Period are offered by the principal London office of Agent in immediately available funds in the London interbank market at approximately 11:00 a.m. London time on the day which is 2 Business Days prior to the commencement of such Interest Period (and, if any such rate is below zero, the LIBOR Rate shall be deemed to be zero).</w:t>
      </w:r>
    </w:p>
    <w:p>
      <w:pPr>
        <w:sectPr>
          <w:pgSz w:w="11900" w:h="16838" w:orient="portrait"/>
          <w:cols w:equalWidth="0" w:num="1">
            <w:col w:w="11420"/>
          </w:cols>
          <w:pgMar w:left="240" w:top="825" w:right="239" w:bottom="1440" w:gutter="0" w:footer="0" w:header="0"/>
        </w:sectPr>
      </w:pPr>
    </w:p>
    <w:bookmarkStart w:id="188" w:name="page189"/>
    <w:bookmarkEnd w:id="188"/>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Loan</w:t>
      </w:r>
      <w:r>
        <w:rPr>
          <w:rFonts w:ascii="Arial" w:cs="Arial" w:eastAsia="Arial" w:hAnsi="Arial"/>
          <w:sz w:val="20"/>
          <w:szCs w:val="20"/>
          <w:color w:val="auto"/>
        </w:rPr>
        <w:t>” means each portion of a Dollar Denominated Loan that bears interest at a rate determined by reference to the LIBOR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 Margin</w:t>
      </w:r>
      <w:r>
        <w:rPr>
          <w:rFonts w:ascii="Arial" w:cs="Arial" w:eastAsia="Arial" w:hAnsi="Arial"/>
          <w:sz w:val="20"/>
          <w:szCs w:val="20"/>
          <w:color w:val="auto"/>
        </w:rPr>
        <w:t>” has the meaning set forth in the definition of Applicable Margin.</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means the sum of Availability and Qualified Cash.</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shall mean any Revolving Loan, Swing Loan or Extraordinary Advance made (or to be made) 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Account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the Agreement, the Control Agreements, any Borrowing Base Certificate, the Fee Letter, the Guaranty and Security Agreement, the Intercompany Subordination Agreement, any Issuer Documents, the Letters of Credit, any Mortgages, any note or notes executed by Borrower in connection with the Agreement and payable to any member of the Lender Group, and any other instrument or agreement entered into, now or in the future, by Borrower or any of its Subsidiaries and any member of the Lender Group in connection with the Agreement.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means Borrower or any Guarantor.</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(a) local time in London, with respect to the terms for the receipt of a request to borrow European Denominated Loans, the payment by Loan Parties in respect of European Denominated Loans, and (b) California time, with respect to all other matters.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Cost</w:t>
      </w:r>
      <w:r>
        <w:rPr>
          <w:rFonts w:ascii="Arial" w:cs="Arial" w:eastAsia="Arial" w:hAnsi="Arial"/>
          <w:sz w:val="20"/>
          <w:szCs w:val="20"/>
          <w:color w:val="auto"/>
        </w:rPr>
        <w:t>” shall mean the cost imputed to each Lender in compliance with any reserve asset requirements of the European Central Bank.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as defined in Regulation U of the Board of Governors as in effect from time to time.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effect in the business, operations, results of operations, assets, liabilities or financial condition of Borrower and its Subsidiaries, taken as a whole, (b) a material impairment of Borrower’s and its Subsidiaries ability to perform their obligations under the Loan Documents to which they are parties or of the Lender Group’s ability to enforce the Obligations or realize upon the Collateral (other than as a result of an action taken or not taken that is solely in the control of Agent), or (c) a material impairment of the enforceability or priority of Agent’s Liens with respect to all or a material portion of the Collateral.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November 7, 2019.</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Revolver Amount</w:t>
      </w:r>
      <w:r>
        <w:rPr>
          <w:rFonts w:ascii="Arial" w:cs="Arial" w:eastAsia="Arial" w:hAnsi="Arial"/>
          <w:sz w:val="20"/>
          <w:szCs w:val="20"/>
          <w:color w:val="auto"/>
        </w:rPr>
        <w:t xml:space="preserve">” means $50,000,000, as may be decreased by the amount of reductions in the Revolver Commitments made in accordance with </w:t>
      </w:r>
      <w:r>
        <w:rPr>
          <w:rFonts w:ascii="Arial" w:cs="Arial" w:eastAsia="Arial" w:hAnsi="Arial"/>
          <w:sz w:val="20"/>
          <w:szCs w:val="20"/>
          <w:u w:val="single" w:color="auto"/>
          <w:color w:val="auto"/>
        </w:rPr>
        <w:t>Section 2.4(c)</w:t>
      </w:r>
      <w:r>
        <w:rPr>
          <w:rFonts w:ascii="Arial" w:cs="Arial" w:eastAsia="Arial" w:hAnsi="Arial"/>
          <w:sz w:val="20"/>
          <w:szCs w:val="20"/>
          <w:color w:val="auto"/>
        </w:rPr>
        <w:t xml:space="preserve"> of the Agreement and increased by</w:t>
      </w:r>
    </w:p>
    <w:p>
      <w:pPr>
        <w:sectPr>
          <w:pgSz w:w="11900" w:h="16838" w:orient="portrait"/>
          <w:cols w:equalWidth="0" w:num="1">
            <w:col w:w="11420"/>
          </w:cols>
          <w:pgMar w:left="240" w:top="825" w:right="2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 xml:space="preserve">the amount of Increases to the Revolver Commitments made in accordance with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has the meaning specified therefor in the definition of Cash Equivalents.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Mortgages</w:t>
      </w:r>
      <w:r>
        <w:rPr>
          <w:rFonts w:ascii="Arial" w:cs="Arial" w:eastAsia="Arial" w:hAnsi="Arial"/>
          <w:sz w:val="20"/>
          <w:szCs w:val="20"/>
          <w:color w:val="auto"/>
        </w:rPr>
        <w:t>” means, individually and collectively, one or more mortgages, deeds of trust, or deeds to secure debt, executed and delivered by Borrower or its Subsidiaries in favor of Agent, in form and substance reasonably satisfactory to Agent, that encumber the Real Property Collateral.</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multiemployer plan within the meaning of Section 3(37) or 4001(a)(3) of ERISA with respect to which any Loan Party or ERISA Affiliate has an obligation to contribute or has any liability, contingent or otherwise or could be assessed withdrawal liability assuming a complete withdrawal from any such multiemployer plan.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Recovery Percentage</w:t>
      </w:r>
      <w:r>
        <w:rPr>
          <w:rFonts w:ascii="Arial" w:cs="Arial" w:eastAsia="Arial" w:hAnsi="Arial"/>
          <w:sz w:val="20"/>
          <w:szCs w:val="20"/>
          <w:color w:val="auto"/>
        </w:rPr>
        <w:t>” means, as of any date of determination, the percentage of the book value of Borrower’s Inventory that is estimated to be recoverable in an orderly liquidation of such Inventory net of all associated costs and expenses of such liquidation, such percentage to be determined as to each category of Inventory and to be as specified in the most recent appraisal received by Agent from an appraisal company selected by Agent.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14.2(a)</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each Lender other than a Defaulting Lender.</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Notification Event</w:t>
      </w:r>
      <w:r>
        <w:rPr>
          <w:rFonts w:ascii="Arial" w:cs="Arial" w:eastAsia="Arial" w:hAnsi="Arial"/>
          <w:sz w:val="18"/>
          <w:szCs w:val="18"/>
          <w:color w:val="auto"/>
        </w:rPr>
        <w:t xml:space="preserve">” means (a) the occurrence of a “reportable event” described in Section 4043 of ERISA for which the 30-day notice requirement has not been waived by applicable regulations issued by the PBGC, (b) the withdrawal of any Loan Party or ERISA Affiliate from a Pension Plan during a plan year in which it was a “substantial employer” as defined in Section 4001(a)(2) of ERISA, (c) 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or any Pension Plan or Multiemployer Plan administrator, (e) any other event or condition that would constitute grounds under Section 4042(a) of ERISA for the termination of, or the appointment of a trustee to administer, any Pension Plan, (f) the imposition of a Lien pursuant to the IRC or ERISA in connection with any Employee Benefit Plan or the existence of any facts or circumstances that could reasonably be expected to result in the imposition of a Lien, (g) the partial or complete withdrawal of any Loan Party or ERISA Affiliate from a Multiemployer Plan (other than any withdrawal that would not constitute an Event of Default under </w:t>
      </w:r>
      <w:r>
        <w:rPr>
          <w:rFonts w:ascii="Arial" w:cs="Arial" w:eastAsia="Arial" w:hAnsi="Arial"/>
          <w:sz w:val="18"/>
          <w:szCs w:val="18"/>
          <w:u w:val="single" w:color="auto"/>
          <w:color w:val="auto"/>
        </w:rPr>
        <w:t>Section 8.12</w:t>
      </w:r>
      <w:r>
        <w:rPr>
          <w:rFonts w:ascii="Arial" w:cs="Arial" w:eastAsia="Arial" w:hAnsi="Arial"/>
          <w:sz w:val="18"/>
          <w:szCs w:val="18"/>
          <w:color w:val="auto"/>
        </w:rPr>
        <w:t>), (h) any event or condition that results in the reorganization or insolvency of a Multiemployer Plan under Sections of ERISA, (i) any event or condition that results in the termination of a Multiemployer Plan under Section 4041A of ERISA or the institution by the PBGC of proceedings to terminate or to appoint a trustee to administer a Multiemployer Plan under ERISA, (j) any Pension Plan being in “at risk status” within the meaning of IRC Section 430(i), (k) any Multiemployer Plan being in “endangered status” or “critical status” within the meaning of IRC Section 432(b) or the determination that any Multiemployer Plan is or is expected to be insolvent or in reorganization within the meaning of Title IV of ERISA, (l) with respect to any Pension Plan, any Loan Party or ERISA Affiliate incurring a substantial cessation of operations within the meaning of ERISA Section 4062(e), (m) an “accumulated funding deficiency” within the meaning of the IRC or ERISA (including Section 412 of the IRC or Section 302 of ERISA) or the failure of any Pension Plan or Multiemployer Plan to meet the minimum funding standards within the meaning of the IRC or ERISA (including Section 412 of the IRC or Section 302 of ERISA), in each case, whether or not waived, (n) the filing of an application for a waiver of the minimum funding</w:t>
      </w:r>
    </w:p>
    <w:p>
      <w:pPr>
        <w:sectPr>
          <w:pgSz w:w="11900" w:h="16838" w:orient="portrait"/>
          <w:cols w:equalWidth="0" w:num="1">
            <w:col w:w="11420"/>
          </w:cols>
          <w:pgMar w:left="240" w:top="825" w:right="239" w:bottom="1440" w:gutter="0" w:footer="0" w:header="0"/>
        </w:sectPr>
      </w:pPr>
    </w:p>
    <w:bookmarkStart w:id="190" w:name="page191"/>
    <w:bookmarkEnd w:id="190"/>
    <w:p>
      <w:pPr>
        <w:jc w:val="both"/>
        <w:spacing w:after="0" w:line="243" w:lineRule="auto"/>
        <w:rPr>
          <w:sz w:val="20"/>
          <w:szCs w:val="20"/>
          <w:color w:val="auto"/>
        </w:rPr>
      </w:pPr>
      <w:r>
        <w:rPr>
          <w:rFonts w:ascii="Arial" w:cs="Arial" w:eastAsia="Arial" w:hAnsi="Arial"/>
          <w:sz w:val="20"/>
          <w:szCs w:val="20"/>
          <w:color w:val="auto"/>
        </w:rPr>
        <w:t>standards within the meaning of the IRC or ERISA (including Section 412 of the IRC or Section 302 of ERISA) with respect to any Pension Plan or Multiemployer Plan, (o) the failure to make by its due date a required payment or contribution with respect to any Pension Plan or Multiemployer Plan, (p) any event that results in or could reasonably be expected to result in a liability by a Loan Party pursuant to Title I of ERISA or the excise tax provisions of the IRC relating to Employee Benefit Plans or any event that results in or could reasonably be expected to result in a liability to any Loan Party or ERISA Affiliate pursuant to Title IV of ERISA or Section 401(a)(29) of the IRC, or (q) any of the foregoing is reasonably likely to occur in the following 30 days.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all loans (including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the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the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Borrower is required to pay or reimburse by the Loan Documents or by law or otherwise in connection with the Loan Documents, and (b) all Bank Product Obligations. Without limiting the generality of the foregoing, the Obligations of Borrower under the Loan Documents include the obligation to pay (i) the principal of the Revolving Loans, (ii) interest accrued on the Revolving Loans, (iii) the amount necessary to reimburse Issuing Bank for amounts paid or payable pursuant to Letters of Credit, (iv) Letter of Credit commissions, fees (including fronting fees) and charges, (v) Lender Group Expenses, (vi) fees payable under the Agreement or any of the other Loan Documents, and (vii) indemnities and other amounts payable by any Loan Party under any Loan Document. Any reference in the Agreement or in the Loan Documents to the Obligations shall include all or any portion thereof and any extensions, modifications, renewals, or alterations thereof, both prior and subsequent to any Insolvency Proceeding.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the Treasury.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Originating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Overadvance</w:t>
      </w:r>
      <w:r>
        <w:rPr>
          <w:rFonts w:ascii="Arial" w:cs="Arial" w:eastAsia="Arial" w:hAnsi="Arial"/>
          <w:sz w:val="20"/>
          <w:szCs w:val="20"/>
          <w:color w:val="auto"/>
        </w:rPr>
        <w:t xml:space="preserve">” means, as of any date of determination, that the Revolver Usage is greater than any of the limitations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13.1(i)</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each State so described in any EMU Legislation, and includes, without limitation, each member State of the European Community that adopts or has adopted the Euro as its lawful currency in accordance with EMU Legislation.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of the Agreement.</w:t>
      </w:r>
    </w:p>
    <w:p>
      <w:pPr>
        <w:sectPr>
          <w:pgSz w:w="11900" w:h="16838" w:orient="portrait"/>
          <w:cols w:equalWidth="0" w:num="1">
            <w:col w:w="11420"/>
          </w:cols>
          <w:pgMar w:left="240" w:top="825" w:right="239" w:bottom="1440" w:gutter="0" w:footer="0" w:header="0"/>
        </w:sectPr>
      </w:pPr>
    </w:p>
    <w:bookmarkStart w:id="191" w:name="page192"/>
    <w:bookmarkEnd w:id="19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the provisions of Title IV or Section 302 of ERISA or Sections 412 or 430 of the Code sponsored, maintained, or contributed to by any Loan Party or ERISA Affiliate or to which any Loan Party or ERISA Affiliate has any liability, contingent or otherwise.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means a certificate in the form of </w:t>
      </w:r>
      <w:r>
        <w:rPr>
          <w:rFonts w:ascii="Arial" w:cs="Arial" w:eastAsia="Arial" w:hAnsi="Arial"/>
          <w:sz w:val="20"/>
          <w:szCs w:val="20"/>
          <w:u w:val="single" w:color="auto"/>
          <w:color w:val="auto"/>
        </w:rPr>
        <w:t>Exhibit P-1</w:t>
      </w:r>
      <w:r>
        <w:rPr>
          <w:rFonts w:ascii="Arial" w:cs="Arial" w:eastAsia="Arial" w:hAnsi="Arial"/>
          <w:sz w:val="20"/>
          <w:szCs w:val="20"/>
          <w:color w:val="auto"/>
        </w:rPr>
        <w:t xml:space="preserve"> to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so long as:</w:t>
      </w:r>
    </w:p>
    <w:p>
      <w:pPr>
        <w:spacing w:after="0" w:line="229" w:lineRule="exact"/>
        <w:rPr>
          <w:sz w:val="20"/>
          <w:szCs w:val="20"/>
          <w:color w:val="auto"/>
        </w:rPr>
      </w:pPr>
    </w:p>
    <w:p>
      <w:pPr>
        <w:ind w:right="20" w:firstLine="1305"/>
        <w:spacing w:after="0" w:line="289" w:lineRule="auto"/>
        <w:tabs>
          <w:tab w:leader="none" w:pos="180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from the consummation of the proposed Acquisition and the proposed Acquisition is consensual,</w:t>
      </w:r>
    </w:p>
    <w:p>
      <w:pPr>
        <w:spacing w:after="0" w:line="94" w:lineRule="exact"/>
        <w:rPr>
          <w:rFonts w:ascii="Arial" w:cs="Arial" w:eastAsia="Arial" w:hAnsi="Arial"/>
          <w:sz w:val="20"/>
          <w:szCs w:val="20"/>
          <w:color w:val="auto"/>
        </w:rPr>
      </w:pPr>
    </w:p>
    <w:p>
      <w:pPr>
        <w:jc w:val="both"/>
        <w:ind w:firstLine="1305"/>
        <w:spacing w:after="0" w:line="274" w:lineRule="auto"/>
        <w:tabs>
          <w:tab w:leader="none" w:pos="174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no Indebtedness will be incurred, assumed, or would exist with respect to Borrower or its Subsidiaries as a result of such Acquisition, other than Indebtedness permitted under clauses (f) or (g) of the definition of Permitted Indebtedness and no Liens will be incurred, assumed, or would exist with respect to the assets of Borrower or its Subsidiaries as a result or such Acquisition other than Permitted Liens,</w:t>
      </w:r>
    </w:p>
    <w:p>
      <w:pPr>
        <w:spacing w:after="0" w:line="111" w:lineRule="exact"/>
        <w:rPr>
          <w:rFonts w:ascii="Arial" w:cs="Arial" w:eastAsia="Arial" w:hAnsi="Arial"/>
          <w:sz w:val="20"/>
          <w:szCs w:val="20"/>
          <w:color w:val="auto"/>
        </w:rPr>
      </w:pPr>
    </w:p>
    <w:p>
      <w:pPr>
        <w:jc w:val="both"/>
        <w:ind w:firstLine="1305"/>
        <w:spacing w:after="0" w:line="271" w:lineRule="auto"/>
        <w:tabs>
          <w:tab w:leader="none" w:pos="184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 the case of any Acquisition where the cash purchase consideration (including the amount of cash that Borrower reasonably expects to pay in the form of deferred payment obligations) and assumed liabilities exceeds $2,500,000, Borrower has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1 year period following the date of the proposed Acquisition, on a quarter by quarter basis), in form and substance (including as to scope and underlying assumptions) reasonably satisfactory to Agent,</w:t>
      </w:r>
    </w:p>
    <w:p>
      <w:pPr>
        <w:spacing w:after="0" w:line="113" w:lineRule="exact"/>
        <w:rPr>
          <w:rFonts w:ascii="Arial" w:cs="Arial" w:eastAsia="Arial" w:hAnsi="Arial"/>
          <w:sz w:val="20"/>
          <w:szCs w:val="20"/>
          <w:color w:val="auto"/>
        </w:rPr>
      </w:pPr>
    </w:p>
    <w:p>
      <w:pPr>
        <w:ind w:right="20" w:firstLine="1305"/>
        <w:spacing w:after="0" w:line="289" w:lineRule="auto"/>
        <w:tabs>
          <w:tab w:leader="none" w:pos="177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Borrower shall have Availability in an amount more than or equal to the greater of (a) 20% of the Maximum Revolver Amount and (b) $12,500,000 immediately after giving effect to the consummation of the proposed Acquisition,</w:t>
      </w:r>
    </w:p>
    <w:p>
      <w:pPr>
        <w:spacing w:after="0" w:line="94" w:lineRule="exact"/>
        <w:rPr>
          <w:rFonts w:ascii="Arial" w:cs="Arial" w:eastAsia="Arial" w:hAnsi="Arial"/>
          <w:sz w:val="20"/>
          <w:szCs w:val="20"/>
          <w:color w:val="auto"/>
        </w:rPr>
      </w:pPr>
    </w:p>
    <w:p>
      <w:pPr>
        <w:jc w:val="both"/>
        <w:ind w:firstLine="1305"/>
        <w:spacing w:after="0" w:line="272" w:lineRule="auto"/>
        <w:tabs>
          <w:tab w:leader="none" w:pos="174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the assets being acquired or the Person whose Equity Interests are being acquired did not have negative EBITDA during the 12 consecutive month period most recently concluded prior to the date of the proposed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Acquisition (i) where the cash purchase consideration (including the amount of cash that Borrower reasonably expects to pay in the form of deferred payment obligations) and assumed liabilities is less than $5,000,000 or (ii) the Person whose Equity Interests are being acquired has projections which reflect pro forma positive EBITDA for the 12 consecutive month period following the date of the proposed Acquisition, shall not be subject to the requirements contained in this clause (e),</w:t>
      </w:r>
    </w:p>
    <w:p>
      <w:pPr>
        <w:spacing w:after="0" w:line="110" w:lineRule="exact"/>
        <w:rPr>
          <w:rFonts w:ascii="Arial" w:cs="Arial" w:eastAsia="Arial" w:hAnsi="Arial"/>
          <w:sz w:val="20"/>
          <w:szCs w:val="20"/>
          <w:color w:val="auto"/>
        </w:rPr>
      </w:pPr>
    </w:p>
    <w:p>
      <w:pPr>
        <w:jc w:val="both"/>
        <w:ind w:firstLine="1305"/>
        <w:spacing w:after="0" w:line="293" w:lineRule="auto"/>
        <w:tabs>
          <w:tab w:leader="none" w:pos="182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 the case of any Acquisition where the cash purchase consideration (including the amount of cash that Borrower reasonably expects to pay in the form of deferred payment obligations) and assumed liabilities exceeds $5,000,000, Borrower has provided Agent with written notice of the proposed Acquisition at least 15 Business Days prior to the anticipated closing date of the proposed Acquisition and, not later than 5 Business Days prior to the anticipated closing date of the proposed Acquisition, copies of</w:t>
      </w:r>
    </w:p>
    <w:p>
      <w:pPr>
        <w:sectPr>
          <w:pgSz w:w="11900" w:h="16838" w:orient="portrait"/>
          <w:cols w:equalWidth="0" w:num="1">
            <w:col w:w="11420"/>
          </w:cols>
          <w:pgMar w:left="240" w:top="825" w:right="239" w:bottom="1440" w:gutter="0" w:footer="0" w:header="0"/>
        </w:sectPr>
      </w:pPr>
    </w:p>
    <w:bookmarkStart w:id="192" w:name="page193"/>
    <w:bookmarkEnd w:id="192"/>
    <w:p>
      <w:pPr>
        <w:ind w:right="20"/>
        <w:spacing w:after="0" w:line="289" w:lineRule="auto"/>
        <w:rPr>
          <w:sz w:val="20"/>
          <w:szCs w:val="20"/>
          <w:color w:val="auto"/>
        </w:rPr>
      </w:pPr>
      <w:r>
        <w:rPr>
          <w:rFonts w:ascii="Arial" w:cs="Arial" w:eastAsia="Arial" w:hAnsi="Arial"/>
          <w:sz w:val="20"/>
          <w:szCs w:val="20"/>
          <w:color w:val="auto"/>
        </w:rPr>
        <w:t>the acquisition agreement and other material documents relative to the proposed Acquisition, which agreement and documents must be reasonably acceptable to Agent,</w:t>
      </w:r>
    </w:p>
    <w:p>
      <w:pPr>
        <w:spacing w:after="0" w:line="94" w:lineRule="exact"/>
        <w:rPr>
          <w:sz w:val="20"/>
          <w:szCs w:val="20"/>
          <w:color w:val="auto"/>
        </w:rPr>
      </w:pPr>
    </w:p>
    <w:p>
      <w:pPr>
        <w:jc w:val="both"/>
        <w:ind w:firstLine="1305"/>
        <w:spacing w:after="0" w:line="278" w:lineRule="auto"/>
        <w:tabs>
          <w:tab w:leader="none" w:pos="1779"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the assets being acquired (other than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amount of assets in relation to Borrower’s and its Subsidiaries’ total assets), or the Person whose Equity Interests are being acquired, are useful in or engaged in, as applicable, the business of Borrower and its Subsidiaries or a business reasonably related thereto,</w:t>
      </w:r>
    </w:p>
    <w:p>
      <w:pPr>
        <w:spacing w:after="0" w:line="105" w:lineRule="exact"/>
        <w:rPr>
          <w:rFonts w:ascii="Arial" w:cs="Arial" w:eastAsia="Arial" w:hAnsi="Arial"/>
          <w:sz w:val="20"/>
          <w:szCs w:val="20"/>
          <w:color w:val="auto"/>
        </w:rPr>
      </w:pPr>
    </w:p>
    <w:p>
      <w:pPr>
        <w:ind w:right="20" w:firstLine="1305"/>
        <w:spacing w:after="0" w:line="347" w:lineRule="auto"/>
        <w:tabs>
          <w:tab w:leader="none" w:pos="177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assets being acquired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assets in relation to the assets being acquired) are located within the United States or the Person whose Equity Interests are being acquired is organized in a jurisdiction located within the United States,</w:t>
      </w:r>
    </w:p>
    <w:p>
      <w:pPr>
        <w:spacing w:after="0" w:line="49" w:lineRule="exact"/>
        <w:rPr>
          <w:rFonts w:ascii="Arial" w:cs="Arial" w:eastAsia="Arial" w:hAnsi="Arial"/>
          <w:sz w:val="18"/>
          <w:szCs w:val="18"/>
          <w:color w:val="auto"/>
        </w:rPr>
      </w:pPr>
    </w:p>
    <w:p>
      <w:pPr>
        <w:jc w:val="both"/>
        <w:ind w:firstLine="1305"/>
        <w:spacing w:after="0" w:line="273" w:lineRule="auto"/>
        <w:tabs>
          <w:tab w:leader="none" w:pos="173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the subject assets or Equity Interests, as applicable, are being acquired directly by a Borrower or one of its Subsidiaries that is a Loan Party, and, in connection therewith, Borrower or the applicable Loan Party shall have complied with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5.12</w:t>
      </w:r>
      <w:r>
        <w:rPr>
          <w:rFonts w:ascii="Arial" w:cs="Arial" w:eastAsia="Arial" w:hAnsi="Arial"/>
          <w:sz w:val="20"/>
          <w:szCs w:val="20"/>
          <w:color w:val="auto"/>
        </w:rPr>
        <w:t xml:space="preserve"> of the Agreement, as applicable, and, in the case of an acquisition of Equity Interests, Borrower or the applicable Loan Party shall have demonstrated to Agent that the new Loan Parties have received consideration sufficient to make the joinder documents binding and enforceable against such new Loan Parties, and</w:t>
      </w:r>
    </w:p>
    <w:p>
      <w:pPr>
        <w:spacing w:after="0" w:line="110" w:lineRule="exact"/>
        <w:rPr>
          <w:sz w:val="20"/>
          <w:szCs w:val="20"/>
          <w:color w:val="auto"/>
        </w:rPr>
      </w:pPr>
    </w:p>
    <w:p>
      <w:pPr>
        <w:jc w:val="both"/>
        <w:ind w:firstLine="1305"/>
        <w:spacing w:after="0" w:line="273" w:lineRule="auto"/>
        <w:tabs>
          <w:tab w:leader="none" w:pos="184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the cash purchase consideration payable in respect of all Permitted Acquisitions (including the amount of cash that Borrower reasonably expects to pay in the form of deferred payment obligations) and assumed liabilities shall not exceed $20,000,000 in the aggregate;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cash purchase consideration payable in respect of any single Acquisition or series of related Acquisitions (including the amount of cash that Borrower reasonably expects to pay in the form of deferred payment obligations) shall not exceed $10,000,000 in the aggregate.</w:t>
      </w:r>
    </w:p>
    <w:p>
      <w:pPr>
        <w:spacing w:after="0" w:line="9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Discretion</w:t>
      </w:r>
      <w:r>
        <w:rPr>
          <w:rFonts w:ascii="Arial" w:cs="Arial" w:eastAsia="Arial" w:hAnsi="Arial"/>
          <w:sz w:val="20"/>
          <w:szCs w:val="20"/>
          <w:color w:val="auto"/>
        </w:rPr>
        <w:t>” means a determination made in the exercise of reasonable (from the perspective of a secured asset-based lender) business judgment.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Dispositions</w:t>
      </w:r>
      <w:r>
        <w:rPr>
          <w:rFonts w:ascii="Arial" w:cs="Arial" w:eastAsia="Arial" w:hAnsi="Arial"/>
          <w:sz w:val="20"/>
          <w:szCs w:val="20"/>
          <w:color w:val="auto"/>
        </w:rPr>
        <w:t>” means:</w:t>
      </w:r>
    </w:p>
    <w:p>
      <w:pPr>
        <w:spacing w:after="0" w:line="229" w:lineRule="exact"/>
        <w:rPr>
          <w:sz w:val="20"/>
          <w:szCs w:val="20"/>
          <w:color w:val="auto"/>
        </w:rPr>
      </w:pPr>
    </w:p>
    <w:p>
      <w:pPr>
        <w:jc w:val="both"/>
        <w:ind w:firstLine="1305"/>
        <w:spacing w:after="0" w:line="278" w:lineRule="auto"/>
        <w:tabs>
          <w:tab w:leader="none" w:pos="172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sales, abandonment, or other dispositions of Equipment that is substantially worn, damaged, or obsolete or no longer used or useful in the ordinary course of business and leases or subleases of Real Property not useful in the conduct of the business of Borrower and its Subsidiaries,</w:t>
      </w:r>
    </w:p>
    <w:p>
      <w:pPr>
        <w:spacing w:after="0" w:line="105" w:lineRule="exact"/>
        <w:rPr>
          <w:rFonts w:ascii="Arial" w:cs="Arial" w:eastAsia="Arial" w:hAnsi="Arial"/>
          <w:sz w:val="20"/>
          <w:szCs w:val="20"/>
          <w:color w:val="auto"/>
        </w:rPr>
      </w:pPr>
    </w:p>
    <w:p>
      <w:pPr>
        <w:ind w:left="1740" w:hanging="435"/>
        <w:spacing w:after="0"/>
        <w:tabs>
          <w:tab w:leader="none" w:pos="17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sales of Inventory to buyers in the ordinary course of business,</w:t>
      </w:r>
    </w:p>
    <w:p>
      <w:pPr>
        <w:spacing w:after="0" w:line="161" w:lineRule="exact"/>
        <w:rPr>
          <w:rFonts w:ascii="Arial" w:cs="Arial" w:eastAsia="Arial" w:hAnsi="Arial"/>
          <w:sz w:val="20"/>
          <w:szCs w:val="20"/>
          <w:color w:val="auto"/>
        </w:rPr>
      </w:pPr>
    </w:p>
    <w:p>
      <w:pPr>
        <w:ind w:firstLine="1305"/>
        <w:spacing w:after="0" w:line="289" w:lineRule="auto"/>
        <w:tabs>
          <w:tab w:leader="none" w:pos="17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use or transfer of money or Cash Equivalents in a manner that is not prohibited by the terms of the Agreement or the other Loan Documents,</w:t>
      </w:r>
    </w:p>
    <w:p>
      <w:pPr>
        <w:spacing w:after="0" w:line="94" w:lineRule="exact"/>
        <w:rPr>
          <w:rFonts w:ascii="Arial" w:cs="Arial" w:eastAsia="Arial" w:hAnsi="Arial"/>
          <w:sz w:val="20"/>
          <w:szCs w:val="20"/>
          <w:color w:val="auto"/>
        </w:rPr>
      </w:pPr>
    </w:p>
    <w:p>
      <w:pPr>
        <w:jc w:val="both"/>
        <w:ind w:firstLine="1305"/>
        <w:spacing w:after="0" w:line="322" w:lineRule="auto"/>
        <w:tabs>
          <w:tab w:leader="none" w:pos="184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licensing, on a non-exclusive basis, of patents, trademarks, copyrights, and other intellectual property rights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w:t>
      </w:r>
    </w:p>
    <w:p>
      <w:pPr>
        <w:spacing w:after="0" w:line="71" w:lineRule="exact"/>
        <w:rPr>
          <w:rFonts w:ascii="Arial" w:cs="Arial" w:eastAsia="Arial" w:hAnsi="Arial"/>
          <w:sz w:val="18"/>
          <w:szCs w:val="18"/>
          <w:color w:val="auto"/>
        </w:rPr>
      </w:pPr>
    </w:p>
    <w:p>
      <w:pPr>
        <w:ind w:left="1780" w:hanging="475"/>
        <w:spacing w:after="0"/>
        <w:tabs>
          <w:tab w:leader="none" w:pos="17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granting of Permitted Liens,</w:t>
      </w:r>
    </w:p>
    <w:p>
      <w:pPr>
        <w:spacing w:after="0" w:line="161" w:lineRule="exact"/>
        <w:rPr>
          <w:rFonts w:ascii="Arial" w:cs="Arial" w:eastAsia="Arial" w:hAnsi="Arial"/>
          <w:sz w:val="20"/>
          <w:szCs w:val="20"/>
          <w:color w:val="auto"/>
        </w:rPr>
      </w:pPr>
    </w:p>
    <w:p>
      <w:pPr>
        <w:ind w:firstLine="1305"/>
        <w:spacing w:after="0" w:line="289" w:lineRule="auto"/>
        <w:tabs>
          <w:tab w:leader="none" w:pos="177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sale or discount, in each case without recourse, of accounts receivable arising in the ordinary course of business, but only in connection with the compromise or collection thereof,</w:t>
      </w:r>
    </w:p>
    <w:p>
      <w:pPr>
        <w:spacing w:after="0" w:line="94" w:lineRule="exact"/>
        <w:rPr>
          <w:rFonts w:ascii="Arial" w:cs="Arial" w:eastAsia="Arial" w:hAnsi="Arial"/>
          <w:sz w:val="20"/>
          <w:szCs w:val="20"/>
          <w:color w:val="auto"/>
        </w:rPr>
      </w:pPr>
    </w:p>
    <w:p>
      <w:pPr>
        <w:ind w:left="1780" w:hanging="475"/>
        <w:spacing w:after="0"/>
        <w:tabs>
          <w:tab w:leader="none" w:pos="17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involuntary loss, damage or destruction of property,</w:t>
      </w:r>
    </w:p>
    <w:p>
      <w:pPr>
        <w:sectPr>
          <w:pgSz w:w="11900" w:h="16838" w:orient="portrait"/>
          <w:cols w:equalWidth="0" w:num="1">
            <w:col w:w="11420"/>
          </w:cols>
          <w:pgMar w:left="240" w:top="839" w:right="239" w:bottom="1440" w:gutter="0" w:footer="0" w:header="0"/>
        </w:sectPr>
      </w:pPr>
    </w:p>
    <w:bookmarkStart w:id="193" w:name="page194"/>
    <w:bookmarkEnd w:id="193"/>
    <w:p>
      <w:pPr>
        <w:ind w:firstLine="1305"/>
        <w:spacing w:after="0" w:line="289" w:lineRule="auto"/>
        <w:tabs>
          <w:tab w:leader="none" w:pos="199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involuntary condemnation, seizure or taking, by exercise of the power of eminent domain or otherwise, or confiscation or requisition of use of property,</w:t>
      </w:r>
    </w:p>
    <w:p>
      <w:pPr>
        <w:spacing w:after="0" w:line="94" w:lineRule="exact"/>
        <w:rPr>
          <w:rFonts w:ascii="Arial" w:cs="Arial" w:eastAsia="Arial" w:hAnsi="Arial"/>
          <w:sz w:val="20"/>
          <w:szCs w:val="20"/>
          <w:color w:val="auto"/>
        </w:rPr>
      </w:pPr>
    </w:p>
    <w:p>
      <w:pPr>
        <w:ind w:left="1740" w:hanging="435"/>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leasing or subleasing of assets of Borrower or its Subsidiaries in the ordinary course of business,</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5"/>
        <w:spacing w:after="0" w:line="310" w:lineRule="auto"/>
        <w:tabs>
          <w:tab w:leader="none" w:pos="179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the lapse of registered patents, trademarks, copyrights and other intellectual property of Borrower and its Subsidiaries to the extent not economically desirable in the conduct of their business or (ii) the abandonment of patents, trademarks, copyrights, or other intellectual property rights in the ordinary course of business so long as (in each case under clauses (i) and (ii)), (A) with respect to copyrights, such copyrights are not material revenue generating copyrights, (B) such lapse is not materially adverse to the interests of the Lender Group and (C) such lapse will not materially reduce the value of any Inventory constituting a portion of the Borrowing Base,</w:t>
      </w:r>
    </w:p>
    <w:p>
      <w:pPr>
        <w:spacing w:after="0" w:line="81" w:lineRule="exact"/>
        <w:rPr>
          <w:rFonts w:ascii="Arial" w:cs="Arial" w:eastAsia="Arial" w:hAnsi="Arial"/>
          <w:sz w:val="18"/>
          <w:szCs w:val="18"/>
          <w:color w:val="auto"/>
        </w:rPr>
      </w:pPr>
    </w:p>
    <w:p>
      <w:pPr>
        <w:ind w:left="1740" w:hanging="435"/>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making of Restricted Payments that are expressly permitted to be made pursuant to the Agreement,</w:t>
      </w:r>
    </w:p>
    <w:p>
      <w:pPr>
        <w:spacing w:after="0" w:line="161" w:lineRule="exact"/>
        <w:rPr>
          <w:rFonts w:ascii="Arial" w:cs="Arial" w:eastAsia="Arial" w:hAnsi="Arial"/>
          <w:sz w:val="20"/>
          <w:szCs w:val="20"/>
          <w:color w:val="auto"/>
        </w:rPr>
      </w:pPr>
    </w:p>
    <w:p>
      <w:pPr>
        <w:ind w:left="1840" w:hanging="535"/>
        <w:spacing w:after="0"/>
        <w:tabs>
          <w:tab w:leader="none" w:pos="18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making of Permitted Investments,</w:t>
      </w:r>
    </w:p>
    <w:p>
      <w:pPr>
        <w:spacing w:after="0" w:line="161" w:lineRule="exact"/>
        <w:rPr>
          <w:rFonts w:ascii="Arial" w:cs="Arial" w:eastAsia="Arial" w:hAnsi="Arial"/>
          <w:sz w:val="20"/>
          <w:szCs w:val="20"/>
          <w:color w:val="auto"/>
        </w:rPr>
      </w:pPr>
    </w:p>
    <w:p>
      <w:pPr>
        <w:ind w:right="20" w:firstLine="1305"/>
        <w:spacing w:after="0" w:line="289" w:lineRule="auto"/>
        <w:tabs>
          <w:tab w:leader="none" w:pos="179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transfers of assets (i) from Borrower or any of its Subsidiaries to a Loan Party, and (ii) from any Subsidiary of Borrower that is not a Loan Party to any other Subsidiary of Borrower,</w:t>
      </w:r>
    </w:p>
    <w:p>
      <w:pPr>
        <w:spacing w:after="0" w:line="94" w:lineRule="exact"/>
        <w:rPr>
          <w:rFonts w:ascii="Arial" w:cs="Arial" w:eastAsia="Arial" w:hAnsi="Arial"/>
          <w:sz w:val="20"/>
          <w:szCs w:val="20"/>
          <w:color w:val="auto"/>
        </w:rPr>
      </w:pPr>
    </w:p>
    <w:p>
      <w:pPr>
        <w:jc w:val="both"/>
        <w:ind w:firstLine="1305"/>
        <w:spacing w:after="0" w:line="273" w:lineRule="auto"/>
        <w:tabs>
          <w:tab w:leader="none" w:pos="1778" w:val="left"/>
        </w:tabs>
        <w:numPr>
          <w:ilvl w:val="0"/>
          <w:numId w:val="183"/>
        </w:numPr>
        <w:rPr>
          <w:rFonts w:ascii="Arial" w:cs="Arial" w:eastAsia="Arial" w:hAnsi="Arial"/>
          <w:sz w:val="20"/>
          <w:szCs w:val="20"/>
          <w:color w:val="auto"/>
        </w:rPr>
      </w:pPr>
      <w:r>
        <w:rPr>
          <w:rFonts w:ascii="Arial" w:cs="Arial" w:eastAsia="Arial" w:hAnsi="Arial"/>
          <w:sz w:val="20"/>
          <w:szCs w:val="20"/>
          <w:color w:val="auto"/>
        </w:rPr>
        <w:t>dispositions of assets acquired by Borrower and its Subsidiaries pursuant to a Permitted Acquisition consummated within 12 months of the date of the proposed disposition so long as (i) the consideration received for the assets to be so disposed is at least equal to the fair market value of such assets, (ii) the assets to be so disposed are not necessary or economically desirable in connection with the business of Borrower and its Subsidiaries, and (iii) the assets to be so disposed are readily identifiable as assets acquired pursuant to the subject Permitted Acquisition,</w:t>
      </w:r>
    </w:p>
    <w:p>
      <w:pPr>
        <w:spacing w:after="0" w:line="110" w:lineRule="exact"/>
        <w:rPr>
          <w:rFonts w:ascii="Arial" w:cs="Arial" w:eastAsia="Arial" w:hAnsi="Arial"/>
          <w:sz w:val="20"/>
          <w:szCs w:val="20"/>
          <w:color w:val="auto"/>
        </w:rPr>
      </w:pPr>
    </w:p>
    <w:p>
      <w:pPr>
        <w:jc w:val="both"/>
        <w:ind w:firstLine="1305"/>
        <w:spacing w:after="0" w:line="274" w:lineRule="auto"/>
        <w:tabs>
          <w:tab w:leader="none" w:pos="180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dispositions of assets constituting Equipment sold to Flextronics so long as: (i) it is maintained at one of Flextronic’s facilities located in the People’s Republic of China, (ii) such Equipment is re-acquired by Borrower within 30 days after its arrival at the relevant facility, (iii) at the time of any such disposition of such Equipment and immediately after giving effect to the same, Liquidity is equal to or greater than $25,000,000 and Availability is equal to or greater than $12,500,000, and</w:t>
      </w:r>
    </w:p>
    <w:p>
      <w:pPr>
        <w:spacing w:after="0" w:line="111" w:lineRule="exact"/>
        <w:rPr>
          <w:rFonts w:ascii="Arial" w:cs="Arial" w:eastAsia="Arial" w:hAnsi="Arial"/>
          <w:sz w:val="20"/>
          <w:szCs w:val="20"/>
          <w:color w:val="auto"/>
        </w:rPr>
      </w:pPr>
    </w:p>
    <w:p>
      <w:pPr>
        <w:jc w:val="both"/>
        <w:ind w:firstLine="1305"/>
        <w:spacing w:after="0" w:line="278" w:lineRule="auto"/>
        <w:tabs>
          <w:tab w:leader="none" w:pos="1961"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sales or dispositions of assets (other than Accounts, Inventory, Equity Interests of Subsidiaries of Borrower) not otherwise permitted in clauses (a) through (o) above so long as made at fair market value and the aggregate fair market value of all assets disposed of in a fiscal year (including the proposed disposition) would not exceed $500,000.</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means:</w:t>
      </w:r>
    </w:p>
    <w:p>
      <w:pPr>
        <w:spacing w:after="0" w:line="229" w:lineRule="exact"/>
        <w:rPr>
          <w:sz w:val="20"/>
          <w:szCs w:val="20"/>
          <w:color w:val="auto"/>
        </w:rPr>
      </w:pPr>
    </w:p>
    <w:p>
      <w:pPr>
        <w:ind w:left="1780" w:hanging="475"/>
        <w:spacing w:after="0"/>
        <w:tabs>
          <w:tab w:leader="none" w:pos="17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Indebtedness evidenced by the Agreement or the other Loan Documents,</w:t>
      </w:r>
    </w:p>
    <w:p>
      <w:pPr>
        <w:spacing w:after="0" w:line="161" w:lineRule="exact"/>
        <w:rPr>
          <w:rFonts w:ascii="Arial" w:cs="Arial" w:eastAsia="Arial" w:hAnsi="Arial"/>
          <w:sz w:val="20"/>
          <w:szCs w:val="20"/>
          <w:color w:val="auto"/>
        </w:rPr>
      </w:pPr>
    </w:p>
    <w:p>
      <w:pPr>
        <w:ind w:left="1860" w:hanging="555"/>
        <w:spacing w:after="0"/>
        <w:tabs>
          <w:tab w:leader="none" w:pos="1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Indebtedness set forth on </w:t>
      </w:r>
      <w:r>
        <w:rPr>
          <w:rFonts w:ascii="Arial" w:cs="Arial" w:eastAsia="Arial" w:hAnsi="Arial"/>
          <w:sz w:val="18"/>
          <w:szCs w:val="18"/>
          <w:u w:val="single" w:color="auto"/>
          <w:color w:val="auto"/>
        </w:rPr>
        <w:t>Schedule 4.14</w:t>
      </w:r>
      <w:r>
        <w:rPr>
          <w:rFonts w:ascii="Arial" w:cs="Arial" w:eastAsia="Arial" w:hAnsi="Arial"/>
          <w:sz w:val="18"/>
          <w:szCs w:val="18"/>
          <w:color w:val="auto"/>
        </w:rPr>
        <w:t xml:space="preserve"> of the Disclosure Letter and any Refinancing Indebtedness in respect of such</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162" w:lineRule="exact"/>
        <w:rPr>
          <w:sz w:val="20"/>
          <w:szCs w:val="20"/>
          <w:color w:val="auto"/>
        </w:rPr>
      </w:pPr>
    </w:p>
    <w:p>
      <w:pPr>
        <w:ind w:left="1780" w:hanging="475"/>
        <w:spacing w:after="0"/>
        <w:tabs>
          <w:tab w:leader="none" w:pos="178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Permitted Purchase Money Indebtedness and any Refinancing Indebtedness in respect of such Indebtedness,</w:t>
      </w:r>
    </w:p>
    <w:p>
      <w:pPr>
        <w:sectPr>
          <w:pgSz w:w="11900" w:h="16838" w:orient="portrait"/>
          <w:cols w:equalWidth="0" w:num="1">
            <w:col w:w="11420"/>
          </w:cols>
          <w:pgMar w:left="240" w:top="839" w:right="239" w:bottom="1440" w:gutter="0" w:footer="0" w:header="0"/>
        </w:sectPr>
      </w:pPr>
    </w:p>
    <w:bookmarkStart w:id="194" w:name="page195"/>
    <w:bookmarkEnd w:id="194"/>
    <w:p>
      <w:pPr>
        <w:ind w:left="580" w:hanging="475"/>
        <w:spacing w:after="0"/>
        <w:tabs>
          <w:tab w:leader="none" w:pos="5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endorsement of instruments or other payment items for deposit,</w:t>
      </w:r>
    </w:p>
    <w:p>
      <w:pPr>
        <w:spacing w:after="0" w:line="161" w:lineRule="exact"/>
        <w:rPr>
          <w:rFonts w:ascii="Arial" w:cs="Arial" w:eastAsia="Arial" w:hAnsi="Arial"/>
          <w:sz w:val="20"/>
          <w:szCs w:val="20"/>
          <w:color w:val="auto"/>
        </w:rPr>
      </w:pPr>
    </w:p>
    <w:p>
      <w:pPr>
        <w:jc w:val="both"/>
        <w:ind w:left="-1200" w:firstLine="1305"/>
        <w:spacing w:after="0" w:line="273" w:lineRule="auto"/>
        <w:tabs>
          <w:tab w:leader="none" w:pos="57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Borrower or one of its Subsidiaries, to the extent that the Person that is obligated under such guaranty could have incurred such underlying Indebtedness,</w:t>
      </w:r>
    </w:p>
    <w:p>
      <w:pPr>
        <w:spacing w:after="0" w:line="110" w:lineRule="exact"/>
        <w:rPr>
          <w:rFonts w:ascii="Arial" w:cs="Arial" w:eastAsia="Arial" w:hAnsi="Arial"/>
          <w:sz w:val="20"/>
          <w:szCs w:val="20"/>
          <w:color w:val="auto"/>
        </w:rPr>
      </w:pPr>
    </w:p>
    <w:p>
      <w:pPr>
        <w:jc w:val="both"/>
        <w:ind w:left="-1200" w:firstLine="1305"/>
        <w:spacing w:after="0" w:line="287" w:lineRule="auto"/>
        <w:tabs>
          <w:tab w:leader="none" w:pos="591" w:val="left"/>
        </w:tabs>
        <w:numPr>
          <w:ilvl w:val="0"/>
          <w:numId w:val="186"/>
        </w:numPr>
        <w:rPr>
          <w:rFonts w:ascii="Arial" w:cs="Arial" w:eastAsia="Arial" w:hAnsi="Arial"/>
          <w:sz w:val="19"/>
          <w:szCs w:val="19"/>
          <w:color w:val="auto"/>
        </w:rPr>
      </w:pPr>
      <w:r>
        <w:rPr>
          <w:rFonts w:ascii="Arial" w:cs="Arial" w:eastAsia="Arial" w:hAnsi="Arial"/>
          <w:sz w:val="19"/>
          <w:szCs w:val="19"/>
          <w:color w:val="auto"/>
        </w:rPr>
        <w:t>unsecured Indebtedness of Borrower that is incurred on the date of the consummation of a Permitted Acquisition solely for the purpose of consummating such Permitted Acquisition so long as (i) no Event of Default has occurred and is continuing or would result therefrom, (ii) such unsecured Indebtedness is not incurred for working capital purposes, (iii) such unsecured Indebtedness does not mature prior to the date that is 12 months after the Maturity Date, (iv) such unsecured Indebtedness does not amortize until 12 months after the Maturity Date, (v) such unsecured Indebtedness does not provide for the payment of interest thereon in cash or Cash Equivalents prior to the date that is 12 months after the Maturity Date, and (vi) such Indebtedness is subordinated in right of payment to the Obligations on terms and conditions reasonably satisfactory to Agent,</w:t>
      </w:r>
    </w:p>
    <w:p>
      <w:pPr>
        <w:spacing w:after="0" w:line="102" w:lineRule="exact"/>
        <w:rPr>
          <w:rFonts w:ascii="Arial" w:cs="Arial" w:eastAsia="Arial" w:hAnsi="Arial"/>
          <w:sz w:val="19"/>
          <w:szCs w:val="19"/>
          <w:color w:val="auto"/>
        </w:rPr>
      </w:pPr>
    </w:p>
    <w:p>
      <w:pPr>
        <w:ind w:left="580" w:hanging="475"/>
        <w:spacing w:after="0"/>
        <w:tabs>
          <w:tab w:leader="none" w:pos="5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Acquired Indebtedness in an amount not to exceed $2,500,000 outstanding at any one time,</w:t>
      </w:r>
    </w:p>
    <w:p>
      <w:pPr>
        <w:spacing w:after="0" w:line="161" w:lineRule="exact"/>
        <w:rPr>
          <w:rFonts w:ascii="Arial" w:cs="Arial" w:eastAsia="Arial" w:hAnsi="Arial"/>
          <w:sz w:val="20"/>
          <w:szCs w:val="20"/>
          <w:color w:val="auto"/>
        </w:rPr>
      </w:pPr>
    </w:p>
    <w:p>
      <w:pPr>
        <w:ind w:left="580" w:hanging="475"/>
        <w:spacing w:after="0"/>
        <w:tabs>
          <w:tab w:leader="none" w:pos="58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under performance, surety, statutory, or appeal bonds,</w:t>
      </w:r>
    </w:p>
    <w:p>
      <w:pPr>
        <w:spacing w:after="0" w:line="173" w:lineRule="exact"/>
        <w:rPr>
          <w:rFonts w:ascii="Arial" w:cs="Arial" w:eastAsia="Arial" w:hAnsi="Arial"/>
          <w:sz w:val="19"/>
          <w:szCs w:val="19"/>
          <w:color w:val="auto"/>
        </w:rPr>
      </w:pPr>
    </w:p>
    <w:p>
      <w:pPr>
        <w:jc w:val="both"/>
        <w:ind w:left="-1200" w:firstLine="1305"/>
        <w:spacing w:after="0" w:line="378" w:lineRule="auto"/>
        <w:tabs>
          <w:tab w:leader="none" w:pos="6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35" w:lineRule="exact"/>
        <w:rPr>
          <w:rFonts w:ascii="Arial" w:cs="Arial" w:eastAsia="Arial" w:hAnsi="Arial"/>
          <w:sz w:val="16"/>
          <w:szCs w:val="16"/>
          <w:color w:val="auto"/>
        </w:rPr>
      </w:pPr>
    </w:p>
    <w:p>
      <w:pPr>
        <w:jc w:val="both"/>
        <w:ind w:left="-1200" w:firstLine="1305"/>
        <w:spacing w:after="0" w:line="278" w:lineRule="auto"/>
        <w:tabs>
          <w:tab w:leader="none" w:pos="59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incurrence by Borrower or its Subsidiaries of Indebtedness under Hedge Agreements that are incurred for the bona fide purpose of hedging the interest rate, commodity, or foreign currency risks associated with Borrower’s and its Subsidiaries’ operations and not for speculative purposes,</w:t>
      </w:r>
    </w:p>
    <w:p>
      <w:pPr>
        <w:spacing w:after="0" w:line="105" w:lineRule="exact"/>
        <w:rPr>
          <w:rFonts w:ascii="Arial" w:cs="Arial" w:eastAsia="Arial" w:hAnsi="Arial"/>
          <w:sz w:val="20"/>
          <w:szCs w:val="20"/>
          <w:color w:val="auto"/>
        </w:rPr>
      </w:pPr>
    </w:p>
    <w:p>
      <w:pPr>
        <w:jc w:val="both"/>
        <w:ind w:left="-1200" w:firstLine="1305"/>
        <w:spacing w:after="0" w:line="278" w:lineRule="auto"/>
        <w:tabs>
          <w:tab w:leader="none" w:pos="60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05" w:lineRule="exact"/>
        <w:rPr>
          <w:rFonts w:ascii="Arial" w:cs="Arial" w:eastAsia="Arial" w:hAnsi="Arial"/>
          <w:sz w:val="20"/>
          <w:szCs w:val="20"/>
          <w:color w:val="auto"/>
        </w:rPr>
      </w:pPr>
    </w:p>
    <w:p>
      <w:pPr>
        <w:jc w:val="both"/>
        <w:ind w:left="-1200" w:firstLine="1305"/>
        <w:spacing w:after="0" w:line="272" w:lineRule="auto"/>
        <w:tabs>
          <w:tab w:leader="none" w:pos="534" w:val="left"/>
        </w:tabs>
        <w:numPr>
          <w:ilvl w:val="0"/>
          <w:numId w:val="186"/>
        </w:numPr>
        <w:rPr>
          <w:rFonts w:ascii="Arial" w:cs="Arial" w:eastAsia="Arial" w:hAnsi="Arial"/>
          <w:sz w:val="20"/>
          <w:szCs w:val="20"/>
          <w:color w:val="auto"/>
        </w:rPr>
      </w:pPr>
      <w:r>
        <w:rPr>
          <w:rFonts w:ascii="Arial" w:cs="Arial" w:eastAsia="Arial" w:hAnsi="Arial"/>
          <w:sz w:val="20"/>
          <w:szCs w:val="20"/>
          <w:color w:val="auto"/>
        </w:rPr>
        <w:t>unsecured Indebtedness of Borrower owing to employees, former employees, officers, former officers, directors or former directors (or any spouses, ex-spouses, or estates of any of the foregoing) incurred in connection with the redemption or repurchase by Borrower of the Equity Interests of Borrower that has been issued to such Persons, so long as (i) no Default or Event of Default has occurred and is continuing or would result from the incurrence of such Indebtedness, (ii) the aggregate amount of all such Indebtedness outstanding at any one time does not exceed $250,000, and (iii) such Indebtedness is subordinated to the Obligations on terms and conditions reasonably acceptable to Agent,</w:t>
      </w:r>
    </w:p>
    <w:p>
      <w:pPr>
        <w:spacing w:after="0" w:line="110" w:lineRule="exact"/>
        <w:rPr>
          <w:rFonts w:ascii="Arial" w:cs="Arial" w:eastAsia="Arial" w:hAnsi="Arial"/>
          <w:sz w:val="20"/>
          <w:szCs w:val="20"/>
          <w:color w:val="auto"/>
        </w:rPr>
      </w:pPr>
    </w:p>
    <w:p>
      <w:pPr>
        <w:jc w:val="both"/>
        <w:ind w:left="-1200" w:right="20" w:firstLine="1305"/>
        <w:spacing w:after="0" w:line="278" w:lineRule="auto"/>
        <w:tabs>
          <w:tab w:leader="none" w:pos="67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unsecured Indebtedness owing to sellers of assets or Equity Interests to a Loan Party that is incurred by the applicable Loan Party in connection with the consummation of one or more Permitted Acquisitions so long as (i) the aggregate principal amount for all such unsecured Indebtedness does not</w:t>
      </w:r>
    </w:p>
    <w:p>
      <w:pPr>
        <w:sectPr>
          <w:pgSz w:w="11900" w:h="16838" w:orient="portrait"/>
          <w:cols w:equalWidth="0" w:num="1">
            <w:col w:w="10220"/>
          </w:cols>
          <w:pgMar w:left="1440" w:top="839" w:right="239" w:bottom="1440" w:gutter="0" w:footer="0" w:header="0"/>
        </w:sectPr>
      </w:pPr>
    </w:p>
    <w:bookmarkStart w:id="195" w:name="page196"/>
    <w:bookmarkEnd w:id="195"/>
    <w:p>
      <w:pPr>
        <w:spacing w:after="0" w:line="347" w:lineRule="auto"/>
        <w:rPr>
          <w:sz w:val="20"/>
          <w:szCs w:val="20"/>
          <w:color w:val="auto"/>
        </w:rPr>
      </w:pPr>
      <w:r>
        <w:rPr>
          <w:rFonts w:ascii="Arial" w:cs="Arial" w:eastAsia="Arial" w:hAnsi="Arial"/>
          <w:sz w:val="18"/>
          <w:szCs w:val="18"/>
          <w:color w:val="auto"/>
        </w:rPr>
        <w:t>exceed $1,000,000 at any one time outstanding, (ii) is subordinated to the Obligations on terms and conditions reasonably acceptable to Agent, and (iii) is otherwise on terms and conditions (including all economic terms and the absence of covenants) reasonably acceptable to Agent,</w:t>
      </w:r>
    </w:p>
    <w:p>
      <w:pPr>
        <w:spacing w:after="0" w:line="50" w:lineRule="exact"/>
        <w:rPr>
          <w:sz w:val="20"/>
          <w:szCs w:val="20"/>
          <w:color w:val="auto"/>
        </w:rPr>
      </w:pPr>
    </w:p>
    <w:p>
      <w:pPr>
        <w:ind w:firstLine="1305"/>
        <w:spacing w:after="0" w:line="347" w:lineRule="auto"/>
        <w:tabs>
          <w:tab w:leader="none" w:pos="18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contingent liabilities in respect of any indemnification obligation, adjustment of purchase price, non-compete, or similar obligation of Borrower or the applicable Loan Party incurred in connection with the consummation of one or more Permitted Acquisitions,</w:t>
      </w:r>
    </w:p>
    <w:p>
      <w:pPr>
        <w:spacing w:after="0" w:line="49" w:lineRule="exact"/>
        <w:rPr>
          <w:rFonts w:ascii="Arial" w:cs="Arial" w:eastAsia="Arial" w:hAnsi="Arial"/>
          <w:sz w:val="18"/>
          <w:szCs w:val="18"/>
          <w:color w:val="auto"/>
        </w:rPr>
      </w:pPr>
    </w:p>
    <w:p>
      <w:pPr>
        <w:ind w:left="1780" w:hanging="475"/>
        <w:spacing w:after="0"/>
        <w:tabs>
          <w:tab w:leader="none" w:pos="17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Indebtedness composing Permitted Investments,</w:t>
      </w:r>
    </w:p>
    <w:p>
      <w:pPr>
        <w:spacing w:after="0" w:line="161" w:lineRule="exact"/>
        <w:rPr>
          <w:rFonts w:ascii="Arial" w:cs="Arial" w:eastAsia="Arial" w:hAnsi="Arial"/>
          <w:sz w:val="20"/>
          <w:szCs w:val="20"/>
          <w:color w:val="auto"/>
        </w:rPr>
      </w:pPr>
    </w:p>
    <w:p>
      <w:pPr>
        <w:ind w:firstLine="1305"/>
        <w:spacing w:after="0" w:line="289" w:lineRule="auto"/>
        <w:tabs>
          <w:tab w:leader="none" w:pos="178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unsecured Indebtedness incurred in respect of netting services, overdraft protection, and other like services, in each case, incurred in the ordinary course of business,</w:t>
      </w:r>
    </w:p>
    <w:p>
      <w:pPr>
        <w:spacing w:after="0" w:line="94" w:lineRule="exact"/>
        <w:rPr>
          <w:rFonts w:ascii="Arial" w:cs="Arial" w:eastAsia="Arial" w:hAnsi="Arial"/>
          <w:sz w:val="20"/>
          <w:szCs w:val="20"/>
          <w:color w:val="auto"/>
        </w:rPr>
      </w:pPr>
    </w:p>
    <w:p>
      <w:pPr>
        <w:jc w:val="both"/>
        <w:ind w:firstLine="1305"/>
        <w:spacing w:after="0" w:line="274" w:lineRule="auto"/>
        <w:tabs>
          <w:tab w:leader="none" w:pos="188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unsecured Indebtedness of Borrower or its Subsidiaries in respect of Earn-Outs owing to sellers of assets or Equity Interests to Borrower or its Subsidiaries that is incurred in connection with the consummation of one or more Permitted Acquisitions so long as solely in respect of unsecured Earn Outs Indebtedness in excess of $5,000,000, such unsecured Indebtedness is on terms and conditions reasonably acceptable to Agent,</w:t>
      </w:r>
    </w:p>
    <w:p>
      <w:pPr>
        <w:spacing w:after="0" w:line="111" w:lineRule="exact"/>
        <w:rPr>
          <w:rFonts w:ascii="Arial" w:cs="Arial" w:eastAsia="Arial" w:hAnsi="Arial"/>
          <w:sz w:val="20"/>
          <w:szCs w:val="20"/>
          <w:color w:val="auto"/>
        </w:rPr>
      </w:pPr>
    </w:p>
    <w:p>
      <w:pPr>
        <w:jc w:val="both"/>
        <w:ind w:firstLine="1305"/>
        <w:spacing w:after="0" w:line="278" w:lineRule="auto"/>
        <w:tabs>
          <w:tab w:leader="none" w:pos="185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Indebtedness in an aggregate outstanding principal amount not to exceed $5,000,000 at any time outstanding for all Foreign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is not directly or indirectly recourse to any of the Loan Parties or of their respective assets,</w:t>
      </w:r>
    </w:p>
    <w:p>
      <w:pPr>
        <w:spacing w:after="0" w:line="105" w:lineRule="exact"/>
        <w:rPr>
          <w:rFonts w:ascii="Arial" w:cs="Arial" w:eastAsia="Arial" w:hAnsi="Arial"/>
          <w:sz w:val="20"/>
          <w:szCs w:val="20"/>
          <w:color w:val="auto"/>
        </w:rPr>
      </w:pPr>
    </w:p>
    <w:p>
      <w:pPr>
        <w:ind w:firstLine="1305"/>
        <w:spacing w:after="0" w:line="289" w:lineRule="auto"/>
        <w:tabs>
          <w:tab w:leader="none" w:pos="175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accrual of interest, accretion or amortization of original issue discount, or the payment of interest in kind, in each case, on Indebtedness that otherwise constitutes Permitted Indebtedness,</w:t>
      </w:r>
    </w:p>
    <w:p>
      <w:pPr>
        <w:spacing w:after="0" w:line="94" w:lineRule="exact"/>
        <w:rPr>
          <w:rFonts w:ascii="Arial" w:cs="Arial" w:eastAsia="Arial" w:hAnsi="Arial"/>
          <w:sz w:val="20"/>
          <w:szCs w:val="20"/>
          <w:color w:val="auto"/>
        </w:rPr>
      </w:pPr>
    </w:p>
    <w:p>
      <w:pPr>
        <w:ind w:left="1740" w:hanging="435"/>
        <w:spacing w:after="0"/>
        <w:tabs>
          <w:tab w:leader="none" w:pos="17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Subordinated Indebtedness,</w:t>
      </w:r>
    </w:p>
    <w:p>
      <w:pPr>
        <w:spacing w:after="0" w:line="161" w:lineRule="exact"/>
        <w:rPr>
          <w:rFonts w:ascii="Arial" w:cs="Arial" w:eastAsia="Arial" w:hAnsi="Arial"/>
          <w:sz w:val="20"/>
          <w:szCs w:val="20"/>
          <w:color w:val="auto"/>
        </w:rPr>
      </w:pPr>
    </w:p>
    <w:p>
      <w:pPr>
        <w:ind w:left="1820" w:hanging="515"/>
        <w:spacing w:after="0"/>
        <w:tabs>
          <w:tab w:leader="none" w:pos="18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letters of credit not issued by Issuing Bank in an aggregate outstanding principal amount not to exceed $400,000 at any</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 outstanding, and</w:t>
      </w:r>
    </w:p>
    <w:p>
      <w:pPr>
        <w:spacing w:after="0" w:line="161" w:lineRule="exact"/>
        <w:rPr>
          <w:rFonts w:ascii="Arial" w:cs="Arial" w:eastAsia="Arial" w:hAnsi="Arial"/>
          <w:sz w:val="18"/>
          <w:szCs w:val="18"/>
          <w:color w:val="auto"/>
        </w:rPr>
      </w:pPr>
    </w:p>
    <w:p>
      <w:pPr>
        <w:jc w:val="both"/>
        <w:ind w:right="20" w:firstLine="1305"/>
        <w:spacing w:after="0" w:line="322" w:lineRule="auto"/>
        <w:tabs>
          <w:tab w:leader="none" w:pos="190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$1,000,000 at any time outstanding, consisting of not more than an aggregate principal amount of $100,000 of secured Indebtedness at any time outstanding, so long as such secured Indebtedness is on terms and conditions reasonably acceptable to Agent and such Indebtedness is not secured by Collateral.</w:t>
      </w:r>
    </w:p>
    <w:p>
      <w:pPr>
        <w:spacing w:after="0" w:line="5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Intercompany Advances</w:t>
      </w:r>
      <w:r>
        <w:rPr>
          <w:rFonts w:ascii="Arial" w:cs="Arial" w:eastAsia="Arial" w:hAnsi="Arial"/>
          <w:sz w:val="20"/>
          <w:szCs w:val="20"/>
          <w:color w:val="auto"/>
        </w:rPr>
        <w:t>” means loans made by (a) a Loan Party to another Loan Party, (b) a Subsidiary of Borrower that is not a Loan Party to another Subsidiary of Borrower that is not a Loan Party, (c) a Subsidiary of Borrower that is not a Loan Party to a Loan Party, so long as the parties thereto are party to the Intercompany Subordination Agreement and (d) a Loan Party to a Subsidiary of Borrower that is not a Loan Party so long as (i) the aggregate amount of all such loans, made in any fiscal year, does not exceed $4,500,000 taken together with Investments under clause (r) of the definition of Permitted Investments, (ii) at the time of making such loan no Event of Default has occurred and is continuing or would result therefrom, and (iii) Borrower has Availability of $12,500,000 or greater immediately after giving effect to such loan.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29" w:lineRule="exact"/>
        <w:rPr>
          <w:sz w:val="20"/>
          <w:szCs w:val="20"/>
          <w:color w:val="auto"/>
        </w:rPr>
      </w:pPr>
    </w:p>
    <w:p>
      <w:pPr>
        <w:ind w:left="1720" w:hanging="415"/>
        <w:spacing w:after="0"/>
        <w:tabs>
          <w:tab w:leader="none" w:pos="17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ectPr>
          <w:pgSz w:w="11900" w:h="16838" w:orient="portrait"/>
          <w:cols w:equalWidth="0" w:num="1">
            <w:col w:w="11420"/>
          </w:cols>
          <w:pgMar w:left="240" w:top="839" w:right="239" w:bottom="1440" w:gutter="0" w:footer="0" w:header="0"/>
        </w:sectPr>
      </w:pPr>
    </w:p>
    <w:bookmarkStart w:id="196" w:name="page197"/>
    <w:bookmarkEnd w:id="196"/>
    <w:p>
      <w:pPr>
        <w:ind w:left="540" w:hanging="435"/>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Investments in negotiable instruments deposited or to be deposited for collection in the ordinary course of business,</w:t>
      </w:r>
    </w:p>
    <w:p>
      <w:pPr>
        <w:spacing w:after="0" w:line="184" w:lineRule="exact"/>
        <w:rPr>
          <w:rFonts w:ascii="Arial" w:cs="Arial" w:eastAsia="Arial" w:hAnsi="Arial"/>
          <w:sz w:val="18"/>
          <w:szCs w:val="18"/>
          <w:color w:val="auto"/>
        </w:rPr>
      </w:pPr>
    </w:p>
    <w:p>
      <w:pPr>
        <w:ind w:left="520" w:hanging="415"/>
        <w:spacing w:after="0"/>
        <w:tabs>
          <w:tab w:leader="none" w:pos="5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advances made in connection with purchases of goods or services in the ordinary course of business,</w:t>
      </w:r>
    </w:p>
    <w:p>
      <w:pPr>
        <w:spacing w:after="0" w:line="161" w:lineRule="exact"/>
        <w:rPr>
          <w:rFonts w:ascii="Arial" w:cs="Arial" w:eastAsia="Arial" w:hAnsi="Arial"/>
          <w:sz w:val="20"/>
          <w:szCs w:val="20"/>
          <w:color w:val="auto"/>
        </w:rPr>
      </w:pPr>
    </w:p>
    <w:p>
      <w:pPr>
        <w:jc w:val="both"/>
        <w:ind w:left="-1200" w:firstLine="1305"/>
        <w:spacing w:after="0" w:line="278" w:lineRule="auto"/>
        <w:tabs>
          <w:tab w:leader="none" w:pos="57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05" w:lineRule="exact"/>
        <w:rPr>
          <w:rFonts w:ascii="Arial" w:cs="Arial" w:eastAsia="Arial" w:hAnsi="Arial"/>
          <w:sz w:val="20"/>
          <w:szCs w:val="20"/>
          <w:color w:val="auto"/>
        </w:rPr>
      </w:pPr>
    </w:p>
    <w:p>
      <w:pPr>
        <w:ind w:left="-1200" w:right="20" w:firstLine="1305"/>
        <w:spacing w:after="0" w:line="289" w:lineRule="auto"/>
        <w:tabs>
          <w:tab w:leader="none" w:pos="63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Investments owned by any Loan Party or any of its Subsidiaries on the Restatement Closing Date and set forth on </w:t>
      </w:r>
      <w:r>
        <w:rPr>
          <w:rFonts w:ascii="Arial" w:cs="Arial" w:eastAsia="Arial" w:hAnsi="Arial"/>
          <w:sz w:val="20"/>
          <w:szCs w:val="20"/>
          <w:u w:val="single" w:color="auto"/>
          <w:color w:val="auto"/>
        </w:rPr>
        <w:t>Schedule P-1</w:t>
      </w:r>
      <w:r>
        <w:rPr>
          <w:rFonts w:ascii="Arial" w:cs="Arial" w:eastAsia="Arial" w:hAnsi="Arial"/>
          <w:sz w:val="20"/>
          <w:szCs w:val="20"/>
          <w:color w:val="auto"/>
        </w:rPr>
        <w:t xml:space="preserve"> of the Disclosure Letter,</w:t>
      </w:r>
    </w:p>
    <w:p>
      <w:pPr>
        <w:spacing w:after="0" w:line="94" w:lineRule="exact"/>
        <w:rPr>
          <w:rFonts w:ascii="Arial" w:cs="Arial" w:eastAsia="Arial" w:hAnsi="Arial"/>
          <w:sz w:val="20"/>
          <w:szCs w:val="20"/>
          <w:color w:val="auto"/>
        </w:rPr>
      </w:pPr>
    </w:p>
    <w:p>
      <w:pPr>
        <w:ind w:left="500" w:hanging="395"/>
        <w:spacing w:after="0"/>
        <w:tabs>
          <w:tab w:leader="none" w:pos="5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guarantees permitted under the definition of Permitted Indebtedness,</w:t>
      </w:r>
    </w:p>
    <w:p>
      <w:pPr>
        <w:spacing w:after="0" w:line="161" w:lineRule="exact"/>
        <w:rPr>
          <w:rFonts w:ascii="Arial" w:cs="Arial" w:eastAsia="Arial" w:hAnsi="Arial"/>
          <w:sz w:val="20"/>
          <w:szCs w:val="20"/>
          <w:color w:val="auto"/>
        </w:rPr>
      </w:pPr>
    </w:p>
    <w:p>
      <w:pPr>
        <w:ind w:left="540" w:hanging="435"/>
        <w:spacing w:after="0"/>
        <w:tabs>
          <w:tab w:leader="none" w:pos="5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Permitted Intercompany Advances,</w:t>
      </w:r>
    </w:p>
    <w:p>
      <w:pPr>
        <w:spacing w:after="0" w:line="161" w:lineRule="exact"/>
        <w:rPr>
          <w:rFonts w:ascii="Arial" w:cs="Arial" w:eastAsia="Arial" w:hAnsi="Arial"/>
          <w:sz w:val="20"/>
          <w:szCs w:val="20"/>
          <w:color w:val="auto"/>
        </w:rPr>
      </w:pPr>
    </w:p>
    <w:p>
      <w:pPr>
        <w:jc w:val="both"/>
        <w:ind w:left="-1200" w:firstLine="1305"/>
        <w:spacing w:after="0" w:line="278" w:lineRule="auto"/>
        <w:tabs>
          <w:tab w:leader="none" w:pos="55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105" w:lineRule="exact"/>
        <w:rPr>
          <w:rFonts w:ascii="Arial" w:cs="Arial" w:eastAsia="Arial" w:hAnsi="Arial"/>
          <w:sz w:val="20"/>
          <w:szCs w:val="20"/>
          <w:color w:val="auto"/>
        </w:rPr>
      </w:pPr>
    </w:p>
    <w:p>
      <w:pPr>
        <w:ind w:left="540" w:hanging="435"/>
        <w:spacing w:after="0"/>
        <w:tabs>
          <w:tab w:leader="none" w:pos="5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deposits of cash made in the ordinary course of business to secure performance of operating leases,</w:t>
      </w:r>
    </w:p>
    <w:p>
      <w:pPr>
        <w:spacing w:after="0" w:line="161" w:lineRule="exact"/>
        <w:rPr>
          <w:rFonts w:ascii="Arial" w:cs="Arial" w:eastAsia="Arial" w:hAnsi="Arial"/>
          <w:sz w:val="20"/>
          <w:szCs w:val="20"/>
          <w:color w:val="auto"/>
        </w:rPr>
      </w:pPr>
    </w:p>
    <w:p>
      <w:pPr>
        <w:jc w:val="both"/>
        <w:ind w:left="-1200" w:firstLine="1305"/>
        <w:spacing w:after="0" w:line="293" w:lineRule="auto"/>
        <w:tabs>
          <w:tab w:leader="none" w:pos="602" w:val="left"/>
        </w:tabs>
        <w:numPr>
          <w:ilvl w:val="0"/>
          <w:numId w:val="189"/>
        </w:numPr>
        <w:rPr>
          <w:rFonts w:ascii="Arial" w:cs="Arial" w:eastAsia="Arial" w:hAnsi="Arial"/>
          <w:sz w:val="19"/>
          <w:szCs w:val="19"/>
          <w:color w:val="auto"/>
        </w:rPr>
      </w:pPr>
      <w:r>
        <w:rPr>
          <w:rFonts w:ascii="Arial" w:cs="Arial" w:eastAsia="Arial" w:hAnsi="Arial"/>
          <w:sz w:val="19"/>
          <w:szCs w:val="19"/>
          <w:color w:val="auto"/>
        </w:rPr>
        <w:t>(i) non-cash loans and advances to employees, officers, and directors of Borrower or any of its Subsidiaries for the purpose of purchasing Equity Interests in Borrower so long as the proceeds of such loans are used in their entirety to purchase such Equity Interests in Borrower, and (ii) loans and advances to employees and officers of Borrower or any of its Subsidiaries in the ordinary course of business for any other business purpose and in an aggregate amount not to exceed $250,000 in any fiscal year,</w:t>
      </w:r>
    </w:p>
    <w:p>
      <w:pPr>
        <w:spacing w:after="0" w:line="94" w:lineRule="exact"/>
        <w:rPr>
          <w:rFonts w:ascii="Arial" w:cs="Arial" w:eastAsia="Arial" w:hAnsi="Arial"/>
          <w:sz w:val="19"/>
          <w:szCs w:val="19"/>
          <w:color w:val="auto"/>
        </w:rPr>
      </w:pPr>
    </w:p>
    <w:p>
      <w:pPr>
        <w:ind w:left="580" w:hanging="475"/>
        <w:spacing w:after="0"/>
        <w:tabs>
          <w:tab w:leader="none" w:pos="58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161" w:lineRule="exact"/>
        <w:rPr>
          <w:rFonts w:ascii="Arial" w:cs="Arial" w:eastAsia="Arial" w:hAnsi="Arial"/>
          <w:sz w:val="20"/>
          <w:szCs w:val="20"/>
          <w:color w:val="auto"/>
        </w:rPr>
      </w:pPr>
    </w:p>
    <w:p>
      <w:pPr>
        <w:ind w:left="-1200" w:firstLine="1305"/>
        <w:spacing w:after="0" w:line="289" w:lineRule="auto"/>
        <w:tabs>
          <w:tab w:leader="none" w:pos="56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Investments resulting from entering into (i) Bank Product Agreements, or (ii) agreements relative to Indebtedness that is permitted under clause (j) of the definition of Permitted Indebtedness,</w:t>
      </w:r>
    </w:p>
    <w:p>
      <w:pPr>
        <w:spacing w:after="0" w:line="94" w:lineRule="exact"/>
        <w:rPr>
          <w:rFonts w:ascii="Arial" w:cs="Arial" w:eastAsia="Arial" w:hAnsi="Arial"/>
          <w:sz w:val="20"/>
          <w:szCs w:val="20"/>
          <w:color w:val="auto"/>
        </w:rPr>
      </w:pPr>
    </w:p>
    <w:p>
      <w:pPr>
        <w:ind w:left="-1200" w:right="20" w:firstLine="1305"/>
        <w:spacing w:after="0" w:line="289" w:lineRule="auto"/>
        <w:tabs>
          <w:tab w:leader="none" w:pos="67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equity Investments by any Loan Party in any Subsidiary of such Loan Party which is required by law to maintain a minimum net capital requirement or as may be otherwise required by applicable law,</w:t>
      </w:r>
    </w:p>
    <w:p>
      <w:pPr>
        <w:spacing w:after="0" w:line="94" w:lineRule="exact"/>
        <w:rPr>
          <w:rFonts w:ascii="Arial" w:cs="Arial" w:eastAsia="Arial" w:hAnsi="Arial"/>
          <w:sz w:val="20"/>
          <w:szCs w:val="20"/>
          <w:color w:val="auto"/>
        </w:rPr>
      </w:pPr>
    </w:p>
    <w:p>
      <w:pPr>
        <w:ind w:left="-1200" w:firstLine="1305"/>
        <w:spacing w:after="0" w:line="347" w:lineRule="auto"/>
        <w:tabs>
          <w:tab w:leader="none" w:pos="57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49" w:lineRule="exact"/>
        <w:rPr>
          <w:rFonts w:ascii="Arial" w:cs="Arial" w:eastAsia="Arial" w:hAnsi="Arial"/>
          <w:sz w:val="18"/>
          <w:szCs w:val="18"/>
          <w:color w:val="auto"/>
        </w:rPr>
      </w:pPr>
    </w:p>
    <w:p>
      <w:pPr>
        <w:jc w:val="both"/>
        <w:ind w:left="-1200" w:firstLine="1305"/>
        <w:spacing w:after="0" w:line="274" w:lineRule="auto"/>
        <w:tabs>
          <w:tab w:leader="none" w:pos="76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$500,000 in the aggregate in any fiscal year; and (y) strategic alliances with particular customers in which such customers will share</w:t>
      </w:r>
    </w:p>
    <w:p>
      <w:pPr>
        <w:sectPr>
          <w:pgSz w:w="11900" w:h="16838" w:orient="portrait"/>
          <w:cols w:equalWidth="0" w:num="1">
            <w:col w:w="10220"/>
          </w:cols>
          <w:pgMar w:left="1440" w:top="838" w:right="239" w:bottom="1440" w:gutter="0" w:footer="0" w:header="0"/>
        </w:sectPr>
      </w:pPr>
    </w:p>
    <w:bookmarkStart w:id="197" w:name="page198"/>
    <w:bookmarkEnd w:id="197"/>
    <w:p>
      <w:pPr>
        <w:spacing w:after="0" w:line="289" w:lineRule="auto"/>
        <w:rPr>
          <w:sz w:val="20"/>
          <w:szCs w:val="20"/>
          <w:color w:val="auto"/>
        </w:rPr>
      </w:pPr>
      <w:r>
        <w:rPr>
          <w:rFonts w:ascii="Arial" w:cs="Arial" w:eastAsia="Arial" w:hAnsi="Arial"/>
          <w:sz w:val="20"/>
          <w:szCs w:val="20"/>
          <w:color w:val="auto"/>
        </w:rPr>
        <w:t>in the research and development expense of Borrower associated with the incorporation by such customers of microconverters purchased from Borrower into solar panels produced by such customers,</w:t>
      </w:r>
    </w:p>
    <w:p>
      <w:pPr>
        <w:spacing w:after="0" w:line="94" w:lineRule="exact"/>
        <w:rPr>
          <w:sz w:val="20"/>
          <w:szCs w:val="20"/>
          <w:color w:val="auto"/>
        </w:rPr>
      </w:pPr>
    </w:p>
    <w:p>
      <w:pPr>
        <w:ind w:firstLine="1305"/>
        <w:spacing w:after="0" w:line="289" w:lineRule="auto"/>
        <w:tabs>
          <w:tab w:leader="none" w:pos="180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or would result therefrom, any other Investments in an aggregate amount not to exceed $250,000 during the term of the Agreement,</w:t>
      </w:r>
    </w:p>
    <w:p>
      <w:pPr>
        <w:spacing w:after="0" w:line="94" w:lineRule="exact"/>
        <w:rPr>
          <w:rFonts w:ascii="Arial" w:cs="Arial" w:eastAsia="Arial" w:hAnsi="Arial"/>
          <w:sz w:val="20"/>
          <w:szCs w:val="20"/>
          <w:color w:val="auto"/>
        </w:rPr>
      </w:pPr>
    </w:p>
    <w:p>
      <w:pPr>
        <w:jc w:val="both"/>
        <w:ind w:firstLine="1305"/>
        <w:spacing w:after="0" w:line="297" w:lineRule="auto"/>
        <w:tabs>
          <w:tab w:leader="none" w:pos="171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Investments in the form of capital contributions and the acquisition of Equity Interests made by any Loan Party (i) in any other Loan Party (other than capital contributions to or the acquisition of Equity Interest of Borrower) or (ii) in a Foreign Subsidiary so long as</w:t>
      </w:r>
    </w:p>
    <w:p>
      <w:pPr>
        <w:ind w:firstLine="8"/>
        <w:spacing w:after="0" w:line="289" w:lineRule="auto"/>
        <w:tabs>
          <w:tab w:leader="none" w:pos="275"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no Event of Default has occurred and is continuing or would result therefrom and (II) such Investments taken together with Permitted Intercompany Advances, in each case, made in any fiscal year do not exceed $4,500,000, and</w:t>
      </w:r>
    </w:p>
    <w:p>
      <w:pPr>
        <w:spacing w:after="0" w:line="94" w:lineRule="exact"/>
        <w:rPr>
          <w:rFonts w:ascii="Arial" w:cs="Arial" w:eastAsia="Arial" w:hAnsi="Arial"/>
          <w:sz w:val="20"/>
          <w:szCs w:val="20"/>
          <w:color w:val="auto"/>
        </w:rPr>
      </w:pPr>
    </w:p>
    <w:p>
      <w:pPr>
        <w:ind w:left="1720" w:hanging="415"/>
        <w:spacing w:after="0"/>
        <w:tabs>
          <w:tab w:leader="none" w:pos="17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Investments resulting from the repurchase of Equipment disposed of pursuant to clause (p) of the definition of “Permitted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Dispositions”.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6"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Liens granted to, or for the benefit of, Agent to secure the Obligations,</w:t>
      </w:r>
    </w:p>
    <w:p>
      <w:pPr>
        <w:spacing w:after="0" w:line="215" w:lineRule="exact"/>
        <w:rPr>
          <w:rFonts w:ascii="Arial" w:cs="Arial" w:eastAsia="Arial" w:hAnsi="Arial"/>
          <w:sz w:val="20"/>
          <w:szCs w:val="20"/>
          <w:color w:val="auto"/>
        </w:rPr>
      </w:pPr>
    </w:p>
    <w:p>
      <w:pPr>
        <w:ind w:right="20" w:firstLine="656"/>
        <w:spacing w:after="0" w:line="316" w:lineRule="auto"/>
        <w:tabs>
          <w:tab w:leader="none" w:pos="112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for unpaid taxes, assessments, or other governmental charges or levies that either (i) are not yet delinquent, or (ii) do not have priority over Agent’s Liens and the underlying taxes, assessments, or charges or levies are the subject of Permitted Protests,</w:t>
      </w:r>
    </w:p>
    <w:p>
      <w:pPr>
        <w:spacing w:after="0" w:line="130" w:lineRule="exact"/>
        <w:rPr>
          <w:rFonts w:ascii="Arial" w:cs="Arial" w:eastAsia="Arial" w:hAnsi="Arial"/>
          <w:sz w:val="18"/>
          <w:szCs w:val="18"/>
          <w:color w:val="auto"/>
        </w:rPr>
      </w:pPr>
    </w:p>
    <w:p>
      <w:pPr>
        <w:ind w:right="20" w:firstLine="656"/>
        <w:spacing w:after="0" w:line="260" w:lineRule="auto"/>
        <w:tabs>
          <w:tab w:leader="none" w:pos="1165"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judgment Liens arising solely as a result of the existence of judgments, orders, or awards that do not constitute an Event of Default under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of the Agreement,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8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Liens set forth on </w:t>
      </w:r>
      <w:r>
        <w:rPr>
          <w:rFonts w:ascii="Arial" w:cs="Arial" w:eastAsia="Arial" w:hAnsi="Arial"/>
          <w:sz w:val="20"/>
          <w:szCs w:val="20"/>
          <w:u w:val="single" w:color="auto"/>
          <w:color w:val="auto"/>
        </w:rPr>
        <w:t>Schedule P-2</w:t>
      </w:r>
      <w:r>
        <w:rPr>
          <w:rFonts w:ascii="Arial" w:cs="Arial" w:eastAsia="Arial" w:hAnsi="Arial"/>
          <w:sz w:val="20"/>
          <w:szCs w:val="20"/>
          <w:color w:val="auto"/>
        </w:rPr>
        <w:t xml:space="preserve"> of the Disclosure Letter; provided, that to qualify as a Permitted Lien, any such Lien described on </w:t>
      </w:r>
      <w:r>
        <w:rPr>
          <w:rFonts w:ascii="Arial" w:cs="Arial" w:eastAsia="Arial" w:hAnsi="Arial"/>
          <w:sz w:val="20"/>
          <w:szCs w:val="20"/>
          <w:u w:val="single" w:color="auto"/>
          <w:color w:val="auto"/>
        </w:rPr>
        <w:t>Schedule P-2</w:t>
      </w:r>
      <w:r>
        <w:rPr>
          <w:rFonts w:ascii="Arial" w:cs="Arial" w:eastAsia="Arial" w:hAnsi="Arial"/>
          <w:sz w:val="20"/>
          <w:szCs w:val="20"/>
          <w:color w:val="auto"/>
        </w:rPr>
        <w:t xml:space="preserve"> of the Disclosure Letter shall only secure the Indebtedness that it secures on the Restatement Closing Date and any Refinancing Indebtedness in respect thereof,</w:t>
      </w:r>
    </w:p>
    <w:p>
      <w:pPr>
        <w:spacing w:after="0" w:line="186" w:lineRule="exact"/>
        <w:rPr>
          <w:rFonts w:ascii="Arial" w:cs="Arial" w:eastAsia="Arial" w:hAnsi="Arial"/>
          <w:sz w:val="20"/>
          <w:szCs w:val="20"/>
          <w:color w:val="auto"/>
        </w:rPr>
      </w:pPr>
    </w:p>
    <w:p>
      <w:pPr>
        <w:ind w:left="1080" w:hanging="424"/>
        <w:spacing w:after="0"/>
        <w:tabs>
          <w:tab w:leader="none" w:pos="108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interests of lessors under operating leases and non-exclusive licensors under license agreements,</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09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purchase money Liens or the interests of lessors under Capital Leases to the extent that such Liens or interests secure Permitted Purchase Money Indebtedness and so long as (i) such Lien attaches only to the asset purchased or acquired and the proceeds thereof, and (ii) such Lien only secures the Indebtedness that was incurred to acquire the asset purchased or acquired or any Refinancing Indebtedness in respect thereof,</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12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86" w:lineRule="exact"/>
        <w:rPr>
          <w:rFonts w:ascii="Arial" w:cs="Arial" w:eastAsia="Arial" w:hAnsi="Arial"/>
          <w:sz w:val="20"/>
          <w:szCs w:val="20"/>
          <w:color w:val="auto"/>
        </w:rPr>
      </w:pPr>
    </w:p>
    <w:p>
      <w:pPr>
        <w:ind w:firstLine="656"/>
        <w:spacing w:after="0" w:line="260" w:lineRule="auto"/>
        <w:tabs>
          <w:tab w:leader="none" w:pos="112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Liens on amounts deposited to secure Borrower’s and its Subsidiaries obligations in connection with worker’s compensation or other unemployment insurance,</w:t>
      </w:r>
    </w:p>
    <w:p>
      <w:pPr>
        <w:sectPr>
          <w:pgSz w:w="11900" w:h="16838" w:orient="portrait"/>
          <w:cols w:equalWidth="0" w:num="1">
            <w:col w:w="11420"/>
          </w:cols>
          <w:pgMar w:left="240" w:top="839" w:right="239" w:bottom="1440" w:gutter="0" w:footer="0" w:header="0"/>
        </w:sectPr>
      </w:pPr>
    </w:p>
    <w:bookmarkStart w:id="198" w:name="page199"/>
    <w:bookmarkEnd w:id="198"/>
    <w:p>
      <w:pPr>
        <w:ind w:right="20" w:firstLine="656"/>
        <w:spacing w:after="0" w:line="260" w:lineRule="auto"/>
        <w:tabs>
          <w:tab w:leader="none" w:pos="107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Liens on amounts deposited to secure Borrower’s and its Subsidiaries obligations in connection with the making or entering into of bids, tenders, or leases in the ordinary course of business and not in connection with the borrowing of money,</w:t>
      </w:r>
    </w:p>
    <w:p>
      <w:pPr>
        <w:spacing w:after="0" w:line="176" w:lineRule="exact"/>
        <w:rPr>
          <w:rFonts w:ascii="Arial" w:cs="Arial" w:eastAsia="Arial" w:hAnsi="Arial"/>
          <w:sz w:val="20"/>
          <w:szCs w:val="20"/>
          <w:color w:val="auto"/>
        </w:rPr>
      </w:pPr>
    </w:p>
    <w:p>
      <w:pPr>
        <w:ind w:firstLine="656"/>
        <w:spacing w:after="0" w:line="260" w:lineRule="auto"/>
        <w:tabs>
          <w:tab w:leader="none" w:pos="122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Liens on amounts deposited to secure Borrower’s and its Subsidiaries reimbursement obligations with respect to surety, performance or appeal bonds obtained in the ordinary course of business,</w:t>
      </w:r>
    </w:p>
    <w:p>
      <w:pPr>
        <w:spacing w:after="0" w:line="176" w:lineRule="exact"/>
        <w:rPr>
          <w:rFonts w:ascii="Arial" w:cs="Arial" w:eastAsia="Arial" w:hAnsi="Arial"/>
          <w:sz w:val="20"/>
          <w:szCs w:val="20"/>
          <w:color w:val="auto"/>
        </w:rPr>
      </w:pPr>
    </w:p>
    <w:p>
      <w:pPr>
        <w:ind w:firstLine="656"/>
        <w:spacing w:after="0" w:line="260" w:lineRule="auto"/>
        <w:tabs>
          <w:tab w:leader="none" w:pos="109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with respect to any Real Property, easements, rights of way, and zoning restrictions that do not materially interfere with or impair the use or operation thereof,</w:t>
      </w:r>
    </w:p>
    <w:p>
      <w:pPr>
        <w:spacing w:after="0" w:line="176" w:lineRule="exact"/>
        <w:rPr>
          <w:rFonts w:ascii="Arial" w:cs="Arial" w:eastAsia="Arial" w:hAnsi="Arial"/>
          <w:sz w:val="20"/>
          <w:szCs w:val="20"/>
          <w:color w:val="auto"/>
        </w:rPr>
      </w:pPr>
    </w:p>
    <w:p>
      <w:pPr>
        <w:jc w:val="both"/>
        <w:ind w:firstLine="656"/>
        <w:spacing w:after="0" w:line="269" w:lineRule="auto"/>
        <w:tabs>
          <w:tab w:leader="none" w:pos="90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non-exclusive licenses of patents, trademarks, copyrights, and other intellectual property rights in the ordinary course of business and other licenses that could not result in a legal transfer of title of the licensed property but that may be exclusive in respects other than territory and that may be exclusive as to territory only as to discrete geographical areas outside of the United States,</w:t>
      </w:r>
    </w:p>
    <w:p>
      <w:pPr>
        <w:spacing w:after="0" w:line="170" w:lineRule="exact"/>
        <w:rPr>
          <w:rFonts w:ascii="Arial" w:cs="Arial" w:eastAsia="Arial" w:hAnsi="Arial"/>
          <w:sz w:val="19"/>
          <w:szCs w:val="19"/>
          <w:color w:val="auto"/>
        </w:rPr>
      </w:pPr>
    </w:p>
    <w:p>
      <w:pPr>
        <w:ind w:right="20" w:firstLine="656"/>
        <w:spacing w:after="0" w:line="287" w:lineRule="auto"/>
        <w:tabs>
          <w:tab w:leader="none" w:pos="99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52" w:lineRule="exact"/>
        <w:rPr>
          <w:rFonts w:ascii="Arial" w:cs="Arial" w:eastAsia="Arial" w:hAnsi="Arial"/>
          <w:sz w:val="19"/>
          <w:szCs w:val="19"/>
          <w:color w:val="auto"/>
        </w:rPr>
      </w:pPr>
    </w:p>
    <w:p>
      <w:pPr>
        <w:ind w:firstLine="656"/>
        <w:spacing w:after="0" w:line="260" w:lineRule="auto"/>
        <w:tabs>
          <w:tab w:leader="none" w:pos="115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rights of setoff or bankers’ liens upon deposits of funds in favor of banks or other depository institutions, solely to the extent incurred in connection with the maintenance of such Deposit Accounts in the ordinary course of business,</w:t>
      </w:r>
    </w:p>
    <w:p>
      <w:pPr>
        <w:spacing w:after="0" w:line="176" w:lineRule="exact"/>
        <w:rPr>
          <w:rFonts w:ascii="Arial" w:cs="Arial" w:eastAsia="Arial" w:hAnsi="Arial"/>
          <w:sz w:val="20"/>
          <w:szCs w:val="20"/>
          <w:color w:val="auto"/>
        </w:rPr>
      </w:pPr>
    </w:p>
    <w:p>
      <w:pPr>
        <w:ind w:firstLine="656"/>
        <w:spacing w:after="0" w:line="260" w:lineRule="auto"/>
        <w:tabs>
          <w:tab w:leader="none" w:pos="120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76" w:lineRule="exact"/>
        <w:rPr>
          <w:rFonts w:ascii="Arial" w:cs="Arial" w:eastAsia="Arial" w:hAnsi="Arial"/>
          <w:sz w:val="20"/>
          <w:szCs w:val="20"/>
          <w:color w:val="auto"/>
        </w:rPr>
      </w:pPr>
    </w:p>
    <w:p>
      <w:pPr>
        <w:ind w:firstLine="656"/>
        <w:spacing w:after="0" w:line="260" w:lineRule="auto"/>
        <w:tabs>
          <w:tab w:leader="none" w:pos="1129" w:val="left"/>
        </w:tabs>
        <w:numPr>
          <w:ilvl w:val="0"/>
          <w:numId w:val="193"/>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ind w:firstLine="656"/>
        <w:spacing w:after="0" w:line="260" w:lineRule="auto"/>
        <w:tabs>
          <w:tab w:leader="none" w:pos="1142" w:val="left"/>
        </w:tabs>
        <w:numPr>
          <w:ilvl w:val="0"/>
          <w:numId w:val="193"/>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Borrower or any of its Subsidiaries in connection with any letter of intent or purchase agreement with respect to a Permitted Acquisition,</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assumed by Borrower or its Subsidiaries in connection with a Permitted Acquisition that secure Acquired Indebtedness,</w:t>
      </w:r>
    </w:p>
    <w:p>
      <w:pPr>
        <w:spacing w:after="0" w:line="238" w:lineRule="exact"/>
        <w:rPr>
          <w:rFonts w:ascii="Arial" w:cs="Arial" w:eastAsia="Arial" w:hAnsi="Arial"/>
          <w:sz w:val="18"/>
          <w:szCs w:val="18"/>
          <w:color w:val="auto"/>
        </w:rPr>
      </w:pPr>
    </w:p>
    <w:p>
      <w:pPr>
        <w:jc w:val="both"/>
        <w:ind w:firstLine="656"/>
        <w:spacing w:after="0" w:line="243" w:lineRule="auto"/>
        <w:tabs>
          <w:tab w:leader="none" w:pos="1059" w:val="left"/>
        </w:tabs>
        <w:numPr>
          <w:ilvl w:val="0"/>
          <w:numId w:val="193"/>
        </w:numPr>
        <w:rPr>
          <w:rFonts w:ascii="Arial" w:cs="Arial" w:eastAsia="Arial" w:hAnsi="Arial"/>
          <w:sz w:val="20"/>
          <w:szCs w:val="20"/>
          <w:color w:val="auto"/>
        </w:rPr>
      </w:pPr>
      <w:r>
        <w:rPr>
          <w:rFonts w:ascii="Arial" w:cs="Arial" w:eastAsia="Arial" w:hAnsi="Arial"/>
          <w:sz w:val="20"/>
          <w:szCs w:val="20"/>
          <w:color w:val="auto"/>
        </w:rPr>
        <w:t>Liens consisting of cash collateral securing (i) the undrawn amount of any letters of credit permitted by clause (u) of the definition of Permitted Indebtedness, (ii) obligations of the Foreign Subsidiaries under foreign credit cards, credit card processing services, debit cards, stored value cards, commercial cards (including so-called “purchase cards”, “procurement cards” or “p-cards”) or other Cash Management Services permitted by clause (k) of the definition of Permitted Indebtedness, but in each such case only to the extent that such cash collateral is owned by one or more of the Foreign Subsidiaries, (iii) any Hedge Obligations pursuant to which a Hedge Provider is not party to the applicable Hedge Agreement, and</w:t>
      </w:r>
    </w:p>
    <w:p>
      <w:pPr>
        <w:spacing w:after="0" w:line="196" w:lineRule="exact"/>
        <w:rPr>
          <w:rFonts w:ascii="Arial" w:cs="Arial" w:eastAsia="Arial" w:hAnsi="Arial"/>
          <w:sz w:val="20"/>
          <w:szCs w:val="20"/>
          <w:color w:val="auto"/>
        </w:rPr>
      </w:pPr>
    </w:p>
    <w:p>
      <w:pPr>
        <w:ind w:left="1100" w:hanging="444"/>
        <w:spacing w:after="0"/>
        <w:tabs>
          <w:tab w:leader="none" w:pos="110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other Liens securing obligations not in excess of $100,000.</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Protest</w:t>
      </w:r>
      <w:r>
        <w:rPr>
          <w:rFonts w:ascii="Arial" w:cs="Arial" w:eastAsia="Arial" w:hAnsi="Arial"/>
          <w:sz w:val="16"/>
          <w:szCs w:val="16"/>
          <w:color w:val="auto"/>
        </w:rPr>
        <w:t>” means the right of Borrower or any of its Subsidiaries to protest any Lien (other than any Lien that secures the Obligations), taxes (other than payroll taxes or taxes that are the subject of a United States federal tax lien), or rental payment, provided that (a) a reserve with respect to such obligation is established on Borrower’s or its Subsidiaries’ books and records in such amount as is required under</w:t>
      </w:r>
    </w:p>
    <w:p>
      <w:pPr>
        <w:sectPr>
          <w:pgSz w:w="11900" w:h="16838" w:orient="portrait"/>
          <w:cols w:equalWidth="0" w:num="1">
            <w:col w:w="11420"/>
          </w:cols>
          <w:pgMar w:left="240" w:top="825" w:right="239" w:bottom="1440" w:gutter="0" w:footer="0" w:header="0"/>
        </w:sectPr>
      </w:pPr>
    </w:p>
    <w:bookmarkStart w:id="199" w:name="page200"/>
    <w:bookmarkEnd w:id="199"/>
    <w:p>
      <w:pPr>
        <w:jc w:val="both"/>
        <w:spacing w:after="0" w:line="250" w:lineRule="auto"/>
        <w:rPr>
          <w:sz w:val="20"/>
          <w:szCs w:val="20"/>
          <w:color w:val="auto"/>
        </w:rPr>
      </w:pPr>
      <w:r>
        <w:rPr>
          <w:rFonts w:ascii="Arial" w:cs="Arial" w:eastAsia="Arial" w:hAnsi="Arial"/>
          <w:sz w:val="20"/>
          <w:szCs w:val="20"/>
          <w:color w:val="auto"/>
        </w:rPr>
        <w:t>GAAP, (b) any such protest is instituted promptly and prosecuted diligently by Borrower or its Subsidiary, as applicable, in good faith, and (c) Agent is satisfied that, while any such protest is pending, there will be no impairment of the enforceability, validity, or priority of any of Agent’s Liens.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Purchase Money Indebtedness</w:t>
      </w:r>
      <w:r>
        <w:rPr>
          <w:rFonts w:ascii="Arial" w:cs="Arial" w:eastAsia="Arial" w:hAnsi="Arial"/>
          <w:sz w:val="20"/>
          <w:szCs w:val="20"/>
          <w:color w:val="auto"/>
        </w:rPr>
        <w:t>” means, as of any date of determination, Indebtedness (other than the Obligations, but including Capitalized Lease Obligations), incurred after the Restatement Closing Date and at the time of, or within 20 days after, the acquisition of any fixed assets for the purpose of financing all or any part of the acquisition cost thereof, in an aggregate principal amount outstanding at any one time not in excess of $2,500,000.</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Post-Increase Revolver Lenders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Pre-Increase Revolver Lenders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means Borrower’s forecasted (a) balance sheets, (b) profit and loss statements, and (c) cash flow statements, all prepared on a basis consistent with Borrower’s historical financial statements, together with appropriate supporting details and a statement of underlying assumptions.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means, as of any date of determination:</w:t>
      </w:r>
    </w:p>
    <w:p>
      <w:pPr>
        <w:spacing w:after="0" w:line="216" w:lineRule="exact"/>
        <w:rPr>
          <w:sz w:val="20"/>
          <w:szCs w:val="20"/>
          <w:color w:val="auto"/>
        </w:rPr>
      </w:pPr>
    </w:p>
    <w:p>
      <w:pPr>
        <w:jc w:val="both"/>
        <w:ind w:firstLine="656"/>
        <w:spacing w:after="0" w:line="246" w:lineRule="auto"/>
        <w:tabs>
          <w:tab w:leader="none" w:pos="115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91" w:lineRule="exact"/>
        <w:rPr>
          <w:rFonts w:ascii="Arial" w:cs="Arial" w:eastAsia="Arial" w:hAnsi="Arial"/>
          <w:sz w:val="20"/>
          <w:szCs w:val="20"/>
          <w:color w:val="auto"/>
        </w:rPr>
      </w:pPr>
    </w:p>
    <w:p>
      <w:pPr>
        <w:jc w:val="both"/>
        <w:ind w:firstLine="656"/>
        <w:spacing w:after="0" w:line="243" w:lineRule="auto"/>
        <w:tabs>
          <w:tab w:leader="none" w:pos="110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 (i) the Revolving Loan Exposure of such Lender by (ii) the aggregate Revolving Loan Exposure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if all of the Revolving Loans have been repaid in full and all Revolver Commitments have been terminated, but Letters of Credit remain outstanding, Pro Rata Share under this clause shall be determined as if the Revolver Commitments had not been terminated and based upon the Revolver Commitments as they existed immediately prior to their termination, and</w:t>
      </w:r>
    </w:p>
    <w:p>
      <w:pPr>
        <w:spacing w:after="0" w:line="193" w:lineRule="exact"/>
        <w:rPr>
          <w:rFonts w:ascii="Arial" w:cs="Arial" w:eastAsia="Arial" w:hAnsi="Arial"/>
          <w:sz w:val="20"/>
          <w:szCs w:val="20"/>
          <w:color w:val="auto"/>
        </w:rPr>
      </w:pPr>
    </w:p>
    <w:p>
      <w:pPr>
        <w:ind w:left="1080" w:hanging="424"/>
        <w:spacing w:after="0"/>
        <w:tabs>
          <w:tab w:leader="none" w:pos="10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16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with respect to all other matters and for all other matters as to a particular Lender (including the indemnification obligations arising under </w:t>
      </w:r>
      <w:r>
        <w:rPr>
          <w:rFonts w:ascii="Arial" w:cs="Arial" w:eastAsia="Arial" w:hAnsi="Arial"/>
          <w:sz w:val="20"/>
          <w:szCs w:val="20"/>
          <w:u w:val="single" w:color="auto"/>
          <w:color w:val="auto"/>
        </w:rPr>
        <w:t>Section 15.7</w:t>
      </w:r>
      <w:r>
        <w:rPr>
          <w:rFonts w:ascii="Arial" w:cs="Arial" w:eastAsia="Arial" w:hAnsi="Arial"/>
          <w:sz w:val="20"/>
          <w:szCs w:val="20"/>
          <w:color w:val="auto"/>
        </w:rPr>
        <w:t xml:space="preserve"> of the Agreement), the percentage obtained by dividing (i) the Revolving Loan Exposure of such Lender by (ii) the aggregate Revolving Loan Exposure</w:t>
      </w:r>
    </w:p>
    <w:p>
      <w:pPr>
        <w:sectPr>
          <w:pgSz w:w="11900" w:h="16838" w:orient="portrait"/>
          <w:cols w:equalWidth="0" w:num="1">
            <w:col w:w="11420"/>
          </w:cols>
          <w:pgMar w:left="240" w:top="825" w:right="239" w:bottom="1440" w:gutter="0" w:footer="0" w:header="0"/>
        </w:sectPr>
      </w:pPr>
    </w:p>
    <w:bookmarkStart w:id="200" w:name="page201"/>
    <w:bookmarkEnd w:id="200"/>
    <w:p>
      <w:pPr>
        <w:jc w:val="both"/>
        <w:spacing w:after="0" w:line="244" w:lineRule="auto"/>
        <w:rPr>
          <w:sz w:val="20"/>
          <w:szCs w:val="20"/>
          <w:color w:val="auto"/>
        </w:rPr>
      </w:pPr>
      <w:r>
        <w:rPr>
          <w:rFonts w:ascii="Arial" w:cs="Arial" w:eastAsia="Arial" w:hAnsi="Arial"/>
          <w:sz w:val="20"/>
          <w:szCs w:val="20"/>
          <w:color w:val="auto"/>
        </w:rPr>
        <w:t xml:space="preserve">of all Lenders, in any such case as the applicable percentage may be adjusted by assignments permitted pursuant to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if all of the Loans have been repaid in full, all Letters of Credit have been made the subject of Letter of Credit Collateralization, and all Commitments have been terminated, Pro Rata Share under this clause shall be determined as if the Revolving Loan Exposures had not been repaid, collateralized, or terminated and shall be based upon the Revolving Loan Exposures as they existed immediately prior to their repayment, collateralization, or termination.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Protective Advances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2.3(d)(i)</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with respect to any Acquisition, an amount equal to the aggregate consideration, whether cash, property or securities (including the fair market value of any Equity Interests of Borrower issued in connection with such Acquisition and including the maximum amount of Earn-Outs), paid or delivered by Borrower or one of its Subsidiaries in connection with such Acquisition (whether paid at the closing thereof or payable thereafter and whether fixed or contingent), but excluding therefrom (a) any cash of the seller and its Affiliates used to fund any portion of such consideration and (b) any cash or Cash Equivalents acquired in connection with such Acquisition.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Cash</w:t>
      </w:r>
      <w:r>
        <w:rPr>
          <w:rFonts w:ascii="Arial" w:cs="Arial" w:eastAsia="Arial" w:hAnsi="Arial"/>
          <w:sz w:val="20"/>
          <w:szCs w:val="20"/>
          <w:color w:val="auto"/>
        </w:rPr>
        <w:t>” means, as of any date of determination, the amount of unrestricted cash and Cash Equivalents of Borrower and its Subsidiaries that is in Deposit Accounts or in Securities Accounts, or any combination thereof, and which such Deposit Account or Securities Account is (x) the subject of a Control Agreement and is maintained by a branch office of the bank or securities intermediary located within the United States or (y) if maintained at an institution outside of the United States, is subject to a perfected first priority Lien in favor of Agent pursuant to arrangements satisfactory to Agent in its sole discretion.</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w:t>
      </w:r>
      <w:r>
        <w:rPr>
          <w:rFonts w:ascii="Arial" w:cs="Arial" w:eastAsia="Arial" w:hAnsi="Arial"/>
          <w:sz w:val="20"/>
          <w:szCs w:val="20"/>
          <w:color w:val="auto"/>
        </w:rPr>
        <w:t>” means and refers to any Equity Interests issued by Borrower (and not by one or more of its Subsidiaries) that is not a Disqualified Equity Interest.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any estates or interests in real property now owned or hereafter acquired by Borrower or its Subsidiaries and the improvements thereto.</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 Collateral</w:t>
      </w:r>
      <w:r>
        <w:rPr>
          <w:rFonts w:ascii="Arial" w:cs="Arial" w:eastAsia="Arial" w:hAnsi="Arial"/>
          <w:sz w:val="20"/>
          <w:szCs w:val="20"/>
          <w:color w:val="auto"/>
        </w:rPr>
        <w:t xml:space="preserve">” means (a) the Real Property identified on </w:t>
      </w:r>
      <w:r>
        <w:rPr>
          <w:rFonts w:ascii="Arial" w:cs="Arial" w:eastAsia="Arial" w:hAnsi="Arial"/>
          <w:sz w:val="20"/>
          <w:szCs w:val="20"/>
          <w:u w:val="single" w:color="auto"/>
          <w:color w:val="auto"/>
        </w:rPr>
        <w:t>Schedule R-1</w:t>
      </w:r>
      <w:r>
        <w:rPr>
          <w:rFonts w:ascii="Arial" w:cs="Arial" w:eastAsia="Arial" w:hAnsi="Arial"/>
          <w:sz w:val="20"/>
          <w:szCs w:val="20"/>
          <w:color w:val="auto"/>
        </w:rPr>
        <w:t xml:space="preserve"> to the Disclosure Letter and (b) any Real Property hereafter acquired by Borrower or its Subsidiaries with a fair market value in excess of $1,000,000.</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 Reserves</w:t>
      </w:r>
      <w:r>
        <w:rPr>
          <w:rFonts w:ascii="Arial" w:cs="Arial" w:eastAsia="Arial" w:hAnsi="Arial"/>
          <w:sz w:val="20"/>
          <w:szCs w:val="20"/>
          <w:color w:val="auto"/>
        </w:rPr>
        <w:t xml:space="preserve">” means, as of any date of determination, those reserves that Agent deems necessary or appropriate, in its Permitted Discretion and subject to </w:t>
      </w:r>
      <w:r>
        <w:rPr>
          <w:rFonts w:ascii="Arial" w:cs="Arial" w:eastAsia="Arial" w:hAnsi="Arial"/>
          <w:sz w:val="20"/>
          <w:szCs w:val="20"/>
          <w:u w:val="single" w:color="auto"/>
          <w:color w:val="auto"/>
        </w:rPr>
        <w:t>Section 2.1(c)</w:t>
      </w:r>
      <w:r>
        <w:rPr>
          <w:rFonts w:ascii="Arial" w:cs="Arial" w:eastAsia="Arial" w:hAnsi="Arial"/>
          <w:sz w:val="20"/>
          <w:szCs w:val="20"/>
          <w:color w:val="auto"/>
        </w:rPr>
        <w:t>, to establish and maintain (including reserves for rebates, discounts, warranty claims, and returns) with respect to the Eligible Accounts or the Maximum Revolver Amount.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w:t>
      </w:r>
      <w:r>
        <w:rPr>
          <w:rFonts w:ascii="Arial" w:cs="Arial" w:eastAsia="Arial" w:hAnsi="Arial"/>
          <w:sz w:val="20"/>
          <w:szCs w:val="20"/>
          <w:color w:val="auto"/>
        </w:rPr>
        <w:t>” means information that is inscribed on a tangible medium or that is stored in an electronic or other medium and is retrievable in perceivable form.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Indebtedness</w:t>
      </w:r>
      <w:r>
        <w:rPr>
          <w:rFonts w:ascii="Arial" w:cs="Arial" w:eastAsia="Arial" w:hAnsi="Arial"/>
          <w:sz w:val="20"/>
          <w:szCs w:val="20"/>
          <w:color w:val="auto"/>
        </w:rPr>
        <w:t>” means refinancings, renewals, or extensions of Indebtedness so long as:</w:t>
      </w:r>
    </w:p>
    <w:p>
      <w:pPr>
        <w:spacing w:after="0" w:line="216" w:lineRule="exact"/>
        <w:rPr>
          <w:sz w:val="20"/>
          <w:szCs w:val="20"/>
          <w:color w:val="auto"/>
        </w:rPr>
      </w:pPr>
    </w:p>
    <w:p>
      <w:pPr>
        <w:ind w:right="20" w:firstLine="656"/>
        <w:spacing w:after="0" w:line="260" w:lineRule="auto"/>
        <w:tabs>
          <w:tab w:leader="none" w:pos="1096"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such refinancings, renewals, or extensions do not result in an increase in the principal amount of the Indebtedness so refinanced, renewed, or extended, other than by the amount of premiums paid thereon</w:t>
      </w:r>
    </w:p>
    <w:p>
      <w:pPr>
        <w:sectPr>
          <w:pgSz w:w="11900" w:h="16838" w:orient="portrait"/>
          <w:cols w:equalWidth="0" w:num="1">
            <w:col w:w="11420"/>
          </w:cols>
          <w:pgMar w:left="240" w:top="825" w:right="23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and the fees and expenses incurred in connection therewith and by the amount of unfunded commitments with respect thereto,</w:t>
      </w:r>
    </w:p>
    <w:p>
      <w:pPr>
        <w:spacing w:after="0" w:line="216" w:lineRule="exact"/>
        <w:rPr>
          <w:sz w:val="20"/>
          <w:szCs w:val="20"/>
          <w:color w:val="auto"/>
        </w:rPr>
      </w:pPr>
    </w:p>
    <w:p>
      <w:pPr>
        <w:jc w:val="both"/>
        <w:ind w:firstLine="656"/>
        <w:spacing w:after="0" w:line="250" w:lineRule="auto"/>
        <w:tabs>
          <w:tab w:leader="none" w:pos="115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86" w:lineRule="exact"/>
        <w:rPr>
          <w:rFonts w:ascii="Arial" w:cs="Arial" w:eastAsia="Arial" w:hAnsi="Arial"/>
          <w:sz w:val="20"/>
          <w:szCs w:val="20"/>
          <w:color w:val="auto"/>
        </w:rPr>
      </w:pPr>
    </w:p>
    <w:p>
      <w:pPr>
        <w:jc w:val="both"/>
        <w:ind w:firstLine="656"/>
        <w:spacing w:after="0" w:line="269" w:lineRule="auto"/>
        <w:tabs>
          <w:tab w:leader="none" w:pos="114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spacing w:after="0" w:line="170" w:lineRule="exact"/>
        <w:rPr>
          <w:rFonts w:ascii="Arial" w:cs="Arial" w:eastAsia="Arial" w:hAnsi="Arial"/>
          <w:sz w:val="19"/>
          <w:szCs w:val="19"/>
          <w:color w:val="auto"/>
        </w:rPr>
      </w:pPr>
    </w:p>
    <w:p>
      <w:pPr>
        <w:ind w:firstLine="656"/>
        <w:spacing w:after="0" w:line="316" w:lineRule="auto"/>
        <w:tabs>
          <w:tab w:leader="none" w:pos="108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Indebtedness that is refinanced, renewed, or extended is not recourse to any Person that is liable on account of the Obligations other than those Persons which were obligated with respect to the Indebtedness that was refinanced, renewed, or extended, and</w:t>
      </w:r>
    </w:p>
    <w:p>
      <w:pPr>
        <w:spacing w:after="0" w:line="130" w:lineRule="exact"/>
        <w:rPr>
          <w:rFonts w:ascii="Arial" w:cs="Arial" w:eastAsia="Arial" w:hAnsi="Arial"/>
          <w:sz w:val="18"/>
          <w:szCs w:val="18"/>
          <w:color w:val="auto"/>
        </w:rPr>
      </w:pPr>
    </w:p>
    <w:p>
      <w:pPr>
        <w:jc w:val="both"/>
        <w:ind w:firstLine="656"/>
        <w:spacing w:after="0" w:line="250" w:lineRule="auto"/>
        <w:tabs>
          <w:tab w:leader="none" w:pos="107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new Indebtedness resulting from such refinancing, renewal, or extension, shall not have the benefit of any covenants or events of default that are more restrictive, taken as a whole, in any material respect than the covenants and events of default contained in the Loan Documents, taken as a whole.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13.1(h)</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13.1(h)</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15.16</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Lenders having or holding more than 50% of the aggregate Revolving Loan Exposure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the Revolving Loan Exposure of any Defaulting Lender shall be disregarded in the determination of the Required Lenders.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Reserves</w:t>
      </w:r>
      <w:r>
        <w:rPr>
          <w:rFonts w:ascii="Arial" w:cs="Arial" w:eastAsia="Arial" w:hAnsi="Arial"/>
          <w:sz w:val="20"/>
          <w:szCs w:val="20"/>
          <w:color w:val="auto"/>
        </w:rPr>
        <w:t xml:space="preserve">” means, as of any date of determination, those reserves (other than Receivable Reserves, Bank Product Reserves, and Inventory Reserves) that Agent deems necessary or appropriate, in its Permitted Discretion and subject to </w:t>
      </w:r>
      <w:r>
        <w:rPr>
          <w:rFonts w:ascii="Arial" w:cs="Arial" w:eastAsia="Arial" w:hAnsi="Arial"/>
          <w:sz w:val="20"/>
          <w:szCs w:val="20"/>
          <w:u w:val="single" w:color="auto"/>
          <w:color w:val="auto"/>
        </w:rPr>
        <w:t>Section 2.1(c)</w:t>
      </w:r>
      <w:r>
        <w:rPr>
          <w:rFonts w:ascii="Arial" w:cs="Arial" w:eastAsia="Arial" w:hAnsi="Arial"/>
          <w:sz w:val="20"/>
          <w:szCs w:val="20"/>
          <w:color w:val="auto"/>
        </w:rPr>
        <w:t>, to establish and maintain (including reserves with respect to (a) sums that Borrower or its Subsidiaries are required to pay under any Section of the Agreement or any other</w:t>
      </w:r>
    </w:p>
    <w:p>
      <w:pPr>
        <w:sectPr>
          <w:pgSz w:w="11900" w:h="16838" w:orient="portrait"/>
          <w:cols w:equalWidth="0" w:num="1">
            <w:col w:w="11420"/>
          </w:cols>
          <w:pgMar w:left="240" w:top="825" w:right="239" w:bottom="1440" w:gutter="0" w:footer="0" w:header="0"/>
        </w:sectPr>
      </w:pPr>
    </w:p>
    <w:bookmarkStart w:id="202" w:name="page203"/>
    <w:bookmarkEnd w:id="202"/>
    <w:p>
      <w:pPr>
        <w:jc w:val="both"/>
        <w:spacing w:after="0" w:line="243" w:lineRule="auto"/>
        <w:rPr>
          <w:sz w:val="20"/>
          <w:szCs w:val="20"/>
          <w:color w:val="auto"/>
        </w:rPr>
      </w:pPr>
      <w:r>
        <w:rPr>
          <w:rFonts w:ascii="Arial" w:cs="Arial" w:eastAsia="Arial" w:hAnsi="Arial"/>
          <w:sz w:val="20"/>
          <w:szCs w:val="20"/>
          <w:color w:val="auto"/>
        </w:rPr>
        <w:t>Loan Document (such as taxes, assessments, insurance premiums, or, in the case of leased assets, rents or other amounts payable under such leases) and has failed to pay, (b) amounts owing by Borrower or its Subsidiaries to any Person to the extent secured by a Lien on, or trust over, any of the Collateral (other than a Permitted Lien), which Lien or trust, in the Permitted Discretion of Agent likely would have a priority superior to the Agent’s Liens (such as Liens or trusts in favor of landlords, warehousemen, carriers, mechanics, materialmen, laborers, or suppliers, or Liens or trusts for ad valorem, excise, sales, or other taxes where given priority under applicable law) in and to such item of the Collateral) with respect to the Borrowing Base or the Maximum Revolver Amount and (c) fluctuations in the Exchange Rate of Euros or Sterling into Dollars.</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Closing Date</w:t>
      </w:r>
      <w:r>
        <w:rPr>
          <w:rFonts w:ascii="Arial" w:cs="Arial" w:eastAsia="Arial" w:hAnsi="Arial"/>
          <w:sz w:val="20"/>
          <w:szCs w:val="20"/>
          <w:color w:val="auto"/>
        </w:rPr>
        <w:t xml:space="preserve">” means the date on which Agent sends Borrower a written notice that each of the conditions precedent set forth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either has been satisfied or has been waived.</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to (a) declare or pay any dividend or make any other payment or distribution, directly or indirectly, on account of Equity Interests issued by Borrower (including any payment in connection with any merger or consolidation involving Borrower) or to the direct or indirect holders of Equity Interests issued by Borrower in their capacity as such (other than dividends or distributions payable in Qualified Equity Interests issued by Borrower, or (b) purchase, redeem, make any sinking fund or similar payment, or otherwise acquire or retire for value (including in connection with any merger or consolidation involving Borrower) any Equity Interests issued by Borrower, (c) make any payment to retire, or to obtain the surrender of, any outstanding warrants, options, or other rights to acquire Equity Interests of Borrower now or hereafter outstanding, and (d) make, or cause or suffer to permit any of Borrower’s Subsidiaries to make, any payment or prepayment of principal of, premium, if any, or interest on, or redemption, purchase, retirement, defeasance (including in-substance or legal defeasance), sinking fund or similar payment with respect to, any Subordinated Indebtedness.</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Commitment</w:t>
      </w:r>
      <w:r>
        <w:rPr>
          <w:rFonts w:ascii="Arial" w:cs="Arial" w:eastAsia="Arial" w:hAnsi="Arial"/>
          <w:sz w:val="20"/>
          <w:szCs w:val="20"/>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Arial" w:cs="Arial" w:eastAsia="Arial" w:hAnsi="Arial"/>
          <w:sz w:val="20"/>
          <w:szCs w:val="20"/>
          <w:u w:val="single" w:color="auto"/>
          <w:color w:val="auto"/>
        </w:rPr>
        <w:t>Schedule C-1</w:t>
      </w:r>
      <w:r>
        <w:rPr>
          <w:rFonts w:ascii="Arial" w:cs="Arial" w:eastAsia="Arial" w:hAnsi="Arial"/>
          <w:sz w:val="20"/>
          <w:szCs w:val="20"/>
          <w:color w:val="auto"/>
        </w:rPr>
        <w:t xml:space="preserve"> to the Agreement or in the Assignment and Acceptance pursuant to which such Revolving Lender became a Revolving Lender under the Agreement, as such amounts may be reduced or increased from time to time pursuant to assignments made in accordance with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of the Agreement.</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Usage</w:t>
      </w:r>
      <w:r>
        <w:rPr>
          <w:rFonts w:ascii="Arial" w:cs="Arial" w:eastAsia="Arial" w:hAnsi="Arial"/>
          <w:sz w:val="20"/>
          <w:szCs w:val="20"/>
          <w:color w:val="auto"/>
        </w:rPr>
        <w:t xml:space="preserve">” means, as of any date of determination, the sum of (a) the amount of outstanding Revolving Loans (inclusive of Swing Loans and Protective Advances),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amount of the Letter of Credit Usage.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 Lender that has a Revolving Loan Commitment or that has an outstanding Revolving Loan.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Exposure</w:t>
      </w:r>
      <w:r>
        <w:rPr>
          <w:rFonts w:ascii="Arial" w:cs="Arial" w:eastAsia="Arial" w:hAnsi="Arial"/>
          <w:sz w:val="20"/>
          <w:szCs w:val="20"/>
          <w:color w:val="auto"/>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Entity</w:t>
      </w:r>
      <w:r>
        <w:rPr>
          <w:rFonts w:ascii="Arial" w:cs="Arial" w:eastAsia="Arial" w:hAnsi="Arial"/>
          <w:sz w:val="20"/>
          <w:szCs w:val="20"/>
          <w:color w:val="auto"/>
        </w:rPr>
        <w:t>” means (a) a country or a government of a country, (b) an agency of the government of a country, (c) an organization directly or indirectly controlled by a country or its government,</w:t>
      </w:r>
    </w:p>
    <w:p>
      <w:pPr>
        <w:sectPr>
          <w:pgSz w:w="11900" w:h="16838" w:orient="portrait"/>
          <w:cols w:equalWidth="0" w:num="1">
            <w:col w:w="11420"/>
          </w:cols>
          <w:pgMar w:left="240" w:top="825" w:right="239" w:bottom="1440" w:gutter="0" w:footer="0" w:header="0"/>
        </w:sectPr>
      </w:pPr>
    </w:p>
    <w:bookmarkStart w:id="203" w:name="page204"/>
    <w:bookmarkEnd w:id="203"/>
    <w:p>
      <w:pPr>
        <w:ind w:right="20" w:firstLine="8"/>
        <w:spacing w:after="0" w:line="260" w:lineRule="auto"/>
        <w:tabs>
          <w:tab w:leader="none" w:pos="28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 Person resident in or determined to be resident in a country, in each case, that is subject to a country sanctions program administered and enforced by OFAC.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 person named on the list of Specially Designated Nationals maintained by OFAC.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has the meaning specified therefor in the definition of Cash Equivalents.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 and any successor thereto.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w:t>
      </w:r>
      <w:r>
        <w:rPr>
          <w:rFonts w:ascii="Arial" w:cs="Arial" w:eastAsia="Arial" w:hAnsi="Arial"/>
          <w:sz w:val="20"/>
          <w:szCs w:val="20"/>
          <w:color w:val="auto"/>
        </w:rPr>
        <w:t>” means a securities account (as that term is defined in the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from time to time, and any successor statute.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2.3(e)(i)</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2.3(e)(i)</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and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Letter of Credit Practice</w:t>
      </w:r>
      <w:r>
        <w:rPr>
          <w:rFonts w:ascii="Arial" w:cs="Arial" w:eastAsia="Arial" w:hAnsi="Arial"/>
          <w:sz w:val="20"/>
          <w:szCs w:val="20"/>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the lawful currency of the United Kingdom.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 Denominated Loans</w:t>
      </w:r>
      <w:r>
        <w:rPr>
          <w:rFonts w:ascii="Arial" w:cs="Arial" w:eastAsia="Arial" w:hAnsi="Arial"/>
          <w:sz w:val="20"/>
          <w:szCs w:val="20"/>
          <w:color w:val="auto"/>
        </w:rPr>
        <w:t>” means each Loan denominated in Sterling at the time of the incurrence thereof.</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any unsecured Indebtedness of Borrower or its Subsidiaries incurred from time to time that is subordinated in right of payment to the Obligations and (a) that is only guaranteed by the Guarantors, (b) that is not subject to scheduled amortization, redemption, sinking fund or similar payment and does not have a final maturity, in each case, on or before the date that is six months after the Maturity Date, (c) that does not include any financial covenants or any covenant or agreement that</w:t>
      </w:r>
    </w:p>
    <w:p>
      <w:pPr>
        <w:sectPr>
          <w:pgSz w:w="11900" w:h="16838" w:orient="portrait"/>
          <w:cols w:equalWidth="0" w:num="1">
            <w:col w:w="11420"/>
          </w:cols>
          <w:pgMar w:left="240" w:top="825" w:right="239" w:bottom="1440" w:gutter="0" w:footer="0" w:header="0"/>
        </w:sectPr>
      </w:pPr>
    </w:p>
    <w:bookmarkStart w:id="204" w:name="page205"/>
    <w:bookmarkEnd w:id="204"/>
    <w:p>
      <w:pPr>
        <w:jc w:val="both"/>
        <w:spacing w:after="0" w:line="291" w:lineRule="auto"/>
        <w:rPr>
          <w:sz w:val="20"/>
          <w:szCs w:val="20"/>
          <w:color w:val="auto"/>
        </w:rPr>
      </w:pPr>
      <w:r>
        <w:rPr>
          <w:rFonts w:ascii="Arial" w:cs="Arial" w:eastAsia="Arial" w:hAnsi="Arial"/>
          <w:sz w:val="18"/>
          <w:szCs w:val="18"/>
          <w:color w:val="auto"/>
        </w:rPr>
        <w:t>is more restrictive or onerous on any Loan Party in any material respect than any comparable covenant in the Agreement and is otherwise on terms and conditions reasonably acceptable to Agent, (d) shall be limited to cross-payment default and cross-acceleration to designated “</w:t>
      </w:r>
      <w:r>
        <w:rPr>
          <w:rFonts w:ascii="Arial" w:cs="Arial" w:eastAsia="Arial" w:hAnsi="Arial"/>
          <w:sz w:val="18"/>
          <w:szCs w:val="18"/>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debt</w:t>
      </w:r>
      <w:r>
        <w:rPr>
          <w:rFonts w:ascii="Arial" w:cs="Arial" w:eastAsia="Arial" w:hAnsi="Arial"/>
          <w:sz w:val="18"/>
          <w:szCs w:val="18"/>
          <w:color w:val="auto"/>
        </w:rPr>
        <w:t>” (including the Obligations), and (e) the terms and conditions of the subordination are reasonably acceptable to Agent.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Supermajority Lenders</w:t>
      </w:r>
      <w:r>
        <w:rPr>
          <w:rFonts w:ascii="Arial" w:cs="Arial" w:eastAsia="Arial" w:hAnsi="Arial"/>
          <w:sz w:val="20"/>
          <w:szCs w:val="20"/>
          <w:color w:val="auto"/>
        </w:rPr>
        <w:t xml:space="preserve">” means, at any time, Lenders having or holding more than 66 2/3% of the aggregate Revolving Loan Exposure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(i) the Revolving Loan Exposure of any Defaulting Lender shall be disregarded in the determination of the Supermajority Lenders, and (ii) at any time there are 2 or more Lenders, “Supermajority Lenders” must include at least 2 Lenders (who are not Affiliates of one another).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Lender</w:t>
      </w:r>
      <w:r>
        <w:rPr>
          <w:rFonts w:ascii="Arial" w:cs="Arial" w:eastAsia="Arial" w:hAnsi="Arial"/>
          <w:sz w:val="20"/>
          <w:szCs w:val="20"/>
          <w:color w:val="auto"/>
        </w:rPr>
        <w:t xml:space="preserve">” means Wells Fargo or any other Lender that, at the request of Borrower and with the consent of Agent agrees, in such Lender’s sole discretion, to become the Swing Lender under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of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Loan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Loan Exposure</w:t>
      </w:r>
      <w:r>
        <w:rPr>
          <w:rFonts w:ascii="Arial" w:cs="Arial" w:eastAsia="Arial" w:hAnsi="Arial"/>
          <w:sz w:val="20"/>
          <w:szCs w:val="20"/>
          <w:color w:val="auto"/>
        </w:rPr>
        <w:t>” means, as of any date of determination with respect to any Lender, such Lender’s Pro Rata Share of the Swing Loans on such date.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payment system is open for the settlement of payments denominated in Euros.</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14.2(a)</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when used in reference to any Loan or borrowing thereof, refers to whether such Loan is a Base Rate Loan, LIBOR Rate Loan, Euro Denominated Loan or Sterling Denominated Loan.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with respect to any Letter of Credit, the Uniform Customs and Practice for Documentary Credits 2007 Revision, International Chamber of Commerce Publication No. 600 and any subsequent revision thereof adopted by the International Chamber of Commerce on the date such Letter of Credit is issued.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Line Fee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of the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Dollar Equivalent</w:t>
      </w:r>
      <w:r>
        <w:rPr>
          <w:rFonts w:ascii="Arial" w:cs="Arial" w:eastAsia="Arial" w:hAnsi="Arial"/>
          <w:sz w:val="20"/>
          <w:szCs w:val="20"/>
          <w:color w:val="auto"/>
        </w:rPr>
        <w:t>” means at any time (a) as to any amount denominated in Dollars, the amount thereof at such time, and (b) as to any amount denominated in any currency other than Dollars, the equivalent amount if Dollars calculated by Agent at such time using Exchange Rate in effect on the Business Day of determination.</w:t>
      </w:r>
    </w:p>
    <w:p>
      <w:pPr>
        <w:sectPr>
          <w:pgSz w:w="11900" w:h="16838" w:orient="portrait"/>
          <w:cols w:equalWidth="0" w:num="1">
            <w:col w:w="11420"/>
          </w:cols>
          <w:pgMar w:left="240" w:top="825" w:right="239" w:bottom="1440" w:gutter="0" w:footer="0" w:header="0"/>
        </w:sectPr>
      </w:pPr>
    </w:p>
    <w:bookmarkStart w:id="205" w:name="page206"/>
    <w:bookmarkEnd w:id="20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Voidable Transfer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17.8</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with respect to a Multiemployer Plan as a result of a complete or partial withdrawal from such Multiemployer Plan, as such terms are defined in Part I of Subtitle E of Title IV of ERISA.</w:t>
      </w:r>
    </w:p>
    <w:p>
      <w:pPr>
        <w:sectPr>
          <w:pgSz w:w="11900" w:h="16838" w:orient="portrait"/>
          <w:cols w:equalWidth="0" w:num="1">
            <w:col w:w="11420"/>
          </w:cols>
          <w:pgMar w:left="240" w:top="825"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20"/>
          <w:szCs w:val="20"/>
          <w:b w:val="1"/>
          <w:bCs w:val="1"/>
          <w:u w:val="single" w:color="auto"/>
          <w:color w:val="auto"/>
        </w:rPr>
        <w:t>Schedule 3.6 to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Subsequent)</w:t>
      </w:r>
    </w:p>
    <w:p>
      <w:pPr>
        <w:spacing w:after="0" w:line="222" w:lineRule="exact"/>
        <w:rPr>
          <w:sz w:val="20"/>
          <w:szCs w:val="20"/>
          <w:color w:val="auto"/>
        </w:rPr>
      </w:pPr>
    </w:p>
    <w:p>
      <w:pPr>
        <w:jc w:val="both"/>
        <w:ind w:firstLine="656"/>
        <w:spacing w:after="0" w:line="250" w:lineRule="auto"/>
        <w:tabs>
          <w:tab w:leader="none" w:pos="991" w:val="left"/>
        </w:tabs>
        <w:numPr>
          <w:ilvl w:val="0"/>
          <w:numId w:val="198"/>
        </w:numPr>
        <w:rPr>
          <w:rFonts w:ascii="Arial" w:cs="Arial" w:eastAsia="Arial" w:hAnsi="Arial"/>
          <w:sz w:val="20"/>
          <w:szCs w:val="20"/>
          <w:color w:val="auto"/>
        </w:rPr>
      </w:pPr>
      <w:r>
        <w:rPr>
          <w:rFonts w:ascii="Arial" w:cs="Arial" w:eastAsia="Arial" w:hAnsi="Arial"/>
          <w:sz w:val="20"/>
          <w:szCs w:val="20"/>
          <w:color w:val="auto"/>
        </w:rPr>
        <w:t>Within sixty (60) days of the Restatement Closing Date (or such later as permitted by Agent in its sole discretion), Agent shall have received amended Deposit Account Control Agreements for each of Borrower’s Deposit Accounts and Securities Accounts subject to Deposit Account Control Agreements under the Existing Credit Agreement.</w:t>
      </w:r>
    </w:p>
    <w:p>
      <w:pPr>
        <w:spacing w:after="0" w:line="186" w:lineRule="exact"/>
        <w:rPr>
          <w:rFonts w:ascii="Arial" w:cs="Arial" w:eastAsia="Arial" w:hAnsi="Arial"/>
          <w:sz w:val="20"/>
          <w:szCs w:val="20"/>
          <w:color w:val="auto"/>
        </w:rPr>
      </w:pPr>
    </w:p>
    <w:p>
      <w:pPr>
        <w:jc w:val="both"/>
        <w:ind w:firstLine="656"/>
        <w:spacing w:after="0" w:line="250" w:lineRule="auto"/>
        <w:tabs>
          <w:tab w:leader="none" w:pos="103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Within sixty (60) days of the Restatement Closing Date (or such later as permitted by Agent in its sole discretion), the Borrower shall use commercially reasonable efforts to deliver to Agent a duly executed Collateral Access Agreement, in form and substance satisfactory to Agent, for each of the following locations:</w:t>
      </w:r>
    </w:p>
    <w:p>
      <w:pPr>
        <w:spacing w:after="0" w:line="186" w:lineRule="exact"/>
        <w:rPr>
          <w:sz w:val="20"/>
          <w:szCs w:val="20"/>
          <w:color w:val="auto"/>
        </w:rPr>
      </w:pPr>
    </w:p>
    <w:p>
      <w:pPr>
        <w:ind w:left="920" w:hanging="264"/>
        <w:spacing w:after="0"/>
        <w:tabs>
          <w:tab w:leader="none" w:pos="9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5341 Old Redwood Hwy, Petaluma, CA;</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1380 Redwood Way, Petaluma, CA;</w:t>
      </w:r>
    </w:p>
    <w:p>
      <w:pPr>
        <w:spacing w:after="0" w:line="229" w:lineRule="exact"/>
        <w:rPr>
          <w:rFonts w:ascii="Arial" w:cs="Arial" w:eastAsia="Arial" w:hAnsi="Arial"/>
          <w:sz w:val="20"/>
          <w:szCs w:val="20"/>
          <w:color w:val="auto"/>
        </w:rPr>
      </w:pPr>
    </w:p>
    <w:p>
      <w:pPr>
        <w:ind w:left="920" w:hanging="264"/>
        <w:spacing w:after="0"/>
        <w:tabs>
          <w:tab w:leader="none" w:pos="9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2802 10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 Berkeley, CA;</w:t>
      </w:r>
    </w:p>
    <w:p>
      <w:pPr>
        <w:spacing w:after="0" w:line="171" w:lineRule="exact"/>
        <w:rPr>
          <w:rFonts w:ascii="Arial" w:cs="Arial" w:eastAsia="Arial" w:hAnsi="Arial"/>
          <w:sz w:val="20"/>
          <w:szCs w:val="20"/>
          <w:color w:val="auto"/>
        </w:rPr>
      </w:pPr>
    </w:p>
    <w:p>
      <w:pPr>
        <w:ind w:left="940" w:hanging="284"/>
        <w:spacing w:after="0"/>
        <w:tabs>
          <w:tab w:leader="none" w:pos="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Airport Center Bldg., #3, 3202 Elder Street, Boise, Idaho; and</w:t>
      </w:r>
    </w:p>
    <w:p>
      <w:pPr>
        <w:spacing w:after="0" w:line="229" w:lineRule="exact"/>
        <w:rPr>
          <w:rFonts w:ascii="Arial" w:cs="Arial" w:eastAsia="Arial" w:hAnsi="Arial"/>
          <w:sz w:val="20"/>
          <w:szCs w:val="20"/>
          <w:color w:val="auto"/>
        </w:rPr>
      </w:pPr>
    </w:p>
    <w:p>
      <w:pPr>
        <w:ind w:left="920" w:hanging="264"/>
        <w:spacing w:after="0"/>
        <w:tabs>
          <w:tab w:leader="none" w:pos="9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2388 Walsh, Santa Clara, CA.</w:t>
      </w:r>
    </w:p>
    <w:p>
      <w:pPr>
        <w:spacing w:after="0" w:line="229" w:lineRule="exact"/>
        <w:rPr>
          <w:sz w:val="20"/>
          <w:szCs w:val="20"/>
          <w:color w:val="auto"/>
        </w:rPr>
      </w:pPr>
    </w:p>
    <w:p>
      <w:pPr>
        <w:jc w:val="both"/>
        <w:ind w:firstLine="656"/>
        <w:spacing w:after="0" w:line="250" w:lineRule="auto"/>
        <w:tabs>
          <w:tab w:leader="none" w:pos="991" w:val="left"/>
        </w:tabs>
        <w:numPr>
          <w:ilvl w:val="0"/>
          <w:numId w:val="200"/>
        </w:numPr>
        <w:rPr>
          <w:rFonts w:ascii="Arial" w:cs="Arial" w:eastAsia="Arial" w:hAnsi="Arial"/>
          <w:sz w:val="20"/>
          <w:szCs w:val="20"/>
          <w:color w:val="auto"/>
        </w:rPr>
      </w:pPr>
      <w:r>
        <w:rPr>
          <w:rFonts w:ascii="Arial" w:cs="Arial" w:eastAsia="Arial" w:hAnsi="Arial"/>
          <w:sz w:val="20"/>
          <w:szCs w:val="20"/>
          <w:color w:val="auto"/>
        </w:rPr>
        <w:t>Within sixty (60) days of the Restatement Closing Date (or such later as permitted by Agent in its sole discretion), Agent shall have received an amended Flextronics Non-Offset and Access Agreement which shall cover the following Flextronics locations and shall otherwise be in form and substance satisfactory to Agent:</w:t>
      </w:r>
    </w:p>
    <w:p>
      <w:pPr>
        <w:spacing w:after="0" w:line="186" w:lineRule="exact"/>
        <w:rPr>
          <w:sz w:val="20"/>
          <w:szCs w:val="20"/>
          <w:color w:val="auto"/>
        </w:rPr>
      </w:pPr>
    </w:p>
    <w:p>
      <w:pPr>
        <w:ind w:left="660" w:right="5980" w:hanging="4"/>
        <w:spacing w:after="0" w:line="260" w:lineRule="auto"/>
        <w:tabs>
          <w:tab w:leader="none" w:pos="92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Flextronics Electronics Technology (Shenzhen) Co., Ltd. No. 3 Tian Fu Road, Tong Fu Yu Industrial Park</w:t>
      </w:r>
    </w:p>
    <w:p>
      <w:pPr>
        <w:spacing w:after="0" w:line="1" w:lineRule="exact"/>
        <w:rPr>
          <w:rFonts w:ascii="Arial" w:cs="Arial" w:eastAsia="Arial" w:hAnsi="Arial"/>
          <w:sz w:val="19"/>
          <w:szCs w:val="19"/>
          <w:color w:val="auto"/>
        </w:rPr>
      </w:pPr>
    </w:p>
    <w:p>
      <w:pPr>
        <w:ind w:left="660" w:right="8300"/>
        <w:spacing w:after="0" w:line="298" w:lineRule="auto"/>
        <w:rPr>
          <w:rFonts w:ascii="Arial" w:cs="Arial" w:eastAsia="Arial" w:hAnsi="Arial"/>
          <w:sz w:val="19"/>
          <w:szCs w:val="19"/>
          <w:color w:val="auto"/>
        </w:rPr>
      </w:pPr>
      <w:r>
        <w:rPr>
          <w:rFonts w:ascii="Arial" w:cs="Arial" w:eastAsia="Arial" w:hAnsi="Arial"/>
          <w:sz w:val="18"/>
          <w:szCs w:val="18"/>
          <w:color w:val="auto"/>
        </w:rPr>
        <w:t>Fuyong Town, Bao An District Shenzhen 518103 P.R. China</w:t>
      </w:r>
    </w:p>
    <w:p>
      <w:pPr>
        <w:spacing w:after="0" w:line="145" w:lineRule="exact"/>
        <w:rPr>
          <w:rFonts w:ascii="Arial" w:cs="Arial" w:eastAsia="Arial" w:hAnsi="Arial"/>
          <w:sz w:val="19"/>
          <w:szCs w:val="19"/>
          <w:color w:val="auto"/>
        </w:rPr>
      </w:pPr>
    </w:p>
    <w:p>
      <w:pPr>
        <w:ind w:left="940" w:hanging="284"/>
        <w:spacing w:after="0"/>
        <w:tabs>
          <w:tab w:leader="none" w:pos="9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Flextronics America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890 Yosemite Dr.</w:t>
      </w:r>
    </w:p>
    <w:p>
      <w:pPr>
        <w:ind w:left="660"/>
        <w:spacing w:after="0"/>
        <w:rPr>
          <w:sz w:val="20"/>
          <w:szCs w:val="20"/>
          <w:color w:val="auto"/>
        </w:rPr>
      </w:pPr>
      <w:r>
        <w:rPr>
          <w:rFonts w:ascii="Arial" w:cs="Arial" w:eastAsia="Arial" w:hAnsi="Arial"/>
          <w:sz w:val="20"/>
          <w:szCs w:val="20"/>
          <w:color w:val="auto"/>
        </w:rPr>
        <w:t>Dock S4/S5</w:t>
      </w:r>
    </w:p>
    <w:p>
      <w:pPr>
        <w:ind w:left="660"/>
        <w:spacing w:after="0"/>
        <w:rPr>
          <w:sz w:val="20"/>
          <w:szCs w:val="20"/>
          <w:color w:val="auto"/>
        </w:rPr>
      </w:pPr>
      <w:r>
        <w:rPr>
          <w:rFonts w:ascii="Arial" w:cs="Arial" w:eastAsia="Arial" w:hAnsi="Arial"/>
          <w:sz w:val="20"/>
          <w:szCs w:val="20"/>
          <w:color w:val="auto"/>
        </w:rPr>
        <w:t>Milpitas, CA 95035</w:t>
      </w:r>
    </w:p>
    <w:p>
      <w:pPr>
        <w:spacing w:after="0" w:line="200" w:lineRule="exact"/>
        <w:rPr>
          <w:sz w:val="20"/>
          <w:szCs w:val="20"/>
          <w:color w:val="auto"/>
        </w:rPr>
      </w:pPr>
    </w:p>
    <w:p>
      <w:pPr>
        <w:ind w:left="660" w:right="7300" w:hanging="4"/>
        <w:spacing w:after="0" w:line="250" w:lineRule="auto"/>
        <w:tabs>
          <w:tab w:leader="none" w:pos="92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Flextronics Global Services Canada Inc. 213 Harry Walker Parkway South Newmarket, Ontario L3Y 8T3</w:t>
      </w:r>
    </w:p>
    <w:p>
      <w:pPr>
        <w:spacing w:after="0" w:line="186" w:lineRule="exact"/>
        <w:rPr>
          <w:rFonts w:ascii="Arial" w:cs="Arial" w:eastAsia="Arial" w:hAnsi="Arial"/>
          <w:sz w:val="20"/>
          <w:szCs w:val="20"/>
          <w:color w:val="auto"/>
        </w:rPr>
      </w:pPr>
    </w:p>
    <w:p>
      <w:pPr>
        <w:ind w:left="660" w:right="6420" w:hanging="4"/>
        <w:spacing w:after="0" w:line="247" w:lineRule="auto"/>
        <w:tabs>
          <w:tab w:leader="none" w:pos="9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Hawaii Transfer Company (Flex-managed Facility) 94-1420 Moaniani Street</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Waipahu, Hawaii</w:t>
      </w:r>
    </w:p>
    <w:p>
      <w:pPr>
        <w:sectPr>
          <w:pgSz w:w="11900" w:h="16838" w:orient="portrait"/>
          <w:cols w:equalWidth="0" w:num="1">
            <w:col w:w="11420"/>
          </w:cols>
          <w:pgMar w:left="240" w:top="1211" w:right="239" w:bottom="1440" w:gutter="0" w:footer="0" w:header="0"/>
        </w:sectPr>
      </w:pPr>
    </w:p>
    <w:bookmarkStart w:id="207" w:name="page208"/>
    <w:bookmarkEnd w:id="207"/>
    <w:p>
      <w:pPr>
        <w:ind w:left="4" w:right="7300" w:hanging="4"/>
        <w:spacing w:after="0" w:line="247" w:lineRule="auto"/>
        <w:tabs>
          <w:tab w:leader="none" w:pos="273" w:val="left"/>
        </w:tabs>
        <w:numPr>
          <w:ilvl w:val="0"/>
          <w:numId w:val="203"/>
        </w:numPr>
        <w:rPr>
          <w:rFonts w:ascii="Arial" w:cs="Arial" w:eastAsia="Arial" w:hAnsi="Arial"/>
          <w:sz w:val="20"/>
          <w:szCs w:val="20"/>
          <w:color w:val="auto"/>
        </w:rPr>
      </w:pPr>
      <w:r>
        <w:rPr>
          <w:rFonts w:ascii="Arial" w:cs="Arial" w:eastAsia="Arial" w:hAnsi="Arial"/>
          <w:sz w:val="20"/>
          <w:szCs w:val="20"/>
          <w:color w:val="auto"/>
        </w:rPr>
        <w:t>Flextronics Global Services Guadalajara Guadalajara North</w:t>
      </w:r>
    </w:p>
    <w:p>
      <w:pPr>
        <w:spacing w:after="0" w:line="1" w:lineRule="exact"/>
        <w:rPr>
          <w:rFonts w:ascii="Arial" w:cs="Arial" w:eastAsia="Arial" w:hAnsi="Arial"/>
          <w:sz w:val="20"/>
          <w:szCs w:val="20"/>
          <w:color w:val="auto"/>
        </w:rPr>
      </w:pPr>
    </w:p>
    <w:p>
      <w:pPr>
        <w:ind w:left="4" w:right="8320"/>
        <w:spacing w:after="0" w:line="332" w:lineRule="auto"/>
        <w:rPr>
          <w:rFonts w:ascii="Arial" w:cs="Arial" w:eastAsia="Arial" w:hAnsi="Arial"/>
          <w:sz w:val="20"/>
          <w:szCs w:val="20"/>
          <w:color w:val="auto"/>
        </w:rPr>
      </w:pPr>
      <w:r>
        <w:rPr>
          <w:rFonts w:ascii="Arial" w:cs="Arial" w:eastAsia="Arial" w:hAnsi="Arial"/>
          <w:sz w:val="16"/>
          <w:szCs w:val="16"/>
          <w:color w:val="auto"/>
        </w:rPr>
        <w:t>Carretera Base Aerea 5850-4 Colonia La Mora, Guadalajara, Mexico CP45136</w:t>
      </w:r>
    </w:p>
    <w:p>
      <w:pPr>
        <w:spacing w:after="0" w:line="125" w:lineRule="exact"/>
        <w:rPr>
          <w:sz w:val="20"/>
          <w:szCs w:val="20"/>
          <w:color w:val="auto"/>
        </w:rPr>
      </w:pPr>
    </w:p>
    <w:p>
      <w:pPr>
        <w:jc w:val="both"/>
        <w:ind w:left="-656" w:right="20" w:firstLine="656"/>
        <w:spacing w:after="0" w:line="291" w:lineRule="auto"/>
        <w:tabs>
          <w:tab w:leader="none" w:pos="37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Within sixty (60) days following the Restatement Closing Date (or such later as permitted by Agent in its sole discretion), Agent shall have received the original stock certificates representing 65% of the outstanding shares of the following Loan Party Subsidiaries, together with the corresponding stock powers of such certificates endorsed in blank, each in form and substance satisfactory to Agent:</w:t>
      </w:r>
    </w:p>
    <w:p>
      <w:pPr>
        <w:spacing w:after="0" w:line="152" w:lineRule="exact"/>
        <w:rPr>
          <w:sz w:val="20"/>
          <w:szCs w:val="20"/>
          <w:color w:val="auto"/>
        </w:rPr>
      </w:pPr>
    </w:p>
    <w:p>
      <w:pPr>
        <w:ind w:left="264" w:hanging="264"/>
        <w:spacing w:after="0"/>
        <w:tabs>
          <w:tab w:leader="none" w:pos="264"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Enphase Energy UK Limited;</w:t>
      </w:r>
    </w:p>
    <w:p>
      <w:pPr>
        <w:spacing w:after="0" w:line="229" w:lineRule="exact"/>
        <w:rPr>
          <w:rFonts w:ascii="Arial" w:cs="Arial" w:eastAsia="Arial" w:hAnsi="Arial"/>
          <w:sz w:val="20"/>
          <w:szCs w:val="20"/>
          <w:color w:val="auto"/>
        </w:rPr>
      </w:pPr>
    </w:p>
    <w:p>
      <w:pPr>
        <w:ind w:left="284" w:hanging="284"/>
        <w:spacing w:after="0"/>
        <w:tabs>
          <w:tab w:leader="none" w:pos="284"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Enphase Energy New Zealand Limited;</w:t>
      </w:r>
    </w:p>
    <w:p>
      <w:pPr>
        <w:spacing w:after="0" w:line="229" w:lineRule="exact"/>
        <w:rPr>
          <w:rFonts w:ascii="Arial" w:cs="Arial" w:eastAsia="Arial" w:hAnsi="Arial"/>
          <w:sz w:val="20"/>
          <w:szCs w:val="20"/>
          <w:color w:val="auto"/>
        </w:rPr>
      </w:pPr>
    </w:p>
    <w:p>
      <w:pPr>
        <w:ind w:left="264" w:hanging="264"/>
        <w:spacing w:after="0"/>
        <w:tabs>
          <w:tab w:leader="none" w:pos="264"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Enphase Energy Canada, Inc.; and</w:t>
      </w:r>
    </w:p>
    <w:p>
      <w:pPr>
        <w:spacing w:after="0" w:line="229" w:lineRule="exact"/>
        <w:rPr>
          <w:rFonts w:ascii="Arial" w:cs="Arial" w:eastAsia="Arial" w:hAnsi="Arial"/>
          <w:sz w:val="20"/>
          <w:szCs w:val="20"/>
          <w:color w:val="auto"/>
        </w:rPr>
      </w:pPr>
    </w:p>
    <w:p>
      <w:pPr>
        <w:ind w:left="284" w:hanging="284"/>
        <w:spacing w:after="0"/>
        <w:tabs>
          <w:tab w:leader="none" w:pos="284"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Enphase Energy Australia Pty Ltd.</w:t>
      </w:r>
    </w:p>
    <w:p>
      <w:pPr>
        <w:spacing w:after="0" w:line="229" w:lineRule="exact"/>
        <w:rPr>
          <w:sz w:val="20"/>
          <w:szCs w:val="20"/>
          <w:color w:val="auto"/>
        </w:rPr>
      </w:pPr>
    </w:p>
    <w:p>
      <w:pPr>
        <w:jc w:val="both"/>
        <w:ind w:left="-656" w:firstLine="656"/>
        <w:spacing w:after="0" w:line="250" w:lineRule="auto"/>
        <w:tabs>
          <w:tab w:leader="none" w:pos="335"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Within sixty (60) days of the Restatement Closing Date (or such later as permitted by Agent in its sole discretion), Agent shall have received a Deposit Account Control Agreement for Borrower’s Business Money Market Deposit Account No. 1894409612 maintained at Comerica Bank.</w:t>
      </w:r>
    </w:p>
    <w:p>
      <w:pPr>
        <w:sectPr>
          <w:pgSz w:w="11900" w:h="16838" w:orient="portrait"/>
          <w:cols w:equalWidth="0" w:num="1">
            <w:col w:w="10764"/>
          </w:cols>
          <w:pgMar w:left="896" w:top="825"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0"/>
          <w:szCs w:val="20"/>
          <w:b w:val="1"/>
          <w:bCs w:val="1"/>
          <w:color w:val="auto"/>
        </w:rPr>
        <w:t>Schedule 3.1</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Restatement Closing Date shall have been deemed to occur upon satisfaction of each of the following conditions precedent to the satisfaction of Agent and each Lender:</w:t>
      </w:r>
    </w:p>
    <w:p>
      <w:pPr>
        <w:spacing w:after="0" w:line="190" w:lineRule="exact"/>
        <w:rPr>
          <w:sz w:val="20"/>
          <w:szCs w:val="20"/>
          <w:color w:val="auto"/>
        </w:rPr>
      </w:pPr>
    </w:p>
    <w:p>
      <w:pPr>
        <w:ind w:firstLine="656"/>
        <w:spacing w:after="0" w:line="289" w:lineRule="auto"/>
        <w:tabs>
          <w:tab w:leader="none" w:pos="151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each of the following documents, in form and substance satisfactory to Agent, duly executed and delivered, and each such document shall be in full force and effect:</w:t>
      </w:r>
    </w:p>
    <w:p>
      <w:pPr>
        <w:spacing w:after="0" w:line="175" w:lineRule="exact"/>
        <w:rPr>
          <w:rFonts w:ascii="Arial" w:cs="Arial" w:eastAsia="Arial" w:hAnsi="Arial"/>
          <w:sz w:val="20"/>
          <w:szCs w:val="20"/>
          <w:color w:val="auto"/>
        </w:rPr>
      </w:pPr>
    </w:p>
    <w:p>
      <w:pPr>
        <w:ind w:left="2140" w:hanging="835"/>
        <w:spacing w:after="0"/>
        <w:tabs>
          <w:tab w:leader="none" w:pos="214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Agreement,</w:t>
      </w:r>
    </w:p>
    <w:p>
      <w:pPr>
        <w:spacing w:after="0" w:line="242" w:lineRule="exact"/>
        <w:rPr>
          <w:rFonts w:ascii="Arial" w:cs="Arial" w:eastAsia="Arial" w:hAnsi="Arial"/>
          <w:sz w:val="20"/>
          <w:szCs w:val="20"/>
          <w:color w:val="auto"/>
        </w:rPr>
      </w:pPr>
    </w:p>
    <w:p>
      <w:pPr>
        <w:ind w:left="2200" w:hanging="895"/>
        <w:spacing w:after="0"/>
        <w:tabs>
          <w:tab w:leader="none" w:pos="220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Fee Letter,</w:t>
      </w:r>
    </w:p>
    <w:p>
      <w:pPr>
        <w:spacing w:after="0" w:line="242" w:lineRule="exact"/>
        <w:rPr>
          <w:rFonts w:ascii="Arial" w:cs="Arial" w:eastAsia="Arial" w:hAnsi="Arial"/>
          <w:sz w:val="20"/>
          <w:szCs w:val="20"/>
          <w:color w:val="auto"/>
        </w:rPr>
      </w:pPr>
    </w:p>
    <w:p>
      <w:pPr>
        <w:ind w:left="2240" w:hanging="935"/>
        <w:spacing w:after="0"/>
        <w:tabs>
          <w:tab w:leader="none" w:pos="224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Guaranty and Security Agreement,</w:t>
      </w:r>
    </w:p>
    <w:p>
      <w:pPr>
        <w:spacing w:after="0" w:line="242" w:lineRule="exact"/>
        <w:rPr>
          <w:rFonts w:ascii="Arial" w:cs="Arial" w:eastAsia="Arial" w:hAnsi="Arial"/>
          <w:sz w:val="20"/>
          <w:szCs w:val="20"/>
          <w:color w:val="auto"/>
        </w:rPr>
      </w:pPr>
    </w:p>
    <w:p>
      <w:pPr>
        <w:ind w:left="2240" w:hanging="935"/>
        <w:spacing w:after="0"/>
        <w:tabs>
          <w:tab w:leader="none" w:pos="224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Intercompany Subordination Agreement, and</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1"/>
          <w:numId w:val="207"/>
        </w:numPr>
        <w:rPr>
          <w:rFonts w:ascii="Arial" w:cs="Arial" w:eastAsia="Arial" w:hAnsi="Arial"/>
          <w:sz w:val="20"/>
          <w:szCs w:val="20"/>
          <w:color w:val="auto"/>
        </w:rPr>
      </w:pPr>
      <w:r>
        <w:rPr>
          <w:rFonts w:ascii="Arial" w:cs="Arial" w:eastAsia="Arial" w:hAnsi="Arial"/>
          <w:sz w:val="20"/>
          <w:szCs w:val="20"/>
          <w:color w:val="auto"/>
        </w:rPr>
        <w:t>a Perfection Certificate</w:t>
      </w:r>
    </w:p>
    <w:p>
      <w:pPr>
        <w:spacing w:after="0" w:line="242" w:lineRule="exact"/>
        <w:rPr>
          <w:rFonts w:ascii="Arial" w:cs="Arial" w:eastAsia="Arial" w:hAnsi="Arial"/>
          <w:sz w:val="20"/>
          <w:szCs w:val="20"/>
          <w:color w:val="auto"/>
        </w:rPr>
      </w:pPr>
    </w:p>
    <w:p>
      <w:pPr>
        <w:jc w:val="both"/>
        <w:ind w:firstLine="656"/>
        <w:spacing w:after="0" w:line="274" w:lineRule="auto"/>
        <w:tabs>
          <w:tab w:leader="none" w:pos="1527"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a certificate from the Secretary of each Loan Party (i) attesting to the resolutions of such Loan Party’s board of directors authorizing its execution, delivery, and performance of the Loan Documents to which it is a party, (ii) authorizing specific officers of such Loan Party to execute the same, and (iii) attesting to the incumbency and signatures of such specific officers of such Loan Party;</w:t>
      </w:r>
    </w:p>
    <w:p>
      <w:pPr>
        <w:spacing w:after="0" w:line="192" w:lineRule="exact"/>
        <w:rPr>
          <w:rFonts w:ascii="Arial" w:cs="Arial" w:eastAsia="Arial" w:hAnsi="Arial"/>
          <w:sz w:val="20"/>
          <w:szCs w:val="20"/>
          <w:color w:val="auto"/>
        </w:rPr>
      </w:pPr>
    </w:p>
    <w:p>
      <w:pPr>
        <w:ind w:right="20" w:firstLine="656"/>
        <w:spacing w:after="0" w:line="289" w:lineRule="auto"/>
        <w:tabs>
          <w:tab w:leader="none" w:pos="151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copies of each Loan Party’s Governing Documents, as amended, modified, or supplemented to the Restatement Closing Date, certified by the Secretary of such Loan Party;</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a certificate of status with respect to each Loan Party, dated within 10 days of the Restatement Closing Date, such certificate to be issued by the appropriate officer of the jurisdiction of organization of such Loan Party, which certificate shall indicate that such Loan Party is in good standing in such jurisdiction;</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51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certificates of status with respect to each Loan Party, each dated within 30 days of the Restatement Closing Date, such certificates to be issued by the appropriate officer of the jurisdictions (other than the jurisdiction of organization of such Loan Party) in which its failure to be duly qualified or licensed would constitute a Material Adverse Effect, which certificates shall indicate that such Loan Party is in good standing in such jurisdictions;</w:t>
      </w:r>
    </w:p>
    <w:p>
      <w:pPr>
        <w:spacing w:after="0" w:line="192" w:lineRule="exact"/>
        <w:rPr>
          <w:rFonts w:ascii="Arial" w:cs="Arial" w:eastAsia="Arial" w:hAnsi="Arial"/>
          <w:sz w:val="20"/>
          <w:szCs w:val="20"/>
          <w:color w:val="auto"/>
        </w:rPr>
      </w:pPr>
    </w:p>
    <w:p>
      <w:pPr>
        <w:ind w:right="20" w:firstLine="656"/>
        <w:spacing w:after="0" w:line="289" w:lineRule="auto"/>
        <w:tabs>
          <w:tab w:leader="none" w:pos="149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a certificate of insurance, together with the endorsements thereto, as are required by Section 5.6 of the Agreement, the form and substance of which shall be satisfactory to Agent;</w:t>
      </w:r>
    </w:p>
    <w:p>
      <w:pPr>
        <w:spacing w:after="0" w:line="175" w:lineRule="exact"/>
        <w:rPr>
          <w:rFonts w:ascii="Arial" w:cs="Arial" w:eastAsia="Arial" w:hAnsi="Arial"/>
          <w:sz w:val="20"/>
          <w:szCs w:val="20"/>
          <w:color w:val="auto"/>
        </w:rPr>
      </w:pPr>
    </w:p>
    <w:p>
      <w:pPr>
        <w:ind w:left="1540" w:hanging="884"/>
        <w:spacing w:after="0"/>
        <w:tabs>
          <w:tab w:leader="none" w:pos="154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Agent shall have received an opinion of the Loan Parties’ counsel in form and substance satisfactory to Agent;</w:t>
      </w:r>
    </w:p>
    <w:p>
      <w:pPr>
        <w:spacing w:after="0" w:line="242" w:lineRule="exact"/>
        <w:rPr>
          <w:rFonts w:ascii="Arial" w:cs="Arial" w:eastAsia="Arial" w:hAnsi="Arial"/>
          <w:sz w:val="20"/>
          <w:szCs w:val="20"/>
          <w:color w:val="auto"/>
        </w:rPr>
      </w:pPr>
    </w:p>
    <w:p>
      <w:pPr>
        <w:ind w:left="1540" w:hanging="884"/>
        <w:spacing w:after="0"/>
        <w:tabs>
          <w:tab w:leader="none" w:pos="1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Lender shall have completed its business and legal due diligence, the results of which are satisfactory to such Lender;</w:t>
      </w:r>
    </w:p>
    <w:p>
      <w:pPr>
        <w:spacing w:after="0" w:line="265" w:lineRule="exact"/>
        <w:rPr>
          <w:rFonts w:ascii="Arial" w:cs="Arial" w:eastAsia="Arial" w:hAnsi="Arial"/>
          <w:sz w:val="18"/>
          <w:szCs w:val="18"/>
          <w:color w:val="auto"/>
        </w:rPr>
      </w:pPr>
    </w:p>
    <w:p>
      <w:pPr>
        <w:ind w:firstLine="656"/>
        <w:spacing w:after="0" w:line="289" w:lineRule="auto"/>
        <w:tabs>
          <w:tab w:leader="none" w:pos="148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Each Lender shall have completed Patriot Act searches, OFAC/PEP searches and customary individual background checks for each Loan Party’s senior management, the results of which shall be satisfactory to such Lender;</w:t>
      </w:r>
    </w:p>
    <w:p>
      <w:pPr>
        <w:sectPr>
          <w:pgSz w:w="11900" w:h="16838" w:orient="portrait"/>
          <w:cols w:equalWidth="0" w:num="1">
            <w:col w:w="11420"/>
          </w:cols>
          <w:pgMar w:left="240" w:top="819" w:right="239" w:bottom="1440" w:gutter="0" w:footer="0" w:header="0"/>
        </w:sectPr>
      </w:pPr>
    </w:p>
    <w:bookmarkStart w:id="209" w:name="page210"/>
    <w:bookmarkEnd w:id="209"/>
    <w:p>
      <w:pPr>
        <w:ind w:left="-656" w:firstLine="656"/>
        <w:spacing w:after="0" w:line="289" w:lineRule="auto"/>
        <w:tabs>
          <w:tab w:leader="none" w:pos="82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Borrower shall have paid all Lender Group Expenses incurred in connection with the transactions evidenced by the Agreement and the other Loan Documents;</w:t>
      </w:r>
    </w:p>
    <w:p>
      <w:pPr>
        <w:spacing w:after="0" w:line="175" w:lineRule="exact"/>
        <w:rPr>
          <w:rFonts w:ascii="Arial" w:cs="Arial" w:eastAsia="Arial" w:hAnsi="Arial"/>
          <w:sz w:val="20"/>
          <w:szCs w:val="20"/>
          <w:color w:val="auto"/>
        </w:rPr>
      </w:pPr>
    </w:p>
    <w:p>
      <w:pPr>
        <w:jc w:val="both"/>
        <w:ind w:left="-656" w:firstLine="656"/>
        <w:spacing w:after="0" w:line="278" w:lineRule="auto"/>
        <w:tabs>
          <w:tab w:leader="none" w:pos="871" w:val="left"/>
        </w:tabs>
        <w:numPr>
          <w:ilvl w:val="0"/>
          <w:numId w:val="208"/>
        </w:numPr>
        <w:rPr>
          <w:rFonts w:ascii="Arial" w:cs="Arial" w:eastAsia="Arial" w:hAnsi="Arial"/>
          <w:sz w:val="20"/>
          <w:szCs w:val="20"/>
          <w:color w:val="auto"/>
        </w:rPr>
      </w:pPr>
      <w:r>
        <w:rPr>
          <w:rFonts w:ascii="Arial" w:cs="Arial" w:eastAsia="Arial" w:hAnsi="Arial"/>
          <w:sz w:val="20"/>
          <w:szCs w:val="20"/>
          <w:color w:val="auto"/>
        </w:rPr>
        <w:t>Borrower and each of its Subsidiaries shall have received all governmental and third party approvals (including landlords’ consents and other consents) necessary or, in the reasonable opinion of Agent, advisable in connection with the transactions contemplated by the Loan Documents, which shall all be in full force and effect;</w:t>
      </w:r>
    </w:p>
    <w:p>
      <w:pPr>
        <w:spacing w:after="0" w:line="186" w:lineRule="exact"/>
        <w:rPr>
          <w:rFonts w:ascii="Arial" w:cs="Arial" w:eastAsia="Arial" w:hAnsi="Arial"/>
          <w:sz w:val="20"/>
          <w:szCs w:val="20"/>
          <w:color w:val="auto"/>
        </w:rPr>
      </w:pPr>
    </w:p>
    <w:p>
      <w:pPr>
        <w:jc w:val="both"/>
        <w:ind w:left="-656" w:firstLine="656"/>
        <w:spacing w:after="0" w:line="278" w:lineRule="auto"/>
        <w:tabs>
          <w:tab w:leader="none" w:pos="82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Borrower and each of its Subsidiaries shall have received all licenses, approvals or evidence of other actions required by any Governmental Authority in connection with the execution and delivery by Borrower or its Subsidiaries of the Loan Documents or with the consummation of the transactions contemplated thereby;</w:t>
      </w:r>
    </w:p>
    <w:p>
      <w:pPr>
        <w:spacing w:after="0" w:line="186" w:lineRule="exact"/>
        <w:rPr>
          <w:rFonts w:ascii="Arial" w:cs="Arial" w:eastAsia="Arial" w:hAnsi="Arial"/>
          <w:sz w:val="20"/>
          <w:szCs w:val="20"/>
          <w:color w:val="auto"/>
        </w:rPr>
      </w:pPr>
    </w:p>
    <w:p>
      <w:pPr>
        <w:ind w:left="944" w:hanging="944"/>
        <w:spacing w:after="0"/>
        <w:tabs>
          <w:tab w:leader="none" w:pos="94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Each Lender shall have received final credit committee approval for the facility;</w:t>
      </w:r>
    </w:p>
    <w:p>
      <w:pPr>
        <w:spacing w:after="0" w:line="242" w:lineRule="exact"/>
        <w:rPr>
          <w:rFonts w:ascii="Arial" w:cs="Arial" w:eastAsia="Arial" w:hAnsi="Arial"/>
          <w:sz w:val="20"/>
          <w:szCs w:val="20"/>
          <w:color w:val="auto"/>
        </w:rPr>
      </w:pPr>
    </w:p>
    <w:p>
      <w:pPr>
        <w:jc w:val="both"/>
        <w:ind w:left="-656" w:firstLine="656"/>
        <w:spacing w:after="0" w:line="278" w:lineRule="auto"/>
        <w:tabs>
          <w:tab w:leader="none" w:pos="871" w:val="left"/>
        </w:tabs>
        <w:numPr>
          <w:ilvl w:val="0"/>
          <w:numId w:val="208"/>
        </w:numPr>
        <w:rPr>
          <w:rFonts w:ascii="Arial" w:cs="Arial" w:eastAsia="Arial" w:hAnsi="Arial"/>
          <w:sz w:val="20"/>
          <w:szCs w:val="20"/>
          <w:color w:val="auto"/>
        </w:rPr>
      </w:pPr>
      <w:r>
        <w:rPr>
          <w:rFonts w:ascii="Arial" w:cs="Arial" w:eastAsia="Arial" w:hAnsi="Arial"/>
          <w:sz w:val="20"/>
          <w:szCs w:val="20"/>
          <w:color w:val="auto"/>
        </w:rPr>
        <w:t>Borrower shall have Liquidity greater than or equal to $25,000,000, after giving effect to the initial extensions of credit under the Agreement and the payment of all fees and expenses required to be paid by Borrower on the Restatement Closing Date under the Agreement or the other Loan Documents; and</w:t>
      </w:r>
    </w:p>
    <w:p>
      <w:pPr>
        <w:spacing w:after="0" w:line="186" w:lineRule="exact"/>
        <w:rPr>
          <w:rFonts w:ascii="Arial" w:cs="Arial" w:eastAsia="Arial" w:hAnsi="Arial"/>
          <w:sz w:val="20"/>
          <w:szCs w:val="20"/>
          <w:color w:val="auto"/>
        </w:rPr>
      </w:pPr>
    </w:p>
    <w:p>
      <w:pPr>
        <w:ind w:left="-656" w:firstLine="656"/>
        <w:spacing w:after="0" w:line="289" w:lineRule="auto"/>
        <w:tabs>
          <w:tab w:leader="none" w:pos="871" w:val="left"/>
        </w:tabs>
        <w:numPr>
          <w:ilvl w:val="0"/>
          <w:numId w:val="208"/>
        </w:numPr>
        <w:rPr>
          <w:rFonts w:ascii="Arial" w:cs="Arial" w:eastAsia="Arial" w:hAnsi="Arial"/>
          <w:sz w:val="20"/>
          <w:szCs w:val="20"/>
          <w:color w:val="auto"/>
        </w:rPr>
      </w:pPr>
      <w:r>
        <w:rPr>
          <w:rFonts w:ascii="Arial" w:cs="Arial" w:eastAsia="Arial" w:hAnsi="Arial"/>
          <w:sz w:val="20"/>
          <w:szCs w:val="20"/>
          <w:color w:val="auto"/>
        </w:rPr>
        <w:t>all other documents and legal matters in connection with the transactions contemplated by the Agreement shall have been delivered, executed, or recorded and shall be in form and substance satisfactory to Agent.</w:t>
      </w:r>
    </w:p>
    <w:p>
      <w:pPr>
        <w:sectPr>
          <w:pgSz w:w="11900" w:h="16838" w:orient="portrait"/>
          <w:cols w:equalWidth="0" w:num="1">
            <w:col w:w="10764"/>
          </w:cols>
          <w:pgMar w:left="896" w:top="839" w:right="239"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20"/>
          <w:szCs w:val="20"/>
          <w:b w:val="1"/>
          <w:bCs w:val="1"/>
          <w:u w:val="single" w:color="auto"/>
          <w:color w:val="auto"/>
        </w:rPr>
        <w:t>Schedule 5.1</w:t>
      </w:r>
    </w:p>
    <w:p>
      <w:pPr>
        <w:spacing w:after="0" w:line="222"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Deliver to Agent (and if so requested by Agent, with copies for each Lender) each of the financial statements, reports, or other items set forth below at the following times in form satisfactory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272020" cy="5394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39432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w w:val="99"/>
              </w:rPr>
              <w:t>as soon as available, but</w:t>
            </w:r>
          </w:p>
        </w:tc>
        <w:tc>
          <w:tcPr>
            <w:tcW w:w="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in any</w:t>
            </w:r>
          </w:p>
        </w:tc>
        <w:tc>
          <w:tcPr>
            <w:tcW w:w="8540" w:type="dxa"/>
            <w:vAlign w:val="bottom"/>
            <w:tcBorders>
              <w:top w:val="single" w:sz="8" w:color="auto"/>
            </w:tcBorders>
            <w:gridSpan w:val="5"/>
          </w:tcPr>
          <w:p>
            <w:pPr>
              <w:ind w:left="20"/>
              <w:spacing w:after="0"/>
              <w:rPr>
                <w:sz w:val="20"/>
                <w:szCs w:val="20"/>
                <w:color w:val="auto"/>
              </w:rPr>
            </w:pPr>
            <w:r>
              <w:rPr>
                <w:rFonts w:ascii="Arial" w:cs="Arial" w:eastAsia="Arial" w:hAnsi="Arial"/>
                <w:sz w:val="20"/>
                <w:szCs w:val="20"/>
                <w:color w:val="auto"/>
                <w:w w:val="93"/>
              </w:rPr>
              <w:t>(a)  an  unaudited  consolidated  balance  sheet  and  income  statement  covering  Borrower’s  and  its</w:t>
            </w:r>
          </w:p>
        </w:tc>
        <w:tc>
          <w:tcPr>
            <w:tcW w:w="0" w:type="dxa"/>
            <w:vAlign w:val="bottom"/>
          </w:tcPr>
          <w:p>
            <w:pPr>
              <w:spacing w:after="0"/>
              <w:rPr>
                <w:sz w:val="1"/>
                <w:szCs w:val="1"/>
                <w:color w:val="auto"/>
              </w:rPr>
            </w:pPr>
          </w:p>
        </w:tc>
      </w:tr>
      <w:tr>
        <w:trPr>
          <w:trHeight w:val="206"/>
        </w:trPr>
        <w:tc>
          <w:tcPr>
            <w:tcW w:w="2900" w:type="dxa"/>
            <w:vAlign w:val="bottom"/>
            <w:tcBorders>
              <w:right w:val="single" w:sz="8" w:color="auto"/>
            </w:tcBorders>
            <w:gridSpan w:val="2"/>
          </w:tcPr>
          <w:p>
            <w:pPr>
              <w:ind w:left="60"/>
              <w:spacing w:after="0" w:line="206" w:lineRule="exact"/>
              <w:rPr>
                <w:sz w:val="20"/>
                <w:szCs w:val="20"/>
                <w:color w:val="auto"/>
              </w:rPr>
            </w:pPr>
            <w:r>
              <w:rPr>
                <w:rFonts w:ascii="Arial" w:cs="Arial" w:eastAsia="Arial" w:hAnsi="Arial"/>
                <w:sz w:val="20"/>
                <w:szCs w:val="20"/>
                <w:color w:val="auto"/>
                <w:w w:val="98"/>
              </w:rPr>
              <w:t>event within 30 days (45 days in</w:t>
            </w:r>
          </w:p>
        </w:tc>
        <w:tc>
          <w:tcPr>
            <w:tcW w:w="8540" w:type="dxa"/>
            <w:vAlign w:val="bottom"/>
            <w:gridSpan w:val="5"/>
          </w:tcPr>
          <w:p>
            <w:pPr>
              <w:ind w:left="20"/>
              <w:spacing w:after="0" w:line="206" w:lineRule="exact"/>
              <w:rPr>
                <w:sz w:val="20"/>
                <w:szCs w:val="20"/>
                <w:color w:val="auto"/>
              </w:rPr>
            </w:pPr>
            <w:r>
              <w:rPr>
                <w:rFonts w:ascii="Arial" w:cs="Arial" w:eastAsia="Arial" w:hAnsi="Arial"/>
                <w:sz w:val="20"/>
                <w:szCs w:val="20"/>
                <w:color w:val="auto"/>
                <w:w w:val="93"/>
              </w:rPr>
              <w:t>Subsidiaries’ operations during such period; provided, however, if Availability is less than $12,500,000,</w:t>
            </w:r>
          </w:p>
        </w:tc>
        <w:tc>
          <w:tcPr>
            <w:tcW w:w="0" w:type="dxa"/>
            <w:vAlign w:val="bottom"/>
          </w:tcPr>
          <w:p>
            <w:pPr>
              <w:spacing w:after="0"/>
              <w:rPr>
                <w:sz w:val="1"/>
                <w:szCs w:val="1"/>
                <w:color w:val="auto"/>
              </w:rPr>
            </w:pPr>
          </w:p>
        </w:tc>
      </w:tr>
      <w:tr>
        <w:trPr>
          <w:trHeight w:val="20"/>
        </w:trPr>
        <w:tc>
          <w:tcPr>
            <w:tcW w:w="2900" w:type="dxa"/>
            <w:vAlign w:val="bottom"/>
            <w:tcBorders>
              <w:right w:val="single" w:sz="8" w:color="auto"/>
            </w:tcBorders>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1"/>
              </w:rPr>
              <w:t>the case of a month that is the end</w:t>
            </w:r>
          </w:p>
        </w:tc>
        <w:tc>
          <w:tcPr>
            <w:tcW w:w="8540" w:type="dxa"/>
            <w:vAlign w:val="bottom"/>
            <w:gridSpan w:val="5"/>
          </w:tcPr>
          <w:p>
            <w:pPr>
              <w:ind w:left="20"/>
              <w:spacing w:after="0"/>
              <w:rPr>
                <w:sz w:val="20"/>
                <w:szCs w:val="20"/>
                <w:color w:val="auto"/>
              </w:rPr>
            </w:pPr>
            <w:r>
              <w:rPr>
                <w:rFonts w:ascii="Arial" w:cs="Arial" w:eastAsia="Arial" w:hAnsi="Arial"/>
                <w:sz w:val="20"/>
                <w:szCs w:val="20"/>
                <w:color w:val="auto"/>
              </w:rPr>
              <w:t>Borrower shall also provide an unaudited consolidated statement of cash flow and statement of</w:t>
            </w:r>
          </w:p>
        </w:tc>
        <w:tc>
          <w:tcPr>
            <w:tcW w:w="0" w:type="dxa"/>
            <w:vAlign w:val="bottom"/>
          </w:tcPr>
          <w:p>
            <w:pPr>
              <w:spacing w:after="0"/>
              <w:rPr>
                <w:sz w:val="1"/>
                <w:szCs w:val="1"/>
                <w:color w:val="auto"/>
              </w:rPr>
            </w:pPr>
          </w:p>
        </w:tc>
      </w:tr>
      <w:tr>
        <w:trPr>
          <w:trHeight w:val="230"/>
        </w:trPr>
        <w:tc>
          <w:tcPr>
            <w:tcW w:w="2260" w:type="dxa"/>
            <w:vAlign w:val="bottom"/>
          </w:tcPr>
          <w:p>
            <w:pPr>
              <w:ind w:left="60"/>
              <w:spacing w:after="0"/>
              <w:rPr>
                <w:sz w:val="20"/>
                <w:szCs w:val="20"/>
                <w:color w:val="auto"/>
              </w:rPr>
            </w:pPr>
            <w:r>
              <w:rPr>
                <w:rFonts w:ascii="Arial" w:cs="Arial" w:eastAsia="Arial" w:hAnsi="Arial"/>
                <w:sz w:val="20"/>
                <w:szCs w:val="20"/>
                <w:color w:val="auto"/>
              </w:rPr>
              <w:t>of  one  of  Borrower’s</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fiscal</w:t>
            </w:r>
          </w:p>
        </w:tc>
        <w:tc>
          <w:tcPr>
            <w:tcW w:w="8540" w:type="dxa"/>
            <w:vAlign w:val="bottom"/>
            <w:gridSpan w:val="5"/>
          </w:tcPr>
          <w:p>
            <w:pPr>
              <w:ind w:left="20"/>
              <w:spacing w:after="0"/>
              <w:rPr>
                <w:sz w:val="20"/>
                <w:szCs w:val="20"/>
                <w:color w:val="auto"/>
              </w:rPr>
            </w:pPr>
            <w:r>
              <w:rPr>
                <w:rFonts w:ascii="Arial" w:cs="Arial" w:eastAsia="Arial" w:hAnsi="Arial"/>
                <w:sz w:val="20"/>
                <w:szCs w:val="20"/>
                <w:color w:val="auto"/>
                <w:w w:val="91"/>
              </w:rPr>
              <w:t>shareholder’s equity covering Borrower’s and its Subsidiaries’ operations during such period and together</w:t>
            </w: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89"/>
              </w:rPr>
              <w:t>quarters and 60 days in the case of</w:t>
            </w:r>
          </w:p>
        </w:tc>
        <w:tc>
          <w:tcPr>
            <w:tcW w:w="8540" w:type="dxa"/>
            <w:vAlign w:val="bottom"/>
            <w:gridSpan w:val="5"/>
          </w:tcPr>
          <w:p>
            <w:pPr>
              <w:ind w:left="20"/>
              <w:spacing w:after="0"/>
              <w:rPr>
                <w:sz w:val="20"/>
                <w:szCs w:val="20"/>
                <w:color w:val="auto"/>
              </w:rPr>
            </w:pPr>
            <w:r>
              <w:rPr>
                <w:rFonts w:ascii="Arial" w:cs="Arial" w:eastAsia="Arial" w:hAnsi="Arial"/>
                <w:sz w:val="20"/>
                <w:szCs w:val="20"/>
                <w:color w:val="auto"/>
                <w:w w:val="96"/>
              </w:rPr>
              <w:t>with the balance sheet and income statement compared to the prior period and plan, together with a</w:t>
            </w: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7"/>
              </w:rPr>
              <w:t>a month that is the end of one of</w:t>
            </w:r>
          </w:p>
        </w:tc>
        <w:tc>
          <w:tcPr>
            <w:tcW w:w="8540" w:type="dxa"/>
            <w:vAlign w:val="bottom"/>
            <w:gridSpan w:val="5"/>
          </w:tcPr>
          <w:p>
            <w:pPr>
              <w:ind w:left="20"/>
              <w:spacing w:after="0"/>
              <w:rPr>
                <w:sz w:val="20"/>
                <w:szCs w:val="20"/>
                <w:color w:val="auto"/>
              </w:rPr>
            </w:pPr>
            <w:r>
              <w:rPr>
                <w:rFonts w:ascii="Arial" w:cs="Arial" w:eastAsia="Arial" w:hAnsi="Arial"/>
                <w:sz w:val="20"/>
                <w:szCs w:val="20"/>
                <w:color w:val="auto"/>
              </w:rPr>
              <w:t>corresponding discussion and analysis of results from management, and</w:t>
            </w: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w w:val="97"/>
              </w:rPr>
              <w:t>Borrower’s fiscal years) after the</w:t>
            </w:r>
          </w:p>
        </w:tc>
        <w:tc>
          <w:tcPr>
            <w:tcW w:w="8540" w:type="dxa"/>
            <w:vAlign w:val="bottom"/>
            <w:gridSpan w:val="5"/>
            <w:vMerge w:val="restart"/>
          </w:tcPr>
          <w:p>
            <w:pPr>
              <w:ind w:left="20"/>
              <w:spacing w:after="0"/>
              <w:rPr>
                <w:sz w:val="20"/>
                <w:szCs w:val="20"/>
                <w:color w:val="auto"/>
              </w:rPr>
            </w:pPr>
            <w:r>
              <w:rPr>
                <w:rFonts w:ascii="Arial" w:cs="Arial" w:eastAsia="Arial" w:hAnsi="Arial"/>
                <w:sz w:val="20"/>
                <w:szCs w:val="20"/>
                <w:color w:val="auto"/>
                <w:w w:val="96"/>
              </w:rPr>
              <w:t>(b) a Compliance Certificate along with the underlying calculations. The calculations of EBITDA and</w:t>
            </w: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gridSpan w:val="2"/>
          </w:tcPr>
          <w:p>
            <w:pPr>
              <w:ind w:left="60"/>
              <w:spacing w:after="0" w:line="216" w:lineRule="exact"/>
              <w:rPr>
                <w:sz w:val="20"/>
                <w:szCs w:val="20"/>
                <w:color w:val="auto"/>
              </w:rPr>
            </w:pPr>
            <w:r>
              <w:rPr>
                <w:rFonts w:ascii="Arial" w:cs="Arial" w:eastAsia="Arial" w:hAnsi="Arial"/>
                <w:sz w:val="20"/>
                <w:szCs w:val="20"/>
                <w:color w:val="auto"/>
                <w:w w:val="93"/>
              </w:rPr>
              <w:t>end of each month during each of</w:t>
            </w:r>
          </w:p>
        </w:tc>
        <w:tc>
          <w:tcPr>
            <w:tcW w:w="85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60"/>
              <w:spacing w:after="0"/>
              <w:rPr>
                <w:sz w:val="20"/>
                <w:szCs w:val="20"/>
                <w:color w:val="auto"/>
              </w:rPr>
            </w:pPr>
            <w:r>
              <w:rPr>
                <w:rFonts w:ascii="Arial" w:cs="Arial" w:eastAsia="Arial" w:hAnsi="Arial"/>
                <w:sz w:val="20"/>
                <w:szCs w:val="20"/>
                <w:color w:val="auto"/>
              </w:rPr>
              <w:t>Borrower’s fiscal years,</w:t>
            </w:r>
          </w:p>
        </w:tc>
        <w:tc>
          <w:tcPr>
            <w:tcW w:w="640" w:type="dxa"/>
            <w:vAlign w:val="bottom"/>
            <w:tcBorders>
              <w:right w:val="single" w:sz="8" w:color="auto"/>
            </w:tcBorders>
          </w:tcPr>
          <w:p>
            <w:pPr>
              <w:spacing w:after="0"/>
              <w:rPr>
                <w:sz w:val="19"/>
                <w:szCs w:val="19"/>
                <w:color w:val="auto"/>
              </w:rPr>
            </w:pPr>
          </w:p>
        </w:tc>
        <w:tc>
          <w:tcPr>
            <w:tcW w:w="8540" w:type="dxa"/>
            <w:vAlign w:val="bottom"/>
            <w:gridSpan w:val="5"/>
          </w:tcPr>
          <w:p>
            <w:pPr>
              <w:ind w:left="20"/>
              <w:spacing w:after="0"/>
              <w:rPr>
                <w:sz w:val="20"/>
                <w:szCs w:val="20"/>
                <w:color w:val="auto"/>
              </w:rPr>
            </w:pPr>
            <w:r>
              <w:rPr>
                <w:rFonts w:ascii="Arial" w:cs="Arial" w:eastAsia="Arial" w:hAnsi="Arial"/>
                <w:sz w:val="20"/>
                <w:szCs w:val="20"/>
                <w:color w:val="auto"/>
                <w:w w:val="96"/>
              </w:rPr>
              <w:t>Fixed Charge Coverage Ratio shall be required (i) prior to an election by the Borrower to convert its</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8540" w:type="dxa"/>
            <w:vAlign w:val="bottom"/>
            <w:gridSpan w:val="5"/>
          </w:tcPr>
          <w:p>
            <w:pPr>
              <w:ind w:left="20"/>
              <w:spacing w:after="0"/>
              <w:rPr>
                <w:sz w:val="20"/>
                <w:szCs w:val="20"/>
                <w:color w:val="auto"/>
              </w:rPr>
            </w:pPr>
            <w:r>
              <w:rPr>
                <w:rFonts w:ascii="Arial" w:cs="Arial" w:eastAsia="Arial" w:hAnsi="Arial"/>
                <w:sz w:val="20"/>
                <w:szCs w:val="20"/>
                <w:color w:val="auto"/>
                <w:w w:val="91"/>
              </w:rPr>
              <w:t>financial test to a Fixed Charge Coverage Ratio, only in a monthly Compliance Certificate that is delivered</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8540" w:type="dxa"/>
            <w:vAlign w:val="bottom"/>
            <w:gridSpan w:val="5"/>
          </w:tcPr>
          <w:p>
            <w:pPr>
              <w:ind w:left="20"/>
              <w:spacing w:after="0"/>
              <w:rPr>
                <w:sz w:val="20"/>
                <w:szCs w:val="20"/>
                <w:color w:val="auto"/>
              </w:rPr>
            </w:pPr>
            <w:r>
              <w:rPr>
                <w:rFonts w:ascii="Arial" w:cs="Arial" w:eastAsia="Arial" w:hAnsi="Arial"/>
                <w:sz w:val="20"/>
                <w:szCs w:val="20"/>
                <w:color w:val="auto"/>
                <w:w w:val="93"/>
              </w:rPr>
              <w:t>in respect of a month that is the end of one of Borrower’s fiscal quarters, and (ii) after an election by the</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8540" w:type="dxa"/>
            <w:vAlign w:val="bottom"/>
            <w:gridSpan w:val="5"/>
          </w:tcPr>
          <w:p>
            <w:pPr>
              <w:ind w:left="20"/>
              <w:spacing w:after="0"/>
              <w:rPr>
                <w:sz w:val="20"/>
                <w:szCs w:val="20"/>
                <w:color w:val="auto"/>
              </w:rPr>
            </w:pPr>
            <w:r>
              <w:rPr>
                <w:rFonts w:ascii="Arial" w:cs="Arial" w:eastAsia="Arial" w:hAnsi="Arial"/>
                <w:sz w:val="20"/>
                <w:szCs w:val="20"/>
                <w:color w:val="auto"/>
                <w:w w:val="95"/>
              </w:rPr>
              <w:t>Borrower to convert its financial test to a Fixed Charge Coverage Ratio, in each monthly Compliance</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8540" w:type="dxa"/>
            <w:vAlign w:val="bottom"/>
            <w:gridSpan w:val="5"/>
          </w:tcPr>
          <w:p>
            <w:pPr>
              <w:ind w:left="20"/>
              <w:spacing w:after="0"/>
              <w:rPr>
                <w:sz w:val="20"/>
                <w:szCs w:val="20"/>
                <w:color w:val="auto"/>
              </w:rPr>
            </w:pPr>
            <w:r>
              <w:rPr>
                <w:rFonts w:ascii="Arial" w:cs="Arial" w:eastAsia="Arial" w:hAnsi="Arial"/>
                <w:sz w:val="20"/>
                <w:szCs w:val="20"/>
                <w:color w:val="auto"/>
              </w:rPr>
              <w:t>Certificate.</w:t>
            </w:r>
          </w:p>
        </w:tc>
        <w:tc>
          <w:tcPr>
            <w:tcW w:w="0" w:type="dxa"/>
            <w:vAlign w:val="bottom"/>
          </w:tcPr>
          <w:p>
            <w:pPr>
              <w:spacing w:after="0"/>
              <w:rPr>
                <w:sz w:val="1"/>
                <w:szCs w:val="1"/>
                <w:color w:val="auto"/>
              </w:rPr>
            </w:pPr>
          </w:p>
        </w:tc>
      </w:tr>
      <w:tr>
        <w:trPr>
          <w:trHeight w:val="23"/>
        </w:trPr>
        <w:tc>
          <w:tcPr>
            <w:tcW w:w="22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jc w:val="right"/>
        <w:ind w:left="60" w:right="60"/>
        <w:spacing w:after="0" w:line="241" w:lineRule="auto"/>
        <w:rPr>
          <w:sz w:val="20"/>
          <w:szCs w:val="20"/>
          <w:color w:val="auto"/>
        </w:rPr>
      </w:pPr>
      <w:r>
        <w:rPr>
          <w:rFonts w:ascii="Arial" w:cs="Arial" w:eastAsia="Arial" w:hAnsi="Arial"/>
          <w:sz w:val="20"/>
          <w:szCs w:val="20"/>
          <w:color w:val="auto"/>
        </w:rPr>
        <w:t xml:space="preserve">as soon as available, but in any (c) consolidated financial statements of Borrower and its Subsidiaries for each such fiscal year, audited by event within 90 days after the end independent certified public accountants of national recognized standing and not otherwise reasonably of each of Borrower’s fiscal years, determined by Agent to be unacceptable, without any qualifications (including any (A) “going concern” or like qualification or exception, (B) qualification or exception as to the scope of such audit, or (C) qualification which relates to the treatment or classification of any item and which, as a condition to the removal of such qualification, would require an adjustment to such item, the effect of which would be to cause any noncompliance with the provisions of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the Agreement), by such accountants to have been prepared in accordance with GAAP (such audited financial statements to include a balance sheet, income statement, statement of cash flow, and statement of shareholder’s equity, and, if prepared, such</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accountants’ letter to management).</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40" w:type="dxa"/>
            <w:vAlign w:val="bottom"/>
          </w:tcPr>
          <w:p>
            <w:pPr>
              <w:ind w:left="40"/>
              <w:spacing w:after="0"/>
              <w:rPr>
                <w:sz w:val="20"/>
                <w:szCs w:val="20"/>
                <w:color w:val="auto"/>
              </w:rPr>
            </w:pPr>
            <w:r>
              <w:rPr>
                <w:rFonts w:ascii="Arial" w:cs="Arial" w:eastAsia="Arial" w:hAnsi="Arial"/>
                <w:sz w:val="20"/>
                <w:szCs w:val="20"/>
                <w:color w:val="auto"/>
                <w:w w:val="91"/>
              </w:rPr>
              <w:t>(d) if there are differences between the audited financial statements delivered under clause (c) above and</w:t>
            </w:r>
          </w:p>
        </w:tc>
      </w:tr>
      <w:tr>
        <w:trPr>
          <w:trHeight w:val="230"/>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40" w:type="dxa"/>
            <w:vAlign w:val="bottom"/>
          </w:tcPr>
          <w:p>
            <w:pPr>
              <w:ind w:left="40"/>
              <w:spacing w:after="0"/>
              <w:rPr>
                <w:sz w:val="20"/>
                <w:szCs w:val="20"/>
                <w:color w:val="auto"/>
              </w:rPr>
            </w:pPr>
            <w:r>
              <w:rPr>
                <w:rFonts w:ascii="Arial" w:cs="Arial" w:eastAsia="Arial" w:hAnsi="Arial"/>
                <w:sz w:val="20"/>
                <w:szCs w:val="20"/>
                <w:color w:val="auto"/>
                <w:w w:val="91"/>
              </w:rPr>
              <w:t>the unaudited financial statements for the same period delivered under clause (a) above that would result</w:t>
            </w:r>
          </w:p>
        </w:tc>
      </w:tr>
      <w:tr>
        <w:trPr>
          <w:trHeight w:val="230"/>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40" w:type="dxa"/>
            <w:vAlign w:val="bottom"/>
          </w:tcPr>
          <w:p>
            <w:pPr>
              <w:ind w:left="40"/>
              <w:spacing w:after="0"/>
              <w:rPr>
                <w:sz w:val="20"/>
                <w:szCs w:val="20"/>
                <w:color w:val="auto"/>
              </w:rPr>
            </w:pPr>
            <w:r>
              <w:rPr>
                <w:rFonts w:ascii="Arial" w:cs="Arial" w:eastAsia="Arial" w:hAnsi="Arial"/>
                <w:sz w:val="20"/>
                <w:szCs w:val="20"/>
                <w:color w:val="auto"/>
                <w:w w:val="91"/>
              </w:rPr>
              <w:t>in changes to information previously provided under the Compliance Certificate provided under clause (b)</w:t>
            </w:r>
          </w:p>
        </w:tc>
      </w:tr>
      <w:tr>
        <w:trPr>
          <w:trHeight w:val="250"/>
        </w:trPr>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40" w:type="dxa"/>
            <w:vAlign w:val="bottom"/>
          </w:tcPr>
          <w:p>
            <w:pPr>
              <w:ind w:left="40"/>
              <w:spacing w:after="0"/>
              <w:rPr>
                <w:sz w:val="20"/>
                <w:szCs w:val="20"/>
                <w:color w:val="auto"/>
              </w:rPr>
            </w:pPr>
            <w:r>
              <w:rPr>
                <w:rFonts w:ascii="Arial" w:cs="Arial" w:eastAsia="Arial" w:hAnsi="Arial"/>
                <w:sz w:val="20"/>
                <w:szCs w:val="20"/>
                <w:color w:val="auto"/>
              </w:rPr>
              <w:t>above for such year end, an updated Compliance Certificate.</w:t>
            </w:r>
          </w:p>
        </w:tc>
      </w:tr>
      <w:tr>
        <w:trPr>
          <w:trHeight w:val="239"/>
        </w:trPr>
        <w:tc>
          <w:tcPr>
            <w:tcW w:w="980" w:type="dxa"/>
            <w:vAlign w:val="bottom"/>
            <w:tcBorders>
              <w:bottom w:val="single" w:sz="8" w:color="auto"/>
            </w:tcBorders>
            <w:gridSpan w:val="2"/>
          </w:tcPr>
          <w:p>
            <w:pPr>
              <w:spacing w:after="0"/>
              <w:rPr>
                <w:sz w:val="20"/>
                <w:szCs w:val="20"/>
                <w:color w:val="auto"/>
              </w:rPr>
            </w:pPr>
          </w:p>
        </w:tc>
        <w:tc>
          <w:tcPr>
            <w:tcW w:w="860" w:type="dxa"/>
            <w:vAlign w:val="bottom"/>
            <w:tcBorders>
              <w:bottom w:val="single" w:sz="8" w:color="auto"/>
            </w:tcBorders>
            <w:gridSpan w:val="3"/>
          </w:tcPr>
          <w:p>
            <w:pPr>
              <w:spacing w:after="0"/>
              <w:rPr>
                <w:sz w:val="20"/>
                <w:szCs w:val="20"/>
                <w:color w:val="auto"/>
              </w:rPr>
            </w:pPr>
          </w:p>
        </w:tc>
        <w:tc>
          <w:tcPr>
            <w:tcW w:w="4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gridSpan w:val="2"/>
          </w:tcPr>
          <w:p>
            <w:pPr>
              <w:spacing w:after="0"/>
              <w:rPr>
                <w:sz w:val="20"/>
                <w:szCs w:val="20"/>
                <w:color w:val="auto"/>
              </w:rPr>
            </w:pPr>
          </w:p>
        </w:tc>
      </w:tr>
      <w:tr>
        <w:trPr>
          <w:trHeight w:val="233"/>
        </w:trPr>
        <w:tc>
          <w:tcPr>
            <w:tcW w:w="980" w:type="dxa"/>
            <w:vAlign w:val="bottom"/>
            <w:gridSpan w:val="2"/>
          </w:tcPr>
          <w:p>
            <w:pPr>
              <w:ind w:left="40"/>
              <w:spacing w:after="0"/>
              <w:rPr>
                <w:sz w:val="20"/>
                <w:szCs w:val="20"/>
                <w:color w:val="auto"/>
              </w:rPr>
            </w:pPr>
            <w:r>
              <w:rPr>
                <w:rFonts w:ascii="Arial" w:cs="Arial" w:eastAsia="Arial" w:hAnsi="Arial"/>
                <w:sz w:val="20"/>
                <w:szCs w:val="20"/>
                <w:color w:val="auto"/>
                <w:w w:val="95"/>
              </w:rPr>
              <w:t>as soon as</w:t>
            </w:r>
          </w:p>
        </w:tc>
        <w:tc>
          <w:tcPr>
            <w:tcW w:w="860" w:type="dxa"/>
            <w:vAlign w:val="bottom"/>
            <w:gridSpan w:val="3"/>
          </w:tcPr>
          <w:p>
            <w:pPr>
              <w:ind w:left="80"/>
              <w:spacing w:after="0"/>
              <w:rPr>
                <w:sz w:val="20"/>
                <w:szCs w:val="20"/>
                <w:color w:val="auto"/>
              </w:rPr>
            </w:pPr>
            <w:r>
              <w:rPr>
                <w:rFonts w:ascii="Arial" w:cs="Arial" w:eastAsia="Arial" w:hAnsi="Arial"/>
                <w:sz w:val="20"/>
                <w:szCs w:val="20"/>
                <w:color w:val="auto"/>
                <w:w w:val="89"/>
              </w:rPr>
              <w:t>available,</w:t>
            </w:r>
          </w:p>
        </w:tc>
        <w:tc>
          <w:tcPr>
            <w:tcW w:w="400" w:type="dxa"/>
            <w:vAlign w:val="bottom"/>
            <w:gridSpan w:val="2"/>
          </w:tcPr>
          <w:p>
            <w:pPr>
              <w:ind w:left="80"/>
              <w:spacing w:after="0"/>
              <w:rPr>
                <w:sz w:val="20"/>
                <w:szCs w:val="20"/>
                <w:color w:val="auto"/>
              </w:rPr>
            </w:pPr>
            <w:r>
              <w:rPr>
                <w:rFonts w:ascii="Arial" w:cs="Arial" w:eastAsia="Arial" w:hAnsi="Arial"/>
                <w:sz w:val="20"/>
                <w:szCs w:val="20"/>
                <w:color w:val="auto"/>
              </w:rPr>
              <w:t>but</w:t>
            </w:r>
          </w:p>
        </w:tc>
        <w:tc>
          <w:tcPr>
            <w:tcW w:w="280" w:type="dxa"/>
            <w:vAlign w:val="bottom"/>
          </w:tcPr>
          <w:p>
            <w:pPr>
              <w:jc w:val="center"/>
              <w:spacing w:after="0"/>
              <w:rPr>
                <w:sz w:val="20"/>
                <w:szCs w:val="20"/>
                <w:color w:val="auto"/>
              </w:rPr>
            </w:pPr>
            <w:r>
              <w:rPr>
                <w:rFonts w:ascii="Arial" w:cs="Arial" w:eastAsia="Arial" w:hAnsi="Arial"/>
                <w:sz w:val="20"/>
                <w:szCs w:val="20"/>
                <w:color w:val="auto"/>
              </w:rPr>
              <w:t>in</w:t>
            </w:r>
          </w:p>
        </w:tc>
        <w:tc>
          <w:tcPr>
            <w:tcW w:w="8880" w:type="dxa"/>
            <w:vAlign w:val="bottom"/>
            <w:gridSpan w:val="2"/>
          </w:tcPr>
          <w:p>
            <w:pPr>
              <w:ind w:left="20"/>
              <w:spacing w:after="0"/>
              <w:rPr>
                <w:sz w:val="20"/>
                <w:szCs w:val="20"/>
                <w:color w:val="auto"/>
              </w:rPr>
            </w:pPr>
            <w:r>
              <w:rPr>
                <w:rFonts w:ascii="Arial" w:cs="Arial" w:eastAsia="Arial" w:hAnsi="Arial"/>
                <w:sz w:val="20"/>
                <w:szCs w:val="20"/>
                <w:color w:val="auto"/>
                <w:w w:val="98"/>
              </w:rPr>
              <w:t>any (e) copies of Borrower’s Projections, in form and substance (including as to scope and underlying</w:t>
            </w:r>
          </w:p>
        </w:tc>
      </w:tr>
      <w:tr>
        <w:trPr>
          <w:trHeight w:val="230"/>
        </w:trPr>
        <w:tc>
          <w:tcPr>
            <w:tcW w:w="500" w:type="dxa"/>
            <w:vAlign w:val="bottom"/>
          </w:tcPr>
          <w:p>
            <w:pPr>
              <w:ind w:left="40"/>
              <w:spacing w:after="0"/>
              <w:rPr>
                <w:sz w:val="20"/>
                <w:szCs w:val="20"/>
                <w:color w:val="auto"/>
              </w:rPr>
            </w:pPr>
            <w:r>
              <w:rPr>
                <w:rFonts w:ascii="Arial" w:cs="Arial" w:eastAsia="Arial" w:hAnsi="Arial"/>
                <w:sz w:val="20"/>
                <w:szCs w:val="20"/>
                <w:color w:val="auto"/>
                <w:w w:val="89"/>
              </w:rPr>
              <w:t>event</w:t>
            </w:r>
          </w:p>
        </w:tc>
        <w:tc>
          <w:tcPr>
            <w:tcW w:w="480" w:type="dxa"/>
            <w:vAlign w:val="bottom"/>
          </w:tcPr>
          <w:p>
            <w:pPr>
              <w:ind w:left="80"/>
              <w:spacing w:after="0"/>
              <w:rPr>
                <w:sz w:val="20"/>
                <w:szCs w:val="20"/>
                <w:color w:val="auto"/>
              </w:rPr>
            </w:pPr>
            <w:r>
              <w:rPr>
                <w:rFonts w:ascii="Arial" w:cs="Arial" w:eastAsia="Arial" w:hAnsi="Arial"/>
                <w:sz w:val="20"/>
                <w:szCs w:val="20"/>
                <w:color w:val="auto"/>
                <w:w w:val="85"/>
              </w:rPr>
              <w:t>upon</w:t>
            </w:r>
          </w:p>
        </w:tc>
        <w:tc>
          <w:tcPr>
            <w:tcW w:w="380" w:type="dxa"/>
            <w:vAlign w:val="bottom"/>
          </w:tcPr>
          <w:p>
            <w:pPr>
              <w:ind w:left="100"/>
              <w:spacing w:after="0"/>
              <w:rPr>
                <w:sz w:val="20"/>
                <w:szCs w:val="20"/>
                <w:color w:val="auto"/>
              </w:rPr>
            </w:pPr>
            <w:r>
              <w:rPr>
                <w:rFonts w:ascii="Arial" w:cs="Arial" w:eastAsia="Arial" w:hAnsi="Arial"/>
                <w:sz w:val="20"/>
                <w:szCs w:val="20"/>
                <w:color w:val="auto"/>
                <w:w w:val="93"/>
              </w:rPr>
              <w:t>the</w:t>
            </w:r>
          </w:p>
        </w:tc>
        <w:tc>
          <w:tcPr>
            <w:tcW w:w="680" w:type="dxa"/>
            <w:vAlign w:val="bottom"/>
            <w:gridSpan w:val="3"/>
          </w:tcPr>
          <w:p>
            <w:pPr>
              <w:ind w:left="80"/>
              <w:spacing w:after="0"/>
              <w:rPr>
                <w:sz w:val="20"/>
                <w:szCs w:val="20"/>
                <w:color w:val="auto"/>
              </w:rPr>
            </w:pPr>
            <w:r>
              <w:rPr>
                <w:rFonts w:ascii="Arial" w:cs="Arial" w:eastAsia="Arial" w:hAnsi="Arial"/>
                <w:sz w:val="20"/>
                <w:szCs w:val="20"/>
                <w:color w:val="auto"/>
              </w:rPr>
              <w:t>earlier</w:t>
            </w:r>
          </w:p>
        </w:tc>
        <w:tc>
          <w:tcPr>
            <w:tcW w:w="200" w:type="dxa"/>
            <w:vAlign w:val="bottom"/>
          </w:tcPr>
          <w:p>
            <w:pPr>
              <w:spacing w:after="0"/>
              <w:rPr>
                <w:sz w:val="20"/>
                <w:szCs w:val="20"/>
                <w:color w:val="auto"/>
              </w:rPr>
            </w:pPr>
            <w:r>
              <w:rPr>
                <w:rFonts w:ascii="Arial" w:cs="Arial" w:eastAsia="Arial" w:hAnsi="Arial"/>
                <w:sz w:val="20"/>
                <w:szCs w:val="20"/>
                <w:color w:val="auto"/>
              </w:rPr>
              <w:t>of</w:t>
            </w:r>
          </w:p>
        </w:tc>
        <w:tc>
          <w:tcPr>
            <w:tcW w:w="280" w:type="dxa"/>
            <w:vAlign w:val="bottom"/>
          </w:tcPr>
          <w:p>
            <w:pPr>
              <w:ind w:left="80"/>
              <w:spacing w:after="0"/>
              <w:rPr>
                <w:sz w:val="20"/>
                <w:szCs w:val="20"/>
                <w:color w:val="auto"/>
              </w:rPr>
            </w:pPr>
            <w:r>
              <w:rPr>
                <w:rFonts w:ascii="Arial" w:cs="Arial" w:eastAsia="Arial" w:hAnsi="Arial"/>
                <w:sz w:val="20"/>
                <w:szCs w:val="20"/>
                <w:color w:val="auto"/>
              </w:rPr>
              <w:t>(i)</w:t>
            </w:r>
          </w:p>
        </w:tc>
        <w:tc>
          <w:tcPr>
            <w:tcW w:w="340" w:type="dxa"/>
            <w:vAlign w:val="bottom"/>
          </w:tcPr>
          <w:p>
            <w:pPr>
              <w:jc w:val="right"/>
              <w:spacing w:after="0"/>
              <w:rPr>
                <w:sz w:val="20"/>
                <w:szCs w:val="20"/>
                <w:color w:val="auto"/>
              </w:rPr>
            </w:pPr>
            <w:r>
              <w:rPr>
                <w:rFonts w:ascii="Arial" w:cs="Arial" w:eastAsia="Arial" w:hAnsi="Arial"/>
                <w:sz w:val="20"/>
                <w:szCs w:val="20"/>
                <w:color w:val="auto"/>
              </w:rPr>
              <w:t>60</w:t>
            </w:r>
          </w:p>
        </w:tc>
        <w:tc>
          <w:tcPr>
            <w:tcW w:w="8540" w:type="dxa"/>
            <w:vAlign w:val="bottom"/>
          </w:tcPr>
          <w:p>
            <w:pPr>
              <w:ind w:left="40"/>
              <w:spacing w:after="0"/>
              <w:rPr>
                <w:sz w:val="20"/>
                <w:szCs w:val="20"/>
                <w:color w:val="auto"/>
              </w:rPr>
            </w:pPr>
            <w:r>
              <w:rPr>
                <w:rFonts w:ascii="Arial" w:cs="Arial" w:eastAsia="Arial" w:hAnsi="Arial"/>
                <w:sz w:val="20"/>
                <w:szCs w:val="20"/>
                <w:color w:val="auto"/>
                <w:w w:val="92"/>
              </w:rPr>
              <w:t>assumptions) satisfactory to Agent, in its Permitted Discretion, for the forthcoming 3 years, year by year,</w:t>
            </w:r>
          </w:p>
        </w:tc>
      </w:tr>
      <w:tr>
        <w:trPr>
          <w:trHeight w:val="230"/>
        </w:trPr>
        <w:tc>
          <w:tcPr>
            <w:tcW w:w="500" w:type="dxa"/>
            <w:vAlign w:val="bottom"/>
          </w:tcPr>
          <w:p>
            <w:pPr>
              <w:ind w:left="40"/>
              <w:spacing w:after="0"/>
              <w:rPr>
                <w:sz w:val="20"/>
                <w:szCs w:val="20"/>
                <w:color w:val="auto"/>
              </w:rPr>
            </w:pPr>
            <w:r>
              <w:rPr>
                <w:rFonts w:ascii="Arial" w:cs="Arial" w:eastAsia="Arial" w:hAnsi="Arial"/>
                <w:sz w:val="20"/>
                <w:szCs w:val="20"/>
                <w:color w:val="auto"/>
              </w:rPr>
              <w:t>days</w:t>
            </w:r>
          </w:p>
        </w:tc>
        <w:tc>
          <w:tcPr>
            <w:tcW w:w="480" w:type="dxa"/>
            <w:vAlign w:val="bottom"/>
          </w:tcPr>
          <w:p>
            <w:pPr>
              <w:ind w:left="40"/>
              <w:spacing w:after="0"/>
              <w:rPr>
                <w:sz w:val="20"/>
                <w:szCs w:val="20"/>
                <w:color w:val="auto"/>
              </w:rPr>
            </w:pPr>
            <w:r>
              <w:rPr>
                <w:rFonts w:ascii="Arial" w:cs="Arial" w:eastAsia="Arial" w:hAnsi="Arial"/>
                <w:sz w:val="20"/>
                <w:szCs w:val="20"/>
                <w:color w:val="auto"/>
              </w:rPr>
              <w:t>after</w:t>
            </w:r>
          </w:p>
        </w:tc>
        <w:tc>
          <w:tcPr>
            <w:tcW w:w="380" w:type="dxa"/>
            <w:vAlign w:val="bottom"/>
          </w:tcPr>
          <w:p>
            <w:pPr>
              <w:ind w:left="40"/>
              <w:spacing w:after="0"/>
              <w:rPr>
                <w:sz w:val="20"/>
                <w:szCs w:val="20"/>
                <w:color w:val="auto"/>
              </w:rPr>
            </w:pPr>
            <w:r>
              <w:rPr>
                <w:rFonts w:ascii="Arial" w:cs="Arial" w:eastAsia="Arial" w:hAnsi="Arial"/>
                <w:sz w:val="20"/>
                <w:szCs w:val="20"/>
                <w:color w:val="auto"/>
              </w:rPr>
              <w:t>the</w:t>
            </w:r>
          </w:p>
        </w:tc>
        <w:tc>
          <w:tcPr>
            <w:tcW w:w="480" w:type="dxa"/>
            <w:vAlign w:val="bottom"/>
            <w:gridSpan w:val="2"/>
          </w:tcPr>
          <w:p>
            <w:pPr>
              <w:ind w:left="40"/>
              <w:spacing w:after="0"/>
              <w:rPr>
                <w:sz w:val="20"/>
                <w:szCs w:val="20"/>
                <w:color w:val="auto"/>
              </w:rPr>
            </w:pPr>
            <w:r>
              <w:rPr>
                <w:rFonts w:ascii="Arial" w:cs="Arial" w:eastAsia="Arial" w:hAnsi="Arial"/>
                <w:sz w:val="20"/>
                <w:szCs w:val="20"/>
                <w:color w:val="auto"/>
              </w:rPr>
              <w:t>start</w:t>
            </w:r>
          </w:p>
        </w:tc>
        <w:tc>
          <w:tcPr>
            <w:tcW w:w="200" w:type="dxa"/>
            <w:vAlign w:val="bottom"/>
          </w:tcPr>
          <w:p>
            <w:pPr>
              <w:ind w:left="20"/>
              <w:spacing w:after="0"/>
              <w:rPr>
                <w:sz w:val="20"/>
                <w:szCs w:val="20"/>
                <w:color w:val="auto"/>
              </w:rPr>
            </w:pPr>
            <w:r>
              <w:rPr>
                <w:rFonts w:ascii="Arial" w:cs="Arial" w:eastAsia="Arial" w:hAnsi="Arial"/>
                <w:sz w:val="20"/>
                <w:szCs w:val="20"/>
                <w:color w:val="auto"/>
                <w:w w:val="95"/>
              </w:rPr>
              <w:t>of</w:t>
            </w:r>
          </w:p>
        </w:tc>
        <w:tc>
          <w:tcPr>
            <w:tcW w:w="480" w:type="dxa"/>
            <w:vAlign w:val="bottom"/>
            <w:gridSpan w:val="2"/>
          </w:tcPr>
          <w:p>
            <w:pPr>
              <w:jc w:val="center"/>
              <w:ind w:left="21"/>
              <w:spacing w:after="0"/>
              <w:rPr>
                <w:sz w:val="20"/>
                <w:szCs w:val="20"/>
                <w:color w:val="auto"/>
              </w:rPr>
            </w:pPr>
            <w:r>
              <w:rPr>
                <w:rFonts w:ascii="Arial" w:cs="Arial" w:eastAsia="Arial" w:hAnsi="Arial"/>
                <w:sz w:val="20"/>
                <w:szCs w:val="20"/>
                <w:color w:val="auto"/>
                <w:w w:val="82"/>
              </w:rPr>
              <w:t>each</w:t>
            </w:r>
          </w:p>
        </w:tc>
        <w:tc>
          <w:tcPr>
            <w:tcW w:w="340" w:type="dxa"/>
            <w:vAlign w:val="bottom"/>
          </w:tcPr>
          <w:p>
            <w:pPr>
              <w:jc w:val="right"/>
              <w:spacing w:after="0"/>
              <w:rPr>
                <w:sz w:val="20"/>
                <w:szCs w:val="20"/>
                <w:color w:val="auto"/>
              </w:rPr>
            </w:pPr>
            <w:r>
              <w:rPr>
                <w:rFonts w:ascii="Arial" w:cs="Arial" w:eastAsia="Arial" w:hAnsi="Arial"/>
                <w:sz w:val="20"/>
                <w:szCs w:val="20"/>
                <w:color w:val="auto"/>
              </w:rPr>
              <w:t>of</w:t>
            </w:r>
          </w:p>
        </w:tc>
        <w:tc>
          <w:tcPr>
            <w:tcW w:w="8540" w:type="dxa"/>
            <w:vAlign w:val="bottom"/>
          </w:tcPr>
          <w:p>
            <w:pPr>
              <w:ind w:left="40"/>
              <w:spacing w:after="0"/>
              <w:rPr>
                <w:sz w:val="20"/>
                <w:szCs w:val="20"/>
                <w:color w:val="auto"/>
              </w:rPr>
            </w:pPr>
            <w:r>
              <w:rPr>
                <w:rFonts w:ascii="Arial" w:cs="Arial" w:eastAsia="Arial" w:hAnsi="Arial"/>
                <w:sz w:val="20"/>
                <w:szCs w:val="20"/>
                <w:color w:val="auto"/>
                <w:w w:val="92"/>
              </w:rPr>
              <w:t>and for the forthcoming fiscal year, month by month, certified by the chief financial officer of Borrower as</w:t>
            </w:r>
          </w:p>
        </w:tc>
      </w:tr>
      <w:tr>
        <w:trPr>
          <w:trHeight w:val="230"/>
        </w:trPr>
        <w:tc>
          <w:tcPr>
            <w:tcW w:w="980" w:type="dxa"/>
            <w:vAlign w:val="bottom"/>
            <w:gridSpan w:val="2"/>
          </w:tcPr>
          <w:p>
            <w:pPr>
              <w:ind w:left="40"/>
              <w:spacing w:after="0"/>
              <w:rPr>
                <w:sz w:val="20"/>
                <w:szCs w:val="20"/>
                <w:color w:val="auto"/>
              </w:rPr>
            </w:pPr>
            <w:r>
              <w:rPr>
                <w:rFonts w:ascii="Arial" w:cs="Arial" w:eastAsia="Arial" w:hAnsi="Arial"/>
                <w:sz w:val="20"/>
                <w:szCs w:val="20"/>
                <w:color w:val="auto"/>
                <w:w w:val="96"/>
              </w:rPr>
              <w:t>Borrower’s</w:t>
            </w:r>
          </w:p>
        </w:tc>
        <w:tc>
          <w:tcPr>
            <w:tcW w:w="560" w:type="dxa"/>
            <w:vAlign w:val="bottom"/>
            <w:gridSpan w:val="2"/>
          </w:tcPr>
          <w:p>
            <w:pPr>
              <w:ind w:left="120"/>
              <w:spacing w:after="0"/>
              <w:rPr>
                <w:sz w:val="20"/>
                <w:szCs w:val="20"/>
                <w:color w:val="auto"/>
              </w:rPr>
            </w:pPr>
            <w:r>
              <w:rPr>
                <w:rFonts w:ascii="Arial" w:cs="Arial" w:eastAsia="Arial" w:hAnsi="Arial"/>
                <w:sz w:val="20"/>
                <w:szCs w:val="20"/>
                <w:color w:val="auto"/>
                <w:w w:val="92"/>
              </w:rPr>
              <w:t>fiscal</w:t>
            </w:r>
          </w:p>
        </w:tc>
        <w:tc>
          <w:tcPr>
            <w:tcW w:w="700" w:type="dxa"/>
            <w:vAlign w:val="bottom"/>
            <w:gridSpan w:val="3"/>
          </w:tcPr>
          <w:p>
            <w:pPr>
              <w:ind w:left="140"/>
              <w:spacing w:after="0"/>
              <w:rPr>
                <w:sz w:val="20"/>
                <w:szCs w:val="20"/>
                <w:color w:val="auto"/>
              </w:rPr>
            </w:pPr>
            <w:r>
              <w:rPr>
                <w:rFonts w:ascii="Arial" w:cs="Arial" w:eastAsia="Arial" w:hAnsi="Arial"/>
                <w:sz w:val="20"/>
                <w:szCs w:val="20"/>
                <w:color w:val="auto"/>
              </w:rPr>
              <w:t>years</w:t>
            </w:r>
          </w:p>
        </w:tc>
        <w:tc>
          <w:tcPr>
            <w:tcW w:w="280" w:type="dxa"/>
            <w:vAlign w:val="bottom"/>
          </w:tcPr>
          <w:p>
            <w:pPr>
              <w:jc w:val="center"/>
              <w:spacing w:after="0"/>
              <w:rPr>
                <w:sz w:val="20"/>
                <w:szCs w:val="20"/>
                <w:color w:val="auto"/>
              </w:rPr>
            </w:pPr>
            <w:r>
              <w:rPr>
                <w:rFonts w:ascii="Arial" w:cs="Arial" w:eastAsia="Arial" w:hAnsi="Arial"/>
                <w:sz w:val="20"/>
                <w:szCs w:val="20"/>
                <w:color w:val="auto"/>
                <w:w w:val="89"/>
              </w:rPr>
              <w:t>or</w:t>
            </w:r>
          </w:p>
        </w:tc>
        <w:tc>
          <w:tcPr>
            <w:tcW w:w="340" w:type="dxa"/>
            <w:vAlign w:val="bottom"/>
          </w:tcPr>
          <w:p>
            <w:pPr>
              <w:jc w:val="right"/>
              <w:spacing w:after="0"/>
              <w:rPr>
                <w:sz w:val="20"/>
                <w:szCs w:val="20"/>
                <w:color w:val="auto"/>
              </w:rPr>
            </w:pPr>
            <w:r>
              <w:rPr>
                <w:rFonts w:ascii="Arial" w:cs="Arial" w:eastAsia="Arial" w:hAnsi="Arial"/>
                <w:sz w:val="20"/>
                <w:szCs w:val="20"/>
                <w:color w:val="auto"/>
              </w:rPr>
              <w:t>(ii)</w:t>
            </w:r>
          </w:p>
        </w:tc>
        <w:tc>
          <w:tcPr>
            <w:tcW w:w="8540" w:type="dxa"/>
            <w:vAlign w:val="bottom"/>
          </w:tcPr>
          <w:p>
            <w:pPr>
              <w:ind w:left="40"/>
              <w:spacing w:after="0"/>
              <w:rPr>
                <w:sz w:val="20"/>
                <w:szCs w:val="20"/>
                <w:color w:val="auto"/>
              </w:rPr>
            </w:pPr>
            <w:r>
              <w:rPr>
                <w:rFonts w:ascii="Arial" w:cs="Arial" w:eastAsia="Arial" w:hAnsi="Arial"/>
                <w:sz w:val="20"/>
                <w:szCs w:val="20"/>
                <w:color w:val="auto"/>
                <w:w w:val="98"/>
              </w:rPr>
              <w:t>being such officer’s good faith estimate of the financial performance of Borrower during the period</w:t>
            </w:r>
          </w:p>
        </w:tc>
      </w:tr>
      <w:tr>
        <w:trPr>
          <w:trHeight w:val="230"/>
        </w:trPr>
        <w:tc>
          <w:tcPr>
            <w:tcW w:w="980" w:type="dxa"/>
            <w:vAlign w:val="bottom"/>
            <w:gridSpan w:val="2"/>
          </w:tcPr>
          <w:p>
            <w:pPr>
              <w:ind w:left="40"/>
              <w:spacing w:after="0"/>
              <w:rPr>
                <w:sz w:val="20"/>
                <w:szCs w:val="20"/>
                <w:color w:val="auto"/>
              </w:rPr>
            </w:pPr>
            <w:r>
              <w:rPr>
                <w:rFonts w:ascii="Arial" w:cs="Arial" w:eastAsia="Arial" w:hAnsi="Arial"/>
                <w:sz w:val="20"/>
                <w:szCs w:val="20"/>
                <w:color w:val="auto"/>
              </w:rPr>
              <w:t>approval</w:t>
            </w:r>
          </w:p>
        </w:tc>
        <w:tc>
          <w:tcPr>
            <w:tcW w:w="380" w:type="dxa"/>
            <w:vAlign w:val="bottom"/>
          </w:tcPr>
          <w:p>
            <w:pPr>
              <w:ind w:left="20"/>
              <w:spacing w:after="0"/>
              <w:rPr>
                <w:sz w:val="20"/>
                <w:szCs w:val="20"/>
                <w:color w:val="auto"/>
              </w:rPr>
            </w:pPr>
            <w:r>
              <w:rPr>
                <w:rFonts w:ascii="Arial" w:cs="Arial" w:eastAsia="Arial" w:hAnsi="Arial"/>
                <w:sz w:val="20"/>
                <w:szCs w:val="20"/>
                <w:color w:val="auto"/>
              </w:rPr>
              <w:t>of</w:t>
            </w:r>
          </w:p>
        </w:tc>
        <w:tc>
          <w:tcPr>
            <w:tcW w:w="480" w:type="dxa"/>
            <w:vAlign w:val="bottom"/>
            <w:gridSpan w:val="2"/>
          </w:tcPr>
          <w:p>
            <w:pPr>
              <w:ind w:left="60"/>
              <w:spacing w:after="0"/>
              <w:rPr>
                <w:sz w:val="20"/>
                <w:szCs w:val="20"/>
                <w:color w:val="auto"/>
              </w:rPr>
            </w:pPr>
            <w:r>
              <w:rPr>
                <w:rFonts w:ascii="Arial" w:cs="Arial" w:eastAsia="Arial" w:hAnsi="Arial"/>
                <w:sz w:val="20"/>
                <w:szCs w:val="20"/>
                <w:color w:val="auto"/>
              </w:rPr>
              <w:t>the</w:t>
            </w:r>
          </w:p>
        </w:tc>
        <w:tc>
          <w:tcPr>
            <w:tcW w:w="9560" w:type="dxa"/>
            <w:vAlign w:val="bottom"/>
            <w:gridSpan w:val="5"/>
          </w:tcPr>
          <w:p>
            <w:pPr>
              <w:ind w:left="80"/>
              <w:spacing w:after="0"/>
              <w:rPr>
                <w:sz w:val="20"/>
                <w:szCs w:val="20"/>
                <w:color w:val="auto"/>
              </w:rPr>
            </w:pPr>
            <w:r>
              <w:rPr>
                <w:rFonts w:ascii="Arial" w:cs="Arial" w:eastAsia="Arial" w:hAnsi="Arial"/>
                <w:sz w:val="20"/>
                <w:szCs w:val="20"/>
                <w:color w:val="auto"/>
              </w:rPr>
              <w:t>Borrower’s covered thereby</w:t>
            </w:r>
          </w:p>
        </w:tc>
      </w:tr>
      <w:tr>
        <w:trPr>
          <w:trHeight w:val="230"/>
        </w:trPr>
        <w:tc>
          <w:tcPr>
            <w:tcW w:w="980" w:type="dxa"/>
            <w:vAlign w:val="bottom"/>
            <w:gridSpan w:val="2"/>
          </w:tcPr>
          <w:p>
            <w:pPr>
              <w:ind w:left="40"/>
              <w:spacing w:after="0"/>
              <w:rPr>
                <w:sz w:val="20"/>
                <w:szCs w:val="20"/>
                <w:color w:val="auto"/>
              </w:rPr>
            </w:pPr>
            <w:r>
              <w:rPr>
                <w:rFonts w:ascii="Arial" w:cs="Arial" w:eastAsia="Arial" w:hAnsi="Arial"/>
                <w:sz w:val="20"/>
                <w:szCs w:val="20"/>
                <w:color w:val="auto"/>
                <w:w w:val="92"/>
              </w:rPr>
              <w:t>Projections</w:t>
            </w:r>
          </w:p>
        </w:tc>
        <w:tc>
          <w:tcPr>
            <w:tcW w:w="560" w:type="dxa"/>
            <w:vAlign w:val="bottom"/>
            <w:gridSpan w:val="2"/>
          </w:tcPr>
          <w:p>
            <w:pPr>
              <w:ind w:left="80"/>
              <w:spacing w:after="0"/>
              <w:rPr>
                <w:sz w:val="20"/>
                <w:szCs w:val="20"/>
                <w:color w:val="auto"/>
              </w:rPr>
            </w:pPr>
            <w:r>
              <w:rPr>
                <w:rFonts w:ascii="Arial" w:cs="Arial" w:eastAsia="Arial" w:hAnsi="Arial"/>
                <w:sz w:val="20"/>
                <w:szCs w:val="20"/>
                <w:color w:val="auto"/>
              </w:rPr>
              <w:t>from</w:t>
            </w:r>
          </w:p>
        </w:tc>
        <w:tc>
          <w:tcPr>
            <w:tcW w:w="300" w:type="dxa"/>
            <w:vAlign w:val="bottom"/>
          </w:tcPr>
          <w:p>
            <w:pPr>
              <w:ind w:left="20"/>
              <w:spacing w:after="0"/>
              <w:rPr>
                <w:sz w:val="20"/>
                <w:szCs w:val="20"/>
                <w:color w:val="auto"/>
              </w:rPr>
            </w:pPr>
            <w:r>
              <w:rPr>
                <w:rFonts w:ascii="Arial" w:cs="Arial" w:eastAsia="Arial" w:hAnsi="Arial"/>
                <w:sz w:val="20"/>
                <w:szCs w:val="20"/>
                <w:color w:val="auto"/>
                <w:w w:val="93"/>
              </w:rPr>
              <w:t>the</w:t>
            </w:r>
          </w:p>
        </w:tc>
        <w:tc>
          <w:tcPr>
            <w:tcW w:w="1020" w:type="dxa"/>
            <w:vAlign w:val="bottom"/>
            <w:gridSpan w:val="4"/>
          </w:tcPr>
          <w:p>
            <w:pPr>
              <w:ind w:left="80"/>
              <w:spacing w:after="0"/>
              <w:rPr>
                <w:sz w:val="20"/>
                <w:szCs w:val="20"/>
                <w:color w:val="auto"/>
              </w:rPr>
            </w:pPr>
            <w:r>
              <w:rPr>
                <w:rFonts w:ascii="Arial" w:cs="Arial" w:eastAsia="Arial" w:hAnsi="Arial"/>
                <w:sz w:val="20"/>
                <w:szCs w:val="20"/>
                <w:color w:val="auto"/>
                <w:w w:val="96"/>
              </w:rPr>
              <w:t>Borrower’s</w:t>
            </w:r>
          </w:p>
        </w:tc>
        <w:tc>
          <w:tcPr>
            <w:tcW w:w="8540" w:type="dxa"/>
            <w:vAlign w:val="bottom"/>
          </w:tcPr>
          <w:p>
            <w:pPr>
              <w:spacing w:after="0"/>
              <w:rPr>
                <w:sz w:val="19"/>
                <w:szCs w:val="19"/>
                <w:color w:val="auto"/>
              </w:rPr>
            </w:pPr>
          </w:p>
        </w:tc>
      </w:tr>
      <w:tr>
        <w:trPr>
          <w:trHeight w:val="250"/>
        </w:trPr>
        <w:tc>
          <w:tcPr>
            <w:tcW w:w="1840" w:type="dxa"/>
            <w:vAlign w:val="bottom"/>
            <w:gridSpan w:val="5"/>
          </w:tcPr>
          <w:p>
            <w:pPr>
              <w:ind w:left="40"/>
              <w:spacing w:after="0"/>
              <w:rPr>
                <w:sz w:val="20"/>
                <w:szCs w:val="20"/>
                <w:color w:val="auto"/>
              </w:rPr>
            </w:pPr>
            <w:r>
              <w:rPr>
                <w:rFonts w:ascii="Arial" w:cs="Arial" w:eastAsia="Arial" w:hAnsi="Arial"/>
                <w:sz w:val="20"/>
                <w:szCs w:val="20"/>
                <w:color w:val="auto"/>
              </w:rPr>
              <w:t>Board of Directors,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40" w:type="dxa"/>
            <w:vAlign w:val="bottom"/>
          </w:tcPr>
          <w:p>
            <w:pPr>
              <w:spacing w:after="0"/>
              <w:rPr>
                <w:sz w:val="21"/>
                <w:szCs w:val="21"/>
                <w:color w:val="auto"/>
              </w:rPr>
            </w:pPr>
          </w:p>
        </w:tc>
      </w:tr>
    </w:tbl>
    <w:p>
      <w:pPr>
        <w:sectPr>
          <w:pgSz w:w="11900" w:h="16838" w:orient="portrait"/>
          <w:cols w:equalWidth="0" w:num="1">
            <w:col w:w="11440"/>
          </w:cols>
          <w:pgMar w:left="240" w:top="981" w:right="21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149225</wp:posOffset>
            </wp:positionH>
            <wp:positionV relativeFrom="page">
              <wp:posOffset>620395</wp:posOffset>
            </wp:positionV>
            <wp:extent cx="8890" cy="3353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3353435"/>
                    </a:xfrm>
                    <a:prstGeom prst="rect">
                      <a:avLst/>
                    </a:prstGeom>
                    <a:noFill/>
                  </pic:spPr>
                </pic:pic>
              </a:graphicData>
            </a:graphic>
          </wp:anchor>
        </w:drawing>
        <w:t>if and when filed by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 Form 10-Q quarterly reports, Form 10-K annual reports, and Form 8-K current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-146050</wp:posOffset>
            </wp:positionV>
            <wp:extent cx="7254875" cy="3353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3353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420"/>
            <w:col w:w="8460"/>
          </w:cols>
          <w:pgMar w:left="300" w:top="1000" w:right="279" w:bottom="1440" w:gutter="0" w:footer="0" w:header="0"/>
        </w:sectPr>
      </w:pPr>
    </w:p>
    <w:p>
      <w:pPr>
        <w:spacing w:after="0" w:line="39"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(g) any other filings made by Borrower with the SEC, and</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(h) any other information that is provided by Borrower to its shareholders generally.</w:t>
      </w:r>
    </w:p>
    <w:p>
      <w:pPr>
        <w:spacing w:after="0" w:line="216" w:lineRule="exact"/>
        <w:rPr>
          <w:sz w:val="20"/>
          <w:szCs w:val="20"/>
          <w:color w:val="auto"/>
        </w:rPr>
      </w:pPr>
    </w:p>
    <w:p>
      <w:pPr>
        <w:jc w:val="both"/>
        <w:ind w:left="2860"/>
        <w:spacing w:after="0" w:line="269" w:lineRule="auto"/>
        <w:rPr>
          <w:sz w:val="20"/>
          <w:szCs w:val="20"/>
          <w:color w:val="auto"/>
        </w:rPr>
      </w:pPr>
      <w:r>
        <w:rPr>
          <w:rFonts w:ascii="Arial" w:cs="Arial" w:eastAsia="Arial" w:hAnsi="Arial"/>
          <w:sz w:val="19"/>
          <w:szCs w:val="19"/>
          <w:color w:val="auto"/>
        </w:rPr>
        <w:t>Documents required to be delivered pursuant to (f) or (g) shall be deemed to have been furnished to Agent on the date on which the Borrower files such documents with the SEC and such documents are publicly available on the SEC’s EDGAR filing system or any successor thereto.</w:t>
      </w:r>
    </w:p>
    <w:p>
      <w:pPr>
        <w:sectPr>
          <w:pgSz w:w="11900" w:h="16838" w:orient="portrait"/>
          <w:cols w:equalWidth="0" w:num="1">
            <w:col w:w="11320"/>
          </w:cols>
          <w:pgMar w:left="300" w:top="1000" w:right="27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promptly, but in any event within (i) notice of such event or condition and a statement of the curative action that Borrower proposes to take</w:t>
      </w:r>
    </w:p>
    <w:p>
      <w:pPr>
        <w:spacing w:after="0" w:line="38" w:lineRule="exact"/>
        <w:rPr>
          <w:sz w:val="20"/>
          <w:szCs w:val="20"/>
          <w:color w:val="auto"/>
        </w:rPr>
      </w:pPr>
    </w:p>
    <w:p>
      <w:pPr>
        <w:spacing w:after="0"/>
        <w:tabs>
          <w:tab w:leader="none" w:pos="320" w:val="left"/>
          <w:tab w:leader="none" w:pos="900" w:val="left"/>
          <w:tab w:leader="none" w:pos="1500" w:val="left"/>
          <w:tab w:leader="none" w:pos="2500" w:val="left"/>
        </w:tabs>
        <w:rPr>
          <w:sz w:val="20"/>
          <w:szCs w:val="20"/>
          <w:color w:val="auto"/>
        </w:rPr>
      </w:pPr>
      <w:r>
        <w:rPr>
          <w:rFonts w:ascii="Arial" w:cs="Arial" w:eastAsia="Arial" w:hAnsi="Arial"/>
          <w:sz w:val="20"/>
          <w:szCs w:val="20"/>
          <w:color w:val="auto"/>
        </w:rPr>
        <w:t>5</w:t>
        <w:tab/>
        <w:t>days</w:t>
        <w:tab/>
        <w:t>after</w:t>
        <w:tab/>
        <w:t>Borrower</w:t>
      </w:r>
      <w:r>
        <w:rPr>
          <w:sz w:val="20"/>
          <w:szCs w:val="20"/>
          <w:color w:val="auto"/>
        </w:rPr>
        <w:tab/>
      </w:r>
      <w:r>
        <w:rPr>
          <w:rFonts w:ascii="Arial" w:cs="Arial" w:eastAsia="Arial" w:hAnsi="Arial"/>
          <w:sz w:val="16"/>
          <w:szCs w:val="16"/>
          <w:color w:val="auto"/>
        </w:rPr>
        <w:t>has with respect thereto.</w:t>
      </w:r>
    </w:p>
    <w:p>
      <w:pPr>
        <w:spacing w:after="0"/>
        <w:tabs>
          <w:tab w:leader="none" w:pos="1060" w:val="left"/>
          <w:tab w:leader="none" w:pos="1440" w:val="left"/>
          <w:tab w:leader="none" w:pos="1940" w:val="left"/>
          <w:tab w:leader="none" w:pos="2580" w:val="left"/>
        </w:tabs>
        <w:rPr>
          <w:sz w:val="20"/>
          <w:szCs w:val="20"/>
          <w:color w:val="auto"/>
        </w:rPr>
      </w:pPr>
      <w:r>
        <w:rPr>
          <w:rFonts w:ascii="Arial" w:cs="Arial" w:eastAsia="Arial" w:hAnsi="Arial"/>
          <w:sz w:val="20"/>
          <w:szCs w:val="20"/>
          <w:color w:val="auto"/>
        </w:rPr>
        <w:t>knowledge</w:t>
        <w:tab/>
        <w:t>of</w:t>
        <w:tab/>
        <w:t>any</w:t>
        <w:tab/>
        <w:t>event</w:t>
        <w:tab/>
        <w:t>or</w:t>
      </w:r>
    </w:p>
    <w:p>
      <w:pPr>
        <w:spacing w:after="0"/>
        <w:rPr>
          <w:sz w:val="20"/>
          <w:szCs w:val="20"/>
          <w:color w:val="auto"/>
        </w:rPr>
      </w:pPr>
      <w:r>
        <w:rPr>
          <w:rFonts w:ascii="Arial" w:cs="Arial" w:eastAsia="Arial" w:hAnsi="Arial"/>
          <w:sz w:val="18"/>
          <w:szCs w:val="18"/>
          <w:color w:val="auto"/>
        </w:rPr>
        <w:t>condition that constitutes a Default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or an Event of Default,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promptly after the commencement (j) notice of all actions, suits, or proceedings brought by or against Borrower or any of its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thereof, but in any event within 5 before any Governmental Authority that would reasonably be expected to result in a liability in excess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days after the service of process $250,000.</w:t>
      </w:r>
    </w:p>
    <w:p>
      <w:pPr>
        <w:spacing w:after="0"/>
        <w:rPr>
          <w:sz w:val="20"/>
          <w:szCs w:val="20"/>
          <w:color w:val="auto"/>
        </w:rPr>
      </w:pPr>
      <w:r>
        <w:rPr>
          <w:rFonts w:ascii="Arial" w:cs="Arial" w:eastAsia="Arial" w:hAnsi="Arial"/>
          <w:sz w:val="19"/>
          <w:szCs w:val="19"/>
          <w:color w:val="auto"/>
        </w:rPr>
        <w:t>with respect thereto on Borrower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or any of its Subsidiaries,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upon the request of Agent,</w:t>
            </w:r>
          </w:p>
        </w:tc>
        <w:tc>
          <w:tcPr>
            <w:tcW w:w="8840" w:type="dxa"/>
            <w:vAlign w:val="bottom"/>
          </w:tcPr>
          <w:p>
            <w:pPr>
              <w:ind w:left="380"/>
              <w:spacing w:after="0"/>
              <w:rPr>
                <w:sz w:val="20"/>
                <w:szCs w:val="20"/>
                <w:color w:val="auto"/>
              </w:rPr>
            </w:pPr>
            <w:r>
              <w:rPr>
                <w:rFonts w:ascii="Arial" w:cs="Arial" w:eastAsia="Arial" w:hAnsi="Arial"/>
                <w:sz w:val="20"/>
                <w:szCs w:val="20"/>
                <w:color w:val="auto"/>
                <w:w w:val="97"/>
              </w:rPr>
              <w:t>(k) any other information reasonably requested relating to the financial condition of Borrower or its</w:t>
            </w:r>
          </w:p>
        </w:tc>
      </w:tr>
      <w:tr>
        <w:trPr>
          <w:trHeight w:val="250"/>
        </w:trPr>
        <w:tc>
          <w:tcPr>
            <w:tcW w:w="2480" w:type="dxa"/>
            <w:vAlign w:val="bottom"/>
          </w:tcPr>
          <w:p>
            <w:pPr>
              <w:spacing w:after="0"/>
              <w:rPr>
                <w:sz w:val="21"/>
                <w:szCs w:val="21"/>
                <w:color w:val="auto"/>
              </w:rPr>
            </w:pPr>
          </w:p>
        </w:tc>
        <w:tc>
          <w:tcPr>
            <w:tcW w:w="8840" w:type="dxa"/>
            <w:vAlign w:val="bottom"/>
          </w:tcPr>
          <w:p>
            <w:pPr>
              <w:ind w:left="380"/>
              <w:spacing w:after="0"/>
              <w:rPr>
                <w:sz w:val="20"/>
                <w:szCs w:val="20"/>
                <w:color w:val="auto"/>
              </w:rPr>
            </w:pPr>
            <w:r>
              <w:rPr>
                <w:rFonts w:ascii="Arial" w:cs="Arial" w:eastAsia="Arial" w:hAnsi="Arial"/>
                <w:sz w:val="20"/>
                <w:szCs w:val="20"/>
                <w:color w:val="auto"/>
              </w:rPr>
              <w:t>Subsidiaries.</w:t>
            </w:r>
          </w:p>
        </w:tc>
      </w:tr>
    </w:tbl>
    <w:p>
      <w:pPr>
        <w:sectPr>
          <w:pgSz w:w="11900" w:h="16838" w:orient="portrait"/>
          <w:cols w:equalWidth="0" w:num="1">
            <w:col w:w="11320"/>
          </w:cols>
          <w:pgMar w:left="300" w:top="1000" w:right="279" w:bottom="1440" w:gutter="0" w:footer="0" w:header="0"/>
          <w:type w:val="continuous"/>
        </w:sectPr>
      </w:pPr>
    </w:p>
    <w:bookmarkStart w:id="212" w:name="page213"/>
    <w:bookmarkEnd w:id="212"/>
    <w:p>
      <w:pPr>
        <w:jc w:val="center"/>
        <w:ind w:right="20"/>
        <w:spacing w:after="0"/>
        <w:rPr>
          <w:sz w:val="20"/>
          <w:szCs w:val="20"/>
          <w:color w:val="auto"/>
        </w:rPr>
      </w:pPr>
      <w:r>
        <w:rPr>
          <w:rFonts w:ascii="Arial" w:cs="Arial" w:eastAsia="Arial" w:hAnsi="Arial"/>
          <w:sz w:val="20"/>
          <w:szCs w:val="20"/>
          <w:b w:val="1"/>
          <w:bCs w:val="1"/>
          <w:color w:val="auto"/>
        </w:rPr>
        <w:t>Schedule 5.2</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Provide Agent (and if so requested by Agent, with copies for each Lender) with each of the documents set forth below at the following times in form satisfactory to Agent:</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900" w:type="dxa"/>
            <w:vAlign w:val="bottom"/>
            <w:tcBorders>
              <w:top w:val="single" w:sz="8" w:color="00000A"/>
              <w:left w:val="single" w:sz="8" w:color="00000A"/>
              <w:bottom w:val="single" w:sz="8" w:color="00000A"/>
            </w:tcBorders>
          </w:tcPr>
          <w:p>
            <w:pPr>
              <w:spacing w:after="0"/>
              <w:rPr>
                <w:sz w:val="3"/>
                <w:szCs w:val="3"/>
                <w:color w:val="auto"/>
              </w:rPr>
            </w:pPr>
          </w:p>
        </w:tc>
        <w:tc>
          <w:tcPr>
            <w:tcW w:w="360" w:type="dxa"/>
            <w:vAlign w:val="bottom"/>
            <w:tcBorders>
              <w:top w:val="single" w:sz="8" w:color="00000A"/>
              <w:bottom w:val="single" w:sz="8" w:color="00000A"/>
            </w:tcBorders>
          </w:tcPr>
          <w:p>
            <w:pPr>
              <w:spacing w:after="0"/>
              <w:rPr>
                <w:sz w:val="3"/>
                <w:szCs w:val="3"/>
                <w:color w:val="auto"/>
              </w:rPr>
            </w:pPr>
          </w:p>
        </w:tc>
        <w:tc>
          <w:tcPr>
            <w:tcW w:w="8180" w:type="dxa"/>
            <w:vAlign w:val="bottom"/>
            <w:tcBorders>
              <w:top w:val="single" w:sz="8" w:color="00000A"/>
              <w:bottom w:val="single" w:sz="8" w:color="00000A"/>
              <w:right w:val="single" w:sz="8" w:color="00000A"/>
            </w:tcBorders>
          </w:tcPr>
          <w:p>
            <w:pPr>
              <w:spacing w:after="0"/>
              <w:rPr>
                <w:sz w:val="3"/>
                <w:szCs w:val="3"/>
                <w:color w:val="auto"/>
              </w:rPr>
            </w:pPr>
          </w:p>
        </w:tc>
        <w:tc>
          <w:tcPr>
            <w:tcW w:w="0" w:type="dxa"/>
            <w:vAlign w:val="bottom"/>
          </w:tcPr>
          <w:p>
            <w:pPr>
              <w:spacing w:after="0"/>
              <w:rPr>
                <w:sz w:val="1"/>
                <w:szCs w:val="1"/>
                <w:color w:val="auto"/>
              </w:rPr>
            </w:pPr>
          </w:p>
        </w:tc>
      </w:tr>
      <w:tr>
        <w:trPr>
          <w:trHeight w:val="399"/>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3"/>
              </w:rPr>
              <w:t>Monthly (no later than the 10th day of</w:t>
            </w:r>
          </w:p>
        </w:tc>
        <w:tc>
          <w:tcPr>
            <w:tcW w:w="360" w:type="dxa"/>
            <w:vAlign w:val="bottom"/>
          </w:tcPr>
          <w:p>
            <w:pPr>
              <w:ind w:left="20"/>
              <w:spacing w:after="0"/>
              <w:rPr>
                <w:sz w:val="20"/>
                <w:szCs w:val="20"/>
                <w:color w:val="auto"/>
              </w:rPr>
            </w:pPr>
            <w:r>
              <w:rPr>
                <w:rFonts w:ascii="Arial" w:cs="Arial" w:eastAsia="Arial" w:hAnsi="Arial"/>
                <w:sz w:val="20"/>
                <w:szCs w:val="20"/>
                <w:color w:val="010000"/>
              </w:rPr>
              <w:t>(a)</w:t>
            </w:r>
          </w:p>
        </w:tc>
        <w:tc>
          <w:tcPr>
            <w:tcW w:w="818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rPr>
              <w:t>an Account roll-forward with supporting details supplied from sales journals, collection journals, credit</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each month); provided that such</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registers and any other records,</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6"/>
              </w:rPr>
              <w:t>documents will be provided weekly if</w:t>
            </w:r>
          </w:p>
        </w:tc>
        <w:tc>
          <w:tcPr>
            <w:tcW w:w="360" w:type="dxa"/>
            <w:vAlign w:val="bottom"/>
          </w:tcPr>
          <w:p>
            <w:pPr>
              <w:ind w:left="20"/>
              <w:spacing w:after="0"/>
              <w:rPr>
                <w:sz w:val="20"/>
                <w:szCs w:val="20"/>
                <w:color w:val="auto"/>
              </w:rPr>
            </w:pPr>
            <w:r>
              <w:rPr>
                <w:rFonts w:ascii="Arial" w:cs="Arial" w:eastAsia="Arial" w:hAnsi="Arial"/>
                <w:sz w:val="20"/>
                <w:szCs w:val="20"/>
                <w:color w:val="010000"/>
              </w:rPr>
              <w:t>(b)</w:t>
            </w:r>
          </w:p>
        </w:tc>
        <w:tc>
          <w:tcPr>
            <w:tcW w:w="818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w w:val="99"/>
              </w:rPr>
              <w:t>notice of all claims, offsets, or disputes asserted by Account Debtors with respect to Borrower’s and its</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5"/>
              </w:rPr>
              <w:t>at any time Availability is less than or</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Subsidiaries’ Accounts, and</w:t>
            </w:r>
          </w:p>
        </w:tc>
        <w:tc>
          <w:tcPr>
            <w:tcW w:w="0" w:type="dxa"/>
            <w:vAlign w:val="bottom"/>
          </w:tcPr>
          <w:p>
            <w:pPr>
              <w:spacing w:after="0"/>
              <w:rPr>
                <w:sz w:val="1"/>
                <w:szCs w:val="1"/>
                <w:color w:val="auto"/>
              </w:rPr>
            </w:pPr>
          </w:p>
        </w:tc>
      </w:tr>
      <w:tr>
        <w:trPr>
          <w:trHeight w:val="202"/>
        </w:trPr>
        <w:tc>
          <w:tcPr>
            <w:tcW w:w="2900" w:type="dxa"/>
            <w:vAlign w:val="bottom"/>
            <w:tcBorders>
              <w:left w:val="single" w:sz="8" w:color="00000A"/>
              <w:right w:val="single" w:sz="8" w:color="00000A"/>
            </w:tcBorders>
          </w:tcPr>
          <w:p>
            <w:pPr>
              <w:ind w:left="60"/>
              <w:spacing w:after="0" w:line="201" w:lineRule="exact"/>
              <w:rPr>
                <w:sz w:val="20"/>
                <w:szCs w:val="20"/>
                <w:color w:val="auto"/>
              </w:rPr>
            </w:pPr>
            <w:r>
              <w:rPr>
                <w:rFonts w:ascii="Arial" w:cs="Arial" w:eastAsia="Arial" w:hAnsi="Arial"/>
                <w:sz w:val="18"/>
                <w:szCs w:val="18"/>
                <w:color w:val="auto"/>
                <w:w w:val="97"/>
              </w:rPr>
              <w:t>equal to the greater of (x) 16.67% of</w:t>
            </w:r>
          </w:p>
        </w:tc>
        <w:tc>
          <w:tcPr>
            <w:tcW w:w="854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20"/>
                <w:szCs w:val="20"/>
                <w:color w:val="010000"/>
                <w:w w:val="94"/>
              </w:rPr>
              <w:t xml:space="preserve">(c)   </w:t>
            </w:r>
            <w:r>
              <w:rPr>
                <w:rFonts w:ascii="Arial" w:cs="Arial" w:eastAsia="Arial" w:hAnsi="Arial"/>
                <w:sz w:val="18"/>
                <w:szCs w:val="18"/>
                <w:color w:val="000000"/>
                <w:w w:val="94"/>
              </w:rPr>
              <w:t>copies of invoices together with corresponding shipping and delivery documents, and credit memos together</w:t>
            </w:r>
          </w:p>
        </w:tc>
        <w:tc>
          <w:tcPr>
            <w:tcW w:w="0" w:type="dxa"/>
            <w:vAlign w:val="bottom"/>
          </w:tcPr>
          <w:p>
            <w:pPr>
              <w:spacing w:after="0"/>
              <w:rPr>
                <w:sz w:val="1"/>
                <w:szCs w:val="1"/>
                <w:color w:val="auto"/>
              </w:rPr>
            </w:pPr>
          </w:p>
        </w:tc>
      </w:tr>
      <w:tr>
        <w:trPr>
          <w:trHeight w:val="176"/>
        </w:trPr>
        <w:tc>
          <w:tcPr>
            <w:tcW w:w="2900" w:type="dxa"/>
            <w:vAlign w:val="bottom"/>
            <w:tcBorders>
              <w:left w:val="single" w:sz="8" w:color="00000A"/>
              <w:right w:val="single" w:sz="8" w:color="00000A"/>
            </w:tcBorders>
          </w:tcPr>
          <w:p>
            <w:pPr>
              <w:ind w:left="60"/>
              <w:spacing w:after="0" w:line="176" w:lineRule="exact"/>
              <w:rPr>
                <w:sz w:val="20"/>
                <w:szCs w:val="20"/>
                <w:color w:val="auto"/>
              </w:rPr>
            </w:pPr>
            <w:r>
              <w:rPr>
                <w:rFonts w:ascii="Arial" w:cs="Arial" w:eastAsia="Arial" w:hAnsi="Arial"/>
                <w:sz w:val="18"/>
                <w:szCs w:val="18"/>
                <w:color w:val="auto"/>
                <w:w w:val="97"/>
              </w:rPr>
              <w:t>the Maximum Revolver Amount and</w:t>
            </w:r>
          </w:p>
        </w:tc>
        <w:tc>
          <w:tcPr>
            <w:tcW w:w="8540" w:type="dxa"/>
            <w:vAlign w:val="bottom"/>
            <w:tcBorders>
              <w:right w:val="single" w:sz="8" w:color="00000A"/>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90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rPr>
              <w:t>(y) $12,500,000</w:t>
            </w:r>
          </w:p>
        </w:tc>
        <w:tc>
          <w:tcPr>
            <w:tcW w:w="8540" w:type="dxa"/>
            <w:vAlign w:val="bottom"/>
            <w:tcBorders>
              <w:right w:val="single" w:sz="8" w:color="00000A"/>
            </w:tcBorders>
            <w:gridSpan w:val="2"/>
          </w:tcPr>
          <w:p>
            <w:pPr>
              <w:ind w:left="20"/>
              <w:spacing w:after="0" w:line="107" w:lineRule="exact"/>
              <w:rPr>
                <w:sz w:val="20"/>
                <w:szCs w:val="20"/>
                <w:color w:val="auto"/>
              </w:rPr>
            </w:pPr>
            <w:r>
              <w:rPr>
                <w:rFonts w:ascii="Arial" w:cs="Arial" w:eastAsia="Arial" w:hAnsi="Arial"/>
                <w:sz w:val="12"/>
                <w:szCs w:val="12"/>
                <w:color w:val="auto"/>
              </w:rPr>
              <w:t>with corresponding supporting documentation, with respect to invoices and credit memos in excess of an amount</w:t>
            </w:r>
          </w:p>
        </w:tc>
        <w:tc>
          <w:tcPr>
            <w:tcW w:w="0" w:type="dxa"/>
            <w:vAlign w:val="bottom"/>
          </w:tcPr>
          <w:p>
            <w:pPr>
              <w:spacing w:after="0"/>
              <w:rPr>
                <w:sz w:val="1"/>
                <w:szCs w:val="1"/>
                <w:color w:val="auto"/>
              </w:rPr>
            </w:pPr>
          </w:p>
        </w:tc>
      </w:tr>
      <w:tr>
        <w:trPr>
          <w:trHeight w:val="163"/>
        </w:trPr>
        <w:tc>
          <w:tcPr>
            <w:tcW w:w="2900" w:type="dxa"/>
            <w:vAlign w:val="bottom"/>
            <w:tcBorders>
              <w:left w:val="single" w:sz="8" w:color="00000A"/>
              <w:right w:val="single" w:sz="8" w:color="00000A"/>
            </w:tcBorders>
            <w:vMerge w:val="continue"/>
          </w:tcPr>
          <w:p>
            <w:pPr>
              <w:spacing w:after="0"/>
              <w:rPr>
                <w:sz w:val="14"/>
                <w:szCs w:val="14"/>
                <w:color w:val="auto"/>
              </w:rPr>
            </w:pPr>
          </w:p>
        </w:tc>
        <w:tc>
          <w:tcPr>
            <w:tcW w:w="854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18"/>
                <w:szCs w:val="18"/>
                <w:color w:val="auto"/>
              </w:rPr>
              <w:t>determined in the sole discretion of Agent, from time to time.</w:t>
            </w:r>
          </w:p>
        </w:tc>
        <w:tc>
          <w:tcPr>
            <w:tcW w:w="0" w:type="dxa"/>
            <w:vAlign w:val="bottom"/>
          </w:tcPr>
          <w:p>
            <w:pPr>
              <w:spacing w:after="0"/>
              <w:rPr>
                <w:sz w:val="1"/>
                <w:szCs w:val="1"/>
                <w:color w:val="auto"/>
              </w:rPr>
            </w:pPr>
          </w:p>
        </w:tc>
      </w:tr>
      <w:tr>
        <w:trPr>
          <w:trHeight w:val="68"/>
        </w:trPr>
        <w:tc>
          <w:tcPr>
            <w:tcW w:w="2900" w:type="dxa"/>
            <w:vAlign w:val="bottom"/>
            <w:tcBorders>
              <w:left w:val="single" w:sz="8" w:color="00000A"/>
              <w:right w:val="single" w:sz="8" w:color="00000A"/>
            </w:tcBorders>
          </w:tcPr>
          <w:p>
            <w:pPr>
              <w:spacing w:after="0"/>
              <w:rPr>
                <w:sz w:val="5"/>
                <w:szCs w:val="5"/>
                <w:color w:val="auto"/>
              </w:rPr>
            </w:pPr>
          </w:p>
        </w:tc>
        <w:tc>
          <w:tcPr>
            <w:tcW w:w="8540" w:type="dxa"/>
            <w:vAlign w:val="bottom"/>
            <w:tcBorders>
              <w:right w:val="single" w:sz="8" w:color="00000A"/>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8540" w:type="dxa"/>
            <w:vAlign w:val="bottom"/>
            <w:tcBorders>
              <w:bottom w:val="single" w:sz="8" w:color="00000A"/>
              <w:right w:val="single" w:sz="8" w:color="00000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3"/>
              </w:rPr>
              <w:t>Monthly (no later than the 10th day of</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4"/>
              </w:rPr>
              <w:t xml:space="preserve">(d)   </w:t>
            </w:r>
            <w:r>
              <w:rPr>
                <w:rFonts w:ascii="Arial" w:cs="Arial" w:eastAsia="Arial" w:hAnsi="Arial"/>
                <w:sz w:val="18"/>
                <w:szCs w:val="18"/>
                <w:color w:val="000000"/>
                <w:w w:val="94"/>
              </w:rPr>
              <w:t>Inventory system/perpetual reports specifying the cost and the wholesale market value of Borrower’s and its</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each month); provided that such</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3"/>
              </w:rPr>
              <w:t>Subsidiaries’ Inventory, by category, with additional detail showing additions to and deletions therefrom (delivered</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6"/>
              </w:rPr>
              <w:t>documents will be provided weekly if</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electronically in an acceptable format, if Borrower has implemented electronic reporting).</w:t>
            </w:r>
          </w:p>
        </w:tc>
        <w:tc>
          <w:tcPr>
            <w:tcW w:w="0" w:type="dxa"/>
            <w:vAlign w:val="bottom"/>
          </w:tcPr>
          <w:p>
            <w:pPr>
              <w:spacing w:after="0"/>
              <w:rPr>
                <w:sz w:val="1"/>
                <w:szCs w:val="1"/>
                <w:color w:val="auto"/>
              </w:rPr>
            </w:pPr>
          </w:p>
        </w:tc>
      </w:tr>
      <w:tr>
        <w:trPr>
          <w:trHeight w:val="215"/>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5"/>
              </w:rPr>
              <w:t>at any time Availability is less than or</w:t>
            </w:r>
          </w:p>
        </w:tc>
        <w:tc>
          <w:tcPr>
            <w:tcW w:w="360" w:type="dxa"/>
            <w:vAlign w:val="bottom"/>
          </w:tcPr>
          <w:p>
            <w:pPr>
              <w:spacing w:after="0"/>
              <w:rPr>
                <w:sz w:val="18"/>
                <w:szCs w:val="18"/>
                <w:color w:val="auto"/>
              </w:rPr>
            </w:pPr>
          </w:p>
        </w:tc>
        <w:tc>
          <w:tcPr>
            <w:tcW w:w="8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7"/>
              </w:rPr>
              <w:t>equal to the greater of (x) 16.67% of</w:t>
            </w:r>
          </w:p>
        </w:tc>
        <w:tc>
          <w:tcPr>
            <w:tcW w:w="360" w:type="dxa"/>
            <w:vAlign w:val="bottom"/>
          </w:tcPr>
          <w:p>
            <w:pPr>
              <w:spacing w:after="0"/>
              <w:rPr>
                <w:sz w:val="18"/>
                <w:szCs w:val="18"/>
                <w:color w:val="auto"/>
              </w:rPr>
            </w:pPr>
          </w:p>
        </w:tc>
        <w:tc>
          <w:tcPr>
            <w:tcW w:w="8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7"/>
              </w:rPr>
              <w:t>the Maximum Revolver Amount and</w:t>
            </w:r>
          </w:p>
        </w:tc>
        <w:tc>
          <w:tcPr>
            <w:tcW w:w="360" w:type="dxa"/>
            <w:vAlign w:val="bottom"/>
          </w:tcPr>
          <w:p>
            <w:pPr>
              <w:spacing w:after="0"/>
              <w:rPr>
                <w:sz w:val="18"/>
                <w:szCs w:val="18"/>
                <w:color w:val="auto"/>
              </w:rPr>
            </w:pPr>
          </w:p>
        </w:tc>
        <w:tc>
          <w:tcPr>
            <w:tcW w:w="8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(y) $12,500,000</w:t>
            </w:r>
          </w:p>
        </w:tc>
        <w:tc>
          <w:tcPr>
            <w:tcW w:w="360" w:type="dxa"/>
            <w:vAlign w:val="bottom"/>
          </w:tcPr>
          <w:p>
            <w:pPr>
              <w:spacing w:after="0"/>
              <w:rPr>
                <w:sz w:val="20"/>
                <w:szCs w:val="20"/>
                <w:color w:val="auto"/>
              </w:rPr>
            </w:pPr>
          </w:p>
        </w:tc>
        <w:tc>
          <w:tcPr>
            <w:tcW w:w="81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8540" w:type="dxa"/>
            <w:vAlign w:val="bottom"/>
            <w:tcBorders>
              <w:bottom w:val="single" w:sz="8" w:color="00000A"/>
              <w:right w:val="single" w:sz="8" w:color="00000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3"/>
              </w:rPr>
              <w:t>Monthly (no later than the 10th day of</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rPr>
              <w:t xml:space="preserve">(e)  </w:t>
            </w:r>
            <w:r>
              <w:rPr>
                <w:rFonts w:ascii="Arial" w:cs="Arial" w:eastAsia="Arial" w:hAnsi="Arial"/>
                <w:sz w:val="18"/>
                <w:szCs w:val="18"/>
                <w:color w:val="000000"/>
              </w:rPr>
              <w:t>an executed Borrowing Base Certificate,</w:t>
            </w:r>
          </w:p>
        </w:tc>
        <w:tc>
          <w:tcPr>
            <w:tcW w:w="0" w:type="dxa"/>
            <w:vAlign w:val="bottom"/>
          </w:tcPr>
          <w:p>
            <w:pPr>
              <w:spacing w:after="0"/>
              <w:rPr>
                <w:sz w:val="1"/>
                <w:szCs w:val="1"/>
                <w:color w:val="auto"/>
              </w:rPr>
            </w:pPr>
          </w:p>
        </w:tc>
      </w:tr>
      <w:tr>
        <w:trPr>
          <w:trHeight w:val="215"/>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each month); provided that such</w:t>
            </w:r>
          </w:p>
        </w:tc>
        <w:tc>
          <w:tcPr>
            <w:tcW w:w="360" w:type="dxa"/>
            <w:vAlign w:val="bottom"/>
          </w:tcPr>
          <w:p>
            <w:pPr>
              <w:spacing w:after="0"/>
              <w:rPr>
                <w:sz w:val="18"/>
                <w:szCs w:val="18"/>
                <w:color w:val="auto"/>
              </w:rPr>
            </w:pPr>
          </w:p>
        </w:tc>
        <w:tc>
          <w:tcPr>
            <w:tcW w:w="818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6"/>
              </w:rPr>
              <w:t>documents will be provided weekly if</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3"/>
              </w:rPr>
              <w:t xml:space="preserve">(f)  </w:t>
            </w:r>
            <w:r>
              <w:rPr>
                <w:rFonts w:ascii="Arial" w:cs="Arial" w:eastAsia="Arial" w:hAnsi="Arial"/>
                <w:sz w:val="18"/>
                <w:szCs w:val="18"/>
                <w:color w:val="000000"/>
                <w:w w:val="93"/>
              </w:rPr>
              <w:t>a detailed aging, by total, of Borrower’s Accounts, together with a reconciliation and supporting documentation</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w w:val="95"/>
              </w:rPr>
              <w:t>at any time Availability is less than or</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7"/>
              </w:rPr>
              <w:t>for any reconciling items noted (delivered electronically in an acceptable format, if Borrower has implemented</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equal to equal to the greater of (x)</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electronic reporting),</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16.67% of the Maximum Revolver</w:t>
            </w:r>
          </w:p>
        </w:tc>
        <w:tc>
          <w:tcPr>
            <w:tcW w:w="360" w:type="dxa"/>
            <w:vAlign w:val="bottom"/>
          </w:tcPr>
          <w:p>
            <w:pPr>
              <w:ind w:left="20"/>
              <w:spacing w:after="0"/>
              <w:rPr>
                <w:sz w:val="20"/>
                <w:szCs w:val="20"/>
                <w:color w:val="auto"/>
              </w:rPr>
            </w:pPr>
            <w:r>
              <w:rPr>
                <w:rFonts w:ascii="Arial" w:cs="Arial" w:eastAsia="Arial" w:hAnsi="Arial"/>
                <w:sz w:val="20"/>
                <w:szCs w:val="20"/>
                <w:color w:val="010000"/>
              </w:rPr>
              <w:t>(g)</w:t>
            </w:r>
          </w:p>
        </w:tc>
        <w:tc>
          <w:tcPr>
            <w:tcW w:w="818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w w:val="98"/>
              </w:rPr>
              <w:t>a detailed calculation of those Accounts that are not eligible for the Borrowing Base, if Borrower has not</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Amount and (y) $12,500,000</w:t>
            </w:r>
          </w:p>
        </w:tc>
        <w:tc>
          <w:tcPr>
            <w:tcW w:w="854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18"/>
                <w:szCs w:val="18"/>
                <w:color w:val="auto"/>
              </w:rPr>
              <w:t>implemented electronic reporting,</w:t>
            </w:r>
          </w:p>
        </w:tc>
        <w:tc>
          <w:tcPr>
            <w:tcW w:w="0" w:type="dxa"/>
            <w:vAlign w:val="bottom"/>
          </w:tcPr>
          <w:p>
            <w:pPr>
              <w:spacing w:after="0"/>
              <w:rPr>
                <w:sz w:val="1"/>
                <w:szCs w:val="1"/>
                <w:color w:val="auto"/>
              </w:rPr>
            </w:pPr>
          </w:p>
        </w:tc>
      </w:tr>
      <w:tr>
        <w:trPr>
          <w:trHeight w:val="37"/>
        </w:trPr>
        <w:tc>
          <w:tcPr>
            <w:tcW w:w="2900" w:type="dxa"/>
            <w:vAlign w:val="bottom"/>
            <w:tcBorders>
              <w:left w:val="single" w:sz="8" w:color="00000A"/>
              <w:right w:val="single" w:sz="8" w:color="00000A"/>
            </w:tcBorders>
          </w:tcPr>
          <w:p>
            <w:pPr>
              <w:spacing w:after="0"/>
              <w:rPr>
                <w:sz w:val="3"/>
                <w:szCs w:val="3"/>
                <w:color w:val="auto"/>
              </w:rPr>
            </w:pPr>
          </w:p>
        </w:tc>
        <w:tc>
          <w:tcPr>
            <w:tcW w:w="8540" w:type="dxa"/>
            <w:vAlign w:val="bottom"/>
            <w:tcBorders>
              <w:right w:val="single" w:sz="8" w:color="00000A"/>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900" w:type="dxa"/>
            <w:vAlign w:val="bottom"/>
            <w:tcBorders>
              <w:left w:val="single" w:sz="8" w:color="00000A"/>
              <w:right w:val="single" w:sz="8" w:color="00000A"/>
            </w:tcBorders>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20"/>
                <w:szCs w:val="20"/>
                <w:color w:val="010000"/>
              </w:rPr>
              <w:t>(h)</w:t>
            </w:r>
          </w:p>
        </w:tc>
        <w:tc>
          <w:tcPr>
            <w:tcW w:w="818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w w:val="99"/>
              </w:rPr>
              <w:t>a detailed Inventory system/perpetual report together with a reconciliation to Borrower’s general ledger</w:t>
            </w:r>
          </w:p>
        </w:tc>
        <w:tc>
          <w:tcPr>
            <w:tcW w:w="0" w:type="dxa"/>
            <w:vAlign w:val="bottom"/>
          </w:tcPr>
          <w:p>
            <w:pPr>
              <w:spacing w:after="0"/>
              <w:rPr>
                <w:sz w:val="1"/>
                <w:szCs w:val="1"/>
                <w:color w:val="auto"/>
              </w:rPr>
            </w:pPr>
          </w:p>
        </w:tc>
      </w:tr>
      <w:tr>
        <w:trPr>
          <w:trHeight w:val="214"/>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7"/>
              </w:rPr>
              <w:t>accounts (delivered electronically in an acceptable format, if Borrower has implemented electronic reporting),</w:t>
            </w:r>
          </w:p>
        </w:tc>
        <w:tc>
          <w:tcPr>
            <w:tcW w:w="0" w:type="dxa"/>
            <w:vAlign w:val="bottom"/>
          </w:tcPr>
          <w:p>
            <w:pPr>
              <w:spacing w:after="0"/>
              <w:rPr>
                <w:sz w:val="1"/>
                <w:szCs w:val="1"/>
                <w:color w:val="auto"/>
              </w:rPr>
            </w:pPr>
          </w:p>
        </w:tc>
      </w:tr>
      <w:tr>
        <w:trPr>
          <w:trHeight w:val="232"/>
        </w:trPr>
        <w:tc>
          <w:tcPr>
            <w:tcW w:w="2900" w:type="dxa"/>
            <w:vAlign w:val="bottom"/>
            <w:tcBorders>
              <w:left w:val="single" w:sz="8" w:color="00000A"/>
              <w:right w:val="single" w:sz="8" w:color="00000A"/>
            </w:tcBorders>
          </w:tcPr>
          <w:p>
            <w:pPr>
              <w:spacing w:after="0"/>
              <w:rPr>
                <w:sz w:val="20"/>
                <w:szCs w:val="20"/>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5"/>
              </w:rPr>
              <w:t xml:space="preserve">(i)  </w:t>
            </w:r>
            <w:r>
              <w:rPr>
                <w:rFonts w:ascii="Arial" w:cs="Arial" w:eastAsia="Arial" w:hAnsi="Arial"/>
                <w:sz w:val="18"/>
                <w:szCs w:val="18"/>
                <w:color w:val="000000"/>
                <w:w w:val="95"/>
              </w:rPr>
              <w:t>a detailed calculation of Inventory categories that are not eligible for the Borrowing Base, if Borrower has not</w:t>
            </w:r>
          </w:p>
        </w:tc>
        <w:tc>
          <w:tcPr>
            <w:tcW w:w="0" w:type="dxa"/>
            <w:vAlign w:val="bottom"/>
          </w:tcPr>
          <w:p>
            <w:pPr>
              <w:spacing w:after="0"/>
              <w:rPr>
                <w:sz w:val="1"/>
                <w:szCs w:val="1"/>
                <w:color w:val="auto"/>
              </w:rPr>
            </w:pPr>
          </w:p>
        </w:tc>
      </w:tr>
      <w:tr>
        <w:trPr>
          <w:trHeight w:val="214"/>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implemented electronic reporting,</w:t>
            </w:r>
          </w:p>
        </w:tc>
        <w:tc>
          <w:tcPr>
            <w:tcW w:w="0" w:type="dxa"/>
            <w:vAlign w:val="bottom"/>
          </w:tcPr>
          <w:p>
            <w:pPr>
              <w:spacing w:after="0"/>
              <w:rPr>
                <w:sz w:val="1"/>
                <w:szCs w:val="1"/>
                <w:color w:val="auto"/>
              </w:rPr>
            </w:pPr>
          </w:p>
        </w:tc>
      </w:tr>
      <w:tr>
        <w:trPr>
          <w:trHeight w:val="232"/>
        </w:trPr>
        <w:tc>
          <w:tcPr>
            <w:tcW w:w="2900" w:type="dxa"/>
            <w:vAlign w:val="bottom"/>
            <w:tcBorders>
              <w:left w:val="single" w:sz="8" w:color="00000A"/>
              <w:right w:val="single" w:sz="8" w:color="00000A"/>
            </w:tcBorders>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20"/>
                <w:szCs w:val="20"/>
                <w:color w:val="010000"/>
              </w:rPr>
              <w:t>(j)</w:t>
            </w:r>
          </w:p>
        </w:tc>
        <w:tc>
          <w:tcPr>
            <w:tcW w:w="818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w w:val="96"/>
              </w:rPr>
              <w:t>a summary aging, by vendor, of Borrower’s and its Subsidiaries’ accounts payable and any book overdraft</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2"/>
              </w:rPr>
              <w:t>(delivered electronically in an acceptable format, if Borrower has implemented electronic reporting) and an aging, by</w:t>
            </w:r>
          </w:p>
        </w:tc>
        <w:tc>
          <w:tcPr>
            <w:tcW w:w="0" w:type="dxa"/>
            <w:vAlign w:val="bottom"/>
          </w:tcPr>
          <w:p>
            <w:pPr>
              <w:spacing w:after="0"/>
              <w:rPr>
                <w:sz w:val="1"/>
                <w:szCs w:val="1"/>
                <w:color w:val="auto"/>
              </w:rPr>
            </w:pPr>
          </w:p>
        </w:tc>
      </w:tr>
      <w:tr>
        <w:trPr>
          <w:trHeight w:val="214"/>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vendor, of any held checks,</w:t>
            </w:r>
          </w:p>
        </w:tc>
        <w:tc>
          <w:tcPr>
            <w:tcW w:w="0" w:type="dxa"/>
            <w:vAlign w:val="bottom"/>
          </w:tcPr>
          <w:p>
            <w:pPr>
              <w:spacing w:after="0"/>
              <w:rPr>
                <w:sz w:val="1"/>
                <w:szCs w:val="1"/>
                <w:color w:val="auto"/>
              </w:rPr>
            </w:pPr>
          </w:p>
        </w:tc>
      </w:tr>
      <w:tr>
        <w:trPr>
          <w:trHeight w:val="232"/>
        </w:trPr>
        <w:tc>
          <w:tcPr>
            <w:tcW w:w="2900" w:type="dxa"/>
            <w:vAlign w:val="bottom"/>
            <w:tcBorders>
              <w:left w:val="single" w:sz="8" w:color="00000A"/>
              <w:right w:val="single" w:sz="8" w:color="00000A"/>
            </w:tcBorders>
          </w:tcPr>
          <w:p>
            <w:pPr>
              <w:spacing w:after="0"/>
              <w:rPr>
                <w:sz w:val="20"/>
                <w:szCs w:val="20"/>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2"/>
              </w:rPr>
              <w:t xml:space="preserve">(k)  </w:t>
            </w:r>
            <w:r>
              <w:rPr>
                <w:rFonts w:ascii="Arial" w:cs="Arial" w:eastAsia="Arial" w:hAnsi="Arial"/>
                <w:sz w:val="18"/>
                <w:szCs w:val="18"/>
                <w:color w:val="000000"/>
                <w:w w:val="92"/>
              </w:rPr>
              <w:t>a detailed report regarding Borrower’s and its Subsidiaries’ cash and Cash Equivalents, including an indication</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7"/>
              </w:rPr>
              <w:t>of (i) which amounts constitute Qualified Cash and (ii) in which countries such cash and Cash Equivalents are</w:t>
            </w:r>
          </w:p>
        </w:tc>
        <w:tc>
          <w:tcPr>
            <w:tcW w:w="0" w:type="dxa"/>
            <w:vAlign w:val="bottom"/>
          </w:tcPr>
          <w:p>
            <w:pPr>
              <w:spacing w:after="0"/>
              <w:rPr>
                <w:sz w:val="1"/>
                <w:szCs w:val="1"/>
                <w:color w:val="auto"/>
              </w:rPr>
            </w:pPr>
          </w:p>
        </w:tc>
      </w:tr>
      <w:tr>
        <w:trPr>
          <w:trHeight w:val="214"/>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located, and</w:t>
            </w:r>
          </w:p>
        </w:tc>
        <w:tc>
          <w:tcPr>
            <w:tcW w:w="0" w:type="dxa"/>
            <w:vAlign w:val="bottom"/>
          </w:tcPr>
          <w:p>
            <w:pPr>
              <w:spacing w:after="0"/>
              <w:rPr>
                <w:sz w:val="1"/>
                <w:szCs w:val="1"/>
                <w:color w:val="auto"/>
              </w:rPr>
            </w:pPr>
          </w:p>
        </w:tc>
      </w:tr>
      <w:tr>
        <w:trPr>
          <w:trHeight w:val="232"/>
        </w:trPr>
        <w:tc>
          <w:tcPr>
            <w:tcW w:w="2900" w:type="dxa"/>
            <w:vAlign w:val="bottom"/>
            <w:tcBorders>
              <w:left w:val="single" w:sz="8" w:color="00000A"/>
              <w:right w:val="single" w:sz="8" w:color="00000A"/>
            </w:tcBorders>
          </w:tcPr>
          <w:p>
            <w:pPr>
              <w:spacing w:after="0"/>
              <w:rPr>
                <w:sz w:val="20"/>
                <w:szCs w:val="20"/>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7"/>
              </w:rPr>
              <w:t xml:space="preserve">(l)   </w:t>
            </w:r>
            <w:r>
              <w:rPr>
                <w:rFonts w:ascii="Arial" w:cs="Arial" w:eastAsia="Arial" w:hAnsi="Arial"/>
                <w:sz w:val="18"/>
                <w:szCs w:val="18"/>
                <w:color w:val="000000"/>
                <w:w w:val="97"/>
              </w:rPr>
              <w:t>a monthly Account roll-forward, in a format acceptable to Agent in its discretion, tied to the beginning and</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spacing w:after="0"/>
              <w:rPr>
                <w:sz w:val="20"/>
                <w:szCs w:val="20"/>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ending account receivable balances of Borrower’s general ledger.</w:t>
            </w:r>
          </w:p>
        </w:tc>
        <w:tc>
          <w:tcPr>
            <w:tcW w:w="0" w:type="dxa"/>
            <w:vAlign w:val="bottom"/>
          </w:tcPr>
          <w:p>
            <w:pPr>
              <w:spacing w:after="0"/>
              <w:rPr>
                <w:sz w:val="1"/>
                <w:szCs w:val="1"/>
                <w:color w:val="auto"/>
              </w:rPr>
            </w:pPr>
          </w:p>
        </w:tc>
      </w:tr>
      <w:tr>
        <w:trPr>
          <w:trHeight w:val="27"/>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8540" w:type="dxa"/>
            <w:vAlign w:val="bottom"/>
            <w:tcBorders>
              <w:bottom w:val="single" w:sz="8" w:color="00000A"/>
              <w:right w:val="single" w:sz="8" w:color="00000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0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w w:val="93"/>
              </w:rPr>
              <w:t>Monthly (no later than the 30th day of</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3"/>
              </w:rPr>
              <w:t xml:space="preserve">(m)  </w:t>
            </w:r>
            <w:r>
              <w:rPr>
                <w:rFonts w:ascii="Arial" w:cs="Arial" w:eastAsia="Arial" w:hAnsi="Arial"/>
                <w:sz w:val="18"/>
                <w:szCs w:val="18"/>
                <w:color w:val="000000"/>
                <w:w w:val="93"/>
              </w:rPr>
              <w:t>a reconciliation of Accounts, trade accounts payable, and Inventory of Borrower’s general ledger accounts to</w:t>
            </w:r>
          </w:p>
        </w:tc>
        <w:tc>
          <w:tcPr>
            <w:tcW w:w="0" w:type="dxa"/>
            <w:vAlign w:val="bottom"/>
          </w:tcPr>
          <w:p>
            <w:pPr>
              <w:spacing w:after="0"/>
              <w:rPr>
                <w:sz w:val="1"/>
                <w:szCs w:val="1"/>
                <w:color w:val="auto"/>
              </w:rPr>
            </w:pPr>
          </w:p>
        </w:tc>
      </w:tr>
      <w:tr>
        <w:trPr>
          <w:trHeight w:val="176"/>
        </w:trPr>
        <w:tc>
          <w:tcPr>
            <w:tcW w:w="2900" w:type="dxa"/>
            <w:vAlign w:val="bottom"/>
            <w:tcBorders>
              <w:left w:val="single" w:sz="8" w:color="00000A"/>
              <w:right w:val="single" w:sz="8" w:color="00000A"/>
            </w:tcBorders>
            <w:vMerge w:val="continue"/>
          </w:tcPr>
          <w:p>
            <w:pPr>
              <w:spacing w:after="0"/>
              <w:rPr>
                <w:sz w:val="15"/>
                <w:szCs w:val="15"/>
                <w:color w:val="auto"/>
              </w:rPr>
            </w:pPr>
          </w:p>
        </w:tc>
        <w:tc>
          <w:tcPr>
            <w:tcW w:w="8540" w:type="dxa"/>
            <w:vAlign w:val="bottom"/>
            <w:tcBorders>
              <w:right w:val="single" w:sz="8" w:color="00000A"/>
            </w:tcBorders>
            <w:gridSpan w:val="2"/>
          </w:tcPr>
          <w:p>
            <w:pPr>
              <w:ind w:left="20"/>
              <w:spacing w:after="0" w:line="176" w:lineRule="exact"/>
              <w:rPr>
                <w:sz w:val="20"/>
                <w:szCs w:val="20"/>
                <w:color w:val="auto"/>
              </w:rPr>
            </w:pPr>
            <w:r>
              <w:rPr>
                <w:rFonts w:ascii="Arial" w:cs="Arial" w:eastAsia="Arial" w:hAnsi="Arial"/>
                <w:sz w:val="18"/>
                <w:szCs w:val="18"/>
                <w:color w:val="auto"/>
              </w:rPr>
              <w:t>its monthly financial statements including any book reserves related to each category.</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8"/>
                <w:szCs w:val="18"/>
                <w:color w:val="auto"/>
              </w:rPr>
              <w:t>each month)</w:t>
            </w:r>
          </w:p>
        </w:tc>
        <w:tc>
          <w:tcPr>
            <w:tcW w:w="360" w:type="dxa"/>
            <w:vAlign w:val="bottom"/>
          </w:tcPr>
          <w:p>
            <w:pPr>
              <w:spacing w:after="0"/>
              <w:rPr>
                <w:sz w:val="20"/>
                <w:szCs w:val="20"/>
                <w:color w:val="auto"/>
              </w:rPr>
            </w:pPr>
          </w:p>
        </w:tc>
        <w:tc>
          <w:tcPr>
            <w:tcW w:w="818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8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0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rPr>
              <w:t>Quarterly</w:t>
            </w:r>
          </w:p>
        </w:tc>
        <w:tc>
          <w:tcPr>
            <w:tcW w:w="360" w:type="dxa"/>
            <w:vAlign w:val="bottom"/>
          </w:tcPr>
          <w:p>
            <w:pPr>
              <w:ind w:left="20"/>
              <w:spacing w:after="0"/>
              <w:rPr>
                <w:sz w:val="20"/>
                <w:szCs w:val="20"/>
                <w:color w:val="auto"/>
              </w:rPr>
            </w:pPr>
            <w:r>
              <w:rPr>
                <w:rFonts w:ascii="Arial" w:cs="Arial" w:eastAsia="Arial" w:hAnsi="Arial"/>
                <w:sz w:val="20"/>
                <w:szCs w:val="20"/>
                <w:color w:val="010000"/>
              </w:rPr>
              <w:t>(n)</w:t>
            </w:r>
          </w:p>
        </w:tc>
        <w:tc>
          <w:tcPr>
            <w:tcW w:w="8180" w:type="dxa"/>
            <w:vAlign w:val="bottom"/>
            <w:tcBorders>
              <w:right w:val="single" w:sz="8" w:color="00000A"/>
            </w:tcBorders>
          </w:tcPr>
          <w:p>
            <w:pPr>
              <w:jc w:val="right"/>
              <w:spacing w:after="0"/>
              <w:rPr>
                <w:sz w:val="20"/>
                <w:szCs w:val="20"/>
                <w:color w:val="auto"/>
              </w:rPr>
            </w:pPr>
            <w:r>
              <w:rPr>
                <w:rFonts w:ascii="Arial" w:cs="Arial" w:eastAsia="Arial" w:hAnsi="Arial"/>
                <w:sz w:val="18"/>
                <w:szCs w:val="18"/>
                <w:color w:val="auto"/>
                <w:w w:val="98"/>
              </w:rPr>
              <w:t>written notice of any Patent or Trademark (as each is defined in the Guaranty and Security Agreement)</w:t>
            </w:r>
          </w:p>
        </w:tc>
        <w:tc>
          <w:tcPr>
            <w:tcW w:w="0" w:type="dxa"/>
            <w:vAlign w:val="bottom"/>
          </w:tcPr>
          <w:p>
            <w:pPr>
              <w:spacing w:after="0"/>
              <w:rPr>
                <w:sz w:val="1"/>
                <w:szCs w:val="1"/>
                <w:color w:val="auto"/>
              </w:rPr>
            </w:pPr>
          </w:p>
        </w:tc>
      </w:tr>
      <w:tr>
        <w:trPr>
          <w:trHeight w:val="214"/>
        </w:trPr>
        <w:tc>
          <w:tcPr>
            <w:tcW w:w="2900" w:type="dxa"/>
            <w:vAlign w:val="bottom"/>
            <w:tcBorders>
              <w:left w:val="single" w:sz="8" w:color="00000A"/>
              <w:right w:val="single" w:sz="8" w:color="00000A"/>
            </w:tcBorders>
            <w:vMerge w:val="continue"/>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applications or registrations, and</w:t>
            </w:r>
          </w:p>
        </w:tc>
        <w:tc>
          <w:tcPr>
            <w:tcW w:w="0" w:type="dxa"/>
            <w:vAlign w:val="bottom"/>
          </w:tcPr>
          <w:p>
            <w:pPr>
              <w:spacing w:after="0"/>
              <w:rPr>
                <w:sz w:val="1"/>
                <w:szCs w:val="1"/>
                <w:color w:val="auto"/>
              </w:rPr>
            </w:pPr>
          </w:p>
        </w:tc>
      </w:tr>
      <w:tr>
        <w:trPr>
          <w:trHeight w:val="250"/>
        </w:trPr>
        <w:tc>
          <w:tcPr>
            <w:tcW w:w="2900" w:type="dxa"/>
            <w:vAlign w:val="bottom"/>
            <w:tcBorders>
              <w:left w:val="single" w:sz="8" w:color="00000A"/>
              <w:right w:val="single" w:sz="8" w:color="00000A"/>
            </w:tcBorders>
          </w:tcPr>
          <w:p>
            <w:pPr>
              <w:spacing w:after="0"/>
              <w:rPr>
                <w:sz w:val="21"/>
                <w:szCs w:val="21"/>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rPr>
              <w:t xml:space="preserve">(o)  </w:t>
            </w:r>
            <w:r>
              <w:rPr>
                <w:rFonts w:ascii="Arial" w:cs="Arial" w:eastAsia="Arial" w:hAnsi="Arial"/>
                <w:sz w:val="18"/>
                <w:szCs w:val="18"/>
                <w:color w:val="000000"/>
              </w:rPr>
              <w:t>supplements to the Perfection Certificate, if any.</w:t>
            </w:r>
          </w:p>
        </w:tc>
        <w:tc>
          <w:tcPr>
            <w:tcW w:w="0" w:type="dxa"/>
            <w:vAlign w:val="bottom"/>
          </w:tcPr>
          <w:p>
            <w:pPr>
              <w:spacing w:after="0"/>
              <w:rPr>
                <w:sz w:val="1"/>
                <w:szCs w:val="1"/>
                <w:color w:val="auto"/>
              </w:rPr>
            </w:pPr>
          </w:p>
        </w:tc>
      </w:tr>
      <w:tr>
        <w:trPr>
          <w:trHeight w:val="23"/>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360" w:type="dxa"/>
            <w:vAlign w:val="bottom"/>
            <w:tcBorders>
              <w:bottom w:val="single" w:sz="8" w:color="00000A"/>
            </w:tcBorders>
          </w:tcPr>
          <w:p>
            <w:pPr>
              <w:spacing w:after="0"/>
              <w:rPr>
                <w:sz w:val="2"/>
                <w:szCs w:val="2"/>
                <w:color w:val="auto"/>
              </w:rPr>
            </w:pPr>
          </w:p>
        </w:tc>
        <w:tc>
          <w:tcPr>
            <w:tcW w:w="81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19" w:right="219" w:bottom="1440" w:gutter="0" w:footer="0" w:header="0"/>
        </w:sectPr>
      </w:pPr>
    </w:p>
    <w:bookmarkStart w:id="213" w:name="page214"/>
    <w:bookmarkEnd w:id="2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900" w:type="dxa"/>
            <w:vAlign w:val="bottom"/>
            <w:tcBorders>
              <w:top w:val="single" w:sz="8" w:color="00000A"/>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rPr>
              <w:t>Semi-annually</w:t>
            </w:r>
          </w:p>
        </w:tc>
        <w:tc>
          <w:tcPr>
            <w:tcW w:w="854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20"/>
                <w:szCs w:val="20"/>
                <w:color w:val="010000"/>
                <w:w w:val="94"/>
              </w:rPr>
              <w:t xml:space="preserve">(p)  </w:t>
            </w:r>
            <w:r>
              <w:rPr>
                <w:rFonts w:ascii="Arial" w:cs="Arial" w:eastAsia="Arial" w:hAnsi="Arial"/>
                <w:sz w:val="18"/>
                <w:szCs w:val="18"/>
                <w:color w:val="000000"/>
                <w:w w:val="94"/>
              </w:rPr>
              <w:t>copies of each material amendment or modification of any Material Contract, if any; provided that documents</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vMerge w:val="continue"/>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3"/>
              </w:rPr>
              <w:t>required to be delivered pursuant to (p) shall be deemed to have been furnished to Agent on the date on which the</w:t>
            </w:r>
          </w:p>
        </w:tc>
        <w:tc>
          <w:tcPr>
            <w:tcW w:w="0" w:type="dxa"/>
            <w:vAlign w:val="bottom"/>
          </w:tcPr>
          <w:p>
            <w:pPr>
              <w:spacing w:after="0"/>
              <w:rPr>
                <w:sz w:val="1"/>
                <w:szCs w:val="1"/>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w w:val="92"/>
              </w:rPr>
              <w:t>Borrower files such documents with the SEC and such documents are publicly available on the SEC’s EDGAR filing</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tcPr>
          <w:p>
            <w:pPr>
              <w:spacing w:after="0"/>
              <w:rPr>
                <w:sz w:val="20"/>
                <w:szCs w:val="20"/>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system or any successor thereto.</w:t>
            </w:r>
          </w:p>
        </w:tc>
        <w:tc>
          <w:tcPr>
            <w:tcW w:w="0" w:type="dxa"/>
            <w:vAlign w:val="bottom"/>
          </w:tcPr>
          <w:p>
            <w:pPr>
              <w:spacing w:after="0"/>
              <w:rPr>
                <w:sz w:val="1"/>
                <w:szCs w:val="1"/>
                <w:color w:val="auto"/>
              </w:rPr>
            </w:pPr>
          </w:p>
        </w:tc>
      </w:tr>
      <w:tr>
        <w:trPr>
          <w:trHeight w:val="27"/>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8540" w:type="dxa"/>
            <w:vAlign w:val="bottom"/>
            <w:tcBorders>
              <w:bottom w:val="single" w:sz="8" w:color="00000A"/>
              <w:right w:val="single" w:sz="8" w:color="00000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0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rPr>
              <w:t>Annually</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rPr>
              <w:t xml:space="preserve">(q)  </w:t>
            </w:r>
            <w:r>
              <w:rPr>
                <w:rFonts w:ascii="Arial" w:cs="Arial" w:eastAsia="Arial" w:hAnsi="Arial"/>
                <w:sz w:val="18"/>
                <w:szCs w:val="18"/>
                <w:color w:val="000000"/>
              </w:rPr>
              <w:t>a detailed list of Borrower’s and its Subsidiaries’ customers, with address and contact information.</w:t>
            </w:r>
          </w:p>
        </w:tc>
        <w:tc>
          <w:tcPr>
            <w:tcW w:w="0" w:type="dxa"/>
            <w:vAlign w:val="bottom"/>
          </w:tcPr>
          <w:p>
            <w:pPr>
              <w:spacing w:after="0"/>
              <w:rPr>
                <w:sz w:val="1"/>
                <w:szCs w:val="1"/>
                <w:color w:val="auto"/>
              </w:rPr>
            </w:pPr>
          </w:p>
        </w:tc>
      </w:tr>
      <w:tr>
        <w:trPr>
          <w:trHeight w:val="172"/>
        </w:trPr>
        <w:tc>
          <w:tcPr>
            <w:tcW w:w="2900" w:type="dxa"/>
            <w:vAlign w:val="bottom"/>
            <w:tcBorders>
              <w:left w:val="single" w:sz="8" w:color="00000A"/>
              <w:right w:val="single" w:sz="8" w:color="00000A"/>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81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0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rPr>
              <w:t>Promptly after the filing thereof</w:t>
            </w:r>
          </w:p>
        </w:tc>
        <w:tc>
          <w:tcPr>
            <w:tcW w:w="400" w:type="dxa"/>
            <w:vAlign w:val="bottom"/>
          </w:tcPr>
          <w:p>
            <w:pPr>
              <w:ind w:left="20"/>
              <w:spacing w:after="0"/>
              <w:rPr>
                <w:sz w:val="20"/>
                <w:szCs w:val="20"/>
                <w:color w:val="auto"/>
              </w:rPr>
            </w:pPr>
            <w:r>
              <w:rPr>
                <w:rFonts w:ascii="Arial" w:cs="Arial" w:eastAsia="Arial" w:hAnsi="Arial"/>
                <w:sz w:val="20"/>
                <w:szCs w:val="20"/>
                <w:color w:val="010000"/>
              </w:rPr>
              <w:t>(r)</w:t>
            </w:r>
          </w:p>
        </w:tc>
        <w:tc>
          <w:tcPr>
            <w:tcW w:w="8140" w:type="dxa"/>
            <w:vAlign w:val="bottom"/>
            <w:tcBorders>
              <w:right w:val="single" w:sz="8" w:color="00000A"/>
            </w:tcBorders>
          </w:tcPr>
          <w:p>
            <w:pPr>
              <w:ind w:left="180"/>
              <w:spacing w:after="0"/>
              <w:rPr>
                <w:sz w:val="20"/>
                <w:szCs w:val="20"/>
                <w:color w:val="auto"/>
              </w:rPr>
            </w:pPr>
            <w:r>
              <w:rPr>
                <w:rFonts w:ascii="Arial" w:cs="Arial" w:eastAsia="Arial" w:hAnsi="Arial"/>
                <w:sz w:val="18"/>
                <w:szCs w:val="18"/>
                <w:color w:val="auto"/>
              </w:rPr>
              <w:t>written notice of any Copyright (as defined in the Guaranty and Security Agreement) applications or</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vMerge w:val="continue"/>
          </w:tcPr>
          <w:p>
            <w:pPr>
              <w:spacing w:after="0"/>
              <w:rPr>
                <w:sz w:val="20"/>
                <w:szCs w:val="20"/>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registrations.</w:t>
            </w:r>
          </w:p>
        </w:tc>
        <w:tc>
          <w:tcPr>
            <w:tcW w:w="0" w:type="dxa"/>
            <w:vAlign w:val="bottom"/>
          </w:tcPr>
          <w:p>
            <w:pPr>
              <w:spacing w:after="0"/>
              <w:rPr>
                <w:sz w:val="1"/>
                <w:szCs w:val="1"/>
                <w:color w:val="auto"/>
              </w:rPr>
            </w:pPr>
          </w:p>
        </w:tc>
      </w:tr>
      <w:tr>
        <w:trPr>
          <w:trHeight w:val="27"/>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8540" w:type="dxa"/>
            <w:vAlign w:val="bottom"/>
            <w:tcBorders>
              <w:bottom w:val="single" w:sz="8" w:color="00000A"/>
              <w:right w:val="single" w:sz="8" w:color="00000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8"/>
                <w:szCs w:val="18"/>
                <w:color w:val="auto"/>
              </w:rPr>
              <w:t>Upon reasonable request by Agent</w:t>
            </w: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w w:val="93"/>
              </w:rPr>
              <w:t xml:space="preserve">(s)  </w:t>
            </w:r>
            <w:r>
              <w:rPr>
                <w:rFonts w:ascii="Arial" w:cs="Arial" w:eastAsia="Arial" w:hAnsi="Arial"/>
                <w:sz w:val="18"/>
                <w:szCs w:val="18"/>
                <w:color w:val="000000"/>
                <w:w w:val="93"/>
              </w:rPr>
              <w:t>copies of purchase orders and invoices for Inventory and Equipment acquired by Borrower or its Subsidiaries,</w:t>
            </w:r>
          </w:p>
        </w:tc>
        <w:tc>
          <w:tcPr>
            <w:tcW w:w="0" w:type="dxa"/>
            <w:vAlign w:val="bottom"/>
          </w:tcPr>
          <w:p>
            <w:pPr>
              <w:spacing w:after="0"/>
              <w:rPr>
                <w:sz w:val="1"/>
                <w:szCs w:val="1"/>
                <w:color w:val="auto"/>
              </w:rPr>
            </w:pPr>
          </w:p>
        </w:tc>
      </w:tr>
      <w:tr>
        <w:trPr>
          <w:trHeight w:val="230"/>
        </w:trPr>
        <w:tc>
          <w:tcPr>
            <w:tcW w:w="2900" w:type="dxa"/>
            <w:vAlign w:val="bottom"/>
            <w:tcBorders>
              <w:left w:val="single" w:sz="8" w:color="00000A"/>
              <w:right w:val="single" w:sz="8" w:color="00000A"/>
            </w:tcBorders>
            <w:vMerge w:val="continue"/>
          </w:tcPr>
          <w:p>
            <w:pPr>
              <w:spacing w:after="0"/>
              <w:rPr>
                <w:sz w:val="19"/>
                <w:szCs w:val="19"/>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rPr>
              <w:t xml:space="preserve">(t)  </w:t>
            </w:r>
            <w:r>
              <w:rPr>
                <w:rFonts w:ascii="Arial" w:cs="Arial" w:eastAsia="Arial" w:hAnsi="Arial"/>
                <w:sz w:val="18"/>
                <w:szCs w:val="18"/>
                <w:color w:val="000000"/>
              </w:rPr>
              <w:t>other reports as to the Collateral or the financial condition of Borrower and its Subsidiaries, and</w:t>
            </w:r>
          </w:p>
        </w:tc>
        <w:tc>
          <w:tcPr>
            <w:tcW w:w="0" w:type="dxa"/>
            <w:vAlign w:val="bottom"/>
          </w:tcPr>
          <w:p>
            <w:pPr>
              <w:spacing w:after="0"/>
              <w:rPr>
                <w:sz w:val="1"/>
                <w:szCs w:val="1"/>
                <w:color w:val="auto"/>
              </w:rPr>
            </w:pPr>
          </w:p>
        </w:tc>
      </w:tr>
      <w:tr>
        <w:trPr>
          <w:trHeight w:val="250"/>
        </w:trPr>
        <w:tc>
          <w:tcPr>
            <w:tcW w:w="2900" w:type="dxa"/>
            <w:vAlign w:val="bottom"/>
            <w:tcBorders>
              <w:left w:val="single" w:sz="8" w:color="00000A"/>
              <w:right w:val="single" w:sz="8" w:color="00000A"/>
            </w:tcBorders>
          </w:tcPr>
          <w:p>
            <w:pPr>
              <w:spacing w:after="0"/>
              <w:rPr>
                <w:sz w:val="21"/>
                <w:szCs w:val="21"/>
                <w:color w:val="auto"/>
              </w:rPr>
            </w:pPr>
          </w:p>
        </w:tc>
        <w:tc>
          <w:tcPr>
            <w:tcW w:w="8540" w:type="dxa"/>
            <w:vAlign w:val="bottom"/>
            <w:tcBorders>
              <w:right w:val="single" w:sz="8" w:color="00000A"/>
            </w:tcBorders>
            <w:gridSpan w:val="2"/>
          </w:tcPr>
          <w:p>
            <w:pPr>
              <w:ind w:left="20"/>
              <w:spacing w:after="0"/>
              <w:rPr>
                <w:sz w:val="20"/>
                <w:szCs w:val="20"/>
                <w:color w:val="auto"/>
              </w:rPr>
            </w:pPr>
            <w:r>
              <w:rPr>
                <w:rFonts w:ascii="Arial" w:cs="Arial" w:eastAsia="Arial" w:hAnsi="Arial"/>
                <w:sz w:val="20"/>
                <w:szCs w:val="20"/>
                <w:color w:val="010000"/>
              </w:rPr>
              <w:t xml:space="preserve">(u)  </w:t>
            </w:r>
            <w:r>
              <w:rPr>
                <w:rFonts w:ascii="Arial" w:cs="Arial" w:eastAsia="Arial" w:hAnsi="Arial"/>
                <w:sz w:val="18"/>
                <w:szCs w:val="18"/>
                <w:color w:val="000000"/>
              </w:rPr>
              <w:t>a report regarding Borrower’s and its Subsidiaries’ accrued, but unpaid, ad valorem taxes.</w:t>
            </w:r>
          </w:p>
        </w:tc>
        <w:tc>
          <w:tcPr>
            <w:tcW w:w="0" w:type="dxa"/>
            <w:vAlign w:val="bottom"/>
          </w:tcPr>
          <w:p>
            <w:pPr>
              <w:spacing w:after="0"/>
              <w:rPr>
                <w:sz w:val="1"/>
                <w:szCs w:val="1"/>
                <w:color w:val="auto"/>
              </w:rPr>
            </w:pPr>
          </w:p>
        </w:tc>
      </w:tr>
      <w:tr>
        <w:trPr>
          <w:trHeight w:val="23"/>
        </w:trPr>
        <w:tc>
          <w:tcPr>
            <w:tcW w:w="2900" w:type="dxa"/>
            <w:vAlign w:val="bottom"/>
            <w:tcBorders>
              <w:left w:val="single" w:sz="8" w:color="00000A"/>
              <w:bottom w:val="single" w:sz="8" w:color="00000A"/>
              <w:right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81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Borders>
              <w:left w:val="single" w:sz="8" w:color="00000A"/>
              <w:bottom w:val="single" w:sz="8" w:color="00000A"/>
            </w:tcBorders>
          </w:tcPr>
          <w:p>
            <w:pPr>
              <w:spacing w:after="0" w:line="20" w:lineRule="exact"/>
              <w:rPr>
                <w:sz w:val="1"/>
                <w:szCs w:val="1"/>
                <w:color w:val="auto"/>
              </w:rPr>
            </w:pPr>
          </w:p>
        </w:tc>
        <w:tc>
          <w:tcPr>
            <w:tcW w:w="400" w:type="dxa"/>
            <w:vAlign w:val="bottom"/>
            <w:tcBorders>
              <w:bottom w:val="single" w:sz="8" w:color="00000A"/>
            </w:tcBorders>
          </w:tcPr>
          <w:p>
            <w:pPr>
              <w:spacing w:after="0" w:line="20" w:lineRule="exact"/>
              <w:rPr>
                <w:sz w:val="1"/>
                <w:szCs w:val="1"/>
                <w:color w:val="auto"/>
              </w:rPr>
            </w:pPr>
          </w:p>
        </w:tc>
        <w:tc>
          <w:tcPr>
            <w:tcW w:w="814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957"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7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operations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(19,309)</w:t>
            </w: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Add: Total fixed charges (per below)</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1,432</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earnings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(17,877)</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Interest incurred</w:t>
            </w: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357</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rPr>
              <w:t>Amortization of debt discount and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r>
      <w:tr>
        <w:trPr>
          <w:trHeight w:val="229"/>
        </w:trPr>
        <w:tc>
          <w:tcPr>
            <w:tcW w:w="4700" w:type="dxa"/>
            <w:vAlign w:val="bottom"/>
          </w:tcPr>
          <w:p>
            <w:pPr>
              <w:ind w:left="200"/>
              <w:spacing w:after="0"/>
              <w:rPr>
                <w:sz w:val="20"/>
                <w:szCs w:val="20"/>
                <w:color w:val="auto"/>
              </w:rPr>
            </w:pPr>
            <w:r>
              <w:rPr>
                <w:rFonts w:ascii="Arial" w:cs="Arial" w:eastAsia="Arial" w:hAnsi="Arial"/>
                <w:sz w:val="18"/>
                <w:szCs w:val="18"/>
                <w:color w:val="auto"/>
              </w:rPr>
              <w:t>Portion of rental expense representative of the interest</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factor</w:t>
            </w: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917</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Deficiency in the coverage of fixed charges by earnings(2)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(19,309)</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65"/>
        <w:spacing w:after="0"/>
        <w:tabs>
          <w:tab w:leader="none" w:pos="5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 each of the periods presented, earnings were not sufficient to cover fixed charges.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00" w:right="200" w:hanging="465"/>
        <w:spacing w:after="0" w:line="329" w:lineRule="auto"/>
        <w:tabs>
          <w:tab w:leader="none" w:pos="5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For purposes of these calculations, “earnings” consist of loss from operations before income taxes plus fixed charges. “Fixed charges” consist of interest expense and the estimated interest within rental expense. Interest expense resulting from the extinguishment of debt has been excluded from fixed charges.</w:t>
      </w:r>
    </w:p>
    <w:p>
      <w:pPr>
        <w:sectPr>
          <w:pgSz w:w="11900" w:h="16838" w:orient="portrait"/>
          <w:cols w:equalWidth="0" w:num="1">
            <w:col w:w="11420"/>
          </w:cols>
          <w:pgMar w:left="240" w:top="364"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Australia Pty. Ltd., an Australian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Canada, Inc., a Canadian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S.A.S., a French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S.r.l., an Italian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UK Limited, a United Kingdom corporation.</w:t>
      </w:r>
    </w:p>
    <w:p>
      <w:pPr>
        <w:sectPr>
          <w:pgSz w:w="11900" w:h="16838" w:orient="portrait"/>
          <w:cols w:equalWidth="0" w:num="1">
            <w:col w:w="11380"/>
          </w:cols>
          <w:pgMar w:left="280" w:top="580"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Nos. 333-209315 and 333-195694 on Form S-3 and Registration Statement Nos. 333-202630, 333-194749, 333-187057, and 333-181382 on Form S-8 of our report dated March 1, 2016, relating to the consolidated financial statements of Enphase Energy, Inc. and subsidiaries appearing in this Annual Report on Form 10-K of Enphase Energy, Inc. for the year ended December 31, 2015.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ectPr>
          <w:pgSz w:w="11900" w:h="16838" w:orient="portrait"/>
          <w:cols w:equalWidth="0" w:num="1">
            <w:col w:w="11420"/>
          </w:cols>
          <w:pgMar w:left="240" w:top="58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220" w:hanging="172"/>
        <w:spacing w:after="0" w:line="264"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2016</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71" w:lineRule="exact"/>
        <w:rPr>
          <w:sz w:val="20"/>
          <w:szCs w:val="20"/>
          <w:color w:val="auto"/>
        </w:rPr>
      </w:pPr>
    </w:p>
    <w:p>
      <w:pPr>
        <w:ind w:left="180" w:hanging="172"/>
        <w:spacing w:after="0"/>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220" w:hanging="172"/>
        <w:spacing w:after="0" w:line="264" w:lineRule="auto"/>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2016</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knowledge:</w:t>
      </w:r>
    </w:p>
    <w:p>
      <w:pPr>
        <w:spacing w:after="0" w:line="93" w:lineRule="exact"/>
        <w:rPr>
          <w:sz w:val="20"/>
          <w:szCs w:val="20"/>
          <w:color w:val="auto"/>
        </w:rPr>
      </w:pPr>
    </w:p>
    <w:p>
      <w:pPr>
        <w:ind w:left="180" w:right="220" w:hanging="172"/>
        <w:spacing w:after="0" w:line="277" w:lineRule="auto"/>
        <w:tabs>
          <w:tab w:leader="none" w:pos="1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annual period ended December 31, 2015, to which this Certification is attached as Exhibit 32.1 (the "Report"), fully complies with the requirements of Section 13(a) or Section 15(d) of the Exchange Act; and</w:t>
      </w:r>
    </w:p>
    <w:p>
      <w:pPr>
        <w:spacing w:after="0" w:line="116" w:lineRule="exact"/>
        <w:rPr>
          <w:rFonts w:ascii="Arial" w:cs="Arial" w:eastAsia="Arial" w:hAnsi="Arial"/>
          <w:sz w:val="18"/>
          <w:szCs w:val="18"/>
          <w:b w:val="1"/>
          <w:bCs w:val="1"/>
          <w:color w:val="auto"/>
        </w:rPr>
      </w:pPr>
    </w:p>
    <w:p>
      <w:pPr>
        <w:ind w:left="180" w:hanging="172"/>
        <w:spacing w:after="0"/>
        <w:tabs>
          <w:tab w:leader="none" w:pos="180" w:val="left"/>
        </w:tabs>
        <w:numPr>
          <w:ilvl w:val="0"/>
          <w:numId w:val="212"/>
        </w:numPr>
        <w:rPr>
          <w:rFonts w:ascii="Arial" w:cs="Arial" w:eastAsia="Arial" w:hAnsi="Arial"/>
          <w:sz w:val="17"/>
          <w:szCs w:val="17"/>
          <w:b w:val="1"/>
          <w:bCs w:val="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1st day of March, 2016.</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22"/>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x"/>
      <w:numFmt w:val="bullet"/>
      <w:start w:val="1"/>
    </w:lvl>
  </w:abstractNum>
  <w:abstractNum w:abstractNumId="1">
    <w:nsid w:val="1D545C4D"/>
    <w:multiLevelType w:val="hybridMultilevel"/>
    <w:lvl w:ilvl="0">
      <w:lvlJc w:val="left"/>
      <w:lvlText w:val="o"/>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1)"/>
      <w:numFmt w:val="decimal"/>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1."/>
      <w:numFmt w:val="decimal"/>
      <w:start w:val="1"/>
    </w:lvl>
  </w:abstractNum>
  <w:abstractNum w:abstractNumId="31">
    <w:nsid w:val="2708C9AF"/>
    <w:multiLevelType w:val="hybridMultilevel"/>
    <w:lvl w:ilvl="0">
      <w:lvlJc w:val="left"/>
      <w:lvlText w:val="%1."/>
      <w:numFmt w:val="decimal"/>
      <w:start w:val="2"/>
    </w:lvl>
  </w:abstractNum>
  <w:abstractNum w:abstractNumId="32">
    <w:nsid w:val="5B25ACE2"/>
    <w:multiLevelType w:val="hybridMultilevel"/>
    <w:lvl w:ilvl="0">
      <w:lvlJc w:val="left"/>
      <w:lvlText w:val="%1."/>
      <w:numFmt w:val="decimal"/>
      <w:start w:val="3"/>
    </w:lvl>
  </w:abstractNum>
  <w:abstractNum w:abstractNumId="33">
    <w:nsid w:val="175DFCF0"/>
    <w:multiLevelType w:val="hybridMultilevel"/>
    <w:lvl w:ilvl="0">
      <w:lvlJc w:val="left"/>
      <w:lvlText w:val="%1."/>
      <w:numFmt w:val="decimal"/>
      <w:start w:val="4"/>
    </w:lvl>
  </w:abstractNum>
  <w:abstractNum w:abstractNumId="34">
    <w:nsid w:val="4F97E3E4"/>
    <w:multiLevelType w:val="hybridMultilevel"/>
    <w:lvl w:ilvl="0">
      <w:lvlJc w:val="left"/>
      <w:lvlText w:val="%1."/>
      <w:numFmt w:val="decimal"/>
      <w:start w:val="5"/>
    </w:lvl>
  </w:abstractNum>
  <w:abstractNum w:abstractNumId="35">
    <w:nsid w:val="53B0A9E"/>
    <w:multiLevelType w:val="hybridMultilevel"/>
    <w:lvl w:ilvl="0">
      <w:lvlJc w:val="left"/>
      <w:lvlText w:val="%1."/>
      <w:numFmt w:val="decimal"/>
      <w:start w:val="6"/>
    </w:lvl>
  </w:abstractNum>
  <w:abstractNum w:abstractNumId="36">
    <w:nsid w:val="34FD6B4F"/>
    <w:multiLevelType w:val="hybridMultilevel"/>
    <w:lvl w:ilvl="0">
      <w:lvlJc w:val="left"/>
      <w:lvlText w:val="%1."/>
      <w:numFmt w:val="decimal"/>
      <w:start w:val="7"/>
    </w:lvl>
  </w:abstractNum>
  <w:abstractNum w:abstractNumId="37">
    <w:nsid w:val="5915FF32"/>
    <w:multiLevelType w:val="hybridMultilevel"/>
    <w:lvl w:ilvl="0">
      <w:lvlJc w:val="left"/>
      <w:lvlText w:val="%1."/>
      <w:numFmt w:val="decimal"/>
      <w:start w:val="9"/>
    </w:lvl>
  </w:abstractNum>
  <w:abstractNum w:abstractNumId="38">
    <w:nsid w:val="56438D15"/>
    <w:multiLevelType w:val="hybridMultilevel"/>
    <w:lvl w:ilvl="0">
      <w:lvlJc w:val="left"/>
      <w:lvlText w:val="%1."/>
      <w:numFmt w:val="decimal"/>
      <w:start w:val="10"/>
    </w:lvl>
  </w:abstractNum>
  <w:abstractNum w:abstractNumId="39">
    <w:nsid w:val="519E3149"/>
    <w:multiLevelType w:val="hybridMultilevel"/>
    <w:lvl w:ilvl="0">
      <w:lvlJc w:val="left"/>
      <w:lvlText w:val="%1."/>
      <w:numFmt w:val="decimal"/>
      <w:start w:val="11"/>
    </w:lvl>
  </w:abstractNum>
  <w:abstractNum w:abstractNumId="40">
    <w:nsid w:val="2C6E4AFD"/>
    <w:multiLevelType w:val="hybridMultilevel"/>
    <w:lvl w:ilvl="0">
      <w:lvlJc w:val="left"/>
      <w:lvlText w:val="%1."/>
      <w:numFmt w:val="decimal"/>
      <w:start w:val="14"/>
    </w:lvl>
  </w:abstractNum>
  <w:abstractNum w:abstractNumId="41">
    <w:nsid w:val="17A1B582"/>
    <w:multiLevelType w:val="hybridMultilevel"/>
    <w:lvl w:ilvl="0">
      <w:lvlJc w:val="left"/>
      <w:lvlText w:val="%1."/>
      <w:numFmt w:val="decimal"/>
      <w:start w:val="15"/>
    </w:lvl>
  </w:abstractNum>
  <w:abstractNum w:abstractNumId="42">
    <w:nsid w:val="4DF72E4E"/>
    <w:multiLevelType w:val="hybridMultilevel"/>
    <w:lvl w:ilvl="0">
      <w:lvlJc w:val="left"/>
      <w:lvlText w:val="%1."/>
      <w:numFmt w:val="decimal"/>
      <w:start w:val="16"/>
    </w:lvl>
  </w:abstractNum>
  <w:abstractNum w:abstractNumId="43">
    <w:nsid w:val="5046B5A9"/>
    <w:multiLevelType w:val="hybridMultilevel"/>
    <w:lvl w:ilvl="0">
      <w:lvlJc w:val="left"/>
      <w:lvlText w:val="%1."/>
      <w:numFmt w:val="decimal"/>
      <w:start w:val="17"/>
    </w:lvl>
  </w:abstractNum>
  <w:abstractNum w:abstractNumId="44">
    <w:nsid w:val="5D888A08"/>
    <w:multiLevelType w:val="hybridMultilevel"/>
    <w:lvl w:ilvl="0">
      <w:lvlJc w:val="left"/>
      <w:lvlText w:val="%1."/>
      <w:numFmt w:val="decimal"/>
      <w:start w:val="1"/>
    </w:lvl>
  </w:abstractNum>
  <w:abstractNum w:abstractNumId="45">
    <w:nsid w:val="2A082C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6">
    <w:nsid w:val="5EC6AFD4"/>
    <w:multiLevelType w:val="hybridMultilevel"/>
    <w:lvl w:ilvl="0">
      <w:lvlJc w:val="left"/>
      <w:lvlText w:val="(%1)"/>
      <w:numFmt w:val="upperLetter"/>
      <w:start w:val="2"/>
    </w:lvl>
  </w:abstractNum>
  <w:abstractNum w:abstractNumId="47">
    <w:nsid w:val="19E21BB2"/>
    <w:multiLevelType w:val="hybridMultilevel"/>
    <w:lvl w:ilvl="0">
      <w:lvlJc w:val="left"/>
      <w:lvlText w:val="(%1)"/>
      <w:numFmt w:val="lowerLetter"/>
      <w:start w:val="25"/>
    </w:lvl>
    <w:lvl w:ilvl="1">
      <w:lvlJc w:val="left"/>
      <w:lvlText w:val="(%2)"/>
      <w:numFmt w:val="lowerLetter"/>
      <w:start w:val="2"/>
    </w:lvl>
  </w:abstractNum>
  <w:abstractNum w:abstractNumId="48">
    <w:nsid w:val="75E0858A"/>
    <w:multiLevelType w:val="hybridMultilevel"/>
    <w:lvl w:ilvl="0">
      <w:lvlJc w:val="left"/>
      <w:lvlText w:val="(%1)"/>
      <w:numFmt w:val="lowerLetter"/>
      <w:start w:val="1"/>
    </w:lvl>
  </w:abstractNum>
  <w:abstractNum w:abstractNumId="49">
    <w:nsid w:val="57A61A29"/>
    <w:multiLevelType w:val="hybridMultilevel"/>
    <w:lvl w:ilvl="0">
      <w:lvlJc w:val="left"/>
      <w:lvlText w:val="(%1)"/>
      <w:numFmt w:val="lowerLetter"/>
      <w:start w:val="2"/>
    </w:lvl>
    <w:lvl w:ilvl="1">
      <w:lvlJc w:val="left"/>
      <w:lvlText w:val="(%2)"/>
      <w:numFmt w:val="lowerLetter"/>
      <w:start w:val="9"/>
    </w:lvl>
  </w:abstractNum>
  <w:abstractNum w:abstractNumId="50">
    <w:nsid w:val="5399C654"/>
    <w:multiLevelType w:val="hybridMultilevel"/>
    <w:lvl w:ilvl="0">
      <w:lvlJc w:val="left"/>
      <w:lvlText w:val="%1"/>
      <w:numFmt w:val="lowerLetter"/>
      <w:start w:val="1"/>
    </w:lvl>
    <w:lvl w:ilvl="1">
      <w:lvlJc w:val="left"/>
      <w:lvlText w:val="(%2)"/>
      <w:numFmt w:val="lowerLetter"/>
      <w:start w:val="35"/>
    </w:lvl>
  </w:abstractNum>
  <w:abstractNum w:abstractNumId="51">
    <w:nsid w:val="20EE1348"/>
    <w:multiLevelType w:val="hybridMultilevel"/>
    <w:lvl w:ilvl="0">
      <w:lvlJc w:val="left"/>
      <w:lvlText w:val="(%1)"/>
      <w:numFmt w:val="lowerLetter"/>
      <w:start w:val="4"/>
    </w:lvl>
    <w:lvl w:ilvl="1">
      <w:lvlJc w:val="left"/>
      <w:lvlText w:val="(%2)"/>
      <w:numFmt w:val="lowerLetter"/>
      <w:start w:val="9"/>
    </w:lvl>
  </w:abstractNum>
  <w:abstractNum w:abstractNumId="52">
    <w:nsid w:val="4427069A"/>
    <w:multiLevelType w:val="hybridMultilevel"/>
    <w:lvl w:ilvl="0">
      <w:lvlJc w:val="left"/>
      <w:lvlText w:val="(%1)"/>
      <w:numFmt w:val="lowerRoman"/>
      <w:start w:val="2"/>
    </w:lvl>
  </w:abstractNum>
  <w:abstractNum w:abstractNumId="53">
    <w:nsid w:val="B37E80A"/>
    <w:multiLevelType w:val="hybridMultilevel"/>
    <w:lvl w:ilvl="0">
      <w:lvlJc w:val="left"/>
      <w:lvlText w:val="%1"/>
      <w:numFmt w:val="lowerLetter"/>
      <w:start w:val="1"/>
    </w:lvl>
    <w:lvl w:ilvl="1">
      <w:lvlJc w:val="left"/>
      <w:lvlText w:val="(%2)"/>
      <w:numFmt w:val="lowerRoman"/>
      <w:start w:val="3"/>
    </w:lvl>
  </w:abstractNum>
  <w:abstractNum w:abstractNumId="54">
    <w:nsid w:val="2157F6BC"/>
    <w:multiLevelType w:val="hybridMultilevel"/>
    <w:lvl w:ilvl="0">
      <w:lvlJc w:val="left"/>
      <w:lvlText w:val="(%1)"/>
      <w:numFmt w:val="lowerLetter"/>
      <w:start w:val="5"/>
    </w:lvl>
    <w:lvl w:ilvl="1">
      <w:lvlJc w:val="left"/>
      <w:lvlText w:val="(%2)"/>
      <w:numFmt w:val="lowerRoman"/>
      <w:start w:val="1"/>
    </w:lvl>
  </w:abstractNum>
  <w:abstractNum w:abstractNumId="55">
    <w:nsid w:val="704E1DD5"/>
    <w:multiLevelType w:val="hybridMultilevel"/>
    <w:lvl w:ilvl="0">
      <w:lvlJc w:val="left"/>
      <w:lvlText w:val="(%1)"/>
      <w:numFmt w:val="lowerRoman"/>
      <w:start w:val="2"/>
    </w:lvl>
  </w:abstractNum>
  <w:abstractNum w:abstractNumId="56">
    <w:nsid w:val="57D2F10E"/>
    <w:multiLevelType w:val="hybridMultilevel"/>
    <w:lvl w:ilvl="0">
      <w:lvlJc w:val="left"/>
      <w:lvlText w:val="%1"/>
      <w:numFmt w:val="lowerLetter"/>
      <w:start w:val="1"/>
    </w:lvl>
    <w:lvl w:ilvl="1">
      <w:lvlJc w:val="left"/>
      <w:lvlText w:val="(%2)"/>
      <w:numFmt w:val="lowerRoman"/>
      <w:start w:val="4"/>
    </w:lvl>
  </w:abstractNum>
  <w:abstractNum w:abstractNumId="57">
    <w:nsid w:val="BFFAE18"/>
    <w:multiLevelType w:val="hybridMultilevel"/>
    <w:lvl w:ilvl="0">
      <w:lvlJc w:val="left"/>
      <w:lvlText w:val="(%1)"/>
      <w:numFmt w:val="lowerLetter"/>
      <w:start w:val="6"/>
    </w:lvl>
    <w:lvl w:ilvl="1">
      <w:lvlJc w:val="left"/>
      <w:lvlText w:val="(%2)"/>
      <w:numFmt w:val="lowerRoman"/>
      <w:start w:val="1"/>
    </w:lvl>
  </w:abstractNum>
  <w:abstractNum w:abstractNumId="58">
    <w:nsid w:val="E3E47A8"/>
    <w:multiLevelType w:val="hybridMultilevel"/>
    <w:lvl w:ilvl="0">
      <w:lvlJc w:val="left"/>
      <w:lvlText w:val="(%1)"/>
      <w:numFmt w:val="lowerRoman"/>
      <w:start w:val="2"/>
    </w:lvl>
    <w:lvl w:ilvl="1">
      <w:lvlJc w:val="left"/>
      <w:lvlText w:val="(%2)"/>
      <w:numFmt w:val="upperLetter"/>
      <w:start w:val="1"/>
    </w:lvl>
  </w:abstractNum>
  <w:abstractNum w:abstractNumId="59">
    <w:nsid w:val="2E48F044"/>
    <w:multiLevelType w:val="hybridMultilevel"/>
    <w:lvl w:ilvl="0">
      <w:lvlJc w:val="left"/>
      <w:lvlText w:val="(%1)"/>
      <w:numFmt w:val="upperLetter"/>
      <w:start w:val="5"/>
    </w:lvl>
  </w:abstractNum>
  <w:abstractNum w:abstractNumId="60">
    <w:nsid w:val="49D0FEAC"/>
    <w:multiLevelType w:val="hybridMultilevel"/>
    <w:lvl w:ilvl="0">
      <w:lvlJc w:val="left"/>
      <w:lvlText w:val="%1"/>
      <w:numFmt w:val="lowerLetter"/>
      <w:start w:val="1"/>
    </w:lvl>
    <w:lvl w:ilvl="1">
      <w:lvlJc w:val="left"/>
      <w:lvlText w:val="(%2)"/>
      <w:numFmt w:val="lowerLetter"/>
      <w:start w:val="8"/>
    </w:lvl>
  </w:abstractNum>
  <w:abstractNum w:abstractNumId="61">
    <w:nsid w:val="4BEE5A5B"/>
    <w:multiLevelType w:val="hybridMultilevel"/>
    <w:lvl w:ilvl="0">
      <w:lvlJc w:val="left"/>
      <w:lvlText w:val="(%1)"/>
      <w:numFmt w:val="lowerLetter"/>
      <w:start w:val="35"/>
    </w:lvl>
    <w:lvl w:ilvl="1">
      <w:lvlJc w:val="left"/>
      <w:lvlText w:val="%2"/>
      <w:numFmt w:val="lowerLetter"/>
      <w:start w:val="1"/>
    </w:lvl>
  </w:abstractNum>
  <w:abstractNum w:abstractNumId="62">
    <w:nsid w:val="5551B9F3"/>
    <w:multiLevelType w:val="hybridMultilevel"/>
    <w:lvl w:ilvl="0">
      <w:lvlJc w:val="left"/>
      <w:lvlText w:val="(%1)"/>
      <w:numFmt w:val="lowerLetter"/>
      <w:start w:val="1"/>
    </w:lvl>
    <w:lvl w:ilvl="1">
      <w:lvlJc w:val="left"/>
      <w:lvlText w:val="(%2)"/>
      <w:numFmt w:val="lowerRoman"/>
      <w:start w:val="1"/>
    </w:lvl>
  </w:abstractNum>
  <w:abstractNum w:abstractNumId="63">
    <w:nsid w:val="24F6AB8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64">
    <w:nsid w:val="634C57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5">
    <w:nsid w:val="24E99DD7"/>
    <w:multiLevelType w:val="hybridMultilevel"/>
    <w:lvl w:ilvl="0">
      <w:lvlJc w:val="left"/>
      <w:lvlText w:val="(%1)"/>
      <w:numFmt w:val="upperLetter"/>
      <w:start w:val="7"/>
    </w:lvl>
  </w:abstractNum>
  <w:abstractNum w:abstractNumId="66">
    <w:nsid w:val="2A31B62D"/>
    <w:multiLevelType w:val="hybridMultilevel"/>
    <w:lvl w:ilvl="0">
      <w:lvlJc w:val="left"/>
      <w:lvlText w:val="(%1)"/>
      <w:numFmt w:val="upperLetter"/>
      <w:start w:val="10"/>
    </w:lvl>
    <w:lvl w:ilvl="1">
      <w:lvlJc w:val="left"/>
      <w:lvlText w:val="%2."/>
      <w:numFmt w:val="lowerRoman"/>
      <w:start w:val="1"/>
    </w:lvl>
  </w:abstractNum>
  <w:abstractNum w:abstractNumId="67">
    <w:nsid w:val="1849C29B"/>
    <w:multiLevelType w:val="hybridMultilevel"/>
    <w:lvl w:ilvl="0">
      <w:lvlJc w:val="left"/>
      <w:lvlText w:val="(%1)"/>
      <w:numFmt w:val="upperLetter"/>
      <w:start w:val="13"/>
    </w:lvl>
  </w:abstractNum>
  <w:abstractNum w:abstractNumId="68">
    <w:nsid w:val="7DFF9D09"/>
    <w:multiLevelType w:val="hybridMultilevel"/>
    <w:lvl w:ilvl="0">
      <w:lvlJc w:val="left"/>
      <w:lvlText w:val="%1"/>
      <w:numFmt w:val="lowerLetter"/>
      <w:start w:val="1"/>
    </w:lvl>
    <w:lvl w:ilvl="1">
      <w:lvlJc w:val="left"/>
      <w:lvlText w:val="(%2)"/>
      <w:numFmt w:val="lowerRoman"/>
      <w:start w:val="3"/>
    </w:lvl>
  </w:abstractNum>
  <w:abstractNum w:abstractNumId="69">
    <w:nsid w:val="754342"/>
    <w:multiLevelType w:val="hybridMultilevel"/>
    <w:lvl w:ilvl="0">
      <w:lvlJc w:val="left"/>
      <w:lvlText w:val="(%1)"/>
      <w:numFmt w:val="lowerLetter"/>
      <w:start w:val="3"/>
    </w:lvl>
    <w:lvl w:ilvl="1">
      <w:lvlJc w:val="left"/>
      <w:lvlText w:val="(%2)"/>
      <w:numFmt w:val="lowerRoman"/>
      <w:start w:val="1"/>
    </w:lvl>
  </w:abstractNum>
  <w:abstractNum w:abstractNumId="70">
    <w:nsid w:val="69E7F3E5"/>
    <w:multiLevelType w:val="hybridMultilevel"/>
    <w:lvl w:ilvl="0">
      <w:lvlJc w:val="left"/>
      <w:lvlText w:val="%1"/>
      <w:numFmt w:val="lowerLetter"/>
      <w:start w:val="1"/>
    </w:lvl>
    <w:lvl w:ilvl="1">
      <w:lvlJc w:val="left"/>
      <w:lvlText w:val="(%2)"/>
      <w:numFmt w:val="lowerRoman"/>
      <w:start w:val="2"/>
    </w:lvl>
  </w:abstractNum>
  <w:abstractNum w:abstractNumId="71">
    <w:nsid w:val="2A6DE806"/>
    <w:multiLevelType w:val="hybridMultilevel"/>
    <w:lvl w:ilvl="0">
      <w:lvlJc w:val="left"/>
      <w:lvlText w:val="(%1)"/>
      <w:numFmt w:val="lowerLetter"/>
      <w:start w:val="6"/>
    </w:lvl>
    <w:lvl w:ilvl="1">
      <w:lvlJc w:val="left"/>
      <w:lvlText w:val="%2"/>
      <w:numFmt w:val="lowerRoman"/>
      <w:start w:val="1"/>
    </w:lvl>
  </w:abstractNum>
  <w:abstractNum w:abstractNumId="72">
    <w:nsid w:val="1816F8C4"/>
    <w:multiLevelType w:val="hybridMultilevel"/>
    <w:lvl w:ilvl="0">
      <w:lvlJc w:val="left"/>
      <w:lvlText w:val="(%1)"/>
      <w:numFmt w:val="lowerLetter"/>
      <w:start w:val="1"/>
    </w:lvl>
  </w:abstractNum>
  <w:abstractNum w:abstractNumId="73">
    <w:nsid w:val="37DF2233"/>
    <w:multiLevelType w:val="hybridMultilevel"/>
    <w:lvl w:ilvl="0">
      <w:lvlJc w:val="left"/>
      <w:lvlText w:val="(%1)"/>
      <w:numFmt w:val="lowerLetter"/>
      <w:start w:val="1"/>
    </w:lvl>
  </w:abstractNum>
  <w:abstractNum w:abstractNumId="74">
    <w:nsid w:val="7AB49DAF"/>
    <w:multiLevelType w:val="hybridMultilevel"/>
    <w:lvl w:ilvl="0">
      <w:lvlJc w:val="left"/>
      <w:lvlText w:val="%1"/>
      <w:numFmt w:val="lowerLetter"/>
      <w:start w:val="1"/>
    </w:lvl>
    <w:lvl w:ilvl="1">
      <w:lvlJc w:val="left"/>
      <w:lvlText w:val="(%2)"/>
      <w:numFmt w:val="lowerRoman"/>
      <w:start w:val="1"/>
    </w:lvl>
  </w:abstractNum>
  <w:abstractNum w:abstractNumId="75">
    <w:nsid w:val="759F82CD"/>
    <w:multiLevelType w:val="hybridMultilevel"/>
    <w:lvl w:ilvl="0">
      <w:lvlJc w:val="left"/>
      <w:lvlText w:val="(%1)"/>
      <w:numFmt w:val="lowerLetter"/>
      <w:start w:val="2"/>
    </w:lvl>
    <w:lvl w:ilvl="1">
      <w:lvlJc w:val="left"/>
      <w:lvlText w:val="(%2)"/>
      <w:numFmt w:val="lowerRoman"/>
      <w:start w:val="1"/>
    </w:lvl>
  </w:abstractNum>
  <w:abstractNum w:abstractNumId="76">
    <w:nsid w:val="61E74EA3"/>
    <w:multiLevelType w:val="hybridMultilevel"/>
    <w:lvl w:ilvl="0">
      <w:lvlJc w:val="left"/>
      <w:lvlText w:val="(%1)"/>
      <w:numFmt w:val="lowerLetter"/>
      <w:start w:val="5"/>
    </w:lvl>
  </w:abstractNum>
  <w:abstractNum w:abstractNumId="77">
    <w:nsid w:val="597B4D84"/>
    <w:multiLevelType w:val="hybridMultilevel"/>
    <w:lvl w:ilvl="0">
      <w:lvlJc w:val="left"/>
      <w:lvlText w:val="(%1)"/>
      <w:numFmt w:val="lowerLetter"/>
      <w:start w:val="1"/>
    </w:lvl>
  </w:abstractNum>
  <w:abstractNum w:abstractNumId="78">
    <w:nsid w:val="F819E7F"/>
    <w:multiLevelType w:val="hybridMultilevel"/>
    <w:lvl w:ilvl="0">
      <w:lvlJc w:val="left"/>
      <w:lvlText w:val="(%1)"/>
      <w:numFmt w:val="lowerLetter"/>
      <w:start w:val="1"/>
    </w:lvl>
    <w:lvl w:ilvl="1">
      <w:lvlJc w:val="left"/>
      <w:lvlText w:val="(%2)"/>
      <w:numFmt w:val="lowerRoman"/>
      <w:start w:val="1"/>
    </w:lvl>
  </w:abstractNum>
  <w:abstractNum w:abstractNumId="79">
    <w:nsid w:val="57C7D42D"/>
    <w:multiLevelType w:val="hybridMultilevel"/>
    <w:lvl w:ilvl="0">
      <w:lvlJc w:val="left"/>
      <w:lvlText w:val="(%1)"/>
      <w:numFmt w:val="lowerLetter"/>
      <w:start w:val="4"/>
    </w:lvl>
  </w:abstractNum>
  <w:abstractNum w:abstractNumId="80">
    <w:nsid w:val="312167AD"/>
    <w:multiLevelType w:val="hybridMultilevel"/>
    <w:lvl w:ilvl="0">
      <w:lvlJc w:val="left"/>
      <w:lvlText w:val="(%1)"/>
      <w:numFmt w:val="lowerLetter"/>
      <w:start w:val="6"/>
    </w:lvl>
    <w:lvl w:ilvl="1">
      <w:lvlJc w:val="left"/>
      <w:lvlText w:val="(%2)"/>
      <w:numFmt w:val="lowerRoman"/>
      <w:start w:val="1"/>
    </w:lvl>
  </w:abstractNum>
  <w:abstractNum w:abstractNumId="81">
    <w:nsid w:val="631B64D4"/>
    <w:multiLevelType w:val="hybridMultilevel"/>
    <w:lvl w:ilvl="0">
      <w:lvlJc w:val="left"/>
      <w:lvlText w:val="(%1)"/>
      <w:numFmt w:val="lowerLetter"/>
      <w:start w:val="7"/>
    </w:lvl>
    <w:lvl w:ilvl="1">
      <w:lvlJc w:val="left"/>
      <w:lvlText w:val="(%2)"/>
      <w:numFmt w:val="lowerRoman"/>
      <w:start w:val="1"/>
    </w:lvl>
  </w:abstractNum>
  <w:abstractNum w:abstractNumId="82">
    <w:nsid w:val="78B5E776"/>
    <w:multiLevelType w:val="hybridMultilevel"/>
    <w:lvl w:ilvl="0">
      <w:lvlJc w:val="left"/>
      <w:lvlText w:val="(%1)"/>
      <w:numFmt w:val="lowerRoman"/>
      <w:start w:val="3"/>
    </w:lvl>
  </w:abstractNum>
  <w:abstractNum w:abstractNumId="83">
    <w:nsid w:val="75486E47"/>
    <w:multiLevelType w:val="hybridMultilevel"/>
    <w:lvl w:ilvl="0">
      <w:lvlJc w:val="left"/>
      <w:lvlText w:val="(%1)"/>
      <w:numFmt w:val="lowerLetter"/>
      <w:start w:val="10"/>
    </w:lvl>
    <w:lvl w:ilvl="1">
      <w:lvlJc w:val="left"/>
      <w:lvlText w:val="(%2)"/>
      <w:numFmt w:val="lowerRoman"/>
      <w:start w:val="1"/>
    </w:lvl>
  </w:abstractNum>
  <w:abstractNum w:abstractNumId="84">
    <w:nsid w:val="6E534CDE"/>
    <w:multiLevelType w:val="hybridMultilevel"/>
    <w:lvl w:ilvl="0">
      <w:lvlJc w:val="left"/>
      <w:lvlText w:val="%1"/>
      <w:numFmt w:val="lowerLetter"/>
      <w:start w:val="1"/>
    </w:lvl>
    <w:lvl w:ilvl="1">
      <w:lvlJc w:val="left"/>
      <w:lvlText w:val="(%2)"/>
      <w:numFmt w:val="lowerRoman"/>
      <w:start w:val="5"/>
    </w:lvl>
  </w:abstractNum>
  <w:abstractNum w:abstractNumId="85">
    <w:nsid w:val="1A0DDE32"/>
    <w:multiLevelType w:val="hybridMultilevel"/>
    <w:lvl w:ilvl="0">
      <w:lvlJc w:val="left"/>
      <w:lvlText w:val="(%1)"/>
      <w:numFmt w:val="lowerLetter"/>
      <w:start w:val="11"/>
    </w:lvl>
    <w:lvl w:ilvl="1">
      <w:lvlJc w:val="left"/>
      <w:lvlText w:val="%2"/>
      <w:numFmt w:val="lowerRoman"/>
      <w:start w:val="1"/>
    </w:lvl>
  </w:abstractNum>
  <w:abstractNum w:abstractNumId="86">
    <w:nsid w:val="65968C1C"/>
    <w:multiLevelType w:val="hybridMultilevel"/>
    <w:lvl w:ilvl="0">
      <w:lvlJc w:val="left"/>
      <w:lvlText w:val="(%1)"/>
      <w:numFmt w:val="lowerLetter"/>
      <w:start w:val="12"/>
    </w:lvl>
    <w:lvl w:ilvl="1">
      <w:lvlJc w:val="left"/>
      <w:lvlText w:val="(%2)"/>
      <w:numFmt w:val="lowerRoman"/>
      <w:start w:val="1"/>
    </w:lvl>
  </w:abstractNum>
  <w:abstractNum w:abstractNumId="87">
    <w:nsid w:val="46263DEC"/>
    <w:multiLevelType w:val="hybridMultilevel"/>
    <w:lvl w:ilvl="0">
      <w:lvlJc w:val="left"/>
      <w:lvlText w:val="(%1)"/>
      <w:numFmt w:val="lowerLetter"/>
      <w:start w:val="13"/>
    </w:lvl>
  </w:abstractNum>
  <w:abstractNum w:abstractNumId="88">
    <w:nsid w:val="260D8C4A"/>
    <w:multiLevelType w:val="hybridMultilevel"/>
    <w:lvl w:ilvl="0">
      <w:lvlJc w:val="left"/>
      <w:lvlText w:val="(%1)"/>
      <w:numFmt w:val="lowerLetter"/>
      <w:start w:val="1"/>
    </w:lvl>
  </w:abstractNum>
  <w:abstractNum w:abstractNumId="89">
    <w:nsid w:val="73D4D3C4"/>
    <w:multiLevelType w:val="hybridMultilevel"/>
    <w:lvl w:ilvl="0">
      <w:lvlJc w:val="left"/>
      <w:lvlText w:val="(%1)"/>
      <w:numFmt w:val="lowerLetter"/>
      <w:start w:val="2"/>
    </w:lvl>
    <w:lvl w:ilvl="1">
      <w:lvlJc w:val="left"/>
      <w:lvlText w:val="(%2)"/>
      <w:numFmt w:val="lowerRoman"/>
      <w:start w:val="1"/>
    </w:lvl>
  </w:abstractNum>
  <w:abstractNum w:abstractNumId="90">
    <w:nsid w:val="746F2E30"/>
    <w:multiLevelType w:val="hybridMultilevel"/>
    <w:lvl w:ilvl="0">
      <w:lvlJc w:val="left"/>
      <w:lvlText w:val="(%1)"/>
      <w:numFmt w:val="lowerLetter"/>
      <w:start w:val="4"/>
    </w:lvl>
  </w:abstractNum>
  <w:abstractNum w:abstractNumId="91">
    <w:nsid w:val="6FDE8AF6"/>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9"/>
    </w:lvl>
  </w:abstractNum>
  <w:abstractNum w:abstractNumId="92">
    <w:nsid w:val="3FC32E20"/>
    <w:multiLevelType w:val="hybridMultilevel"/>
    <w:lvl w:ilvl="0">
      <w:lvlJc w:val="left"/>
      <w:lvlText w:val="%1"/>
      <w:numFmt w:val="lowerRoman"/>
      <w:start w:val="1"/>
    </w:lvl>
    <w:lvl w:ilvl="1">
      <w:lvlJc w:val="left"/>
      <w:lvlText w:val="(%2)"/>
      <w:numFmt w:val="lowerRoman"/>
      <w:start w:val="2"/>
    </w:lvl>
  </w:abstractNum>
  <w:abstractNum w:abstractNumId="93">
    <w:nsid w:val="49C0E823"/>
    <w:multiLevelType w:val="hybridMultilevel"/>
    <w:lvl w:ilvl="0">
      <w:lvlJc w:val="left"/>
      <w:lvlText w:val="(%1)"/>
      <w:numFmt w:val="lowerRoman"/>
      <w:start w:val="1"/>
    </w:lvl>
    <w:lvl w:ilvl="1">
      <w:lvlJc w:val="left"/>
      <w:lvlText w:val="%2"/>
      <w:numFmt w:val="lowerRoman"/>
      <w:start w:val="1"/>
    </w:lvl>
  </w:abstractNum>
  <w:abstractNum w:abstractNumId="94">
    <w:nsid w:val="14D53685"/>
    <w:multiLevelType w:val="hybridMultilevel"/>
    <w:lvl w:ilvl="0">
      <w:lvlJc w:val="left"/>
      <w:lvlText w:val="(%1)"/>
      <w:numFmt w:val="lowerLetter"/>
      <w:start w:val="1"/>
    </w:lvl>
  </w:abstractNum>
  <w:abstractNum w:abstractNumId="95">
    <w:nsid w:val="230F856C"/>
    <w:multiLevelType w:val="hybridMultilevel"/>
    <w:lvl w:ilvl="0">
      <w:lvlJc w:val="left"/>
      <w:lvlText w:val="(%1)"/>
      <w:numFmt w:val="lowerLetter"/>
      <w:start w:val="2"/>
    </w:lvl>
  </w:abstractNum>
  <w:abstractNum w:abstractNumId="96">
    <w:nsid w:val="6EAA85FB"/>
    <w:multiLevelType w:val="hybridMultilevel"/>
    <w:lvl w:ilvl="0">
      <w:lvlJc w:val="left"/>
      <w:lvlText w:val="(%1)"/>
      <w:numFmt w:val="lowerLetter"/>
      <w:start w:val="1"/>
    </w:lvl>
    <w:lvl w:ilvl="1">
      <w:lvlJc w:val="left"/>
      <w:lvlText w:val="(%2)"/>
      <w:numFmt w:val="lowerRoman"/>
      <w:start w:val="1"/>
    </w:lvl>
  </w:abstractNum>
  <w:abstractNum w:abstractNumId="97">
    <w:nsid w:val="3F06ECB2"/>
    <w:multiLevelType w:val="hybridMultilevel"/>
    <w:lvl w:ilvl="0">
      <w:lvlJc w:val="left"/>
      <w:lvlText w:val="(%1)"/>
      <w:numFmt w:val="lowerLetter"/>
      <w:start w:val="3"/>
    </w:lvl>
  </w:abstractNum>
  <w:abstractNum w:abstractNumId="98">
    <w:nsid w:val="3B594807"/>
    <w:multiLevelType w:val="hybridMultilevel"/>
    <w:lvl w:ilvl="0">
      <w:lvlJc w:val="left"/>
      <w:lvlText w:val="(%1)"/>
      <w:numFmt w:val="lowerLetter"/>
      <w:start w:val="1"/>
    </w:lvl>
  </w:abstractNum>
  <w:abstractNum w:abstractNumId="99">
    <w:nsid w:val="6CAA2304"/>
    <w:multiLevelType w:val="hybridMultilevel"/>
    <w:lvl w:ilvl="0">
      <w:lvlJc w:val="left"/>
      <w:lvlText w:val="(%1)"/>
      <w:numFmt w:val="lowerLetter"/>
      <w:start w:val="2"/>
    </w:lvl>
  </w:abstractNum>
  <w:abstractNum w:abstractNumId="100">
    <w:nsid w:val="3F7C2FF4"/>
    <w:multiLevelType w:val="hybridMultilevel"/>
    <w:lvl w:ilvl="0">
      <w:lvlJc w:val="left"/>
      <w:lvlText w:val="(%1)"/>
      <w:numFmt w:val="lowerLetter"/>
      <w:start w:val="1"/>
    </w:lvl>
  </w:abstractNum>
  <w:abstractNum w:abstractNumId="101">
    <w:nsid w:val="25413BEC"/>
    <w:multiLevelType w:val="hybridMultilevel"/>
    <w:lvl w:ilvl="0">
      <w:lvlJc w:val="left"/>
      <w:lvlText w:val="%1"/>
      <w:numFmt w:val="lowerLetter"/>
      <w:start w:val="1"/>
    </w:lvl>
    <w:lvl w:ilvl="1">
      <w:lvlJc w:val="left"/>
      <w:lvlText w:val="(%2)"/>
      <w:numFmt w:val="lowerLetter"/>
      <w:start w:val="1"/>
    </w:lvl>
  </w:abstractNum>
  <w:abstractNum w:abstractNumId="102">
    <w:nsid w:val="17180B0B"/>
    <w:multiLevelType w:val="hybridMultilevel"/>
    <w:lvl w:ilvl="0">
      <w:lvlJc w:val="left"/>
      <w:lvlText w:val="(%1)"/>
      <w:numFmt w:val="lowerLetter"/>
      <w:start w:val="61"/>
    </w:lvl>
    <w:lvl w:ilvl="1">
      <w:lvlJc w:val="left"/>
      <w:lvlText w:val="%2"/>
      <w:numFmt w:val="lowerLetter"/>
      <w:start w:val="1"/>
    </w:lvl>
  </w:abstractNum>
  <w:abstractNum w:abstractNumId="103">
    <w:nsid w:val="579328B9"/>
    <w:multiLevelType w:val="hybridMultilevel"/>
    <w:lvl w:ilvl="0">
      <w:lvlJc w:val="left"/>
      <w:lvlText w:val="(%1)"/>
      <w:numFmt w:val="lowerLetter"/>
      <w:start w:val="1"/>
    </w:lvl>
  </w:abstractNum>
  <w:abstractNum w:abstractNumId="104">
    <w:nsid w:val="5D205E20"/>
    <w:multiLevelType w:val="hybridMultilevel"/>
    <w:lvl w:ilvl="0">
      <w:lvlJc w:val="left"/>
      <w:lvlText w:val="(%1)"/>
      <w:numFmt w:val="lowerLetter"/>
      <w:start w:val="2"/>
    </w:lvl>
  </w:abstractNum>
  <w:abstractNum w:abstractNumId="105">
    <w:nsid w:val="11CCA8BA"/>
    <w:multiLevelType w:val="hybridMultilevel"/>
    <w:lvl w:ilvl="0">
      <w:lvlJc w:val="left"/>
      <w:lvlText w:val="(%1)"/>
      <w:numFmt w:val="lowerLetter"/>
      <w:start w:val="1"/>
    </w:lvl>
  </w:abstractNum>
  <w:abstractNum w:abstractNumId="106">
    <w:nsid w:val="4D32AB86"/>
    <w:multiLevelType w:val="hybridMultilevel"/>
    <w:lvl w:ilvl="0">
      <w:lvlJc w:val="left"/>
      <w:lvlText w:val="(%1)"/>
      <w:numFmt w:val="lowerLetter"/>
      <w:start w:val="1"/>
    </w:lvl>
  </w:abstractNum>
  <w:abstractNum w:abstractNumId="107">
    <w:nsid w:val="3F07ACC3"/>
    <w:multiLevelType w:val="hybridMultilevel"/>
    <w:lvl w:ilvl="0">
      <w:lvlJc w:val="left"/>
      <w:lvlText w:val="(%1)"/>
      <w:numFmt w:val="lowerLetter"/>
      <w:start w:val="1"/>
    </w:lvl>
  </w:abstractNum>
  <w:abstractNum w:abstractNumId="108">
    <w:nsid w:val="6B47F63E"/>
    <w:multiLevelType w:val="hybridMultilevel"/>
    <w:lvl w:ilvl="0">
      <w:lvlJc w:val="left"/>
      <w:lvlText w:val="(%1)"/>
      <w:numFmt w:val="lowerLetter"/>
      <w:start w:val="2"/>
    </w:lvl>
  </w:abstractNum>
  <w:abstractNum w:abstractNumId="109">
    <w:nsid w:val="5CB44A05"/>
    <w:multiLevelType w:val="hybridMultilevel"/>
    <w:lvl w:ilvl="0">
      <w:lvlJc w:val="left"/>
      <w:lvlText w:val="%1."/>
      <w:numFmt w:val="decimal"/>
      <w:start w:val="5"/>
    </w:lvl>
  </w:abstractNum>
  <w:abstractNum w:abstractNumId="110">
    <w:nsid w:val="16CF80F1"/>
    <w:multiLevelType w:val="hybridMultilevel"/>
    <w:lvl w:ilvl="0">
      <w:lvlJc w:val="left"/>
      <w:lvlText w:val="(%1)"/>
      <w:numFmt w:val="lowerLetter"/>
      <w:start w:val="1"/>
    </w:lvl>
  </w:abstractNum>
  <w:abstractNum w:abstractNumId="111">
    <w:nsid w:val="1C695DEC"/>
    <w:multiLevelType w:val="hybridMultilevel"/>
    <w:lvl w:ilvl="0">
      <w:lvlJc w:val="left"/>
      <w:lvlText w:val="(%1)"/>
      <w:numFmt w:val="lowerLetter"/>
      <w:start w:val="2"/>
    </w:lvl>
  </w:abstractNum>
  <w:abstractNum w:abstractNumId="112">
    <w:nsid w:val="3FCFAED9"/>
    <w:multiLevelType w:val="hybridMultilevel"/>
    <w:lvl w:ilvl="0">
      <w:lvlJc w:val="left"/>
      <w:lvlText w:val="(%1)"/>
      <w:numFmt w:val="lowerLetter"/>
      <w:start w:val="1"/>
    </w:lvl>
  </w:abstractNum>
  <w:abstractNum w:abstractNumId="113">
    <w:nsid w:val="F856867"/>
    <w:multiLevelType w:val="hybridMultilevel"/>
    <w:lvl w:ilvl="0">
      <w:lvlJc w:val="left"/>
      <w:lvlText w:val="%1."/>
      <w:numFmt w:val="decimal"/>
      <w:start w:val="6"/>
    </w:lvl>
  </w:abstractNum>
  <w:abstractNum w:abstractNumId="114">
    <w:nsid w:val="11B1CC33"/>
    <w:multiLevelType w:val="hybridMultilevel"/>
    <w:lvl w:ilvl="0">
      <w:lvlJc w:val="left"/>
      <w:lvlText w:val="(%1)"/>
      <w:numFmt w:val="lowerLetter"/>
      <w:start w:val="1"/>
    </w:lvl>
  </w:abstractNum>
  <w:abstractNum w:abstractNumId="115">
    <w:nsid w:val="2E22FBB7"/>
    <w:multiLevelType w:val="hybridMultilevel"/>
    <w:lvl w:ilvl="0">
      <w:lvlJc w:val="left"/>
      <w:lvlText w:val="(%1)"/>
      <w:numFmt w:val="lowerLetter"/>
      <w:start w:val="1"/>
    </w:lvl>
    <w:lvl w:ilvl="1">
      <w:lvlJc w:val="left"/>
      <w:lvlText w:val="(%2)"/>
      <w:numFmt w:val="lowerRoman"/>
      <w:start w:val="1"/>
    </w:lvl>
  </w:abstractNum>
  <w:abstractNum w:abstractNumId="116">
    <w:nsid w:val="29934699"/>
    <w:multiLevelType w:val="hybridMultilevel"/>
    <w:lvl w:ilvl="0">
      <w:lvlJc w:val="left"/>
      <w:lvlText w:val="(%1)"/>
      <w:numFmt w:val="lowerLetter"/>
      <w:start w:val="1"/>
    </w:lvl>
  </w:abstractNum>
  <w:abstractNum w:abstractNumId="117">
    <w:nsid w:val="77485850"/>
    <w:multiLevelType w:val="hybridMultilevel"/>
    <w:lvl w:ilvl="0">
      <w:lvlJc w:val="left"/>
      <w:lvlText w:val="(%1)"/>
      <w:numFmt w:val="lowerLetter"/>
      <w:start w:val="4"/>
    </w:lvl>
  </w:abstractNum>
  <w:abstractNum w:abstractNumId="118">
    <w:nsid w:val="744939A3"/>
    <w:multiLevelType w:val="hybridMultilevel"/>
    <w:lvl w:ilvl="0">
      <w:lvlJc w:val="left"/>
      <w:lvlText w:val="(%1)"/>
      <w:numFmt w:val="lowerLetter"/>
      <w:start w:val="6"/>
    </w:lvl>
  </w:abstractNum>
  <w:abstractNum w:abstractNumId="119">
    <w:nsid w:val="4FA0D2E3"/>
    <w:multiLevelType w:val="hybridMultilevel"/>
    <w:lvl w:ilvl="0">
      <w:lvlJc w:val="left"/>
      <w:lvlText w:val="(%1)"/>
      <w:numFmt w:val="lowerLetter"/>
      <w:start w:val="1"/>
    </w:lvl>
  </w:abstractNum>
  <w:abstractNum w:abstractNumId="120">
    <w:nsid w:val="6B1D2C14"/>
    <w:multiLevelType w:val="hybridMultilevel"/>
    <w:lvl w:ilvl="0">
      <w:lvlJc w:val="left"/>
      <w:lvlText w:val="(%1)"/>
      <w:numFmt w:val="lowerLetter"/>
      <w:start w:val="6"/>
    </w:lvl>
  </w:abstractNum>
  <w:abstractNum w:abstractNumId="121">
    <w:nsid w:val="68B867D3"/>
    <w:multiLevelType w:val="hybridMultilevel"/>
    <w:lvl w:ilvl="0">
      <w:lvlJc w:val="left"/>
      <w:lvlText w:val="%1."/>
      <w:numFmt w:val="decimal"/>
      <w:start w:val="7"/>
    </w:lvl>
  </w:abstractNum>
  <w:abstractNum w:abstractNumId="122">
    <w:nsid w:val="3F7F5DD9"/>
    <w:multiLevelType w:val="hybridMultilevel"/>
    <w:lvl w:ilvl="0">
      <w:lvlJc w:val="left"/>
      <w:lvlText w:val="%1."/>
      <w:numFmt w:val="decimal"/>
      <w:start w:val="8"/>
    </w:lvl>
  </w:abstractNum>
  <w:abstractNum w:abstractNumId="123">
    <w:nsid w:val="2AE05A34"/>
    <w:multiLevelType w:val="hybridMultilevel"/>
    <w:lvl w:ilvl="0">
      <w:lvlJc w:val="left"/>
      <w:lvlText w:val="(%1)"/>
      <w:numFmt w:val="lowerLetter"/>
      <w:start w:val="1"/>
    </w:lvl>
  </w:abstractNum>
  <w:abstractNum w:abstractNumId="124">
    <w:nsid w:val="32794FF7"/>
    <w:multiLevelType w:val="hybridMultilevel"/>
    <w:lvl w:ilvl="0">
      <w:lvlJc w:val="left"/>
      <w:lvlText w:val="%1."/>
      <w:numFmt w:val="decimal"/>
      <w:start w:val="9"/>
    </w:lvl>
  </w:abstractNum>
  <w:abstractNum w:abstractNumId="125">
    <w:nsid w:val="5454945E"/>
    <w:multiLevelType w:val="hybridMultilevel"/>
    <w:lvl w:ilvl="0">
      <w:lvlJc w:val="left"/>
      <w:lvlText w:val="(%1)"/>
      <w:numFmt w:val="lowerLetter"/>
      <w:start w:val="1"/>
    </w:lvl>
  </w:abstractNum>
  <w:abstractNum w:abstractNumId="126">
    <w:nsid w:val="4DEFDFA0"/>
    <w:multiLevelType w:val="hybridMultilevel"/>
    <w:lvl w:ilvl="0">
      <w:lvlJc w:val="left"/>
      <w:lvlText w:val="(%1)"/>
      <w:numFmt w:val="lowerLetter"/>
      <w:start w:val="2"/>
    </w:lvl>
  </w:abstractNum>
  <w:abstractNum w:abstractNumId="127">
    <w:nsid w:val="2123D5F2"/>
    <w:multiLevelType w:val="hybridMultilevel"/>
    <w:lvl w:ilvl="0">
      <w:lvlJc w:val="left"/>
      <w:lvlText w:val="%1."/>
      <w:numFmt w:val="decimal"/>
      <w:start w:val="10"/>
    </w:lvl>
  </w:abstractNum>
  <w:abstractNum w:abstractNumId="128">
    <w:nsid w:val="135B8110"/>
    <w:multiLevelType w:val="hybridMultilevel"/>
    <w:lvl w:ilvl="0">
      <w:lvlJc w:val="left"/>
      <w:lvlText w:val="%1."/>
      <w:numFmt w:val="decimal"/>
      <w:start w:val="11"/>
    </w:lvl>
  </w:abstractNum>
  <w:abstractNum w:abstractNumId="129">
    <w:nsid w:val="94927A8"/>
    <w:multiLevelType w:val="hybridMultilevel"/>
    <w:lvl w:ilvl="0">
      <w:lvlJc w:val="left"/>
      <w:lvlText w:val="%1."/>
      <w:numFmt w:val="decimal"/>
      <w:start w:val="12"/>
    </w:lvl>
    <w:lvl w:ilvl="1">
      <w:lvlJc w:val="left"/>
      <w:lvlText w:val="(%2)"/>
      <w:numFmt w:val="lowerLetter"/>
      <w:start w:val="1"/>
    </w:lvl>
  </w:abstractNum>
  <w:abstractNum w:abstractNumId="130">
    <w:nsid w:val="DCDF8F6"/>
    <w:multiLevelType w:val="hybridMultilevel"/>
    <w:lvl w:ilvl="0">
      <w:lvlJc w:val="left"/>
      <w:lvlText w:val="(%1)"/>
      <w:numFmt w:val="lowerLetter"/>
      <w:start w:val="2"/>
    </w:lvl>
  </w:abstractNum>
  <w:abstractNum w:abstractNumId="131">
    <w:nsid w:val="52D7B105"/>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32">
    <w:nsid w:val="2E8A639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133">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upperLetter"/>
      <w:start w:val="1"/>
    </w:lvl>
  </w:abstractNum>
  <w:abstractNum w:abstractNumId="134">
    <w:nsid w:val="2A6AD9B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5">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36">
    <w:nsid w:val="36B2ACB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7">
    <w:nsid w:val="779D8544"/>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38">
    <w:nsid w:val="4AB26E78"/>
    <w:multiLevelType w:val="hybridMultilevel"/>
    <w:lvl w:ilvl="0">
      <w:lvlJc w:val="left"/>
      <w:lvlText w:val="(%1)"/>
      <w:numFmt w:val="lowerLetter"/>
      <w:start w:val="4"/>
    </w:lvl>
  </w:abstractNum>
  <w:abstractNum w:abstractNumId="139">
    <w:nsid w:val="21FAA2FA"/>
    <w:multiLevelType w:val="hybridMultilevel"/>
    <w:lvl w:ilvl="0">
      <w:lvlJc w:val="left"/>
      <w:lvlText w:val="(%1)"/>
      <w:numFmt w:val="lowerLetter"/>
      <w:start w:val="6"/>
    </w:lvl>
  </w:abstractNum>
  <w:abstractNum w:abstractNumId="140">
    <w:nsid w:val="5451CF49"/>
    <w:multiLevelType w:val="hybridMultilevel"/>
    <w:lvl w:ilvl="0">
      <w:lvlJc w:val="left"/>
      <w:lvlText w:val="(%1)"/>
      <w:numFmt w:val="lowerLetter"/>
      <w:start w:val="10"/>
    </w:lvl>
  </w:abstractNum>
  <w:abstractNum w:abstractNumId="141">
    <w:nsid w:val="6181EF6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42">
    <w:nsid w:val="3E6400E6"/>
    <w:multiLevelType w:val="hybridMultilevel"/>
    <w:lvl w:ilvl="0">
      <w:lvlJc w:val="left"/>
      <w:lvlText w:val="%1"/>
      <w:numFmt w:val="lowerLetter"/>
      <w:start w:val="1"/>
    </w:lvl>
    <w:lvl w:ilvl="1">
      <w:lvlJc w:val="left"/>
      <w:lvlText w:val="(%2)"/>
      <w:numFmt w:val="lowerRoman"/>
      <w:start w:val="9"/>
    </w:lvl>
  </w:abstractNum>
  <w:abstractNum w:abstractNumId="143">
    <w:nsid w:val="14217E23"/>
    <w:multiLevelType w:val="hybridMultilevel"/>
    <w:lvl w:ilvl="0">
      <w:lvlJc w:val="left"/>
      <w:lvlText w:val="(%1)"/>
      <w:numFmt w:val="lowerLetter"/>
      <w:start w:val="2"/>
    </w:lvl>
    <w:lvl w:ilvl="1">
      <w:lvlJc w:val="left"/>
      <w:lvlText w:val="(%2)"/>
      <w:numFmt w:val="lowerRoman"/>
      <w:start w:val="1"/>
    </w:lvl>
  </w:abstractNum>
  <w:abstractNum w:abstractNumId="144">
    <w:nsid w:val="710757D0"/>
    <w:multiLevelType w:val="hybridMultilevel"/>
    <w:lvl w:ilvl="0">
      <w:lvlJc w:val="left"/>
      <w:lvlText w:val="%1"/>
      <w:numFmt w:val="lowerLetter"/>
      <w:start w:val="1"/>
    </w:lvl>
    <w:lvl w:ilvl="1">
      <w:lvlJc w:val="left"/>
      <w:lvlText w:val="(%2)"/>
      <w:numFmt w:val="lowerLetter"/>
      <w:start w:val="1"/>
    </w:lvl>
  </w:abstractNum>
  <w:abstractNum w:abstractNumId="145">
    <w:nsid w:val="5015CD1A"/>
    <w:multiLevelType w:val="hybridMultilevel"/>
    <w:lvl w:ilvl="0">
      <w:lvlJc w:val="left"/>
      <w:lvlText w:val="(%1)"/>
      <w:numFmt w:val="lowerLetter"/>
      <w:start w:val="9"/>
    </w:lvl>
    <w:lvl w:ilvl="1">
      <w:lvlJc w:val="left"/>
      <w:lvlText w:val="%2"/>
      <w:numFmt w:val="lowerLetter"/>
      <w:start w:val="1"/>
    </w:lvl>
  </w:abstractNum>
  <w:abstractNum w:abstractNumId="146">
    <w:nsid w:val="424479DA"/>
    <w:multiLevelType w:val="hybridMultilevel"/>
    <w:lvl w:ilvl="0">
      <w:lvlJc w:val="left"/>
      <w:lvlText w:val="%1."/>
      <w:numFmt w:val="decimal"/>
      <w:start w:val="15"/>
    </w:lvl>
  </w:abstractNum>
  <w:abstractNum w:abstractNumId="147">
    <w:nsid w:val="1A9A9E69"/>
    <w:multiLevelType w:val="hybridMultilevel"/>
    <w:lvl w:ilvl="0">
      <w:lvlJc w:val="left"/>
      <w:lvlText w:val="%1"/>
      <w:numFmt w:val="lowerLetter"/>
      <w:start w:val="1"/>
    </w:lvl>
    <w:lvl w:ilvl="1">
      <w:lvlJc w:val="left"/>
      <w:lvlText w:val="(%2)"/>
      <w:numFmt w:val="lowerLetter"/>
      <w:start w:val="1"/>
    </w:lvl>
  </w:abstractNum>
  <w:abstractNum w:abstractNumId="148">
    <w:nsid w:val="475E256A"/>
    <w:multiLevelType w:val="hybridMultilevel"/>
    <w:lvl w:ilvl="0">
      <w:lvlJc w:val="left"/>
      <w:lvlText w:val="(%1)"/>
      <w:numFmt w:val="lowerLetter"/>
      <w:start w:val="1"/>
    </w:lvl>
    <w:lvl w:ilvl="1">
      <w:lvlJc w:val="left"/>
      <w:lvlText w:val="%2"/>
      <w:numFmt w:val="lowerLetter"/>
      <w:start w:val="1"/>
    </w:lvl>
  </w:abstractNum>
  <w:abstractNum w:abstractNumId="149">
    <w:nsid w:val="368DB37E"/>
    <w:multiLevelType w:val="hybridMultilevel"/>
    <w:lvl w:ilvl="0">
      <w:lvlJc w:val="left"/>
      <w:lvlText w:val="(%1)"/>
      <w:numFmt w:val="lowerLetter"/>
      <w:start w:val="2"/>
    </w:lvl>
  </w:abstractNum>
  <w:abstractNum w:abstractNumId="150">
    <w:nsid w:val="6A3B714C"/>
    <w:multiLevelType w:val="hybridMultilevel"/>
    <w:lvl w:ilvl="0">
      <w:lvlJc w:val="left"/>
      <w:lvlText w:val="(%1)"/>
      <w:numFmt w:val="lowerLetter"/>
      <w:start w:val="1"/>
    </w:lvl>
  </w:abstractNum>
  <w:abstractNum w:abstractNumId="151">
    <w:nsid w:val="327B517E"/>
    <w:multiLevelType w:val="hybridMultilevel"/>
    <w:lvl w:ilvl="0">
      <w:lvlJc w:val="left"/>
      <w:lvlText w:val="(%1)"/>
      <w:numFmt w:val="lowerLetter"/>
      <w:start w:val="1"/>
    </w:lvl>
  </w:abstractNum>
  <w:abstractNum w:abstractNumId="152">
    <w:nsid w:val="1F461B51"/>
    <w:multiLevelType w:val="hybridMultilevel"/>
    <w:lvl w:ilvl="0">
      <w:lvlJc w:val="left"/>
      <w:lvlText w:val="%1"/>
      <w:numFmt w:val="lowerLetter"/>
      <w:start w:val="1"/>
    </w:lvl>
    <w:lvl w:ilvl="1">
      <w:lvlJc w:val="left"/>
      <w:lvlText w:val="(%2)"/>
      <w:numFmt w:val="lowerLetter"/>
      <w:start w:val="6"/>
    </w:lvl>
  </w:abstractNum>
  <w:abstractNum w:abstractNumId="153">
    <w:nsid w:val="29BACF25"/>
    <w:multiLevelType w:val="hybridMultilevel"/>
    <w:lvl w:ilvl="0">
      <w:lvlJc w:val="left"/>
      <w:lvlText w:val="(%1)"/>
      <w:numFmt w:val="lowerLetter"/>
      <w:start w:val="25"/>
    </w:lvl>
    <w:lvl w:ilvl="1">
      <w:lvlJc w:val="left"/>
      <w:lvlText w:val="%2"/>
      <w:numFmt w:val="lowerLetter"/>
      <w:start w:val="1"/>
    </w:lvl>
  </w:abstractNum>
  <w:abstractNum w:abstractNumId="154">
    <w:nsid w:val="5D5BABB3"/>
    <w:multiLevelType w:val="hybridMultilevel"/>
    <w:lvl w:ilvl="0">
      <w:lvlJc w:val="left"/>
      <w:lvlText w:val="%1."/>
      <w:numFmt w:val="decimal"/>
      <w:start w:val="16"/>
    </w:lvl>
  </w:abstractNum>
  <w:abstractNum w:abstractNumId="155">
    <w:nsid w:val="51BF6B4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6">
    <w:nsid w:val="7E0F6384"/>
    <w:multiLevelType w:val="hybridMultilevel"/>
    <w:lvl w:ilvl="0">
      <w:lvlJc w:val="left"/>
      <w:lvlText w:val="(%1)"/>
      <w:numFmt w:val="upperLetter"/>
      <w:start w:val="61"/>
    </w:lvl>
    <w:lvl w:ilvl="1">
      <w:lvlJc w:val="left"/>
      <w:lvlText w:val="(%2)"/>
      <w:numFmt w:val="lowerLetter"/>
      <w:start w:val="1"/>
    </w:lvl>
    <w:lvl w:ilvl="2">
      <w:lvlJc w:val="left"/>
      <w:lvlText w:val="(%3)"/>
      <w:numFmt w:val="lowerRoman"/>
      <w:start w:val="2"/>
    </w:lvl>
  </w:abstractNum>
  <w:abstractNum w:abstractNumId="157">
    <w:nsid w:val="2B4B8B53"/>
    <w:multiLevelType w:val="hybridMultilevel"/>
    <w:lvl w:ilvl="0">
      <w:lvlJc w:val="left"/>
      <w:lvlText w:val="(%1)"/>
      <w:numFmt w:val="lowerLetter"/>
      <w:start w:val="1"/>
    </w:lvl>
  </w:abstractNum>
  <w:abstractNum w:abstractNumId="158">
    <w:nsid w:val="72E3413A"/>
    <w:multiLevelType w:val="hybridMultilevel"/>
    <w:lvl w:ilvl="0">
      <w:lvlJc w:val="left"/>
      <w:lvlText w:val="%1."/>
      <w:numFmt w:val="decimal"/>
      <w:start w:val="17"/>
    </w:lvl>
  </w:abstractNum>
  <w:abstractNum w:abstractNumId="159">
    <w:nsid w:val="116AE494"/>
    <w:multiLevelType w:val="hybridMultilevel"/>
    <w:lvl w:ilvl="0">
      <w:lvlJc w:val="left"/>
      <w:lvlText w:val="(%1)"/>
      <w:numFmt w:val="lowerLetter"/>
      <w:start w:val="1"/>
    </w:lvl>
  </w:abstractNum>
  <w:abstractNum w:abstractNumId="160">
    <w:nsid w:val="3494B2FB"/>
    <w:multiLevelType w:val="hybridMultilevel"/>
    <w:lvl w:ilvl="0">
      <w:lvlJc w:val="left"/>
      <w:lvlText w:val="%1"/>
      <w:numFmt w:val="lowerRoman"/>
      <w:start w:val="1"/>
    </w:lvl>
    <w:lvl w:ilvl="1">
      <w:lvlJc w:val="left"/>
      <w:lvlText w:val="(%2)"/>
      <w:numFmt w:val="lowerLetter"/>
      <w:start w:val="1"/>
    </w:lvl>
  </w:abstractNum>
  <w:abstractNum w:abstractNumId="161">
    <w:nsid w:val="B13A31"/>
    <w:multiLevelType w:val="hybridMultilevel"/>
    <w:lvl w:ilvl="0">
      <w:lvlJc w:val="left"/>
      <w:lvlText w:val="(%1)"/>
      <w:numFmt w:val="lowerRoman"/>
      <w:start w:val="7"/>
    </w:lvl>
    <w:lvl w:ilvl="1">
      <w:lvlJc w:val="left"/>
      <w:lvlText w:val="(%2)"/>
      <w:numFmt w:val="lowerLetter"/>
      <w:start w:val="2"/>
    </w:lvl>
  </w:abstractNum>
  <w:abstractNum w:abstractNumId="162">
    <w:nsid w:val="64429599"/>
    <w:multiLevelType w:val="hybridMultilevel"/>
    <w:lvl w:ilvl="0">
      <w:lvlJc w:val="left"/>
      <w:lvlText w:val="(%1)"/>
      <w:numFmt w:val="lowerLetter"/>
      <w:start w:val="3"/>
    </w:lvl>
  </w:abstractNum>
  <w:abstractNum w:abstractNumId="163">
    <w:nsid w:val="631F1690"/>
    <w:multiLevelType w:val="hybridMultilevel"/>
    <w:lvl w:ilvl="0">
      <w:lvlJc w:val="left"/>
      <w:lvlText w:val="(%1)"/>
      <w:numFmt w:val="lowerLetter"/>
      <w:start w:val="2"/>
    </w:lvl>
  </w:abstractNum>
  <w:abstractNum w:abstractNumId="164">
    <w:nsid w:val="25973E32"/>
    <w:multiLevelType w:val="hybridMultilevel"/>
    <w:lvl w:ilvl="0">
      <w:lvlJc w:val="left"/>
      <w:lvlText w:val="(%1)"/>
      <w:numFmt w:val="lowerLetter"/>
      <w:start w:val="1"/>
    </w:lvl>
  </w:abstractNum>
  <w:abstractNum w:abstractNumId="165">
    <w:nsid w:val="EAD6F57"/>
    <w:multiLevelType w:val="hybridMultilevel"/>
    <w:lvl w:ilvl="0">
      <w:lvlJc w:val="left"/>
      <w:lvlText w:val="%1"/>
      <w:numFmt w:val="lowerLetter"/>
      <w:start w:val="1"/>
    </w:lvl>
    <w:lvl w:ilvl="1">
      <w:lvlJc w:val="left"/>
      <w:lvlText w:val="(%2)"/>
      <w:numFmt w:val="lowerLetter"/>
      <w:start w:val="1"/>
    </w:lvl>
  </w:abstractNum>
  <w:abstractNum w:abstractNumId="166">
    <w:nsid w:val="6EC9D844"/>
    <w:multiLevelType w:val="hybridMultilevel"/>
    <w:lvl w:ilvl="0">
      <w:lvlJc w:val="left"/>
      <w:lvlText w:val="(%1)"/>
      <w:numFmt w:val="lowerLetter"/>
      <w:start w:val="61"/>
    </w:lvl>
    <w:lvl w:ilvl="1">
      <w:lvlJc w:val="left"/>
      <w:lvlText w:val="(%2)"/>
      <w:numFmt w:val="lowerLetter"/>
      <w:start w:val="3"/>
    </w:lvl>
  </w:abstractNum>
  <w:abstractNum w:abstractNumId="167">
    <w:nsid w:val="5C49EAEE"/>
    <w:multiLevelType w:val="hybridMultilevel"/>
    <w:lvl w:ilvl="0">
      <w:lvlJc w:val="left"/>
      <w:lvlText w:val="(%1)"/>
      <w:numFmt w:val="lowerLetter"/>
      <w:start w:val="1"/>
    </w:lvl>
  </w:abstractNum>
  <w:abstractNum w:abstractNumId="168">
    <w:nsid w:val="64AF49B"/>
    <w:multiLevelType w:val="hybridMultilevel"/>
    <w:lvl w:ilvl="0">
      <w:lvlJc w:val="left"/>
      <w:lvlText w:val="(%1)"/>
      <w:numFmt w:val="lowerLetter"/>
      <w:start w:val="1"/>
    </w:lvl>
  </w:abstractNum>
  <w:abstractNum w:abstractNumId="169">
    <w:nsid w:val="397C46BC"/>
    <w:multiLevelType w:val="hybridMultilevel"/>
    <w:lvl w:ilvl="0">
      <w:lvlJc w:val="left"/>
      <w:lvlText w:val="(%1)"/>
      <w:numFmt w:val="lowerLetter"/>
      <w:start w:val="2"/>
    </w:lvl>
    <w:lvl w:ilvl="1">
      <w:lvlJc w:val="left"/>
      <w:lvlText w:val="(%2)"/>
      <w:numFmt w:val="lowerRoman"/>
      <w:start w:val="1"/>
    </w:lvl>
  </w:abstractNum>
  <w:abstractNum w:abstractNumId="170">
    <w:nsid w:val="7E448DE9"/>
    <w:multiLevelType w:val="hybridMultilevel"/>
    <w:lvl w:ilvl="0">
      <w:lvlJc w:val="left"/>
      <w:lvlText w:val="(%1)"/>
      <w:numFmt w:val="lowerLetter"/>
      <w:start w:val="3"/>
    </w:lvl>
    <w:lvl w:ilvl="1">
      <w:lvlJc w:val="left"/>
      <w:lvlText w:val="(%2)"/>
      <w:numFmt w:val="lowerRoman"/>
      <w:start w:val="1"/>
    </w:lvl>
  </w:abstractNum>
  <w:abstractNum w:abstractNumId="171">
    <w:nsid w:val="5A9CC3E5"/>
    <w:multiLevelType w:val="hybridMultilevel"/>
    <w:lvl w:ilvl="0">
      <w:lvlJc w:val="left"/>
      <w:lvlText w:val="(%1)"/>
      <w:numFmt w:val="lowerRoman"/>
      <w:start w:val="5"/>
    </w:lvl>
  </w:abstractNum>
  <w:abstractNum w:abstractNumId="172">
    <w:nsid w:val="1AFE3625"/>
    <w:multiLevelType w:val="hybridMultilevel"/>
    <w:lvl w:ilvl="0">
      <w:lvlJc w:val="left"/>
      <w:lvlText w:val="(%1)"/>
      <w:numFmt w:val="lowerLetter"/>
      <w:start w:val="1"/>
    </w:lvl>
  </w:abstractNum>
  <w:abstractNum w:abstractNumId="173">
    <w:nsid w:val="3CA88ECF"/>
    <w:multiLevelType w:val="hybridMultilevel"/>
    <w:lvl w:ilvl="0">
      <w:lvlJc w:val="left"/>
      <w:lvlText w:val="(%1)"/>
      <w:numFmt w:val="lowerLetter"/>
      <w:start w:val="7"/>
    </w:lvl>
  </w:abstractNum>
  <w:abstractNum w:abstractNumId="174">
    <w:nsid w:val="6EBE4208"/>
    <w:multiLevelType w:val="hybridMultilevel"/>
    <w:lvl w:ilvl="0">
      <w:lvlJc w:val="left"/>
      <w:lvlText w:val="(%1)"/>
      <w:numFmt w:val="lowerLetter"/>
      <w:start w:val="18"/>
    </w:lvl>
  </w:abstractNum>
  <w:abstractNum w:abstractNumId="175">
    <w:nsid w:val="C058DF5"/>
    <w:multiLevelType w:val="hybridMultilevel"/>
    <w:lvl w:ilvl="0">
      <w:lvlJc w:val="left"/>
      <w:lvlText w:val="(%1)"/>
      <w:numFmt w:val="lowerLetter"/>
      <w:start w:val="1"/>
    </w:lvl>
  </w:abstractNum>
  <w:abstractNum w:abstractNumId="176">
    <w:nsid w:val="CBE5BE9"/>
    <w:multiLevelType w:val="hybridMultilevel"/>
    <w:lvl w:ilvl="0">
      <w:lvlJc w:val="left"/>
      <w:lvlText w:val="(%1)"/>
      <w:numFmt w:val="lowerLetter"/>
      <w:start w:val="9"/>
    </w:lvl>
  </w:abstractNum>
  <w:abstractNum w:abstractNumId="177">
    <w:nsid w:val="3102BBE2"/>
    <w:multiLevelType w:val="hybridMultilevel"/>
    <w:lvl w:ilvl="0">
      <w:lvlJc w:val="left"/>
      <w:lvlText w:val="(%1)"/>
      <w:numFmt w:val="lowerLetter"/>
      <w:start w:val="7"/>
    </w:lvl>
  </w:abstractNum>
  <w:abstractNum w:abstractNumId="178">
    <w:nsid w:val="26A02C5E"/>
    <w:multiLevelType w:val="hybridMultilevel"/>
    <w:lvl w:ilvl="0">
      <w:lvlJc w:val="left"/>
      <w:lvlText w:val="(%1)"/>
      <w:numFmt w:val="lowerLetter"/>
      <w:start w:val="1"/>
    </w:lvl>
  </w:abstractNum>
  <w:abstractNum w:abstractNumId="179">
    <w:nsid w:val="541C8153"/>
    <w:multiLevelType w:val="hybridMultilevel"/>
    <w:lvl w:ilvl="0">
      <w:lvlJc w:val="left"/>
      <w:lvlText w:val="(%1)"/>
      <w:numFmt w:val="lowerLetter"/>
      <w:start w:val="7"/>
    </w:lvl>
  </w:abstractNum>
  <w:abstractNum w:abstractNumId="180">
    <w:nsid w:val="67906F60"/>
    <w:multiLevelType w:val="hybridMultilevel"/>
    <w:lvl w:ilvl="0">
      <w:lvlJc w:val="left"/>
      <w:lvlText w:val="(%1)"/>
      <w:numFmt w:val="lowerLetter"/>
      <w:start w:val="11"/>
    </w:lvl>
  </w:abstractNum>
  <w:abstractNum w:abstractNumId="181">
    <w:nsid w:val="10DB9DAA"/>
    <w:multiLevelType w:val="hybridMultilevel"/>
    <w:lvl w:ilvl="0">
      <w:lvlJc w:val="left"/>
      <w:lvlText w:val="(%1)"/>
      <w:numFmt w:val="lowerLetter"/>
      <w:start w:val="1"/>
    </w:lvl>
  </w:abstractNum>
  <w:abstractNum w:abstractNumId="182">
    <w:nsid w:val="697D2D2"/>
    <w:multiLevelType w:val="hybridMultilevel"/>
    <w:lvl w:ilvl="0">
      <w:lvlJc w:val="left"/>
      <w:lvlText w:val="(%1)"/>
      <w:numFmt w:val="lowerLetter"/>
      <w:start w:val="8"/>
    </w:lvl>
  </w:abstractNum>
  <w:abstractNum w:abstractNumId="183">
    <w:nsid w:val="6D68AB2"/>
    <w:multiLevelType w:val="hybridMultilevel"/>
    <w:lvl w:ilvl="0">
      <w:lvlJc w:val="left"/>
      <w:lvlText w:val="(%1)"/>
      <w:numFmt w:val="lowerLetter"/>
      <w:start w:val="1"/>
    </w:lvl>
  </w:abstractNum>
  <w:abstractNum w:abstractNumId="184">
    <w:nsid w:val="3A966CD0"/>
    <w:multiLevelType w:val="hybridMultilevel"/>
    <w:lvl w:ilvl="0">
      <w:lvlJc w:val="left"/>
      <w:lvlText w:val="(%1)"/>
      <w:numFmt w:val="lowerLetter"/>
      <w:start w:val="3"/>
    </w:lvl>
  </w:abstractNum>
  <w:abstractNum w:abstractNumId="185">
    <w:nsid w:val="63F37E85"/>
    <w:multiLevelType w:val="hybridMultilevel"/>
    <w:lvl w:ilvl="0">
      <w:lvlJc w:val="left"/>
      <w:lvlText w:val="(%1)"/>
      <w:numFmt w:val="lowerLetter"/>
      <w:start w:val="4"/>
    </w:lvl>
  </w:abstractNum>
  <w:abstractNum w:abstractNumId="186">
    <w:nsid w:val="5895F5FA"/>
    <w:multiLevelType w:val="hybridMultilevel"/>
    <w:lvl w:ilvl="0">
      <w:lvlJc w:val="left"/>
      <w:lvlText w:val="(%1)"/>
      <w:numFmt w:val="lowerLetter"/>
      <w:start w:val="14"/>
    </w:lvl>
  </w:abstractNum>
  <w:abstractNum w:abstractNumId="187">
    <w:nsid w:val="38A5D054"/>
    <w:multiLevelType w:val="hybridMultilevel"/>
    <w:lvl w:ilvl="0">
      <w:lvlJc w:val="left"/>
      <w:lvlText w:val="(%1)"/>
      <w:numFmt w:val="lowerLetter"/>
      <w:start w:val="1"/>
    </w:lvl>
  </w:abstractNum>
  <w:abstractNum w:abstractNumId="188">
    <w:nsid w:val="F3F09D8"/>
    <w:multiLevelType w:val="hybridMultilevel"/>
    <w:lvl w:ilvl="0">
      <w:lvlJc w:val="left"/>
      <w:lvlText w:val="(%1)"/>
      <w:numFmt w:val="lowerLetter"/>
      <w:start w:val="2"/>
    </w:lvl>
  </w:abstractNum>
  <w:abstractNum w:abstractNumId="189">
    <w:nsid w:val="4B793735"/>
    <w:multiLevelType w:val="hybridMultilevel"/>
    <w:lvl w:ilvl="0">
      <w:lvlJc w:val="left"/>
      <w:lvlText w:val="%1"/>
      <w:numFmt w:val="upperLetter"/>
      <w:start w:val="1"/>
    </w:lvl>
    <w:lvl w:ilvl="1">
      <w:lvlJc w:val="left"/>
      <w:lvlText w:val="(%2)"/>
      <w:numFmt w:val="lowerLetter"/>
      <w:start w:val="17"/>
    </w:lvl>
  </w:abstractNum>
  <w:abstractNum w:abstractNumId="190">
    <w:nsid w:val="4A10B4E8"/>
    <w:multiLevelType w:val="hybridMultilevel"/>
    <w:lvl w:ilvl="0">
      <w:lvlJc w:val="left"/>
      <w:lvlText w:val="(%1)"/>
      <w:numFmt w:val="upperLetter"/>
      <w:start w:val="9"/>
    </w:lvl>
    <w:lvl w:ilvl="1">
      <w:lvlJc w:val="left"/>
      <w:lvlText w:val="(%2)"/>
      <w:numFmt w:val="lowerLetter"/>
      <w:start w:val="19"/>
    </w:lvl>
  </w:abstractNum>
  <w:abstractNum w:abstractNumId="191">
    <w:nsid w:val="43D3BCD4"/>
    <w:multiLevelType w:val="hybridMultilevel"/>
    <w:lvl w:ilvl="0">
      <w:lvlJc w:val="left"/>
      <w:lvlText w:val="(%1)"/>
      <w:numFmt w:val="lowerLetter"/>
      <w:start w:val="1"/>
    </w:lvl>
  </w:abstractNum>
  <w:abstractNum w:abstractNumId="192">
    <w:nsid w:val="4C2A7166"/>
    <w:multiLevelType w:val="hybridMultilevel"/>
    <w:lvl w:ilvl="0">
      <w:lvlJc w:val="left"/>
      <w:lvlText w:val="(%1)"/>
      <w:numFmt w:val="lowerLetter"/>
      <w:start w:val="9"/>
    </w:lvl>
  </w:abstractNum>
  <w:abstractNum w:abstractNumId="193">
    <w:nsid w:val="2E534A82"/>
    <w:multiLevelType w:val="hybridMultilevel"/>
    <w:lvl w:ilvl="0">
      <w:lvlJc w:val="left"/>
      <w:lvlText w:val="(%1)"/>
      <w:numFmt w:val="lowerLetter"/>
      <w:start w:val="1"/>
    </w:lvl>
  </w:abstractNum>
  <w:abstractNum w:abstractNumId="194">
    <w:nsid w:val="26F2D364"/>
    <w:multiLevelType w:val="hybridMultilevel"/>
    <w:lvl w:ilvl="0">
      <w:lvlJc w:val="left"/>
      <w:lvlText w:val="(%1)"/>
      <w:numFmt w:val="lowerLetter"/>
      <w:start w:val="1"/>
    </w:lvl>
  </w:abstractNum>
  <w:abstractNum w:abstractNumId="195">
    <w:nsid w:val="71C1AF98"/>
    <w:multiLevelType w:val="hybridMultilevel"/>
    <w:lvl w:ilvl="0">
      <w:lvlJc w:val="left"/>
      <w:lvlText w:val="(%1)"/>
      <w:numFmt w:val="lowerLetter"/>
      <w:start w:val="2"/>
    </w:lvl>
  </w:abstractNum>
  <w:abstractNum w:abstractNumId="196">
    <w:nsid w:val="3D00B9D9"/>
    <w:multiLevelType w:val="hybridMultilevel"/>
    <w:lvl w:ilvl="0">
      <w:lvlJc w:val="left"/>
      <w:lvlText w:val="(%1)"/>
      <w:numFmt w:val="lowerLetter"/>
      <w:start w:val="4"/>
    </w:lvl>
  </w:abstractNum>
  <w:abstractNum w:abstractNumId="197">
    <w:nsid w:val="15BCABA8"/>
    <w:multiLevelType w:val="hybridMultilevel"/>
    <w:lvl w:ilvl="0">
      <w:lvlJc w:val="left"/>
      <w:lvlText w:val="%1."/>
      <w:numFmt w:val="decimal"/>
      <w:start w:val="1"/>
    </w:lvl>
  </w:abstractNum>
  <w:abstractNum w:abstractNumId="198">
    <w:nsid w:val="4E0B9A87"/>
    <w:multiLevelType w:val="hybridMultilevel"/>
    <w:lvl w:ilvl="0">
      <w:lvlJc w:val="left"/>
      <w:lvlText w:val="(%1)"/>
      <w:numFmt w:val="lowerLetter"/>
      <w:start w:val="1"/>
    </w:lvl>
  </w:abstractNum>
  <w:abstractNum w:abstractNumId="199">
    <w:nsid w:val="434BAE75"/>
    <w:multiLevelType w:val="hybridMultilevel"/>
    <w:lvl w:ilvl="0">
      <w:lvlJc w:val="left"/>
      <w:lvlText w:val="%1."/>
      <w:numFmt w:val="decimal"/>
      <w:start w:val="3"/>
    </w:lvl>
  </w:abstractNum>
  <w:abstractNum w:abstractNumId="200">
    <w:nsid w:val="4F38F265"/>
    <w:multiLevelType w:val="hybridMultilevel"/>
    <w:lvl w:ilvl="0">
      <w:lvlJc w:val="left"/>
      <w:lvlText w:val="(%1)"/>
      <w:numFmt w:val="lowerLetter"/>
      <w:start w:val="1"/>
    </w:lvl>
  </w:abstractNum>
  <w:abstractNum w:abstractNumId="201">
    <w:nsid w:val="4C502870"/>
    <w:multiLevelType w:val="hybridMultilevel"/>
    <w:lvl w:ilvl="0">
      <w:lvlJc w:val="left"/>
      <w:lvlText w:val="(%1)"/>
      <w:numFmt w:val="lowerLetter"/>
      <w:start w:val="3"/>
    </w:lvl>
  </w:abstractNum>
  <w:abstractNum w:abstractNumId="202">
    <w:nsid w:val="1DE8725A"/>
    <w:multiLevelType w:val="hybridMultilevel"/>
    <w:lvl w:ilvl="0">
      <w:lvlJc w:val="left"/>
      <w:lvlText w:val="(%1)"/>
      <w:numFmt w:val="lowerLetter"/>
      <w:start w:val="5"/>
    </w:lvl>
  </w:abstractNum>
  <w:abstractNum w:abstractNumId="203">
    <w:nsid w:val="6A37288A"/>
    <w:multiLevelType w:val="hybridMultilevel"/>
    <w:lvl w:ilvl="0">
      <w:lvlJc w:val="left"/>
      <w:lvlText w:val="%1."/>
      <w:numFmt w:val="decimal"/>
      <w:start w:val="4"/>
    </w:lvl>
  </w:abstractNum>
  <w:abstractNum w:abstractNumId="204">
    <w:nsid w:val="8F8B73F"/>
    <w:multiLevelType w:val="hybridMultilevel"/>
    <w:lvl w:ilvl="0">
      <w:lvlJc w:val="left"/>
      <w:lvlText w:val="(%1)"/>
      <w:numFmt w:val="lowerLetter"/>
      <w:start w:val="1"/>
    </w:lvl>
  </w:abstractNum>
  <w:abstractNum w:abstractNumId="205">
    <w:nsid w:val="CA6B462"/>
    <w:multiLevelType w:val="hybridMultilevel"/>
    <w:lvl w:ilvl="0">
      <w:lvlJc w:val="left"/>
      <w:lvlText w:val="%1."/>
      <w:numFmt w:val="decimal"/>
      <w:start w:val="5"/>
    </w:lvl>
  </w:abstractNum>
  <w:abstractNum w:abstractNumId="206">
    <w:nsid w:val="763CB680"/>
    <w:multiLevelType w:val="hybridMultilevel"/>
    <w:lvl w:ilvl="0">
      <w:lvlJc w:val="left"/>
      <w:lvlText w:val="(%1)"/>
      <w:numFmt w:val="lowerLetter"/>
      <w:start w:val="1"/>
    </w:lvl>
    <w:lvl w:ilvl="1">
      <w:lvlJc w:val="left"/>
      <w:lvlText w:val="(%2)"/>
      <w:numFmt w:val="lowerRoman"/>
      <w:start w:val="1"/>
    </w:lvl>
  </w:abstractNum>
  <w:abstractNum w:abstractNumId="207">
    <w:nsid w:val="15B71329"/>
    <w:multiLevelType w:val="hybridMultilevel"/>
    <w:lvl w:ilvl="0">
      <w:lvlJc w:val="left"/>
      <w:lvlText w:val="(%1)"/>
      <w:numFmt w:val="lowerLetter"/>
      <w:start w:val="10"/>
    </w:lvl>
  </w:abstractNum>
  <w:abstractNum w:abstractNumId="208">
    <w:nsid w:val="3DA97044"/>
    <w:multiLevelType w:val="hybridMultilevel"/>
    <w:lvl w:ilvl="0">
      <w:lvlJc w:val="left"/>
      <w:lvlText w:val="(%1)"/>
      <w:numFmt w:val="decimal"/>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lvl w:ilvl="1">
      <w:lvlJc w:val="left"/>
      <w:lvlText w:val="%2."/>
      <w:numFmt w:val="lowerLetter"/>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2019-12-29T13:44:37Z</dcterms:created>
  <dcterms:modified xsi:type="dcterms:W3CDTF">2019-12-29T13:44:37Z</dcterms:modified>
</cp:coreProperties>
</file>