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540"/>
        <w:spacing w:after="0"/>
        <w:rPr>
          <w:sz w:val="20"/>
          <w:szCs w:val="20"/>
          <w:color w:val="auto"/>
        </w:rPr>
      </w:pPr>
      <w:r>
        <w:rPr>
          <w:rFonts w:ascii="Arial" w:cs="Arial" w:eastAsia="Arial" w:hAnsi="Arial"/>
          <w:sz w:val="18"/>
          <w:szCs w:val="18"/>
          <w:color w:val="auto"/>
        </w:rPr>
        <w:t>____________________________________________</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52"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w:t>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6" w:lineRule="exact"/>
        <w:rPr>
          <w:sz w:val="24"/>
          <w:szCs w:val="24"/>
          <w:color w:val="auto"/>
        </w:rPr>
      </w:pPr>
    </w:p>
    <w:p>
      <w:pPr>
        <w:ind w:left="720" w:right="80" w:hanging="685"/>
        <w:spacing w:after="0" w:line="259" w:lineRule="auto"/>
        <w:tabs>
          <w:tab w:leader="none" w:pos="72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5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0" w:lineRule="exact"/>
        <w:rPr>
          <w:sz w:val="24"/>
          <w:szCs w:val="24"/>
          <w:color w:val="auto"/>
        </w:rPr>
      </w:pPr>
    </w:p>
    <w:p>
      <w:pPr>
        <w:ind w:left="720" w:right="80" w:hanging="685"/>
        <w:spacing w:after="0" w:line="260"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3" w:lineRule="exact"/>
        <w:rPr>
          <w:sz w:val="24"/>
          <w:szCs w:val="24"/>
          <w:color w:val="auto"/>
        </w:rPr>
      </w:pPr>
    </w:p>
    <w:tbl>
      <w:tblPr>
        <w:tblLayout w:type="fixed"/>
        <w:tblInd w:w="1400" w:type="dxa"/>
        <w:tblCellMar>
          <w:top w:w="0" w:type="dxa"/>
          <w:left w:w="0" w:type="dxa"/>
          <w:bottom w:w="0" w:type="dxa"/>
          <w:right w:w="0" w:type="dxa"/>
        </w:tblCellMar>
      </w:tblPr>
      <w:tr>
        <w:trPr>
          <w:trHeight w:val="207"/>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Commission File Number: 001-35480</w:t>
            </w:r>
          </w:p>
        </w:tc>
        <w:tc>
          <w:tcPr>
            <w:tcW w:w="1260" w:type="dxa"/>
            <w:vAlign w:val="bottom"/>
          </w:tcPr>
          <w:p>
            <w:pPr>
              <w:spacing w:after="0"/>
              <w:rPr>
                <w:sz w:val="17"/>
                <w:szCs w:val="17"/>
                <w:color w:val="auto"/>
              </w:rPr>
            </w:pPr>
          </w:p>
        </w:tc>
      </w:tr>
      <w:tr>
        <w:trPr>
          <w:trHeight w:val="148"/>
        </w:trPr>
        <w:tc>
          <w:tcPr>
            <w:tcW w:w="6580" w:type="dxa"/>
            <w:vAlign w:val="bottom"/>
          </w:tcPr>
          <w:p>
            <w:pPr>
              <w:jc w:val="center"/>
              <w:ind w:left="2010"/>
              <w:spacing w:after="0" w:line="149" w:lineRule="exact"/>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2"/>
                <w:szCs w:val="12"/>
                <w:color w:val="auto"/>
              </w:rPr>
            </w:pPr>
          </w:p>
        </w:tc>
      </w:tr>
      <w:tr>
        <w:trPr>
          <w:trHeight w:val="613"/>
        </w:trPr>
        <w:tc>
          <w:tcPr>
            <w:tcW w:w="6580" w:type="dxa"/>
            <w:vAlign w:val="bottom"/>
          </w:tcPr>
          <w:p>
            <w:pPr>
              <w:ind w:left="2160"/>
              <w:spacing w:after="0"/>
              <w:rPr>
                <w:sz w:val="20"/>
                <w:szCs w:val="20"/>
                <w:color w:val="auto"/>
              </w:rPr>
            </w:pPr>
            <w:r>
              <w:rPr>
                <w:rFonts w:ascii="Arial" w:cs="Arial" w:eastAsia="Arial" w:hAnsi="Arial"/>
                <w:sz w:val="43"/>
                <w:szCs w:val="43"/>
                <w:b w:val="1"/>
                <w:bCs w:val="1"/>
                <w:color w:val="auto"/>
              </w:rPr>
              <w:t>Enphase Energy, Inc.</w:t>
            </w:r>
          </w:p>
        </w:tc>
        <w:tc>
          <w:tcPr>
            <w:tcW w:w="1260" w:type="dxa"/>
            <w:vAlign w:val="bottom"/>
          </w:tcPr>
          <w:p>
            <w:pPr>
              <w:spacing w:after="0"/>
              <w:rPr>
                <w:sz w:val="24"/>
                <w:szCs w:val="24"/>
                <w:color w:val="auto"/>
              </w:rPr>
            </w:pPr>
          </w:p>
        </w:tc>
      </w:tr>
      <w:tr>
        <w:trPr>
          <w:trHeight w:val="224"/>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60" w:type="dxa"/>
            <w:vAlign w:val="bottom"/>
          </w:tcPr>
          <w:p>
            <w:pPr>
              <w:spacing w:after="0"/>
              <w:rPr>
                <w:sz w:val="19"/>
                <w:szCs w:val="19"/>
                <w:color w:val="auto"/>
              </w:rPr>
            </w:pPr>
          </w:p>
        </w:tc>
      </w:tr>
      <w:tr>
        <w:trPr>
          <w:trHeight w:val="194"/>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6"/>
                <w:szCs w:val="16"/>
                <w:color w:val="auto"/>
              </w:rPr>
            </w:pPr>
          </w:p>
        </w:tc>
      </w:tr>
      <w:tr>
        <w:trPr>
          <w:trHeight w:val="317"/>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20-4645388</w:t>
            </w:r>
          </w:p>
        </w:tc>
      </w:tr>
      <w:tr>
        <w:trPr>
          <w:trHeight w:val="16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(State or other jurisdiction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incorporation or organization)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28"/>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1420 N. McDowell Blvd.</w:t>
            </w:r>
          </w:p>
        </w:tc>
        <w:tc>
          <w:tcPr>
            <w:tcW w:w="1260" w:type="dxa"/>
            <w:vAlign w:val="bottom"/>
          </w:tcPr>
          <w:p>
            <w:pPr>
              <w:spacing w:after="0"/>
              <w:rPr>
                <w:sz w:val="24"/>
                <w:szCs w:val="24"/>
                <w:color w:val="auto"/>
              </w:rPr>
            </w:pPr>
          </w:p>
        </w:tc>
      </w:tr>
      <w:tr>
        <w:trPr>
          <w:trHeight w:val="253"/>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Petaluma, California</w:t>
            </w:r>
          </w:p>
        </w:tc>
        <w:tc>
          <w:tcPr>
            <w:tcW w:w="1260" w:type="dxa"/>
            <w:vAlign w:val="bottom"/>
          </w:tcPr>
          <w:p>
            <w:pPr>
              <w:jc w:val="right"/>
              <w:ind w:right="281"/>
              <w:spacing w:after="0"/>
              <w:rPr>
                <w:sz w:val="20"/>
                <w:szCs w:val="20"/>
                <w:color w:val="auto"/>
              </w:rPr>
            </w:pPr>
            <w:r>
              <w:rPr>
                <w:rFonts w:ascii="Arial" w:cs="Arial" w:eastAsia="Arial" w:hAnsi="Arial"/>
                <w:sz w:val="18"/>
                <w:szCs w:val="18"/>
                <w:b w:val="1"/>
                <w:bCs w:val="1"/>
                <w:color w:val="auto"/>
              </w:rPr>
              <w:t>94954</w:t>
            </w:r>
          </w:p>
        </w:tc>
      </w:tr>
      <w:tr>
        <w:trPr>
          <w:trHeight w:val="216"/>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38"/>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(707) 774-7000</w:t>
            </w:r>
          </w:p>
        </w:tc>
        <w:tc>
          <w:tcPr>
            <w:tcW w:w="1260" w:type="dxa"/>
            <w:vAlign w:val="bottom"/>
          </w:tcPr>
          <w:p>
            <w:pPr>
              <w:spacing w:after="0"/>
              <w:rPr>
                <w:sz w:val="24"/>
                <w:szCs w:val="24"/>
                <w:color w:val="auto"/>
              </w:rPr>
            </w:pPr>
          </w:p>
        </w:tc>
      </w:tr>
      <w:tr>
        <w:trPr>
          <w:trHeight w:val="151"/>
        </w:trPr>
        <w:tc>
          <w:tcPr>
            <w:tcW w:w="6580" w:type="dxa"/>
            <w:vAlign w:val="bottom"/>
          </w:tcPr>
          <w:p>
            <w:pPr>
              <w:jc w:val="center"/>
              <w:ind w:left="1970"/>
              <w:spacing w:after="0" w:line="151" w:lineRule="exact"/>
              <w:rPr>
                <w:sz w:val="20"/>
                <w:szCs w:val="20"/>
                <w:color w:val="auto"/>
              </w:rPr>
            </w:pPr>
            <w:r>
              <w:rPr>
                <w:rFonts w:ascii="Arial" w:cs="Arial" w:eastAsia="Arial" w:hAnsi="Arial"/>
                <w:sz w:val="14"/>
                <w:szCs w:val="14"/>
                <w:b w:val="1"/>
                <w:bCs w:val="1"/>
                <w:color w:val="auto"/>
              </w:rPr>
              <w:t>(Registrant’s telephone number, including area code)</w:t>
            </w:r>
          </w:p>
        </w:tc>
        <w:tc>
          <w:tcPr>
            <w:tcW w:w="1260" w:type="dxa"/>
            <w:vAlign w:val="bottom"/>
          </w:tcPr>
          <w:p>
            <w:pPr>
              <w:spacing w:after="0"/>
              <w:rPr>
                <w:sz w:val="13"/>
                <w:szCs w:val="13"/>
                <w:color w:val="auto"/>
              </w:rPr>
            </w:pPr>
          </w:p>
        </w:tc>
      </w:tr>
      <w:tr>
        <w:trPr>
          <w:trHeight w:val="194"/>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6"/>
                <w:szCs w:val="16"/>
                <w:color w:val="auto"/>
              </w:rPr>
            </w:pPr>
          </w:p>
        </w:tc>
      </w:tr>
    </w:tbl>
    <w:p>
      <w:pPr>
        <w:spacing w:after="0" w:line="116" w:lineRule="exact"/>
        <w:rPr>
          <w:sz w:val="24"/>
          <w:szCs w:val="24"/>
          <w:color w:val="auto"/>
        </w:rPr>
      </w:pPr>
    </w:p>
    <w:p>
      <w:pPr>
        <w:ind w:right="20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0" w:lineRule="exact"/>
        <w:rPr>
          <w:sz w:val="24"/>
          <w:szCs w:val="24"/>
          <w:color w:val="auto"/>
        </w:rPr>
      </w:pPr>
    </w:p>
    <w:p>
      <w:pPr>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1" w:lineRule="exact"/>
        <w:rPr>
          <w:sz w:val="24"/>
          <w:szCs w:val="24"/>
          <w:color w:val="auto"/>
        </w:rPr>
      </w:pPr>
    </w:p>
    <w:p>
      <w:pPr>
        <w:ind w:right="28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ectPr>
          <w:pgSz w:w="11900" w:h="16838" w:orient="portrait"/>
          <w:cols w:equalWidth="0" w:num="1">
            <w:col w:w="11340"/>
          </w:cols>
          <w:pgMar w:left="240" w:top="225" w:right="319" w:bottom="1440" w:gutter="0" w:footer="0" w:header="0"/>
        </w:sectPr>
      </w:pPr>
    </w:p>
    <w:p>
      <w:pPr>
        <w:spacing w:after="0" w:line="76"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1080"/>
              <w:spacing w:after="0"/>
              <w:rPr>
                <w:sz w:val="20"/>
                <w:szCs w:val="20"/>
                <w:color w:val="auto"/>
              </w:rPr>
            </w:pPr>
            <w:r>
              <w:rPr>
                <w:rFonts w:ascii="Arial" w:cs="Arial" w:eastAsia="Arial" w:hAnsi="Arial"/>
                <w:sz w:val="14"/>
                <w:szCs w:val="14"/>
                <w:color w:val="auto"/>
              </w:rPr>
              <w:t>Accelerated filer</w:t>
            </w:r>
          </w:p>
        </w:tc>
      </w:tr>
      <w:tr>
        <w:trPr>
          <w:trHeight w:val="35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0" w:type="dxa"/>
            <w:vAlign w:val="bottom"/>
          </w:tcPr>
          <w:p>
            <w:pPr>
              <w:ind w:left="4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800" w:type="dxa"/>
            <w:vAlign w:val="bottom"/>
          </w:tcPr>
          <w:p>
            <w:pPr>
              <w:ind w:left="1080"/>
              <w:spacing w:after="0"/>
              <w:rPr>
                <w:sz w:val="20"/>
                <w:szCs w:val="20"/>
                <w:color w:val="auto"/>
              </w:rPr>
            </w:pPr>
            <w:r>
              <w:rPr>
                <w:rFonts w:ascii="Arial" w:cs="Arial" w:eastAsia="Arial" w:hAnsi="Arial"/>
                <w:sz w:val="14"/>
                <w:szCs w:val="14"/>
                <w:color w:val="auto"/>
              </w:rPr>
              <w:t>Smaller reporting company</w:t>
            </w:r>
          </w:p>
        </w:tc>
      </w:tr>
      <w:tr>
        <w:trPr>
          <w:trHeight w:val="392"/>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6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x</w:t>
            </w:r>
          </w:p>
        </w:tc>
        <w:tc>
          <w:tcPr>
            <w:tcW w:w="2800" w:type="dxa"/>
            <w:vAlign w:val="bottom"/>
          </w:tcPr>
          <w:p>
            <w:pPr>
              <w:spacing w:after="0"/>
              <w:rPr>
                <w:sz w:val="24"/>
                <w:szCs w:val="24"/>
                <w:color w:val="auto"/>
              </w:rPr>
            </w:pPr>
          </w:p>
        </w:tc>
      </w:tr>
    </w:tbl>
    <w:p>
      <w:pPr>
        <w:spacing w:after="0" w:line="76" w:lineRule="exact"/>
        <w:rPr>
          <w:sz w:val="24"/>
          <w:szCs w:val="24"/>
          <w:color w:val="auto"/>
        </w:rPr>
      </w:pPr>
    </w:p>
    <w:p>
      <w:pPr>
        <w:spacing w:after="0" w:line="290" w:lineRule="auto"/>
        <w:rPr>
          <w:sz w:val="20"/>
          <w:szCs w:val="20"/>
          <w:color w:val="auto"/>
        </w:rPr>
      </w:pPr>
      <w:r>
        <w:rPr>
          <w:rFonts w:ascii="Arial" w:cs="Arial" w:eastAsia="Arial" w:hAnsi="Arial"/>
          <w:sz w:val="14"/>
          <w:szCs w:val="14"/>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4"/>
          <w:szCs w:val="14"/>
          <w:color w:val="auto"/>
        </w:rPr>
        <w:t>x</w:t>
      </w:r>
    </w:p>
    <w:p>
      <w:pPr>
        <w:spacing w:after="0" w:line="10" w:lineRule="exact"/>
        <w:rPr>
          <w:sz w:val="24"/>
          <w:szCs w:val="24"/>
          <w:color w:val="auto"/>
        </w:rPr>
      </w:pPr>
    </w:p>
    <w:p>
      <w:pPr>
        <w:jc w:val="both"/>
        <w:ind w:right="2620"/>
        <w:spacing w:after="0" w:line="23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As of August 4, 2017, there were 84,581,020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900" w:space="200"/>
            <w:col w:w="240"/>
          </w:cols>
          <w:pgMar w:left="240" w:top="225"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13"/>
          </w:tcPr>
          <w:p>
            <w:pPr>
              <w:jc w:val="center"/>
              <w:ind w:right="2700"/>
              <w:spacing w:after="0" w:line="185"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40" w:type="dxa"/>
            <w:vAlign w:val="bottom"/>
            <w:tcBorders>
              <w:top w:val="single" w:sz="8" w:color="0000EE"/>
            </w:tcBorders>
            <w:gridSpan w:val="10"/>
          </w:tcPr>
          <w:p>
            <w:pPr>
              <w:spacing w:after="0"/>
              <w:rPr>
                <w:sz w:val="24"/>
                <w:szCs w:val="24"/>
                <w:color w:val="auto"/>
              </w:rPr>
            </w:pPr>
          </w:p>
        </w:tc>
        <w:tc>
          <w:tcPr>
            <w:tcW w:w="310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418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00" w:type="dxa"/>
            <w:vAlign w:val="bottom"/>
            <w:gridSpan w:val="2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vMerge w:val="continue"/>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7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60" w:type="dxa"/>
            <w:vAlign w:val="bottom"/>
            <w:gridSpan w:val="3"/>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1"/>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Management’s Discussion and Analysis of Financial Condition and Results of Operations</w:t>
              </w:r>
            </w:hyperlink>
          </w:p>
        </w:tc>
        <w:tc>
          <w:tcPr>
            <w:tcW w:w="20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02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1"/>
          </w:tcPr>
          <w:p>
            <w:pPr>
              <w:jc w:val="center"/>
              <w:ind w:right="3240"/>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PART II. OTHER INFORMATION</w:t>
              </w:r>
            </w:hyperlink>
          </w:p>
        </w:tc>
        <w:tc>
          <w:tcPr>
            <w:tcW w:w="1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2660" w:type="dxa"/>
            <w:vAlign w:val="bottom"/>
            <w:tcBorders>
              <w:top w:val="single" w:sz="8" w:color="0000EE"/>
            </w:tcBorders>
            <w:gridSpan w:val="8"/>
          </w:tcPr>
          <w:p>
            <w:pPr>
              <w:spacing w:after="0"/>
              <w:rPr>
                <w:sz w:val="24"/>
                <w:szCs w:val="24"/>
                <w:color w:val="auto"/>
              </w:rPr>
            </w:pPr>
          </w:p>
        </w:tc>
        <w:tc>
          <w:tcPr>
            <w:tcW w:w="324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29">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7620" w:type="dxa"/>
            <w:vAlign w:val="bottom"/>
            <w:gridSpan w:val="1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426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6560" w:type="dxa"/>
            <w:vAlign w:val="bottom"/>
            <w:gridSpan w:val="1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180" w:type="dxa"/>
            <w:vAlign w:val="bottom"/>
            <w:gridSpan w:val="1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7700" w:type="dxa"/>
            <w:vAlign w:val="bottom"/>
            <w:gridSpan w:val="18"/>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10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ENPHASE ENERGY,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(In thousands, except par value)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6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5"/>
        </w:trPr>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940" w:type="dxa"/>
            <w:vAlign w:val="bottom"/>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ASSETS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40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17,764</w:t>
            </w:r>
          </w:p>
        </w:tc>
        <w:tc>
          <w:tcPr>
            <w:tcW w:w="0" w:type="dxa"/>
            <w:vAlign w:val="bottom"/>
          </w:tcPr>
          <w:p>
            <w:pPr>
              <w:spacing w:after="0"/>
              <w:rPr>
                <w:sz w:val="1"/>
                <w:szCs w:val="1"/>
                <w:color w:val="auto"/>
              </w:rPr>
            </w:pPr>
          </w:p>
        </w:tc>
      </w:tr>
      <w:tr>
        <w:trPr>
          <w:trHeight w:val="207"/>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Accounts receivable, net of allowances of $2,638 and $2,921 at June 30, 2017 and December 31,</w:t>
            </w:r>
          </w:p>
        </w:tc>
        <w:tc>
          <w:tcPr>
            <w:tcW w:w="280" w:type="dxa"/>
            <w:vAlign w:val="bottom"/>
          </w:tcPr>
          <w:p>
            <w:pPr>
              <w:spacing w:after="0"/>
              <w:rPr>
                <w:sz w:val="17"/>
                <w:szCs w:val="17"/>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56,403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restart"/>
          </w:tcPr>
          <w:p>
            <w:pPr>
              <w:jc w:val="right"/>
              <w:ind w:right="13"/>
              <w:spacing w:after="0"/>
              <w:rPr>
                <w:sz w:val="20"/>
                <w:szCs w:val="20"/>
                <w:color w:val="auto"/>
              </w:rPr>
            </w:pPr>
            <w:r>
              <w:rPr>
                <w:rFonts w:ascii="Arial" w:cs="Arial" w:eastAsia="Arial" w:hAnsi="Arial"/>
                <w:sz w:val="18"/>
                <w:szCs w:val="18"/>
                <w:color w:val="auto"/>
              </w:rPr>
              <w:t>61,019</w:t>
            </w:r>
          </w:p>
        </w:tc>
        <w:tc>
          <w:tcPr>
            <w:tcW w:w="0" w:type="dxa"/>
            <w:vAlign w:val="bottom"/>
          </w:tcPr>
          <w:p>
            <w:pPr>
              <w:spacing w:after="0"/>
              <w:rPr>
                <w:sz w:val="1"/>
                <w:szCs w:val="1"/>
                <w:color w:val="auto"/>
              </w:rPr>
            </w:pPr>
          </w:p>
        </w:tc>
      </w:tr>
      <w:tr>
        <w:trPr>
          <w:trHeight w:val="135"/>
        </w:trPr>
        <w:tc>
          <w:tcPr>
            <w:tcW w:w="8340" w:type="dxa"/>
            <w:vAlign w:val="bottom"/>
            <w:gridSpan w:val="3"/>
            <w:vMerge w:val="restart"/>
          </w:tcPr>
          <w:p>
            <w:pPr>
              <w:ind w:left="460"/>
              <w:spacing w:after="0"/>
              <w:rPr>
                <w:sz w:val="20"/>
                <w:szCs w:val="20"/>
                <w:color w:val="auto"/>
              </w:rPr>
            </w:pPr>
            <w:r>
              <w:rPr>
                <w:rFonts w:ascii="Arial" w:cs="Arial" w:eastAsia="Arial" w:hAnsi="Arial"/>
                <w:sz w:val="18"/>
                <w:szCs w:val="18"/>
                <w:color w:val="auto"/>
              </w:rPr>
              <w:t>2016, respectively</w:t>
            </w:r>
          </w:p>
        </w:tc>
        <w:tc>
          <w:tcPr>
            <w:tcW w:w="2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8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31,960</w:t>
            </w:r>
          </w:p>
        </w:tc>
        <w:tc>
          <w:tcPr>
            <w:tcW w:w="0" w:type="dxa"/>
            <w:vAlign w:val="bottom"/>
          </w:tcPr>
          <w:p>
            <w:pPr>
              <w:spacing w:after="0"/>
              <w:rPr>
                <w:sz w:val="1"/>
                <w:szCs w:val="1"/>
                <w:color w:val="auto"/>
              </w:rPr>
            </w:pPr>
          </w:p>
        </w:tc>
      </w:tr>
      <w:tr>
        <w:trPr>
          <w:trHeight w:val="247"/>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13,307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3"/>
        </w:trPr>
        <w:tc>
          <w:tcPr>
            <w:tcW w:w="1400" w:type="dxa"/>
            <w:vAlign w:val="bottom"/>
            <w:tcBorders>
              <w:bottom w:val="single" w:sz="8" w:color="CCEEFF"/>
            </w:tcBorders>
            <w:gridSpan w:val="2"/>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121,502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117,864</w:t>
            </w:r>
          </w:p>
        </w:tc>
        <w:tc>
          <w:tcPr>
            <w:tcW w:w="0" w:type="dxa"/>
            <w:vAlign w:val="bottom"/>
          </w:tcPr>
          <w:p>
            <w:pPr>
              <w:spacing w:after="0"/>
              <w:rPr>
                <w:sz w:val="1"/>
                <w:szCs w:val="1"/>
                <w:color w:val="auto"/>
              </w:rPr>
            </w:pPr>
          </w:p>
        </w:tc>
      </w:tr>
      <w:tr>
        <w:trPr>
          <w:trHeight w:val="24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31,440</w:t>
            </w: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Intangibles, net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85"/>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163,678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163,576</w:t>
            </w:r>
          </w:p>
        </w:tc>
        <w:tc>
          <w:tcPr>
            <w:tcW w:w="0" w:type="dxa"/>
            <w:vAlign w:val="bottom"/>
          </w:tcPr>
          <w:p>
            <w:pPr>
              <w:spacing w:after="0"/>
              <w:rPr>
                <w:sz w:val="1"/>
                <w:szCs w:val="1"/>
                <w:color w:val="auto"/>
              </w:rPr>
            </w:pPr>
          </w:p>
        </w:tc>
      </w:tr>
      <w:tr>
        <w:trPr>
          <w:trHeight w:val="235"/>
        </w:trPr>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27" w:lineRule="exact"/>
        <w:rPr>
          <w:sz w:val="20"/>
          <w:szCs w:val="20"/>
          <w:color w:val="auto"/>
        </w:rPr>
      </w:pPr>
    </w:p>
    <w:p>
      <w:pPr>
        <w:ind w:left="380"/>
        <w:spacing w:after="0"/>
        <w:tabs>
          <w:tab w:leader="none" w:pos="834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revenues, current</w:t>
      </w:r>
    </w:p>
    <w:p>
      <w:pPr>
        <w:spacing w:after="0" w:line="63" w:lineRule="exact"/>
        <w:rPr>
          <w:sz w:val="20"/>
          <w:szCs w:val="20"/>
          <w:color w:val="auto"/>
        </w:rPr>
      </w:pPr>
    </w:p>
    <w:p>
      <w:pPr>
        <w:ind w:left="460" w:right="240" w:hanging="80"/>
        <w:spacing w:after="0" w:line="266" w:lineRule="auto"/>
        <w:rPr>
          <w:sz w:val="20"/>
          <w:szCs w:val="20"/>
          <w:color w:val="auto"/>
        </w:rPr>
      </w:pPr>
      <w:r>
        <w:rPr>
          <w:rFonts w:ascii="Arial" w:cs="Arial" w:eastAsia="Arial" w:hAnsi="Arial"/>
          <w:sz w:val="18"/>
          <w:szCs w:val="18"/>
          <w:color w:val="auto"/>
        </w:rPr>
        <w:t>Warranty obligations, current (includes $3,651 and $3,296 measured at fair value at June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Revolving credit facility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Current portion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current liabilities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liabilities: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15,425</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31,696</w:t>
            </w:r>
          </w:p>
        </w:tc>
      </w:tr>
      <w:tr>
        <w:trPr>
          <w:trHeight w:val="270"/>
        </w:trPr>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25,795</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22,937</w:t>
            </w:r>
          </w:p>
        </w:tc>
      </w:tr>
      <w:tr>
        <w:trPr>
          <w:trHeight w:val="270"/>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8,142</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6,411</w:t>
            </w:r>
          </w:p>
        </w:tc>
      </w:tr>
      <w:tr>
        <w:trPr>
          <w:trHeight w:val="365"/>
        </w:trPr>
        <w:tc>
          <w:tcPr>
            <w:tcW w:w="680" w:type="dxa"/>
            <w:vAlign w:val="bottom"/>
          </w:tcPr>
          <w:p>
            <w:pPr>
              <w:jc w:val="right"/>
              <w:ind w:right="30"/>
              <w:spacing w:after="0"/>
              <w:rPr>
                <w:sz w:val="20"/>
                <w:szCs w:val="20"/>
                <w:color w:val="auto"/>
              </w:rPr>
            </w:pPr>
            <w:r>
              <w:rPr>
                <w:rFonts w:ascii="Arial" w:cs="Arial" w:eastAsia="Arial" w:hAnsi="Arial"/>
                <w:sz w:val="18"/>
                <w:szCs w:val="18"/>
                <w:color w:val="auto"/>
              </w:rPr>
              <w:t>8,032</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8,596</w:t>
            </w:r>
          </w:p>
        </w:tc>
      </w:tr>
    </w:tbl>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—10,100</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5,9513,032</w:t>
      </w:r>
    </w:p>
    <w:p>
      <w:pPr>
        <w:spacing w:after="0" w:line="7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63,345</w:t>
      </w:r>
      <w:r>
        <w:rPr>
          <w:sz w:val="20"/>
          <w:szCs w:val="20"/>
          <w:color w:val="auto"/>
        </w:rPr>
        <w:tab/>
      </w:r>
      <w:r>
        <w:rPr>
          <w:rFonts w:ascii="Arial" w:cs="Arial" w:eastAsia="Arial" w:hAnsi="Arial"/>
          <w:sz w:val="18"/>
          <w:szCs w:val="18"/>
          <w:color w:val="auto"/>
        </w:rPr>
        <w:t>82,772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29" w:lineRule="exact"/>
        <w:rPr>
          <w:sz w:val="20"/>
          <w:szCs w:val="20"/>
          <w:color w:val="auto"/>
        </w:rPr>
      </w:pPr>
    </w:p>
    <w:p>
      <w:pPr>
        <w:sectPr>
          <w:pgSz w:w="11900" w:h="16838" w:orient="portrait"/>
          <w:cols w:equalWidth="0" w:num="2">
            <w:col w:w="8460" w:space="700"/>
            <w:col w:w="226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revenues, noncurrent</w:t>
            </w:r>
          </w:p>
        </w:tc>
        <w:tc>
          <w:tcPr>
            <w:tcW w:w="1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35,782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33,893</w:t>
            </w:r>
          </w:p>
        </w:tc>
        <w:tc>
          <w:tcPr>
            <w:tcW w:w="0" w:type="dxa"/>
            <w:vAlign w:val="bottom"/>
          </w:tcPr>
          <w:p>
            <w:pPr>
              <w:spacing w:after="0"/>
              <w:rPr>
                <w:sz w:val="1"/>
                <w:szCs w:val="1"/>
                <w:color w:val="auto"/>
              </w:rPr>
            </w:pPr>
          </w:p>
        </w:tc>
      </w:tr>
      <w:tr>
        <w:trPr>
          <w:trHeight w:val="207"/>
        </w:trPr>
        <w:tc>
          <w:tcPr>
            <w:tcW w:w="8620" w:type="dxa"/>
            <w:vAlign w:val="bottom"/>
          </w:tcPr>
          <w:p>
            <w:pPr>
              <w:ind w:left="380"/>
              <w:spacing w:after="0"/>
              <w:rPr>
                <w:sz w:val="20"/>
                <w:szCs w:val="20"/>
                <w:color w:val="auto"/>
              </w:rPr>
            </w:pPr>
            <w:r>
              <w:rPr>
                <w:rFonts w:ascii="Arial" w:cs="Arial" w:eastAsia="Arial" w:hAnsi="Arial"/>
                <w:sz w:val="18"/>
                <w:szCs w:val="18"/>
                <w:color w:val="auto"/>
              </w:rPr>
              <w:t>Warranty obligations, noncurrent (includes $8,913 and $7,036 measured at fair value at June 30,</w:t>
            </w:r>
          </w:p>
        </w:tc>
        <w:tc>
          <w:tcPr>
            <w:tcW w:w="1620" w:type="dxa"/>
            <w:vAlign w:val="bottom"/>
            <w:vMerge w:val="restart"/>
          </w:tcPr>
          <w:p>
            <w:pPr>
              <w:jc w:val="right"/>
              <w:ind w:right="430"/>
              <w:spacing w:after="0"/>
              <w:rPr>
                <w:sz w:val="20"/>
                <w:szCs w:val="20"/>
                <w:color w:val="auto"/>
              </w:rPr>
            </w:pPr>
            <w:r>
              <w:rPr>
                <w:rFonts w:ascii="Arial" w:cs="Arial" w:eastAsia="Arial" w:hAnsi="Arial"/>
                <w:sz w:val="18"/>
                <w:szCs w:val="18"/>
                <w:color w:val="auto"/>
              </w:rPr>
              <w:t>23,581</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135"/>
        </w:trPr>
        <w:tc>
          <w:tcPr>
            <w:tcW w:w="8620" w:type="dxa"/>
            <w:vAlign w:val="bottom"/>
            <w:vMerge w:val="restart"/>
          </w:tcPr>
          <w:p>
            <w:pPr>
              <w:ind w:left="460"/>
              <w:spacing w:after="0"/>
              <w:rPr>
                <w:sz w:val="20"/>
                <w:szCs w:val="20"/>
                <w:color w:val="auto"/>
              </w:rPr>
            </w:pPr>
            <w:r>
              <w:rPr>
                <w:rFonts w:ascii="Arial" w:cs="Arial" w:eastAsia="Arial" w:hAnsi="Arial"/>
                <w:sz w:val="18"/>
                <w:szCs w:val="18"/>
                <w:color w:val="auto"/>
              </w:rPr>
              <w:t>2017 and December 31, 2016, respectively)</w:t>
            </w:r>
          </w:p>
        </w:tc>
        <w:tc>
          <w:tcPr>
            <w:tcW w:w="16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6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Term loan,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Stockholders’ equity: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3" w:lineRule="exact"/>
        <w:rPr>
          <w:sz w:val="20"/>
          <w:szCs w:val="20"/>
          <w:color w:val="auto"/>
        </w:rPr>
      </w:pPr>
    </w:p>
    <w:p>
      <w:pPr>
        <w:ind w:left="460" w:right="400" w:hanging="80"/>
        <w:spacing w:after="0" w:line="266" w:lineRule="auto"/>
        <w:rPr>
          <w:sz w:val="20"/>
          <w:szCs w:val="20"/>
          <w:color w:val="auto"/>
        </w:rPr>
      </w:pPr>
      <w:r>
        <w:rPr>
          <w:rFonts w:ascii="Arial" w:cs="Arial" w:eastAsia="Arial" w:hAnsi="Arial"/>
          <w:sz w:val="18"/>
          <w:szCs w:val="18"/>
          <w:color w:val="auto"/>
        </w:rPr>
        <w:t>Common stock, $0.00001 par value, 125,000 and 100,000 shares authorized and 84,581 and 62,269 shares issued and outstanding at June 30, 2017 and December 31, 2016, respectively</w:t>
      </w:r>
    </w:p>
    <w:p>
      <w:pPr>
        <w:spacing w:after="0" w:line="20" w:lineRule="exact"/>
        <w:rPr>
          <w:sz w:val="20"/>
          <w:szCs w:val="20"/>
          <w:color w:val="auto"/>
        </w:rPr>
      </w:pPr>
      <w:r>
        <w:rPr>
          <w:sz w:val="20"/>
          <w:szCs w:val="20"/>
          <w:color w:val="auto"/>
        </w:rPr>
        <w:br w:type="column"/>
      </w:r>
    </w:p>
    <w:p>
      <w:pPr>
        <w:ind w:left="200"/>
        <w:spacing w:after="0"/>
        <w:tabs>
          <w:tab w:leader="none" w:pos="1780" w:val="left"/>
        </w:tabs>
        <w:rPr>
          <w:sz w:val="20"/>
          <w:szCs w:val="20"/>
          <w:color w:val="auto"/>
        </w:rPr>
      </w:pPr>
      <w:r>
        <w:rPr>
          <w:rFonts w:ascii="Arial" w:cs="Arial" w:eastAsia="Arial" w:hAnsi="Arial"/>
          <w:sz w:val="18"/>
          <w:szCs w:val="18"/>
          <w:color w:val="auto"/>
        </w:rPr>
        <w:t>1,969</w:t>
      </w:r>
      <w:r>
        <w:rPr>
          <w:sz w:val="20"/>
          <w:szCs w:val="20"/>
          <w:color w:val="auto"/>
        </w:rPr>
        <w:tab/>
      </w:r>
      <w:r>
        <w:rPr>
          <w:rFonts w:ascii="Arial" w:cs="Arial" w:eastAsia="Arial" w:hAnsi="Arial"/>
          <w:sz w:val="18"/>
          <w:szCs w:val="18"/>
          <w:color w:val="auto"/>
        </w:rPr>
        <w:t>2,025</w:t>
      </w:r>
    </w:p>
    <w:p>
      <w:pPr>
        <w:spacing w:after="0" w:line="63"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color w:val="auto"/>
        </w:rPr>
        <w:t>41,385</w:t>
      </w:r>
      <w:r>
        <w:rPr>
          <w:sz w:val="20"/>
          <w:szCs w:val="20"/>
          <w:color w:val="auto"/>
        </w:rPr>
        <w:tab/>
      </w:r>
      <w:r>
        <w:rPr>
          <w:rFonts w:ascii="Arial" w:cs="Arial" w:eastAsia="Arial" w:hAnsi="Arial"/>
          <w:sz w:val="18"/>
          <w:szCs w:val="18"/>
          <w:color w:val="auto"/>
        </w:rPr>
        <w:t>20,768</w:t>
      </w:r>
    </w:p>
    <w:p>
      <w:pPr>
        <w:spacing w:after="0" w:line="77"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166,062</w:t>
      </w:r>
      <w:r>
        <w:rPr>
          <w:sz w:val="20"/>
          <w:szCs w:val="20"/>
          <w:color w:val="auto"/>
        </w:rPr>
        <w:tab/>
      </w:r>
      <w:r>
        <w:rPr>
          <w:rFonts w:ascii="Arial" w:cs="Arial" w:eastAsia="Arial" w:hAnsi="Arial"/>
          <w:sz w:val="18"/>
          <w:szCs w:val="18"/>
          <w:color w:val="auto"/>
        </w:rPr>
        <w:t>162,276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28575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80"/>
        <w:spacing w:after="0"/>
        <w:tabs>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560"/>
        <w:spacing w:after="0"/>
        <w:tabs>
          <w:tab w:leader="none" w:pos="214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1</w:t>
      </w:r>
    </w:p>
    <w:p>
      <w:pPr>
        <w:spacing w:after="0" w:line="169" w:lineRule="exact"/>
        <w:rPr>
          <w:sz w:val="20"/>
          <w:szCs w:val="20"/>
          <w:color w:val="auto"/>
        </w:rPr>
      </w:pPr>
    </w:p>
    <w:p>
      <w:pPr>
        <w:sectPr>
          <w:pgSz w:w="11900" w:h="16838" w:orient="portrait"/>
          <w:cols w:equalWidth="0" w:num="2">
            <w:col w:w="8340" w:space="720"/>
            <w:col w:w="236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283,717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252,126</w:t>
            </w:r>
          </w:p>
        </w:tc>
      </w:tr>
      <w:tr>
        <w:trPr>
          <w:trHeight w:val="23"/>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(250,535)</w:t>
            </w:r>
          </w:p>
        </w:tc>
      </w:tr>
      <w:tr>
        <w:trPr>
          <w:trHeight w:val="247"/>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3"/>
        </w:trPr>
        <w:tc>
          <w:tcPr>
            <w:tcW w:w="8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163,678</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163,576</w:t>
            </w:r>
          </w:p>
        </w:tc>
      </w:tr>
      <w:tr>
        <w:trPr>
          <w:trHeight w:val="20"/>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0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74,704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79,185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129,455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143,306</w:t>
            </w:r>
          </w:p>
        </w:tc>
        <w:tc>
          <w:tcPr>
            <w:tcW w:w="0" w:type="dxa"/>
            <w:vAlign w:val="bottom"/>
          </w:tcPr>
          <w:p>
            <w:pPr>
              <w:spacing w:after="0"/>
              <w:rPr>
                <w:sz w:val="1"/>
                <w:szCs w:val="1"/>
                <w:color w:val="auto"/>
              </w:rPr>
            </w:pPr>
          </w:p>
        </w:tc>
      </w:tr>
      <w:tr>
        <w:trPr>
          <w:trHeight w:val="26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61,157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65,049</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108,861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117,410</w:t>
            </w:r>
          </w:p>
        </w:tc>
        <w:tc>
          <w:tcPr>
            <w:tcW w:w="0" w:type="dxa"/>
            <w:vAlign w:val="bottom"/>
          </w:tcPr>
          <w:p>
            <w:pPr>
              <w:spacing w:after="0"/>
              <w:rPr>
                <w:sz w:val="1"/>
                <w:szCs w:val="1"/>
                <w:color w:val="auto"/>
              </w:rPr>
            </w:pPr>
          </w:p>
        </w:tc>
      </w:tr>
      <w:tr>
        <w:trPr>
          <w:trHeight w:val="25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13,547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14,136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20,594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59"/>
        </w:trPr>
        <w:tc>
          <w:tcPr>
            <w:tcW w:w="6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26,157</w:t>
            </w:r>
          </w:p>
        </w:tc>
        <w:tc>
          <w:tcPr>
            <w:tcW w:w="0" w:type="dxa"/>
            <w:vAlign w:val="bottom"/>
          </w:tcPr>
          <w:p>
            <w:pPr>
              <w:spacing w:after="0"/>
              <w:rPr>
                <w:sz w:val="1"/>
                <w:szCs w:val="1"/>
                <w:color w:val="auto"/>
              </w:rPr>
            </w:pPr>
          </w:p>
        </w:tc>
      </w:tr>
      <w:tr>
        <w:trPr>
          <w:trHeight w:val="265"/>
        </w:trPr>
        <w:tc>
          <w:tcPr>
            <w:tcW w:w="65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12,732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20,202</w:t>
            </w:r>
          </w:p>
        </w:tc>
        <w:tc>
          <w:tcPr>
            <w:tcW w:w="0" w:type="dxa"/>
            <w:vAlign w:val="bottom"/>
          </w:tcPr>
          <w:p>
            <w:pPr>
              <w:spacing w:after="0"/>
              <w:rPr>
                <w:sz w:val="1"/>
                <w:szCs w:val="1"/>
                <w:color w:val="auto"/>
              </w:rPr>
            </w:pP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14,413</w:t>
            </w:r>
          </w:p>
        </w:tc>
        <w:tc>
          <w:tcPr>
            <w:tcW w:w="0" w:type="dxa"/>
            <w:vAlign w:val="bottom"/>
          </w:tcPr>
          <w:p>
            <w:pPr>
              <w:spacing w:after="0"/>
              <w:rPr>
                <w:sz w:val="1"/>
                <w:szCs w:val="1"/>
                <w:color w:val="auto"/>
              </w:rPr>
            </w:pPr>
          </w:p>
        </w:tc>
      </w:tr>
      <w:tr>
        <w:trPr>
          <w:trHeight w:val="265"/>
        </w:trPr>
        <w:tc>
          <w:tcPr>
            <w:tcW w:w="65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10,856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65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22,794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29,924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51,937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60,772</w:t>
            </w:r>
          </w:p>
        </w:tc>
        <w:tc>
          <w:tcPr>
            <w:tcW w:w="0" w:type="dxa"/>
            <w:vAlign w:val="bottom"/>
          </w:tcPr>
          <w:p>
            <w:pPr>
              <w:spacing w:after="0"/>
              <w:rPr>
                <w:sz w:val="1"/>
                <w:szCs w:val="1"/>
                <w:color w:val="auto"/>
              </w:rPr>
            </w:pPr>
          </w:p>
        </w:tc>
      </w:tr>
      <w:tr>
        <w:trPr>
          <w:trHeight w:val="245"/>
        </w:trPr>
        <w:tc>
          <w:tcPr>
            <w:tcW w:w="6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(34,876)</w:t>
            </w:r>
          </w:p>
        </w:tc>
        <w:tc>
          <w:tcPr>
            <w:tcW w:w="0" w:type="dxa"/>
            <w:vAlign w:val="bottom"/>
          </w:tcPr>
          <w:p>
            <w:pPr>
              <w:spacing w:after="0"/>
              <w:rPr>
                <w:sz w:val="1"/>
                <w:szCs w:val="1"/>
                <w:color w:val="auto"/>
              </w:rPr>
            </w:pPr>
          </w:p>
        </w:tc>
      </w:tr>
      <w:tr>
        <w:trPr>
          <w:trHeight w:val="27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5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5"/>
        </w:trPr>
        <w:tc>
          <w:tcPr>
            <w:tcW w:w="6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(34,938)</w:t>
            </w:r>
          </w:p>
        </w:tc>
        <w:tc>
          <w:tcPr>
            <w:tcW w:w="0" w:type="dxa"/>
            <w:vAlign w:val="bottom"/>
          </w:tcPr>
          <w:p>
            <w:pPr>
              <w:spacing w:after="0"/>
              <w:rPr>
                <w:sz w:val="1"/>
                <w:szCs w:val="1"/>
                <w:color w:val="auto"/>
              </w:rPr>
            </w:pPr>
          </w:p>
        </w:tc>
      </w:tr>
      <w:tr>
        <w:trPr>
          <w:trHeight w:val="26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55"/>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(35,518)</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84,434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80,542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46,415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1"/>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(35,518)</w:t>
            </w:r>
          </w:p>
        </w:tc>
      </w:tr>
      <w:tr>
        <w:trPr>
          <w:trHeight w:val="247"/>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5"/>
        </w:trPr>
        <w:tc>
          <w:tcPr>
            <w:tcW w:w="65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(35,275)</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(35,508)</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6"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5"/>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(35,398)</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(35,518)</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5,388</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62"/>
        </w:trPr>
        <w:tc>
          <w:tcPr>
            <w:tcW w:w="8580" w:type="dxa"/>
            <w:vAlign w:val="bottom"/>
          </w:tcPr>
          <w:p>
            <w:pPr>
              <w:ind w:left="720"/>
              <w:spacing w:after="0"/>
              <w:rPr>
                <w:sz w:val="20"/>
                <w:szCs w:val="20"/>
                <w:color w:val="auto"/>
              </w:rPr>
            </w:pPr>
            <w:r>
              <w:rPr>
                <w:rFonts w:ascii="Arial" w:cs="Arial" w:eastAsia="Arial" w:hAnsi="Arial"/>
                <w:sz w:val="16"/>
                <w:szCs w:val="16"/>
                <w:color w:val="auto"/>
              </w:rPr>
              <w:t>Asset impairment and restructuring</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62"/>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5,707</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62"/>
        </w:trPr>
        <w:tc>
          <w:tcPr>
            <w:tcW w:w="858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(3,697)</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15,338</w:t>
            </w:r>
          </w:p>
        </w:tc>
        <w:tc>
          <w:tcPr>
            <w:tcW w:w="0" w:type="dxa"/>
            <w:vAlign w:val="bottom"/>
          </w:tcPr>
          <w:p>
            <w:pPr>
              <w:spacing w:after="0"/>
              <w:rPr>
                <w:sz w:val="1"/>
                <w:szCs w:val="1"/>
                <w:color w:val="auto"/>
              </w:rPr>
            </w:pPr>
          </w:p>
        </w:tc>
      </w:tr>
      <w:tr>
        <w:trPr>
          <w:trHeight w:val="262"/>
        </w:trPr>
        <w:tc>
          <w:tcPr>
            <w:tcW w:w="8580" w:type="dxa"/>
            <w:vAlign w:val="bottom"/>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(7,510)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intangible assets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(3,515)</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(8,188)</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26,425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term loan, net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borrowings under revolving credit facility</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Payments under revolving credit facility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(14,550)</w:t>
            </w:r>
          </w:p>
        </w:tc>
        <w:tc>
          <w:tcPr>
            <w:tcW w:w="0" w:type="dxa"/>
            <w:vAlign w:val="bottom"/>
          </w:tcPr>
          <w:p>
            <w:pPr>
              <w:spacing w:after="0"/>
              <w:rPr>
                <w:sz w:val="1"/>
                <w:szCs w:val="1"/>
                <w:color w:val="auto"/>
              </w:rPr>
            </w:pPr>
          </w:p>
        </w:tc>
      </w:tr>
      <w:tr>
        <w:trPr>
          <w:trHeight w:val="262"/>
        </w:trPr>
        <w:tc>
          <w:tcPr>
            <w:tcW w:w="8580" w:type="dxa"/>
            <w:vAlign w:val="bottom"/>
          </w:tcPr>
          <w:p>
            <w:pPr>
              <w:ind w:left="380"/>
              <w:spacing w:after="0"/>
              <w:rPr>
                <w:sz w:val="20"/>
                <w:szCs w:val="20"/>
                <w:color w:val="auto"/>
              </w:rPr>
            </w:pPr>
            <w:r>
              <w:rPr>
                <w:rFonts w:ascii="Arial" w:cs="Arial" w:eastAsia="Arial" w:hAnsi="Arial"/>
                <w:sz w:val="16"/>
                <w:szCs w:val="16"/>
                <w:color w:val="auto"/>
              </w:rPr>
              <w:t>Payments of deferred financing costs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Contingent consideration payment related to prior acquisition</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40,735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17,764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28,452</w:t>
            </w:r>
          </w:p>
        </w:tc>
        <w:tc>
          <w:tcPr>
            <w:tcW w:w="0" w:type="dxa"/>
            <w:vAlign w:val="bottom"/>
          </w:tcPr>
          <w:p>
            <w:pPr>
              <w:spacing w:after="0"/>
              <w:rPr>
                <w:sz w:val="1"/>
                <w:szCs w:val="1"/>
                <w:color w:val="auto"/>
              </w:rPr>
            </w:pPr>
          </w:p>
        </w:tc>
      </w:tr>
      <w:tr>
        <w:trPr>
          <w:trHeight w:val="242"/>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Purchases of fixed and intangible assets included in accounts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55"/>
        </w:trPr>
        <w:tc>
          <w:tcPr>
            <w:tcW w:w="8580" w:type="dxa"/>
            <w:vAlign w:val="bottom"/>
          </w:tcPr>
          <w:p>
            <w:pPr>
              <w:ind w:left="380"/>
              <w:spacing w:after="0"/>
              <w:rPr>
                <w:sz w:val="20"/>
                <w:szCs w:val="20"/>
                <w:color w:val="auto"/>
              </w:rPr>
            </w:pPr>
            <w:r>
              <w:rPr>
                <w:rFonts w:ascii="Arial" w:cs="Arial" w:eastAsia="Arial" w:hAnsi="Arial"/>
                <w:sz w:val="16"/>
                <w:szCs w:val="16"/>
                <w:color w:val="auto"/>
              </w:rPr>
              <w:t>Warrants issued in connection with debt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40" w:firstLine="446"/>
        <w:spacing w:after="0" w:line="258" w:lineRule="auto"/>
        <w:rPr>
          <w:sz w:val="20"/>
          <w:szCs w:val="20"/>
          <w:color w:val="auto"/>
        </w:rPr>
      </w:pPr>
      <w:r>
        <w:rPr>
          <w:rFonts w:ascii="Arial" w:cs="Arial" w:eastAsia="Arial" w:hAnsi="Arial"/>
          <w:sz w:val="18"/>
          <w:szCs w:val="18"/>
          <w:color w:val="auto"/>
        </w:rPr>
        <w:t>Enphase Energy, Inc. and subsidiaries (the “Company”) delivers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more than15 million microinverters, representing over 3 gigawatts of solar photovoltaic (PV) generating capacity, and more than 660,000 Enphase residential and commercial systems have been deployed in over 100 countries.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280" w:firstLine="432"/>
        <w:spacing w:after="0" w:line="271"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consolidation.</w:t>
      </w:r>
    </w:p>
    <w:p>
      <w:pPr>
        <w:spacing w:after="0" w:line="55" w:lineRule="exact"/>
        <w:rPr>
          <w:sz w:val="20"/>
          <w:szCs w:val="20"/>
          <w:color w:val="auto"/>
        </w:rPr>
      </w:pPr>
    </w:p>
    <w:p>
      <w:pPr>
        <w:ind w:right="120" w:firstLine="432"/>
        <w:spacing w:after="0" w:line="260" w:lineRule="auto"/>
        <w:rPr>
          <w:sz w:val="20"/>
          <w:szCs w:val="20"/>
          <w:color w:val="auto"/>
        </w:rPr>
      </w:pPr>
      <w:r>
        <w:rPr>
          <w:rFonts w:ascii="Arial" w:cs="Arial" w:eastAsia="Arial" w:hAnsi="Arial"/>
          <w:sz w:val="18"/>
          <w:szCs w:val="18"/>
          <w:color w:val="auto"/>
        </w:rPr>
        <w:t>The Company disclosed in its Form 10-K for the year ended December 31, 2016 that certain conditions led it to conclude that substantial doubt existed as to the Company’s ability to continue as a going concern. The Company believes that the same or similar conditions continue to exist and that substantial doubt as to its ability to continue as a going concern within one year from the date of this filing also continues to exist. The accompanying consolidated financial statements for the three and six months ended June 30, 2017 are presented on a going concern basis and do not include any adjustments that might result from the outcome of this uncertainty.</w:t>
      </w:r>
    </w:p>
    <w:p>
      <w:pPr>
        <w:spacing w:after="0" w:line="67" w:lineRule="exact"/>
        <w:rPr>
          <w:sz w:val="20"/>
          <w:szCs w:val="20"/>
          <w:color w:val="auto"/>
        </w:rPr>
      </w:pPr>
    </w:p>
    <w:p>
      <w:pPr>
        <w:jc w:val="both"/>
        <w:ind w:right="200" w:firstLine="432"/>
        <w:spacing w:after="0" w:line="271" w:lineRule="auto"/>
        <w:rPr>
          <w:sz w:val="20"/>
          <w:szCs w:val="20"/>
          <w:color w:val="auto"/>
        </w:rPr>
      </w:pPr>
      <w:r>
        <w:rPr>
          <w:rFonts w:ascii="Arial" w:cs="Arial" w:eastAsia="Arial" w:hAnsi="Arial"/>
          <w:sz w:val="18"/>
          <w:szCs w:val="18"/>
          <w:color w:val="auto"/>
        </w:rPr>
        <w:t>The Company has taken actions and intends to take further actions to improve its liquidity, including raising funds in the capital markets. In 2016, the Company completed a public offering of its common stock. The Company sold approximately 15 million shares and realized net proceeds of approximately $16.2 million.</w:t>
      </w:r>
    </w:p>
    <w:p>
      <w:pPr>
        <w:spacing w:after="0" w:line="55" w:lineRule="exact"/>
        <w:rPr>
          <w:sz w:val="20"/>
          <w:szCs w:val="20"/>
          <w:color w:val="auto"/>
        </w:rPr>
      </w:pPr>
    </w:p>
    <w:p>
      <w:pPr>
        <w:ind w:right="300" w:firstLine="432"/>
        <w:spacing w:after="0" w:line="271" w:lineRule="auto"/>
        <w:rPr>
          <w:sz w:val="20"/>
          <w:szCs w:val="20"/>
          <w:color w:val="auto"/>
        </w:rPr>
      </w:pPr>
      <w:r>
        <w:rPr>
          <w:rFonts w:ascii="Arial" w:cs="Arial" w:eastAsia="Arial" w:hAnsi="Arial"/>
          <w:sz w:val="18"/>
          <w:szCs w:val="18"/>
          <w:color w:val="auto"/>
        </w:rPr>
        <w:t>In December of 2016, the Company entered into an At The Market Issuance Sales Agreement (ATM) under which it may sell shares of common stock up to a gross aggregate offering price of $17.0 million. The Company realized the full gross proceeds of $17.0 million from common stock sold under the ATM during the three months ended March 31, 2017.</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January 2017, the Company completed a private placement of securities that resulted in gross proceeds of $10.0 million.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July 2016, the Company entered into a loan and security agreement (the “Term Loan Agreement”) with lenders that are affiliates of Tennenbaum Capital Partners, LLC (collectively “TCP”). Under the agreement, the lenders committed to advance a term loan in an aggregate principal amount of up to $ 25.0 million with a maturity date of July 1, 2020. The Company drew down the $ 25.0 million term loan commitment at closing. In February 2017, the Company amended its loan and security agreement with TCP to provide an additional $25 million in principal. The Company simultaneously terminated its revolving credit facility with Wells Fargo Bank, N.A., and the combined principal and interest balance of $10.3 million was fully repaid. The amended loan has the same July 1, 2020 maturity date as the original TCP loan, both of which are interest only until February 2018. See Note 7, “Debt” for further information.</w:t>
      </w:r>
    </w:p>
    <w:p>
      <w:pPr>
        <w:spacing w:after="0" w:line="69" w:lineRule="exact"/>
        <w:rPr>
          <w:sz w:val="20"/>
          <w:szCs w:val="20"/>
          <w:color w:val="auto"/>
        </w:rPr>
      </w:pPr>
    </w:p>
    <w:p>
      <w:pPr>
        <w:jc w:val="both"/>
        <w:ind w:right="120" w:firstLine="432"/>
        <w:spacing w:after="0" w:line="271" w:lineRule="auto"/>
        <w:rPr>
          <w:sz w:val="20"/>
          <w:szCs w:val="20"/>
          <w:color w:val="auto"/>
        </w:rPr>
      </w:pPr>
      <w:r>
        <w:rPr>
          <w:rFonts w:ascii="Arial" w:cs="Arial" w:eastAsia="Arial" w:hAnsi="Arial"/>
          <w:sz w:val="18"/>
          <w:szCs w:val="18"/>
          <w:color w:val="auto"/>
        </w:rPr>
        <w:t>The Company launched its next generation microinverter, the Enphase Home Energy Solution with IQ, in March 2017. This product is a major milestone in the Company’s product cost reduction initiative. The Company also introduced its AC Battery storage system in Australia in the third quarter of 2016 and in the U.S. and Europe in the fourth quarter of 2016.</w:t>
      </w:r>
    </w:p>
    <w:p>
      <w:pPr>
        <w:spacing w:after="0" w:line="55" w:lineRule="exact"/>
        <w:rPr>
          <w:sz w:val="20"/>
          <w:szCs w:val="20"/>
          <w:color w:val="auto"/>
        </w:rPr>
      </w:pPr>
    </w:p>
    <w:p>
      <w:pPr>
        <w:ind w:right="280" w:firstLine="432"/>
        <w:spacing w:after="0" w:line="260" w:lineRule="auto"/>
        <w:rPr>
          <w:sz w:val="20"/>
          <w:szCs w:val="20"/>
          <w:color w:val="auto"/>
        </w:rPr>
      </w:pPr>
      <w:r>
        <w:rPr>
          <w:rFonts w:ascii="Arial" w:cs="Arial" w:eastAsia="Arial" w:hAnsi="Arial"/>
          <w:sz w:val="18"/>
          <w:szCs w:val="18"/>
          <w:color w:val="auto"/>
        </w:rPr>
        <w:t>Actions the Company has taken to reduce its operating expenses include a reduction in its global workforce in the third quarter of 2016 and a second reduction in January 2017. The Company has eliminated certain projects that did not have a near-term return on investment, consolidated office space at its headquarters, divested its services business and engaged a management consulting firm to help it lower expenses and improve operational efficiencies. The Company expects the cumulative impact of these actions to decrease its ongoing annualized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jc w:val="both"/>
        <w:ind w:right="180"/>
        <w:spacing w:after="0" w:line="294" w:lineRule="auto"/>
        <w:rPr>
          <w:sz w:val="20"/>
          <w:szCs w:val="20"/>
          <w:color w:val="auto"/>
        </w:rPr>
      </w:pPr>
      <w:r>
        <w:rPr>
          <w:rFonts w:ascii="Arial" w:cs="Arial" w:eastAsia="Arial" w:hAnsi="Arial"/>
          <w:sz w:val="17"/>
          <w:szCs w:val="17"/>
          <w:color w:val="auto"/>
        </w:rPr>
        <w:t>operating expenses by approximately $ 40 million as compared to pre-restructuring annualized operating expenses. For the six months ended June 30, 2017, the Company achieved a combined $ 19.7 million in savings for research and development, sales and marketing and general and administrative expenses over the same period in 2016, which was partially offset by increased restructuring charges of $10.9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income (loss) and cash flows for the interim periods indicated. The results of operations for the three and six months ended June 30, 2017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2016.</w:t>
      </w:r>
    </w:p>
    <w:p>
      <w:pPr>
        <w:spacing w:after="0" w:line="112" w:lineRule="exact"/>
        <w:rPr>
          <w:sz w:val="20"/>
          <w:szCs w:val="20"/>
          <w:color w:val="auto"/>
        </w:rPr>
      </w:pPr>
    </w:p>
    <w:p>
      <w:pPr>
        <w:jc w:val="both"/>
        <w:ind w:right="300" w:firstLine="432"/>
        <w:spacing w:after="0" w:line="271" w:lineRule="auto"/>
        <w:rPr>
          <w:sz w:val="20"/>
          <w:szCs w:val="20"/>
          <w:color w:val="auto"/>
        </w:rPr>
      </w:pPr>
      <w:r>
        <w:rPr>
          <w:rFonts w:ascii="Arial" w:cs="Arial" w:eastAsia="Arial" w:hAnsi="Arial"/>
          <w:sz w:val="18"/>
          <w:szCs w:val="18"/>
          <w:color w:val="auto"/>
        </w:rPr>
        <w:t>There have been no material changes in the Company’s significant accounting policies during the six months ended June 30, 2017, as compared to the significant accounting policies described in the Company’s Annual Report on Form 10-K for the year ended December 31, 2016. Reference is made to the disclosures therein for a summary of all of the Company’s significant accounting policies.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In July 2015, the FASB issued ASU 2015-11, “Simplifying the Measurement of Inventory,” which requires most entities to measure most inventories at the lower of cost or net realizable value ("NRV"). This simplifies the evaluation from the current method of lower of cost or market, where market is based on one of three measures (i.e. replacement cost, net realizable value, or net realizable value less a normal profit margin). ASU 2015-11 does not apply to inventories measured under the last-in, first-out method or the retail inventory method, and defines NRV as the “estimated selling price in the ordinary course of business, less reasonably predictable costs of completion, disposal, and transportation.” ASU 2015-11 is effective for fiscal years beginning after December 15, 2016, including interim periods within those fiscal years. The adoption of this standard did not have a material impact on the consolidated financial statements.</w:t>
      </w:r>
    </w:p>
    <w:p>
      <w:pPr>
        <w:spacing w:after="0" w:line="17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will simplify the income tax consequences, accounting for forfeitures and classification on the Statements of Consolidated Cash Flows. ASU 2016-09 is effective for fiscal years and interim periods beginning after December 15, 2016, with early adoption permitted. The adoption of this standard did not have a material impact on the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117" w:lineRule="exact"/>
        <w:rPr>
          <w:sz w:val="20"/>
          <w:szCs w:val="20"/>
          <w:color w:val="auto"/>
        </w:rPr>
      </w:pPr>
    </w:p>
    <w:p>
      <w:pPr>
        <w:ind w:firstLine="477"/>
        <w:spacing w:after="0" w:line="258" w:lineRule="auto"/>
        <w:rPr>
          <w:sz w:val="20"/>
          <w:szCs w:val="20"/>
          <w:color w:val="auto"/>
        </w:rPr>
      </w:pPr>
      <w:r>
        <w:rPr>
          <w:rFonts w:ascii="Arial" w:cs="Arial" w:eastAsia="Arial" w:hAnsi="Arial"/>
          <w:sz w:val="18"/>
          <w:szCs w:val="18"/>
          <w:color w:val="auto"/>
        </w:rPr>
        <w:t>In May 2014, the FASB issued ASU 2014-09, Revenue from Contracts with Customers: Topic 606 and issued subsequent amendments to the initial guidance in August 2015, March 2016, April 2016, May 2016 and December 2016 within ASU 2015-14, ASU 2016-08, ASU 2016-10, ASU 2016-12 and ASU 2016-20, respectively (ASU 2014-09, ASU 2015-14, ASU 2016-08, ASU 2016-10, ASU 2016-12 and ASU 2016-20, respectively, and collectively Topic 606). Topic 606 supersedes nearly all existing revenue recognition guidance under GAAP. The updated standard’s core principle is that revenue is recognized when promised goods or services are transferred to customers in an amount that reflects the consideration to which an entity expects to be entitled in exchange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those goods or services. The standard generally requires an entity to identify performance obligations in its contracts, estimate the amount of variable consideration to be received in the transaction price, allocate the transaction price to each separate performance obligation, and recognize revenue as obligations are satisfied. In addition, the updated standard requires additional disclosure about the nature, amount, timing and uncertainty of revenue and cash flows arising from customer contracts. The Company is currently assessing the impact of adoption on the consolidated financial statements.</w:t>
      </w:r>
    </w:p>
    <w:p>
      <w:pPr>
        <w:spacing w:after="0" w:line="67" w:lineRule="exact"/>
        <w:rPr>
          <w:sz w:val="20"/>
          <w:szCs w:val="20"/>
          <w:color w:val="auto"/>
        </w:rPr>
      </w:pPr>
    </w:p>
    <w:p>
      <w:pPr>
        <w:ind w:right="40" w:firstLine="482"/>
        <w:spacing w:after="0" w:line="254"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is currently evaluating the impact of adoption on the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June 30, 2017 and December 31, 2016 consists of the following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5,095</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18,271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26,865</w:t>
            </w: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31,960</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warranty activities during the three and six months ended June 30, 2017 and 2016 were as follows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1"/>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31,995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29,659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30,547</w:t>
            </w:r>
          </w:p>
        </w:tc>
      </w:tr>
      <w:tr>
        <w:trPr>
          <w:trHeight w:val="265"/>
        </w:trPr>
        <w:tc>
          <w:tcPr>
            <w:tcW w:w="650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280" w:type="dxa"/>
            <w:vAlign w:val="bottom"/>
          </w:tcPr>
          <w:p>
            <w:pPr>
              <w:spacing w:after="0"/>
              <w:rPr>
                <w:sz w:val="23"/>
                <w:szCs w:val="23"/>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1,737</w:t>
            </w:r>
          </w:p>
        </w:tc>
      </w:tr>
      <w:tr>
        <w:trPr>
          <w:trHeight w:val="275"/>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r>
      <w:tr>
        <w:trPr>
          <w:trHeight w:val="265"/>
        </w:trPr>
        <w:tc>
          <w:tcPr>
            <w:tcW w:w="650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(3,956)</w:t>
            </w:r>
          </w:p>
        </w:tc>
      </w:tr>
      <w:tr>
        <w:trPr>
          <w:trHeight w:val="275"/>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r>
      <w:tr>
        <w:trPr>
          <w:trHeight w:val="265"/>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w:t>
            </w:r>
          </w:p>
        </w:tc>
      </w:tr>
      <w:tr>
        <w:trPr>
          <w:trHeight w:val="255"/>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31,613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30,066</w:t>
            </w:r>
          </w:p>
        </w:tc>
      </w:tr>
      <w:tr>
        <w:trPr>
          <w:trHeight w:val="265"/>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23,581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23,340</w:t>
            </w: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320" w:firstLine="648"/>
        <w:spacing w:after="0" w:line="292" w:lineRule="auto"/>
        <w:rPr>
          <w:sz w:val="20"/>
          <w:szCs w:val="20"/>
          <w:color w:val="auto"/>
        </w:rPr>
      </w:pPr>
      <w:r>
        <w:rPr>
          <w:rFonts w:ascii="Arial" w:cs="Arial" w:eastAsia="Arial" w:hAnsi="Arial"/>
          <w:sz w:val="18"/>
          <w:szCs w:val="18"/>
          <w:color w:val="auto"/>
        </w:rPr>
        <w:t>As of June 30, 2017, the $31.6 million of warranty obligations included $12.6 million measured at fair value. See Note 4, “Fair Value Measurements” for additional information.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3" w:lineRule="exact"/>
        <w:rPr>
          <w:sz w:val="20"/>
          <w:szCs w:val="20"/>
          <w:color w:val="auto"/>
        </w:rPr>
      </w:pPr>
    </w:p>
    <w:p>
      <w:pPr>
        <w:ind w:right="320" w:firstLine="446"/>
        <w:spacing w:after="0" w:line="260"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21" w:lineRule="exact"/>
        <w:rPr>
          <w:sz w:val="20"/>
          <w:szCs w:val="20"/>
          <w:color w:val="auto"/>
        </w:rPr>
      </w:pPr>
    </w:p>
    <w:p>
      <w:pPr>
        <w:ind w:right="260" w:firstLine="446"/>
        <w:spacing w:after="0" w:line="271"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28" w:lineRule="exact"/>
        <w:rPr>
          <w:sz w:val="20"/>
          <w:szCs w:val="20"/>
          <w:color w:val="auto"/>
        </w:rPr>
      </w:pPr>
    </w:p>
    <w:p>
      <w:pPr>
        <w:ind w:left="980" w:right="20" w:hanging="486"/>
        <w:spacing w:after="0" w:line="27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8" w:lineRule="exact"/>
        <w:rPr>
          <w:rFonts w:ascii="Arial" w:cs="Arial" w:eastAsia="Arial" w:hAnsi="Arial"/>
          <w:sz w:val="18"/>
          <w:szCs w:val="18"/>
          <w:color w:val="auto"/>
        </w:rPr>
      </w:pPr>
    </w:p>
    <w:p>
      <w:pPr>
        <w:ind w:left="980" w:right="640" w:hanging="486"/>
        <w:spacing w:after="0" w:line="29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240" w:firstLine="446"/>
        <w:spacing w:after="0" w:line="29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June 30, 2017 and December 31, 2016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20" w:type="dxa"/>
            <w:vAlign w:val="bottom"/>
          </w:tcPr>
          <w:p>
            <w:pPr>
              <w:jc w:val="center"/>
              <w:ind w:right="122"/>
              <w:spacing w:after="0"/>
              <w:rPr>
                <w:sz w:val="20"/>
                <w:szCs w:val="20"/>
                <w:color w:val="auto"/>
              </w:rPr>
            </w:pPr>
            <w:r>
              <w:rPr>
                <w:rFonts w:ascii="Arial" w:cs="Arial" w:eastAsia="Arial" w:hAnsi="Arial"/>
                <w:sz w:val="14"/>
                <w:szCs w:val="14"/>
                <w:b w:val="1"/>
                <w:bCs w:val="1"/>
                <w:color w:val="auto"/>
              </w:rPr>
              <w:t>December 31,</w:t>
            </w:r>
          </w:p>
        </w:tc>
      </w:tr>
      <w:tr>
        <w:trPr>
          <w:trHeight w:val="203"/>
        </w:trPr>
        <w:tc>
          <w:tcPr>
            <w:tcW w:w="7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w:t>
            </w:r>
          </w:p>
        </w:tc>
        <w:tc>
          <w:tcPr>
            <w:tcW w:w="260" w:type="dxa"/>
            <w:vAlign w:val="bottom"/>
          </w:tcPr>
          <w:p>
            <w:pPr>
              <w:spacing w:after="0"/>
              <w:rPr>
                <w:sz w:val="17"/>
                <w:szCs w:val="17"/>
                <w:color w:val="auto"/>
              </w:rPr>
            </w:pPr>
          </w:p>
        </w:tc>
        <w:tc>
          <w:tcPr>
            <w:tcW w:w="11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2016</w:t>
            </w:r>
          </w:p>
        </w:tc>
      </w:tr>
      <w:tr>
        <w:trPr>
          <w:trHeight w:val="265"/>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1"/>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2"/>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2"/>
              <w:spacing w:after="0"/>
              <w:rPr>
                <w:sz w:val="20"/>
                <w:szCs w:val="20"/>
                <w:color w:val="auto"/>
              </w:rPr>
            </w:pPr>
            <w:r>
              <w:rPr>
                <w:rFonts w:ascii="Arial" w:cs="Arial" w:eastAsia="Arial" w:hAnsi="Arial"/>
                <w:sz w:val="18"/>
                <w:szCs w:val="18"/>
                <w:color w:val="auto"/>
              </w:rPr>
              <w:t>10,332</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73" w:lineRule="exact"/>
        <w:rPr>
          <w:sz w:val="20"/>
          <w:szCs w:val="20"/>
          <w:color w:val="auto"/>
        </w:rPr>
      </w:pPr>
    </w:p>
    <w:p>
      <w:pPr>
        <w:ind w:right="220" w:firstLine="446"/>
        <w:spacing w:after="0" w:line="258"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 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24" w:lineRule="exact"/>
        <w:rPr>
          <w:sz w:val="20"/>
          <w:szCs w:val="20"/>
          <w:color w:val="auto"/>
        </w:rPr>
      </w:pPr>
    </w:p>
    <w:p>
      <w:pPr>
        <w:jc w:val="both"/>
        <w:ind w:right="320" w:firstLine="446"/>
        <w:spacing w:after="0" w:line="256"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620" w:firstLine="446"/>
        <w:spacing w:after="0" w:line="29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3"/>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247"/>
        </w:trPr>
        <w:tc>
          <w:tcPr>
            <w:tcW w:w="69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6,489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6,182</w:t>
            </w:r>
          </w:p>
        </w:tc>
      </w:tr>
      <w:tr>
        <w:trPr>
          <w:trHeight w:val="275"/>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1,713</w:t>
            </w:r>
          </w:p>
        </w:tc>
      </w:tr>
      <w:tr>
        <w:trPr>
          <w:trHeight w:val="265"/>
        </w:trPr>
        <w:tc>
          <w:tcPr>
            <w:tcW w:w="6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5"/>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65"/>
        </w:trPr>
        <w:tc>
          <w:tcPr>
            <w:tcW w:w="6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240" w:type="dxa"/>
            <w:vAlign w:val="bottom"/>
          </w:tcPr>
          <w:p>
            <w:pPr>
              <w:spacing w:after="0"/>
              <w:rPr>
                <w:sz w:val="23"/>
                <w:szCs w:val="23"/>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818</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r>
      <w:tr>
        <w:trPr>
          <w:trHeight w:val="255"/>
        </w:trPr>
        <w:tc>
          <w:tcPr>
            <w:tcW w:w="69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8,053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12,564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8,053</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2017, the significant unobservable inputs used in the fair value measurement of the Company’s liabilities designated 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Level 3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vMerge w:val="continue"/>
            <w:shd w:val="clear" w:color="auto" w:fill="CCEEFF"/>
          </w:tcPr>
          <w:p>
            <w:pPr>
              <w:spacing w:after="0"/>
              <w:rPr>
                <w:sz w:val="20"/>
                <w:szCs w:val="20"/>
                <w:color w:val="auto"/>
              </w:rPr>
            </w:pPr>
          </w:p>
        </w:tc>
        <w:tc>
          <w:tcPr>
            <w:tcW w:w="1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As of December 31, 2016, the significant unobservable inputs used in the fair value measurement of the Company’s liabilities designated as Level 3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9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4"/>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20" w:type="dxa"/>
            <w:vAlign w:val="bottom"/>
            <w:gridSpan w:val="2"/>
            <w:vMerge w:val="continue"/>
            <w:shd w:val="clear" w:color="auto" w:fill="CCEEFF"/>
          </w:tcPr>
          <w:p>
            <w:pPr>
              <w:spacing w:after="0"/>
              <w:rPr>
                <w:sz w:val="20"/>
                <w:szCs w:val="20"/>
                <w:color w:val="auto"/>
              </w:rPr>
            </w:pPr>
          </w:p>
        </w:tc>
        <w:tc>
          <w:tcPr>
            <w:tcW w:w="18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73"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 input by 100 basis points would not have a material impact on the fair value measurement of the liability. Increasing the discount rate by 100 basis points would result in a $0.5 million reduction of the liability. Decreasing the discount rate by 100 basis points would result in a $0.6 million increase to the liability.</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goodwill and purchased intangible assets as of June 30, 2017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(in thousands):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2017</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68"/>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3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r>
      <w:tr>
        <w:trPr>
          <w:trHeight w:val="251"/>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with finite lives:</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1"/>
        </w:trPr>
        <w:tc>
          <w:tcPr>
            <w:tcW w:w="3540" w:type="dxa"/>
            <w:vAlign w:val="bottom"/>
          </w:tcPr>
          <w:p>
            <w:pPr>
              <w:ind w:left="180"/>
              <w:spacing w:after="0"/>
              <w:rPr>
                <w:sz w:val="20"/>
                <w:szCs w:val="20"/>
                <w:color w:val="auto"/>
              </w:rPr>
            </w:pPr>
            <w:r>
              <w:rPr>
                <w:rFonts w:ascii="Arial" w:cs="Arial" w:eastAsia="Arial" w:hAnsi="Arial"/>
                <w:sz w:val="18"/>
                <w:szCs w:val="18"/>
                <w:color w:val="auto"/>
              </w:rPr>
              <w:t>Patents and licensed technology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659</w:t>
            </w:r>
          </w:p>
        </w:tc>
      </w:tr>
    </w:tbl>
    <w:p>
      <w:pPr>
        <w:spacing w:after="0" w:line="108"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are being amortized over their legal life of 3 years. In October 2015, the Company licensed certain technology related to ASIC development for a 3 year term, which is also its estimated useful life.</w:t>
      </w:r>
    </w:p>
    <w:p>
      <w:pPr>
        <w:spacing w:after="0" w:line="55" w:lineRule="exact"/>
        <w:rPr>
          <w:sz w:val="20"/>
          <w:szCs w:val="20"/>
          <w:color w:val="auto"/>
        </w:rPr>
      </w:pPr>
    </w:p>
    <w:p>
      <w:pPr>
        <w:ind w:right="620" w:firstLine="486"/>
        <w:spacing w:after="0" w:line="292" w:lineRule="auto"/>
        <w:rPr>
          <w:sz w:val="20"/>
          <w:szCs w:val="20"/>
          <w:color w:val="auto"/>
        </w:rPr>
      </w:pPr>
      <w:r>
        <w:rPr>
          <w:rFonts w:ascii="Arial" w:cs="Arial" w:eastAsia="Arial" w:hAnsi="Arial"/>
          <w:sz w:val="18"/>
          <w:szCs w:val="18"/>
          <w:color w:val="auto"/>
        </w:rPr>
        <w:t>For the six months ended June 30, 2017, amortization expense related to intangible assets was $0.3 million. As of June 30, 2017, estimated future amortization expense related to finite-lived intangible assets 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7"/>
                <w:szCs w:val="17"/>
                <w:color w:val="auto"/>
              </w:rPr>
            </w:pPr>
          </w:p>
        </w:tc>
        <w:tc>
          <w:tcPr>
            <w:tcW w:w="1820" w:type="dxa"/>
            <w:vAlign w:val="bottom"/>
          </w:tcPr>
          <w:p>
            <w:pPr>
              <w:jc w:val="right"/>
              <w:ind w:right="514"/>
              <w:spacing w:after="0"/>
              <w:rPr>
                <w:sz w:val="20"/>
                <w:szCs w:val="20"/>
                <w:color w:val="auto"/>
              </w:rPr>
            </w:pPr>
            <w:r>
              <w:rPr>
                <w:rFonts w:ascii="Arial" w:cs="Arial" w:eastAsia="Arial" w:hAnsi="Arial"/>
                <w:sz w:val="14"/>
                <w:szCs w:val="14"/>
                <w:b w:val="1"/>
                <w:bCs w:val="1"/>
                <w:color w:val="auto"/>
              </w:rPr>
              <w:t>(In thousands)</w:t>
            </w:r>
          </w:p>
        </w:tc>
      </w:tr>
      <w:tr>
        <w:trPr>
          <w:trHeight w:val="251"/>
        </w:trPr>
        <w:tc>
          <w:tcPr>
            <w:tcW w:w="9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277</w:t>
            </w:r>
          </w:p>
        </w:tc>
      </w:tr>
      <w:tr>
        <w:trPr>
          <w:trHeight w:val="265"/>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r>
      <w:tr>
        <w:trPr>
          <w:trHeight w:val="255"/>
        </w:trPr>
        <w:tc>
          <w:tcPr>
            <w:tcW w:w="9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r>
      <w:tr>
        <w:trPr>
          <w:trHeight w:val="20"/>
        </w:trPr>
        <w:tc>
          <w:tcPr>
            <w:tcW w:w="9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RESTRUCTURING</w:t>
      </w:r>
    </w:p>
    <w:p>
      <w:pPr>
        <w:spacing w:after="0" w:line="22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In the third quarter of 2016, the Company began implementing restructuring actions to lower its operating expenses and cost of revenues.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restructuring charges for the periods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r>
      <w:tr>
        <w:trPr>
          <w:trHeight w:val="251"/>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arrangements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65"/>
        </w:trPr>
        <w:tc>
          <w:tcPr>
            <w:tcW w:w="66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5"/>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Consultants engaged in restructuring activities</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65"/>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loss reserves and contract termination costs</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55"/>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and asset impairment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10,856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0"/>
        </w:trPr>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140" w:firstLine="486"/>
        <w:spacing w:after="0" w:line="292" w:lineRule="auto"/>
        <w:rPr>
          <w:sz w:val="20"/>
          <w:szCs w:val="20"/>
          <w:color w:val="auto"/>
        </w:rPr>
      </w:pPr>
      <w:r>
        <w:rPr>
          <w:rFonts w:ascii="Arial" w:cs="Arial" w:eastAsia="Arial" w:hAnsi="Arial"/>
          <w:sz w:val="18"/>
          <w:szCs w:val="18"/>
          <w:color w:val="auto"/>
        </w:rPr>
        <w:t>The following table provides information regarding changes in the Company’s accrued restructuring balance for the periods indicated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Lease Loss</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Employee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Reserves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Severance and</w:t>
            </w:r>
          </w:p>
        </w:tc>
        <w:tc>
          <w:tcPr>
            <w:tcW w:w="16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 as of December 31, 2016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65"/>
        </w:trPr>
        <w:tc>
          <w:tcPr>
            <w:tcW w:w="5080" w:type="dxa"/>
            <w:vAlign w:val="bottom"/>
          </w:tcPr>
          <w:p>
            <w:pPr>
              <w:ind w:left="180"/>
              <w:spacing w:after="0"/>
              <w:rPr>
                <w:sz w:val="20"/>
                <w:szCs w:val="20"/>
                <w:color w:val="auto"/>
              </w:rPr>
            </w:pPr>
            <w:r>
              <w:rPr>
                <w:rFonts w:ascii="Arial" w:cs="Arial" w:eastAsia="Arial" w:hAnsi="Arial"/>
                <w:sz w:val="18"/>
                <w:szCs w:val="18"/>
                <w:color w:val="auto"/>
              </w:rPr>
              <w:t>Charges</w:t>
            </w:r>
          </w:p>
        </w:tc>
        <w:tc>
          <w:tcPr>
            <w:tcW w:w="1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8,619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75"/>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65"/>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Non-cash settlement</w:t>
            </w:r>
          </w:p>
        </w:tc>
        <w:tc>
          <w:tcPr>
            <w:tcW w:w="11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55"/>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June 30, 2017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0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71" w:lineRule="exact"/>
        <w:rPr>
          <w:sz w:val="20"/>
          <w:szCs w:val="20"/>
          <w:color w:val="auto"/>
        </w:rPr>
      </w:pPr>
    </w:p>
    <w:p>
      <w:pPr>
        <w:ind w:right="40" w:firstLine="432"/>
        <w:spacing w:after="0" w:line="260" w:lineRule="auto"/>
        <w:rPr>
          <w:sz w:val="20"/>
          <w:szCs w:val="20"/>
          <w:color w:val="auto"/>
        </w:rPr>
      </w:pPr>
      <w:r>
        <w:rPr>
          <w:rFonts w:ascii="Arial" w:cs="Arial" w:eastAsia="Arial" w:hAnsi="Arial"/>
          <w:sz w:val="18"/>
          <w:szCs w:val="18"/>
          <w:color w:val="auto"/>
        </w:rPr>
        <w:t>The Company had a $50.0 million revolving credit facility with Wells Fargo Bank, N.A. (“Wells Fargo”) that was entered into in November 2012, first as amended on February 14, 2014. On December 18, 2015, the Company entered into an amended and restated revolving credit agreement with Wells Fargo (the “Revolver”) which extended the maturity date to November 7, 2019 and added an uncommitted accordion feature that could increase the size of the facility by $25.0 million, subject to the satisfaction of certain conditions. The Revolver was fully repaid and terminated in February 2017.</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7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July 2016, the Company entered into a Term Loan Agreement (the “Original Term Loan”) with lenders that are affiliates of Tennenbaum Capital Partners, LLC. (the “Lenders”). Under the agreement, the Lenders committed to advance a term loan in an aggregate principal amount of up to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provides for an interest rate per annum equal to the higher of (i) 10.25% or (ii) LIBOR plus 9.5625%, subject to a 1.0% reduction if the Company achieves minimum levels of Revenue and EBITDA (each as defined in the Term Loan Agreement) for the twelve-consecutive month period ending June 30, 2017 as set forth in the Term Loan Agreement. In addition, the Company paid a commitment fee of 3.3% of the loan amount upon closing and a closing fee of 10.0% of the loan amount is payable in four equal installments at each anniversary of the closing date. The Company may elect to prepay the loan by incurring a prepayment fee between 1% and 3% of the principal amount of the term loan depending on the timing and circumstances of prepayment.</w:t>
      </w:r>
    </w:p>
    <w:p>
      <w:pPr>
        <w:spacing w:after="0" w:line="129"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The Loan Agreement provides for a $25.0 million secured term loan to the Company (the “New Term Loan”), which is in addition to the $ 25.0 million secured term loan borrowed by the Company under the Original Term Loan (together with the “New Term Loan” the “Term Loans”). The New Term Loan has the same July 1, 2020 maturity date that was applicable to the Original Term Loan. The New Term Loan was fully drawn at closing, with approximately $10.3 million of the proceeds used to repay existing combined principal and interest due under the Company’s Revolver with Wells Fargo. Upon the repayment of loans under the Wells Fargo Revolver, the Wells Fargo Revolving Credit Agreement was terminated. The Company expects to use the remainder of the proceeds from the New Term Loan for general corporate purposes.</w:t>
      </w:r>
    </w:p>
    <w:p>
      <w:pPr>
        <w:spacing w:after="0" w:line="12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Monthly payments under the Term Loans through February 28, 2018 are interest only, followed by consecutive equal monthly payments of principal plus accrued interest beginning on March 1, 2018 and continuing through the maturity date; provided, however, that the Company may extend the interest only period on a month to month basis up to February 28, 2019 if no Event of Default (as defined in the Loan Agreement) has occurred and is continuing and the Company has Consolidated Operating Income (as defined in the Loan Agreement) for the calendar year 2017 and each month thereafter on a trailing twelve consecutive month basis of at least $15.0 million (collectively, the “Accommodation Conditions”). The Term Loans provide for an interest rate per annum equal to the greater of (i) 10.3125% and (ii) LIBOR plus 9.25%, subject to a 1.0% reduction if and for so long as the Accommodation Conditions have been met. In addition, the Company paid a commitment fee of 3.0% of the New Term Loan amount upon closing and a closing fee of 4.0% of the New Term Loan amount, which is payable with the closing fee under the Original Term Loan in four equal installments at each anniversary of the closing date of the Original Loan Agreement. The Company may elect to prepay the Term Loans by incurring a prepayment fee between 1% and 3% of the principal amount of the Term Loans depending on the timing and circumstances of prepayment.</w:t>
      </w:r>
    </w:p>
    <w:p>
      <w:pPr>
        <w:spacing w:after="0" w:line="1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Term Loans are secured by a first-priority security interest on substantially all assets of the Company; provided, however that the security interest in the Company’s intellectual property may be released if the Company 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 each case subject to certain exceptions. The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typical rights and remedies in any event of default, including the ability to declare all amounts outstanding immediately due and payable. The Company was in compliance with all financial covenants as of June 30, 2017.</w:t>
      </w:r>
    </w:p>
    <w:p>
      <w:pPr>
        <w:spacing w:after="0" w:line="132" w:lineRule="exact"/>
        <w:rPr>
          <w:sz w:val="20"/>
          <w:szCs w:val="20"/>
          <w:color w:val="auto"/>
        </w:rPr>
      </w:pPr>
    </w:p>
    <w:p>
      <w:pPr>
        <w:ind w:right="20" w:firstLine="432"/>
        <w:spacing w:after="0" w:line="271" w:lineRule="auto"/>
        <w:rPr>
          <w:sz w:val="20"/>
          <w:szCs w:val="20"/>
          <w:color w:val="auto"/>
        </w:rPr>
      </w:pPr>
      <w:r>
        <w:rPr>
          <w:rFonts w:ascii="Arial" w:cs="Arial" w:eastAsia="Arial" w:hAnsi="Arial"/>
          <w:sz w:val="18"/>
          <w:szCs w:val="18"/>
          <w:color w:val="auto"/>
        </w:rPr>
        <w:t>In connection with the New Term Loan, the Company issued to the Lenders warrants to purchase an aggregate 1,220,000 shares of the Company’s Common Stock at an exercise price of $1.05 per share. The warrants have a term of seven years and contain a “cashless exercise” feature that allows the holder to exercise the warrant without a cash payment upon the terms set forth therein.</w:t>
      </w:r>
    </w:p>
    <w:p>
      <w:pPr>
        <w:spacing w:after="0" w:line="109"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strike price of $1.05; volatility of 85.9%, risk-free rate of 2.23%; dividend yield of 0%; and a 7 year term. The resulting fair value was used to allocate the proceeds from the Term Loan between liability and equity components.</w:t>
      </w:r>
    </w:p>
    <w:p>
      <w:pPr>
        <w:spacing w:after="0" w:line="109" w:lineRule="exact"/>
        <w:rPr>
          <w:sz w:val="20"/>
          <w:szCs w:val="20"/>
          <w:color w:val="auto"/>
        </w:rPr>
      </w:pPr>
    </w:p>
    <w:p>
      <w:pPr>
        <w:ind w:right="140" w:firstLine="432"/>
        <w:spacing w:after="0" w:line="271" w:lineRule="auto"/>
        <w:rPr>
          <w:sz w:val="20"/>
          <w:szCs w:val="20"/>
          <w:color w:val="auto"/>
        </w:rPr>
      </w:pPr>
      <w:r>
        <w:rPr>
          <w:rFonts w:ascii="Arial" w:cs="Arial" w:eastAsia="Arial" w:hAnsi="Arial"/>
          <w:sz w:val="18"/>
          <w:szCs w:val="18"/>
          <w:color w:val="auto"/>
        </w:rPr>
        <w:t>The Company classified the warrants as equity and allocated the proceeds from the Term Loan and warrants using the relative fair value method. Using this method, the Company allocated $1.4 million to the warrants, which was recorded as equity. This amount represents debt discount that will be amortized to interest expense over the term of the loan.</w:t>
      </w:r>
    </w:p>
    <w:p>
      <w:pPr>
        <w:spacing w:after="0" w:line="200" w:lineRule="exact"/>
        <w:rPr>
          <w:sz w:val="20"/>
          <w:szCs w:val="20"/>
          <w:color w:val="auto"/>
        </w:rPr>
      </w:pP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was comprised of the following at June 30, 2017 and December 31, 2016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202"/>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25,000</w:t>
            </w: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unamortized discount and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45"/>
        </w:trPr>
        <w:tc>
          <w:tcPr>
            <w:tcW w:w="8340" w:type="dxa"/>
            <w:vAlign w:val="bottom"/>
          </w:tcPr>
          <w:p>
            <w:pPr>
              <w:ind w:left="280"/>
              <w:spacing w:after="0"/>
              <w:rPr>
                <w:sz w:val="20"/>
                <w:szCs w:val="20"/>
                <w:color w:val="auto"/>
              </w:rPr>
            </w:pPr>
            <w:r>
              <w:rPr>
                <w:rFonts w:ascii="Arial" w:cs="Arial" w:eastAsia="Arial" w:hAnsi="Arial"/>
                <w:sz w:val="18"/>
                <w:szCs w:val="18"/>
                <w:color w:val="auto"/>
              </w:rPr>
              <w:t>Carrying amount of debt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47,336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23,800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r>
      <w:tr>
        <w:trPr>
          <w:trHeight w:val="255"/>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41,385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20,768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the amount of scheduled principal payments due on the term loan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Year</w:t>
            </w:r>
          </w:p>
        </w:tc>
        <w:tc>
          <w:tcPr>
            <w:tcW w:w="69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46"/>
        </w:trPr>
        <w:tc>
          <w:tcPr>
            <w:tcW w:w="3140" w:type="dxa"/>
            <w:vAlign w:val="bottom"/>
          </w:tcPr>
          <w:p>
            <w:pPr>
              <w:ind w:left="40"/>
              <w:spacing w:after="0"/>
              <w:rPr>
                <w:sz w:val="20"/>
                <w:szCs w:val="20"/>
                <w:color w:val="auto"/>
              </w:rPr>
            </w:pPr>
            <w:r>
              <w:rPr>
                <w:rFonts w:ascii="Arial" w:cs="Arial" w:eastAsia="Arial" w:hAnsi="Arial"/>
                <w:sz w:val="18"/>
                <w:szCs w:val="18"/>
                <w:color w:val="auto"/>
              </w:rPr>
              <w:t>2017</w:t>
            </w:r>
          </w:p>
        </w:tc>
        <w:tc>
          <w:tcPr>
            <w:tcW w:w="7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65"/>
        </w:trPr>
        <w:tc>
          <w:tcPr>
            <w:tcW w:w="3140" w:type="dxa"/>
            <w:vAlign w:val="bottom"/>
          </w:tcPr>
          <w:p>
            <w:pPr>
              <w:ind w:left="40"/>
              <w:spacing w:after="0"/>
              <w:rPr>
                <w:sz w:val="20"/>
                <w:szCs w:val="20"/>
                <w:color w:val="auto"/>
              </w:rPr>
            </w:pPr>
            <w:r>
              <w:rPr>
                <w:rFonts w:ascii="Arial" w:cs="Arial" w:eastAsia="Arial" w:hAnsi="Arial"/>
                <w:sz w:val="18"/>
                <w:szCs w:val="18"/>
                <w:color w:val="auto"/>
              </w:rPr>
              <w:t>2019</w:t>
            </w:r>
          </w:p>
        </w:tc>
        <w:tc>
          <w:tcPr>
            <w:tcW w:w="6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20,084</w:t>
            </w:r>
          </w:p>
        </w:tc>
        <w:tc>
          <w:tcPr>
            <w:tcW w:w="0" w:type="dxa"/>
            <w:vAlign w:val="bottom"/>
          </w:tcPr>
          <w:p>
            <w:pPr>
              <w:spacing w:after="0"/>
              <w:rPr>
                <w:sz w:val="1"/>
                <w:szCs w:val="1"/>
                <w:color w:val="auto"/>
              </w:rPr>
            </w:pPr>
          </w:p>
        </w:tc>
      </w:t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55"/>
        </w:trPr>
        <w:tc>
          <w:tcPr>
            <w:tcW w:w="3140" w:type="dxa"/>
            <w:vAlign w:val="bottom"/>
          </w:tcPr>
          <w:p>
            <w:pPr>
              <w:ind w:left="280"/>
              <w:spacing w:after="0"/>
              <w:rPr>
                <w:sz w:val="20"/>
                <w:szCs w:val="20"/>
                <w:color w:val="auto"/>
              </w:rPr>
            </w:pPr>
            <w:r>
              <w:rPr>
                <w:rFonts w:ascii="Arial" w:cs="Arial" w:eastAsia="Arial" w:hAnsi="Arial"/>
                <w:sz w:val="18"/>
                <w:szCs w:val="18"/>
                <w:color w:val="auto"/>
              </w:rPr>
              <w:t>Total</w:t>
            </w:r>
          </w:p>
        </w:tc>
        <w:tc>
          <w:tcPr>
            <w:tcW w:w="7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6900" w:type="dxa"/>
            <w:vAlign w:val="bottom"/>
            <w:vMerge w:val="restart"/>
          </w:tcPr>
          <w:p>
            <w:pPr>
              <w:jc w:val="right"/>
              <w:ind w:right="41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3140" w:type="dxa"/>
            <w:vAlign w:val="bottom"/>
          </w:tcPr>
          <w:p>
            <w:pPr>
              <w:spacing w:after="0"/>
              <w:rPr>
                <w:sz w:val="24"/>
                <w:szCs w:val="24"/>
                <w:color w:val="auto"/>
              </w:rPr>
            </w:pPr>
          </w:p>
        </w:tc>
        <w:tc>
          <w:tcPr>
            <w:tcW w:w="6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3" w:lineRule="exact"/>
        <w:rPr>
          <w:sz w:val="20"/>
          <w:szCs w:val="20"/>
          <w:color w:val="auto"/>
        </w:rPr>
      </w:pPr>
    </w:p>
    <w:p>
      <w:pPr>
        <w:ind w:right="80" w:firstLine="446"/>
        <w:spacing w:after="0" w:line="271" w:lineRule="auto"/>
        <w:rPr>
          <w:sz w:val="20"/>
          <w:szCs w:val="20"/>
          <w:color w:val="auto"/>
        </w:rPr>
      </w:pPr>
      <w:r>
        <w:rPr>
          <w:rFonts w:ascii="Arial" w:cs="Arial" w:eastAsia="Arial" w:hAnsi="Arial"/>
          <w:sz w:val="18"/>
          <w:szCs w:val="18"/>
          <w:color w:val="auto"/>
        </w:rPr>
        <w:t>The Company may be subject to legal proceedings arising in the ordinary course of business. Although the results of litigation and claims cannot be predicted with certainty, the Company currently does not believe that the final outcome of any such matters will have a material adverse effect on the Company’s business,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SALE OF COMMON STOCK</w:t>
      </w:r>
    </w:p>
    <w:p>
      <w:pPr>
        <w:spacing w:after="0" w:line="227" w:lineRule="exact"/>
        <w:rPr>
          <w:sz w:val="20"/>
          <w:szCs w:val="20"/>
          <w:color w:val="auto"/>
        </w:rPr>
      </w:pPr>
    </w:p>
    <w:p>
      <w:pPr>
        <w:ind w:right="240" w:firstLine="567"/>
        <w:spacing w:after="0" w:line="292" w:lineRule="auto"/>
        <w:rPr>
          <w:sz w:val="20"/>
          <w:szCs w:val="20"/>
          <w:color w:val="auto"/>
        </w:rPr>
      </w:pPr>
      <w:r>
        <w:rPr>
          <w:rFonts w:ascii="Arial" w:cs="Arial" w:eastAsia="Arial" w:hAnsi="Arial"/>
          <w:sz w:val="18"/>
          <w:szCs w:val="18"/>
          <w:color w:val="auto"/>
        </w:rPr>
        <w:t>In January 2017, the Company completed a private placement of securities that resulted in the issuance of approximately 10.8 million shares of common stock and gross proceeds of $10.0 million.</w:t>
      </w:r>
    </w:p>
    <w:p>
      <w:pPr>
        <w:spacing w:after="0" w:line="91" w:lineRule="exact"/>
        <w:rPr>
          <w:sz w:val="20"/>
          <w:szCs w:val="20"/>
          <w:color w:val="auto"/>
        </w:rPr>
      </w:pPr>
    </w:p>
    <w:p>
      <w:pPr>
        <w:ind w:right="360" w:firstLine="405"/>
        <w:spacing w:after="0" w:line="271" w:lineRule="auto"/>
        <w:rPr>
          <w:sz w:val="20"/>
          <w:szCs w:val="20"/>
          <w:color w:val="auto"/>
        </w:rPr>
      </w:pPr>
      <w:r>
        <w:rPr>
          <w:rFonts w:ascii="Arial" w:cs="Arial" w:eastAsia="Arial" w:hAnsi="Arial"/>
          <w:sz w:val="18"/>
          <w:szCs w:val="18"/>
          <w:color w:val="auto"/>
        </w:rPr>
        <w:t>In December of 2016, the Company entered into an At Market Issuance Sales Agreement (ATM) under which it could sell shares of its common stock up to a gross aggregate offering price of $17.0 million. During the three months ended March 31, 2017 the Company sold approximately 11.1 million shares of common stock under the ATM and received net proceeds of approximately $16.6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73" w:lineRule="exact"/>
        <w:rPr>
          <w:sz w:val="20"/>
          <w:szCs w:val="20"/>
          <w:color w:val="auto"/>
        </w:rPr>
      </w:pPr>
    </w:p>
    <w:p>
      <w:pPr>
        <w:ind w:right="260" w:firstLine="405"/>
        <w:spacing w:after="0" w:line="292"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2016.</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six months ended June 30, 2017 (in thousands, except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rPr>
              <w:t>Exercise Price</w:t>
            </w:r>
          </w:p>
        </w:tc>
      </w:tr>
      <w:tr>
        <w:trPr>
          <w:trHeight w:val="203"/>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per Share</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4.56</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1.16</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0.42</w:t>
            </w:r>
          </w:p>
        </w:tc>
      </w:tr>
      <w:tr>
        <w:trPr>
          <w:trHeight w:val="265"/>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7.38</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7,456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1.97</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39" w:lineRule="exact"/>
        <w:rPr>
          <w:sz w:val="20"/>
          <w:szCs w:val="20"/>
          <w:color w:val="auto"/>
        </w:rPr>
      </w:pPr>
    </w:p>
    <w:p>
      <w:pPr>
        <w:ind w:right="300" w:firstLine="432"/>
        <w:spacing w:after="0" w:line="292" w:lineRule="auto"/>
        <w:rPr>
          <w:sz w:val="20"/>
          <w:szCs w:val="20"/>
          <w:color w:val="auto"/>
        </w:rPr>
      </w:pPr>
      <w:r>
        <w:rPr>
          <w:rFonts w:ascii="Arial" w:cs="Arial" w:eastAsia="Arial" w:hAnsi="Arial"/>
          <w:sz w:val="18"/>
          <w:szCs w:val="18"/>
          <w:color w:val="auto"/>
        </w:rPr>
        <w:t>The intrinsic value of options exercised in the six months ended June 30, 2017 was minimal. As of June 30, 2017, the intrinsic value of options outstanding was $0.8 million based on the closing price of the Company’s stock as of June 30,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restricted stock unit activity for the six months ended June 30, 2017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CCEEFF"/>
            </w:tcBorders>
          </w:tcPr>
          <w:p>
            <w:pPr>
              <w:spacing w:after="0"/>
              <w:rPr>
                <w:sz w:val="17"/>
                <w:szCs w:val="17"/>
                <w:color w:val="auto"/>
              </w:rPr>
            </w:pPr>
          </w:p>
        </w:tc>
        <w:tc>
          <w:tcPr>
            <w:tcW w:w="4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RSUs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51"/>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56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606</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65"/>
        </w:trPr>
        <w:tc>
          <w:tcPr>
            <w:tcW w:w="4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5600" w:type="dxa"/>
            <w:vAlign w:val="bottom"/>
            <w:gridSpan w:val="2"/>
          </w:tcPr>
          <w:p>
            <w:pPr>
              <w:jc w:val="right"/>
              <w:ind w:right="19"/>
              <w:spacing w:after="0"/>
              <w:rPr>
                <w:sz w:val="20"/>
                <w:szCs w:val="20"/>
                <w:color w:val="auto"/>
              </w:rPr>
            </w:pPr>
            <w:r>
              <w:rPr>
                <w:rFonts w:ascii="Arial" w:cs="Arial" w:eastAsia="Arial" w:hAnsi="Arial"/>
                <w:sz w:val="18"/>
                <w:szCs w:val="18"/>
                <w:color w:val="auto"/>
              </w:rPr>
              <w:t>3,918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5"/>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65"/>
        </w:trPr>
        <w:tc>
          <w:tcPr>
            <w:tcW w:w="4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412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55"/>
        </w:trPr>
        <w:tc>
          <w:tcPr>
            <w:tcW w:w="4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June 30, 2017</w:t>
            </w:r>
          </w:p>
        </w:tc>
        <w:tc>
          <w:tcPr>
            <w:tcW w:w="56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4,219</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15</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2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April 3, 2017, the Company commenced a Tender Offer (Offer) to exchange out of the money stock options for restricted stock units. The Offer expired on Monday, May 1, 2017. Pursuant to the Offer, the Company accepted elections to exchange options to purchase 2,362,470 shares of common stock and issued replacement awards of restricted stock units for 733,559 shares of common stock. As the transaction approximated a value-for-value exchange, it did not have a material impact on the Company’s stock based compensation expense.</w:t>
      </w:r>
    </w:p>
    <w:p>
      <w:pPr>
        <w:spacing w:after="0" w:line="116" w:lineRule="exact"/>
        <w:rPr>
          <w:sz w:val="20"/>
          <w:szCs w:val="20"/>
          <w:color w:val="auto"/>
        </w:rPr>
      </w:pPr>
    </w:p>
    <w:p>
      <w:pPr>
        <w:jc w:val="both"/>
        <w:ind w:right="80" w:firstLine="432"/>
        <w:spacing w:after="0" w:line="271" w:lineRule="auto"/>
        <w:rPr>
          <w:sz w:val="20"/>
          <w:szCs w:val="20"/>
          <w:color w:val="auto"/>
        </w:rPr>
      </w:pPr>
      <w:r>
        <w:rPr>
          <w:rFonts w:ascii="Arial" w:cs="Arial" w:eastAsia="Arial" w:hAnsi="Arial"/>
          <w:sz w:val="18"/>
          <w:szCs w:val="18"/>
          <w:color w:val="auto"/>
        </w:rPr>
        <w:t>The total intrinsic value of restricted stock units that were vested in the six months ended June 30, 2017 was $0.2 million. As of June 30, 2017, the intrinsic value of restricted stock units outstanding was $3.6 million based on the closing price of the Company’s stock as of June 30,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jc w:val="both"/>
        <w:ind w:right="100" w:firstLine="432"/>
        <w:spacing w:after="0" w:line="271" w:lineRule="auto"/>
        <w:rPr>
          <w:sz w:val="20"/>
          <w:szCs w:val="20"/>
          <w:color w:val="auto"/>
        </w:rPr>
      </w:pPr>
      <w:r>
        <w:rPr>
          <w:rFonts w:ascii="Arial" w:cs="Arial" w:eastAsia="Arial" w:hAnsi="Arial"/>
          <w:sz w:val="18"/>
          <w:szCs w:val="18"/>
          <w:color w:val="auto"/>
        </w:rPr>
        <w:t xml:space="preserve">Compensation expense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w:t>
      </w:r>
      <w:r>
        <w:rPr>
          <w:rFonts w:ascii="Arial" w:cs="Arial" w:eastAsia="Arial" w:hAnsi="Arial"/>
          <w:sz w:val="18"/>
          <w:szCs w:val="18"/>
          <w:color w:val="auto"/>
        </w:rPr>
        <w:t xml:space="preserve"> </w:t>
      </w:r>
      <w:r>
        <w:rPr>
          <w:rFonts w:ascii="Arial" w:cs="Arial" w:eastAsia="Arial" w:hAnsi="Arial"/>
          <w:sz w:val="18"/>
          <w:szCs w:val="18"/>
          <w:color w:val="010202"/>
        </w:rPr>
        <w:t xml:space="preserve">condensed consolidated statements of operations for the periods presented (in </w:t>
      </w:r>
      <w:r>
        <w:rPr>
          <w:rFonts w:ascii="Arial" w:cs="Arial" w:eastAsia="Arial" w:hAnsi="Arial"/>
          <w:sz w:val="18"/>
          <w:szCs w:val="18"/>
          <w:color w:val="000000"/>
        </w:rPr>
        <w:t>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203"/>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2016</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3"/>
                <w:szCs w:val="23"/>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w w:val="97"/>
              </w:rPr>
              <w:t>1,387</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2,106</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1,200</w:t>
            </w:r>
          </w:p>
        </w:tc>
      </w:tr>
      <w:tr>
        <w:trPr>
          <w:trHeight w:val="26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7"/>
              </w:rPr>
              <w:t>1,051</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1,789</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5,707</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203"/>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2016</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2,236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2,890</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4,720</w:t>
            </w:r>
          </w:p>
        </w:tc>
      </w:tr>
      <w:tr>
        <w:trPr>
          <w:trHeight w:val="26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987</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5,707</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60" w:firstLine="432"/>
        <w:spacing w:after="0" w:line="29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4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203"/>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65"/>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1.32</w:t>
            </w: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23"/>
                <w:szCs w:val="23"/>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4.5</w:t>
            </w:r>
          </w:p>
        </w:tc>
      </w:tr>
      <w:tr>
        <w:trPr>
          <w:trHeight w:val="275"/>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79.1%</w:t>
            </w:r>
          </w:p>
        </w:tc>
      </w:tr>
      <w:tr>
        <w:trPr>
          <w:trHeight w:val="265"/>
        </w:trPr>
        <w:tc>
          <w:tcPr>
            <w:tcW w:w="466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400" w:type="dxa"/>
            <w:vAlign w:val="bottom"/>
          </w:tcPr>
          <w:p>
            <w:pPr>
              <w:spacing w:after="0"/>
              <w:rPr>
                <w:sz w:val="23"/>
                <w:szCs w:val="23"/>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1.2%</w:t>
            </w:r>
          </w:p>
        </w:tc>
      </w:tr>
      <w:tr>
        <w:trPr>
          <w:trHeight w:val="275"/>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bl>
    <w:p>
      <w:pPr>
        <w:spacing w:after="0" w:line="139"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8"/>
          <w:szCs w:val="18"/>
          <w:color w:val="auto"/>
        </w:rPr>
        <w:t>As of June 30, 2017, there was approximately $9.6 million of total unrecognized compensation expense related to unvested equity awards expected to be recognized over a weighted-average period of 2.9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8"/>
          <w:szCs w:val="18"/>
          <w:color w:val="auto"/>
        </w:rPr>
        <w:t>The Company used the discrete tax approach in calculating the tax expense for the three and six months ended June 30, 2017 and 2016 due to the fact that a relatively small change in the Company’s projected pre-tax net income (loss) could result in a volatile effective tax rate. Under the discrete method, the Company determines its tax</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(expense) benefit based upon actual results as if the interim period was an annual period. The tax provision recorded was primarily related to income taxes attributable to its foreign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73"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Basic net loss per share is computed by dividing net loss by the weighted average number of shares of common stock outstanding during the period. Diluted loss per share is computed in a similar manner, but it also includes the effect of potential common shares outstanding during the period, when dilutive. Potential common shares include outstanding in-the-money stock options, restricted stock units, shares to be purchased under the Company’s employee stock purchase plan and warrants to purchase common stock. The dilutive effect of potentially dilutive common shares is reflected in diluted earnings per share by application of the treasury stock method. To the extent these potential common shares are antidilutive, they are excluded from the calculation of diluted net loss per share.</w:t>
      </w:r>
    </w:p>
    <w:p>
      <w:pPr>
        <w:spacing w:after="0" w:line="124" w:lineRule="exact"/>
        <w:rPr>
          <w:sz w:val="20"/>
          <w:szCs w:val="20"/>
          <w:color w:val="auto"/>
        </w:rPr>
      </w:pPr>
    </w:p>
    <w:p>
      <w:pPr>
        <w:ind w:right="200" w:firstLine="432"/>
        <w:spacing w:after="0" w:line="29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203"/>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3"/>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2016</w:t>
            </w:r>
          </w:p>
        </w:tc>
      </w:tr>
      <w:tr>
        <w:trPr>
          <w:trHeight w:val="261"/>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1"/>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(35,518)</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84,434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46,620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80,542</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46,415</w:t>
            </w:r>
          </w:p>
        </w:tc>
      </w:tr>
      <w:tr>
        <w:trPr>
          <w:trHeight w:val="170"/>
        </w:trPr>
        <w:tc>
          <w:tcPr>
            <w:tcW w:w="5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160" w:type="dxa"/>
            <w:vAlign w:val="bottom"/>
          </w:tcPr>
          <w:p>
            <w:pPr>
              <w:spacing w:after="0"/>
              <w:rPr>
                <w:sz w:val="17"/>
                <w:szCs w:val="17"/>
                <w:color w:val="auto"/>
              </w:rPr>
            </w:pPr>
          </w:p>
        </w:tc>
        <w:tc>
          <w:tcPr>
            <w:tcW w:w="2020" w:type="dxa"/>
            <w:vAlign w:val="bottom"/>
            <w:tcBorders>
              <w:bottom w:val="single" w:sz="8" w:color="auto"/>
            </w:tcBorders>
            <w:gridSpan w:val="3"/>
          </w:tcPr>
          <w:p>
            <w:pPr>
              <w:jc w:val="center"/>
              <w:ind w:left="1017"/>
              <w:spacing w:after="0"/>
              <w:rPr>
                <w:sz w:val="20"/>
                <w:szCs w:val="20"/>
                <w:color w:val="auto"/>
              </w:rPr>
            </w:pPr>
            <w:r>
              <w:rPr>
                <w:rFonts w:ascii="Arial" w:cs="Arial" w:eastAsia="Arial" w:hAnsi="Arial"/>
                <w:sz w:val="14"/>
                <w:szCs w:val="14"/>
                <w:b w:val="1"/>
                <w:bCs w:val="1"/>
                <w:color w:val="auto"/>
                <w:w w:val="99"/>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gridSpan w:val="3"/>
          </w:tcPr>
          <w:p>
            <w:pPr>
              <w:jc w:val="center"/>
              <w:ind w:left="101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8,068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9,285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8,262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8,723</w:t>
            </w: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3"/>
                <w:szCs w:val="23"/>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1,071</w:t>
            </w:r>
          </w:p>
        </w:tc>
      </w:tr>
      <w:tr>
        <w:trPr>
          <w:trHeight w:val="27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1,220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r>
      <w:tr>
        <w:trPr>
          <w:trHeight w:val="245"/>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11,305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10,482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9,899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8"/>
        </w:trPr>
        <w:tc>
          <w:tcPr>
            <w:tcW w:w="5160" w:type="dxa"/>
            <w:vAlign w:val="bottom"/>
          </w:tcPr>
          <w:p>
            <w:pPr>
              <w:spacing w:after="0"/>
              <w:rPr>
                <w:sz w:val="24"/>
                <w:szCs w:val="24"/>
                <w:color w:val="auto"/>
              </w:rPr>
            </w:pPr>
          </w:p>
        </w:tc>
        <w:tc>
          <w:tcPr>
            <w:tcW w:w="1500" w:type="dxa"/>
            <w:vAlign w:val="bottom"/>
          </w:tcPr>
          <w:p>
            <w:pPr>
              <w:jc w:val="right"/>
              <w:ind w:right="757"/>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right="40" w:firstLine="446"/>
        <w:spacing w:after="0" w:line="260"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We were founded in March 2006 and have grown rapidly to become the market leader in the solar microinverter category. Our technology was designed to increase energy production, simplify design and installation, improve system uptime and reliability, reduce fire risk, and provide a platform for intelligent energy management. Since inception, we have shipped over 15 million microinverters representing over 3 gigawatts of solar PV generating capacity, and more than 660,000 Enphase residential and commercial systems have been deployed in over 100 countries.</w:t>
      </w:r>
    </w:p>
    <w:p>
      <w:pPr>
        <w:spacing w:after="0" w:line="67" w:lineRule="exact"/>
        <w:rPr>
          <w:sz w:val="20"/>
          <w:szCs w:val="20"/>
          <w:color w:val="auto"/>
        </w:rPr>
      </w:pPr>
    </w:p>
    <w:p>
      <w:pPr>
        <w:ind w:right="220" w:firstLine="446"/>
        <w:spacing w:after="0" w:line="292"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IQ Microinverter System</w:t>
      </w:r>
    </w:p>
    <w:p>
      <w:pPr>
        <w:spacing w:after="0" w:line="115"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In September 2016, we announced our Enphase Home Energy Solution with IQ™, our next-generation integrated solar, storage and energy management system. The solution features our sixth-generation microinverter system, which supports high-powered 60 and 72-cell solar modules, integrates with AC modules from LG and Jinko Solar, and we believe offers installers faster and simpler installations, saving on costs. We began shipping the Enphase IQ 6 Microinverter System in North America in the first quarter of 2017.</w:t>
      </w:r>
    </w:p>
    <w:p>
      <w:pPr>
        <w:spacing w:after="0" w:line="62" w:lineRule="exact"/>
        <w:rPr>
          <w:sz w:val="20"/>
          <w:szCs w:val="20"/>
          <w:color w:val="auto"/>
        </w:rPr>
      </w:pPr>
    </w:p>
    <w:p>
      <w:pPr>
        <w:ind w:right="180" w:firstLine="446"/>
        <w:spacing w:after="0" w:line="271" w:lineRule="auto"/>
        <w:rPr>
          <w:sz w:val="20"/>
          <w:szCs w:val="20"/>
          <w:color w:val="auto"/>
        </w:rPr>
      </w:pPr>
      <w:r>
        <w:rPr>
          <w:rFonts w:ascii="Arial" w:cs="Arial" w:eastAsia="Arial" w:hAnsi="Arial"/>
          <w:sz w:val="18"/>
          <w:szCs w:val="18"/>
          <w:color w:val="auto"/>
        </w:rPr>
        <w:t>The Enphase IQ microinverter is a key component of the Enphase Home Energy Solution, which can also include our Envoy™ Communications Gateway, Enphase Enlighten™, a cloud-based energy management platform, and our Enphase AC Battery™. System owners can use Enphase Enlighten to monitor their home’s solar generation, energy storage and consumption from any web-enabled device.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Energized AC Modules</w:t>
      </w:r>
    </w:p>
    <w:p>
      <w:pPr>
        <w:spacing w:after="0" w:line="115" w:lineRule="exact"/>
        <w:rPr>
          <w:sz w:val="20"/>
          <w:szCs w:val="20"/>
          <w:color w:val="auto"/>
        </w:rPr>
      </w:pPr>
    </w:p>
    <w:p>
      <w:pPr>
        <w:ind w:right="60" w:firstLine="446"/>
        <w:spacing w:after="0" w:line="271" w:lineRule="auto"/>
        <w:rPr>
          <w:sz w:val="20"/>
          <w:szCs w:val="20"/>
          <w:color w:val="auto"/>
        </w:rPr>
      </w:pPr>
      <w:r>
        <w:rPr>
          <w:rFonts w:ascii="Arial" w:cs="Arial" w:eastAsia="Arial" w:hAnsi="Arial"/>
          <w:sz w:val="18"/>
          <w:szCs w:val="18"/>
          <w:color w:val="auto"/>
        </w:rPr>
        <w:t>We have also recently announced Enphase Energized AC Modules with IQ, which utilize our sixth generation microinverters and will be produced through our AC module partnerships with LG and Jinko Solar, among others. We began shipping Enphase Energized AC Modules in the U.S. in the second quarter of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AC Battery™</w:t>
      </w:r>
    </w:p>
    <w:p>
      <w:pPr>
        <w:spacing w:after="0" w:line="115" w:lineRule="exact"/>
        <w:rPr>
          <w:sz w:val="20"/>
          <w:szCs w:val="20"/>
          <w:color w:val="auto"/>
        </w:rPr>
      </w:pPr>
    </w:p>
    <w:p>
      <w:pPr>
        <w:ind w:firstLine="446"/>
        <w:spacing w:after="0" w:line="271" w:lineRule="auto"/>
        <w:rPr>
          <w:sz w:val="20"/>
          <w:szCs w:val="20"/>
          <w:color w:val="auto"/>
        </w:rPr>
      </w:pPr>
      <w:r>
        <w:rPr>
          <w:rFonts w:ascii="Arial" w:cs="Arial" w:eastAsia="Arial" w:hAnsi="Arial"/>
          <w:sz w:val="18"/>
          <w:szCs w:val="18"/>
          <w:color w:val="auto"/>
        </w:rPr>
        <w:t>In the third quarter of 2016, we began shipments of our Enphase AC Battery™ to distributors in Australia and New Zealand. The Enphase AC Battery is a scalable, modular energy storage system with a 1.2kWh energy capacity. We began shipments to customers in the United States, France, the United Kingdom and the Netherlands in the fourth quarter of 2016.</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 Reduction Initiatives</w:t>
      </w:r>
    </w:p>
    <w:p>
      <w:pPr>
        <w:spacing w:after="0" w:line="119"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In the third quarter of 2016, we began implementing restructuring actions to lower operating expenses and cost of revenues. The restructuring actions have included reductions in our global workforce, the elimination of certain non-core projects, consolidation of office space at our corporate headquarters and the engagement of management consultants to assist us in making organizational and structural changes to improve operational efficiencies and reduce expenses.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16"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220" w:firstLine="446"/>
        <w:spacing w:after="0" w:line="292" w:lineRule="auto"/>
        <w:rPr>
          <w:sz w:val="20"/>
          <w:szCs w:val="20"/>
          <w:color w:val="auto"/>
        </w:rPr>
      </w:pPr>
      <w:r>
        <w:rPr>
          <w:rFonts w:ascii="Arial" w:cs="Arial" w:eastAsia="Arial" w:hAnsi="Arial"/>
          <w:sz w:val="18"/>
          <w:szCs w:val="18"/>
          <w:color w:val="auto"/>
        </w:rPr>
        <w:t>We generate net revenues from sales of our microinverter systems and related accessories, which in addition to microinverter units can also include the Envoy communications gateway, our Enlighten cloud-based monitoring service, and our AC Battery storage systems.</w:t>
      </w:r>
    </w:p>
    <w:p>
      <w:pPr>
        <w:spacing w:after="0" w:line="37" w:lineRule="exact"/>
        <w:rPr>
          <w:sz w:val="20"/>
          <w:szCs w:val="20"/>
          <w:color w:val="auto"/>
        </w:rPr>
      </w:pPr>
    </w:p>
    <w:p>
      <w:pPr>
        <w:ind w:right="100" w:firstLine="446"/>
        <w:spacing w:after="0" w:line="260"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17" w:lineRule="exact"/>
        <w:rPr>
          <w:sz w:val="20"/>
          <w:szCs w:val="20"/>
          <w:color w:val="auto"/>
        </w:rPr>
      </w:pPr>
    </w:p>
    <w:p>
      <w:pPr>
        <w:ind w:right="140" w:firstLine="446"/>
        <w:spacing w:after="0" w:line="260"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of test equipment and hosting service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of test equipment, are not directly affected by sales volume.</w:t>
      </w:r>
    </w:p>
    <w:p>
      <w:pPr>
        <w:spacing w:after="0" w:line="67" w:lineRule="exact"/>
        <w:rPr>
          <w:sz w:val="20"/>
          <w:szCs w:val="20"/>
          <w:color w:val="auto"/>
        </w:rPr>
      </w:pPr>
    </w:p>
    <w:p>
      <w:pPr>
        <w:ind w:right="160" w:firstLine="446"/>
        <w:spacing w:after="0" w:line="260"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67" w:lineRule="exact"/>
        <w:rPr>
          <w:sz w:val="20"/>
          <w:szCs w:val="20"/>
          <w:color w:val="auto"/>
        </w:rPr>
      </w:pPr>
    </w:p>
    <w:p>
      <w:pPr>
        <w:ind w:right="220" w:firstLine="446"/>
        <w:spacing w:after="0" w:line="29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120" w:firstLine="446"/>
        <w:spacing w:after="0" w:line="271"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5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69"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Sales and marketing expense consists primarily of personnel -related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expect to continue to expand the geographic reach of our product offerings and explore new sales channels in addressable markets in the future.</w:t>
      </w:r>
    </w:p>
    <w:p>
      <w:pPr>
        <w:spacing w:after="0" w:line="287" w:lineRule="exact"/>
        <w:rPr>
          <w:sz w:val="20"/>
          <w:szCs w:val="20"/>
          <w:color w:val="auto"/>
        </w:rPr>
      </w:pPr>
    </w:p>
    <w:p>
      <w:pPr>
        <w:ind w:right="380" w:firstLine="446"/>
        <w:spacing w:after="0" w:line="292"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technology and legal organizations. General and administrative expense also includes facilities costs and fees for professional services, which consist primarily of outside legal, accounting and information technology consulting costs.</w:t>
      </w:r>
    </w:p>
    <w:p>
      <w:pPr>
        <w:spacing w:after="0" w:line="37" w:lineRule="exact"/>
        <w:rPr>
          <w:sz w:val="20"/>
          <w:szCs w:val="20"/>
          <w:color w:val="auto"/>
        </w:rPr>
      </w:pPr>
    </w:p>
    <w:p>
      <w:pPr>
        <w:ind w:firstLine="446"/>
        <w:spacing w:after="0" w:line="260" w:lineRule="auto"/>
        <w:rPr>
          <w:sz w:val="20"/>
          <w:szCs w:val="20"/>
          <w:color w:val="auto"/>
        </w:rPr>
      </w:pPr>
      <w:r>
        <w:rPr>
          <w:rFonts w:ascii="Arial" w:cs="Arial" w:eastAsia="Arial" w:hAnsi="Arial"/>
          <w:sz w:val="18"/>
          <w:szCs w:val="18"/>
          <w:color w:val="auto"/>
        </w:rPr>
        <w:t>Restructuring expense is the net of charges and adjustments resulting from restructuring initiatives that we began implementing in the third quarter of 2016 to improve operational performance and reduce overall operating expense. Costs included in restructuring expense primarily consist of fees paid to management consultants engaged to assist us in making organizational and structural changes to improve operational efficiencies and reduce expenses, severance for workforce reduction actions, non-cash charges related to the disposition of assets and impairment of property and equipment, and the establishment of lease loss reserves. See Note 6, “Restructuring” for additional information.</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80" w:firstLine="446"/>
        <w:spacing w:after="0" w:line="271" w:lineRule="auto"/>
        <w:rPr>
          <w:sz w:val="20"/>
          <w:szCs w:val="20"/>
          <w:color w:val="auto"/>
        </w:rPr>
      </w:pPr>
      <w:r>
        <w:rPr>
          <w:rFonts w:ascii="Arial" w:cs="Arial" w:eastAsia="Arial" w:hAnsi="Arial"/>
          <w:sz w:val="18"/>
          <w:szCs w:val="18"/>
          <w:color w:val="auto"/>
        </w:rPr>
        <w:t>Other expense, net primarily consists of interest expense and commitment fees under our term loans and non-cash interest expense related to the amortization of deferred financing costs. Other expense, net also includes gains or losses upon conversion of foreign currency transactions into U.S. dollars.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80" w:firstLine="446"/>
        <w:spacing w:after="0" w:line="258"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June 30,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2017 and 2016</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2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446"/>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74,704</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79,185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(4,481)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(6)%  $</w:t>
            </w: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129,455</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143,306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(13,851)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2017 and 2016</w:t>
      </w:r>
    </w:p>
    <w:p>
      <w:pPr>
        <w:spacing w:after="0" w:line="169"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Net revenues decreased by 6% for the three months ended June 30, 2017 compared to the same period in 2016 due to lower average selling prices combined with a decrease in units sold. We sold 775,000 microinverter units in the three months ended June 30, 2017 versus 796,000 units in the same period in 2016. The average revenue per watt of microinverter systems sold declined by approximately 9% for the three months ended June 30, 2017, as compared to the same period in 2016.</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2017 and 2016</w:t>
      </w:r>
    </w:p>
    <w:p>
      <w:pPr>
        <w:spacing w:after="0" w:line="169" w:lineRule="exact"/>
        <w:rPr>
          <w:sz w:val="20"/>
          <w:szCs w:val="20"/>
          <w:color w:val="auto"/>
        </w:rPr>
      </w:pPr>
    </w:p>
    <w:p>
      <w:pPr>
        <w:jc w:val="both"/>
        <w:ind w:right="340" w:firstLine="432"/>
        <w:spacing w:after="0" w:line="258" w:lineRule="auto"/>
        <w:rPr>
          <w:sz w:val="20"/>
          <w:szCs w:val="20"/>
          <w:color w:val="auto"/>
        </w:rPr>
      </w:pPr>
      <w:r>
        <w:rPr>
          <w:rFonts w:ascii="Arial" w:cs="Arial" w:eastAsia="Arial" w:hAnsi="Arial"/>
          <w:sz w:val="18"/>
          <w:szCs w:val="18"/>
          <w:color w:val="auto"/>
        </w:rPr>
        <w:t>Net revenues decreased by 10% for the six months ended June 30, 2017 compared to the same period in 2016 due to a decrease in microinverter systems sold and lower average selling prices. We sold 1,348,000 microinverter units in the six months ended June 30, 2017 versus 1,407,000 units in the same period in 2016. Volumes were negatively affected by the unusually wet weather in California in the first quarter of 2017, which is a significant market for us. The average revenue per watt of microinverter systems sold declined by approximately 12% for the six months ended June 30, 2017, as compared to the same period in 2016. We expect average selling prices for microinverter systems to continue to decline in the future, which may negatively affect net revenues.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3"/>
        </w:trPr>
        <w:tc>
          <w:tcPr>
            <w:tcW w:w="2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43"/>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Change in</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503"/>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2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r>
      <w:tr>
        <w:trPr>
          <w:trHeight w:val="250"/>
        </w:trPr>
        <w:tc>
          <w:tcPr>
            <w:tcW w:w="2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1"/>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61,157</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65,049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(3,892)</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(6)%  $</w:t>
            </w:r>
          </w:p>
        </w:tc>
        <w:tc>
          <w:tcPr>
            <w:tcW w:w="9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108,861</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117,410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rPr>
              <w:t>(8,549)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62"/>
        </w:trPr>
        <w:tc>
          <w:tcPr>
            <w:tcW w:w="20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2"/>
                <w:szCs w:val="22"/>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13,547</w:t>
            </w:r>
          </w:p>
        </w:tc>
        <w:tc>
          <w:tcPr>
            <w:tcW w:w="360" w:type="dxa"/>
            <w:vAlign w:val="bottom"/>
          </w:tcPr>
          <w:p>
            <w:pPr>
              <w:spacing w:after="0"/>
              <w:rPr>
                <w:sz w:val="22"/>
                <w:szCs w:val="22"/>
                <w:color w:val="auto"/>
              </w:rPr>
            </w:pPr>
          </w:p>
        </w:tc>
        <w:tc>
          <w:tcPr>
            <w:tcW w:w="740" w:type="dxa"/>
            <w:vAlign w:val="bottom"/>
          </w:tcPr>
          <w:p>
            <w:pPr>
              <w:jc w:val="right"/>
              <w:ind w:right="83"/>
              <w:spacing w:after="0"/>
              <w:rPr>
                <w:sz w:val="20"/>
                <w:szCs w:val="20"/>
                <w:color w:val="auto"/>
              </w:rPr>
            </w:pPr>
            <w:r>
              <w:rPr>
                <w:rFonts w:ascii="Arial" w:cs="Arial" w:eastAsia="Arial" w:hAnsi="Arial"/>
                <w:sz w:val="16"/>
                <w:szCs w:val="16"/>
                <w:color w:val="auto"/>
              </w:rPr>
              <w:t>14,136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ind w:right="543"/>
              <w:spacing w:after="0"/>
              <w:rPr>
                <w:sz w:val="20"/>
                <w:szCs w:val="20"/>
                <w:color w:val="auto"/>
              </w:rPr>
            </w:pPr>
            <w:r>
              <w:rPr>
                <w:rFonts w:ascii="Arial" w:cs="Arial" w:eastAsia="Arial" w:hAnsi="Arial"/>
                <w:sz w:val="16"/>
                <w:szCs w:val="16"/>
                <w:color w:val="auto"/>
              </w:rPr>
              <w:t>(589)</w:t>
            </w:r>
          </w:p>
        </w:tc>
        <w:tc>
          <w:tcPr>
            <w:tcW w:w="660" w:type="dxa"/>
            <w:vAlign w:val="bottom"/>
          </w:tcPr>
          <w:p>
            <w:pPr>
              <w:ind w:left="28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20,594</w:t>
            </w:r>
          </w:p>
        </w:tc>
        <w:tc>
          <w:tcPr>
            <w:tcW w:w="320" w:type="dxa"/>
            <w:vAlign w:val="bottom"/>
          </w:tcPr>
          <w:p>
            <w:pPr>
              <w:spacing w:after="0"/>
              <w:rPr>
                <w:sz w:val="22"/>
                <w:szCs w:val="22"/>
                <w:color w:val="auto"/>
              </w:rPr>
            </w:pPr>
          </w:p>
        </w:tc>
        <w:tc>
          <w:tcPr>
            <w:tcW w:w="800" w:type="dxa"/>
            <w:vAlign w:val="bottom"/>
          </w:tcPr>
          <w:p>
            <w:pPr>
              <w:jc w:val="right"/>
              <w:ind w:right="103"/>
              <w:spacing w:after="0"/>
              <w:rPr>
                <w:sz w:val="20"/>
                <w:szCs w:val="20"/>
                <w:color w:val="auto"/>
              </w:rPr>
            </w:pPr>
            <w:r>
              <w:rPr>
                <w:rFonts w:ascii="Arial" w:cs="Arial" w:eastAsia="Arial" w:hAnsi="Arial"/>
                <w:sz w:val="16"/>
                <w:szCs w:val="16"/>
                <w:color w:val="auto"/>
              </w:rPr>
              <w:t>25,896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583"/>
              <w:spacing w:after="0"/>
              <w:rPr>
                <w:sz w:val="20"/>
                <w:szCs w:val="20"/>
                <w:color w:val="auto"/>
              </w:rPr>
            </w:pPr>
            <w:r>
              <w:rPr>
                <w:rFonts w:ascii="Arial" w:cs="Arial" w:eastAsia="Arial" w:hAnsi="Arial"/>
                <w:sz w:val="16"/>
                <w:szCs w:val="16"/>
                <w:color w:val="auto"/>
              </w:rPr>
              <w:t>(5,302)</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18.1%</w:t>
            </w: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0.2%</w:t>
            </w: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(2.2)%</w:t>
            </w:r>
          </w:p>
        </w:tc>
        <w:tc>
          <w:tcPr>
            <w:tcW w:w="680" w:type="dxa"/>
            <w:vAlign w:val="bottom"/>
            <w:shd w:val="clear" w:color="auto" w:fill="CCEEFF"/>
          </w:tcPr>
          <w:p>
            <w:pPr>
              <w:spacing w:after="0"/>
              <w:rPr>
                <w:sz w:val="24"/>
                <w:szCs w:val="24"/>
                <w:color w:val="auto"/>
              </w:rPr>
            </w:pP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2017 and 2016</w:t>
      </w:r>
    </w:p>
    <w:p>
      <w:pPr>
        <w:spacing w:after="0" w:line="169" w:lineRule="exact"/>
        <w:rPr>
          <w:sz w:val="20"/>
          <w:szCs w:val="20"/>
          <w:color w:val="auto"/>
        </w:rPr>
      </w:pPr>
    </w:p>
    <w:p>
      <w:pPr>
        <w:ind w:firstLine="432"/>
        <w:spacing w:after="0" w:line="260" w:lineRule="auto"/>
        <w:rPr>
          <w:sz w:val="20"/>
          <w:szCs w:val="20"/>
          <w:color w:val="auto"/>
        </w:rPr>
      </w:pPr>
      <w:r>
        <w:rPr>
          <w:rFonts w:ascii="Arial" w:cs="Arial" w:eastAsia="Arial" w:hAnsi="Arial"/>
          <w:sz w:val="18"/>
          <w:szCs w:val="18"/>
          <w:color w:val="auto"/>
        </w:rPr>
        <w:t>Cost of revenues decreased by 6% for the three months ended June 30, 2017 compared to the same period in 2016. The decrease in cost of revenues was primarily attributable to a decrease in the average cost per watt of microinverter systems and lower volume. Gross margin increased by 0.2 percentage points for the three months ended June 30, 2017 compared to the same period in 2016. The increase in gross margin was primarily due to a greater decrease in the average cost per watt of our microinverter systems than the average revenue per watt and lower overhead and warranty expense in the three months ended June 30, 2017 as compared to the same period last year.</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2017 and 2016</w:t>
      </w:r>
    </w:p>
    <w:p>
      <w:pPr>
        <w:spacing w:after="0" w:line="169" w:lineRule="exact"/>
        <w:rPr>
          <w:sz w:val="20"/>
          <w:szCs w:val="20"/>
          <w:color w:val="auto"/>
        </w:rPr>
      </w:pPr>
    </w:p>
    <w:p>
      <w:pPr>
        <w:ind w:right="160" w:firstLine="432"/>
        <w:spacing w:after="0" w:line="256" w:lineRule="auto"/>
        <w:rPr>
          <w:sz w:val="20"/>
          <w:szCs w:val="20"/>
          <w:color w:val="auto"/>
        </w:rPr>
      </w:pPr>
      <w:r>
        <w:rPr>
          <w:rFonts w:ascii="Arial" w:cs="Arial" w:eastAsia="Arial" w:hAnsi="Arial"/>
          <w:sz w:val="18"/>
          <w:szCs w:val="18"/>
          <w:color w:val="auto"/>
        </w:rPr>
        <w:t>Cost of revenues decreased by 7% for the six months ended June 30, 2017 compared to the same period in 2016. The decrease in cost of revenues was primarily attributable to a decrease in the average cost per watt of microinverter systems and lower volume partially offset by the impact of a decrease in the discount factor used in our mark-to-market method of accounting for eligible warranties. Gross margin decreased by 2.2 percentage points for the six months ended June 30, 2017 compared to the same period in 2016. The primary drivers of the decrease in gross margin were average revenue per watt of our microinverter systems decreasing more than the average cost per watt, and the absorption of fixed overhead costs and warranty charges on a lower revenue base, partially offset by lower overhead costs as a result of our restructuring initiatives. Our ability to reduce product costs and the timing of product cost reductions relative to declines in average selling prices can have a significant impact on our gross margin.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2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7,947</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13,091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(5,144)</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(39)%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17,552</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26,157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(8,605)</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2017 and 2016</w:t>
      </w:r>
    </w:p>
    <w:p>
      <w:pPr>
        <w:spacing w:after="0" w:line="16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Research and development expense decreased by 39% for the three months ended June 30, 2017 compared to the same period in 2016. The decrease is primarily due to the implementation our restructuring initiative that eliminated non-core projects resulting in a $2.8 million reduction in research and development personnel related expenses and a $2.2 million reduction in lab parts, product prototypes and professional fees.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2017 and 2016</w:t>
      </w:r>
    </w:p>
    <w:p>
      <w:pPr>
        <w:spacing w:after="0" w:line="169" w:lineRule="exact"/>
        <w:rPr>
          <w:sz w:val="20"/>
          <w:szCs w:val="20"/>
          <w:color w:val="auto"/>
        </w:rPr>
      </w:pPr>
    </w:p>
    <w:p>
      <w:pPr>
        <w:ind w:right="60" w:firstLine="432"/>
        <w:spacing w:after="0" w:line="260" w:lineRule="auto"/>
        <w:rPr>
          <w:sz w:val="20"/>
          <w:szCs w:val="20"/>
          <w:color w:val="auto"/>
        </w:rPr>
      </w:pPr>
      <w:r>
        <w:rPr>
          <w:rFonts w:ascii="Arial" w:cs="Arial" w:eastAsia="Arial" w:hAnsi="Arial"/>
          <w:sz w:val="18"/>
          <w:szCs w:val="18"/>
          <w:color w:val="auto"/>
        </w:rPr>
        <w:t>Research and development expense decreased by 33% for the six months ended June 30, 2017 compared to the same period in 2016. The decrease is primarily due to the implementation our restructuring initiative that eliminated non-core projects resulting in a $5.2 million reduction in research and development personnel related expenses and a $3.4 million reduction in lab parts, product prototypes and professional fees. The amount of research and development expense may fluctuate from period to period due to the differing levels and stages of research and development activity.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2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80" w:type="dxa"/>
            <w:vAlign w:val="bottom"/>
            <w:gridSpan w:val="4"/>
          </w:tcPr>
          <w:p>
            <w:pPr>
              <w:ind w:left="10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6,274</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9,987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(3,713)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(37)%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12,732</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20,202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(7,470)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2017 and 2016</w:t>
      </w:r>
    </w:p>
    <w:p>
      <w:pPr>
        <w:spacing w:after="0" w:line="16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Sales and marketing expense decreased by 37% for the three months ended June 30, 2017 compared to the same period in 2016. The decrease is primarily due to the implementation our restructuring initiative that eliminated non-core projects resulting in a $2.9 million reduction in sales and marketing personnel related expenses. Spending on advertising activities and professional services decreased by $0.6 million in the second quarter of 2017 as compared to the second quarter of 2016.</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2017 and 2016</w:t>
      </w:r>
    </w:p>
    <w:p>
      <w:pPr>
        <w:spacing w:after="0" w:line="169" w:lineRule="exact"/>
        <w:rPr>
          <w:sz w:val="20"/>
          <w:szCs w:val="20"/>
          <w:color w:val="auto"/>
        </w:rPr>
      </w:pPr>
    </w:p>
    <w:p>
      <w:pPr>
        <w:ind w:right="60" w:firstLine="432"/>
        <w:spacing w:after="0" w:line="260" w:lineRule="auto"/>
        <w:rPr>
          <w:sz w:val="20"/>
          <w:szCs w:val="20"/>
          <w:color w:val="auto"/>
        </w:rPr>
      </w:pPr>
      <w:r>
        <w:rPr>
          <w:rFonts w:ascii="Arial" w:cs="Arial" w:eastAsia="Arial" w:hAnsi="Arial"/>
          <w:sz w:val="18"/>
          <w:szCs w:val="18"/>
          <w:color w:val="auto"/>
        </w:rPr>
        <w:t>Sales and marketing expense decreased by 37% for the six months ended June 30, 2017 compared to the same period in 2016. The decrease is primarily due to the implementation our restructuring initiative that eliminated non-core projects resulting in a $5.4 million reduction in sales and marketing personnel related expenses. Spending on advertising activities and professional services decreased by $1.3 million in the six months ended June 30, 2017 as compared to the same period in 2016. Additionally, bad debt expense was $0.6 million higher in the six months ended June 30, 2016 than in the current period.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3"/>
        </w:trPr>
        <w:tc>
          <w:tcPr>
            <w:tcW w:w="2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1"/>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4,964</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6,846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(1,882)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(27)%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10,797</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14,413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(3,616)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2017 and 2016</w:t>
      </w:r>
    </w:p>
    <w:p>
      <w:pPr>
        <w:spacing w:after="0" w:line="16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General and administrative expense decreased by 27% for the three months ended June 30, 2017 compared to the same period in 2016. The decrease is primarily due to the implementation of our restructuring initiative that eliminated non-core projects resulting in a $1.2 million reduction in general and administrative personnel related expenses, a $0.3 million reduction in facilities related expenses and a $0.3 million reduction in depreciation expense as a result of a lower fixed asset base.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2017 and 2016</w:t>
      </w:r>
    </w:p>
    <w:p>
      <w:pPr>
        <w:spacing w:after="0" w:line="16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General and administrative expense decreased by 25% for the six months ended June 30, 2017 compared to the same period in 2016. The decrease is primarily due to the implementation of our restructuring initiative that eliminated non-core projects resulting in a $2.5 million reduction in general and administrative personnel related expenses, a $0.3 million reduction in professional services and a $0.6 million reduction in depreciation expense as a result of a lower fixed asset base.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left="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3"/>
        </w:trPr>
        <w:tc>
          <w:tcPr>
            <w:tcW w:w="2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26"/>
              <w:spacing w:after="0"/>
              <w:rPr>
                <w:sz w:val="20"/>
                <w:szCs w:val="20"/>
                <w:color w:val="auto"/>
              </w:rPr>
            </w:pPr>
            <w:r>
              <w:rPr>
                <w:rFonts w:ascii="Arial" w:cs="Arial" w:eastAsia="Arial" w:hAnsi="Arial"/>
                <w:sz w:val="14"/>
                <w:szCs w:val="14"/>
                <w:b w:val="1"/>
                <w:bCs w:val="1"/>
                <w:color w:val="auto"/>
                <w:w w:val="99"/>
              </w:rPr>
              <w:t>June 30,</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6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4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20" w:type="dxa"/>
            <w:vAlign w:val="bottom"/>
            <w:gridSpan w:val="5"/>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gridSpan w:val="4"/>
          </w:tcPr>
          <w:p>
            <w:pPr>
              <w:jc w:val="right"/>
              <w:ind w:right="74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1"/>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3,609</w:t>
            </w:r>
          </w:p>
        </w:tc>
        <w:tc>
          <w:tcPr>
            <w:tcW w:w="82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3,609</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10,856</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  $</w:t>
            </w:r>
          </w:p>
        </w:tc>
        <w:tc>
          <w:tcPr>
            <w:tcW w:w="122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10,856</w:t>
            </w:r>
          </w:p>
        </w:tc>
        <w:tc>
          <w:tcPr>
            <w:tcW w:w="680" w:type="dxa"/>
            <w:vAlign w:val="bottom"/>
            <w:shd w:val="clear" w:color="auto" w:fill="CCEEFF"/>
          </w:tcPr>
          <w:p>
            <w:pPr>
              <w:jc w:val="center"/>
              <w:ind w:right="263"/>
              <w:spacing w:after="0"/>
              <w:rPr>
                <w:sz w:val="20"/>
                <w:szCs w:val="20"/>
                <w:color w:val="auto"/>
              </w:rPr>
            </w:pPr>
            <w:r>
              <w:rPr>
                <w:rFonts w:ascii="Arial" w:cs="Arial" w:eastAsia="Arial" w:hAnsi="Arial"/>
                <w:sz w:val="16"/>
                <w:szCs w:val="16"/>
                <w:color w:val="auto"/>
                <w:w w:val="97"/>
              </w:rPr>
              <w:t>N/A</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2017 and 2016</w:t>
      </w:r>
    </w:p>
    <w:p>
      <w:pPr>
        <w:spacing w:after="0" w:line="169" w:lineRule="exact"/>
        <w:rPr>
          <w:sz w:val="20"/>
          <w:szCs w:val="20"/>
          <w:color w:val="auto"/>
        </w:rPr>
      </w:pPr>
    </w:p>
    <w:p>
      <w:pPr>
        <w:ind w:right="360" w:firstLine="432"/>
        <w:spacing w:after="0" w:line="260" w:lineRule="auto"/>
        <w:rPr>
          <w:sz w:val="20"/>
          <w:szCs w:val="20"/>
          <w:color w:val="auto"/>
        </w:rPr>
      </w:pPr>
      <w:r>
        <w:rPr>
          <w:rFonts w:ascii="Arial" w:cs="Arial" w:eastAsia="Arial" w:hAnsi="Arial"/>
          <w:sz w:val="18"/>
          <w:szCs w:val="18"/>
          <w:color w:val="auto"/>
        </w:rPr>
        <w:t>We implemented a restructuring plan in 2016 to lower operating expenses and cost of revenues that included reductions in our global workforce and the elimination of certain non-core projects. In 2017 we engaged a management consulting firm to assist us in making organizational and structural changes to improve operational efficiencies and reduce expenses. Restructuring charges for the three months ended June 30, 2017 include $3.0 million of consulting services and a net $0.6 million in adjustments to cash-based severance and related benefits, contract termination costs and lease loss reserves.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2017 and 2016</w:t>
      </w:r>
    </w:p>
    <w:p>
      <w:pPr>
        <w:spacing w:after="0" w:line="169" w:lineRule="exact"/>
        <w:rPr>
          <w:sz w:val="20"/>
          <w:szCs w:val="20"/>
          <w:color w:val="auto"/>
        </w:rPr>
      </w:pPr>
    </w:p>
    <w:p>
      <w:pPr>
        <w:ind w:right="180" w:firstLine="432"/>
        <w:spacing w:after="0" w:line="258" w:lineRule="auto"/>
        <w:rPr>
          <w:sz w:val="20"/>
          <w:szCs w:val="20"/>
          <w:color w:val="auto"/>
        </w:rPr>
      </w:pPr>
      <w:r>
        <w:rPr>
          <w:rFonts w:ascii="Arial" w:cs="Arial" w:eastAsia="Arial" w:hAnsi="Arial"/>
          <w:sz w:val="18"/>
          <w:szCs w:val="18"/>
          <w:color w:val="auto"/>
        </w:rPr>
        <w:t>We implemented a restructuring plan in 2016 to lower operating expenses and cost of revenues that included reductions in our global workforce and the elimination of certain non-core projects. In 2017 we engaged a management consulting firm to assist us in making organizational and structural changes to improve operational efficiencies and reduce expenses. Restructuring charges for the six months ended June 30, 2017 include $7.0 million of consulting services, $1.7 million in cash-based severance and related benefits and $2.1 million in charges for asset impairments and lease loss reserves. We expect to incur additional fees for management consulting services in the near-term.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2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86"/>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Change in</w:t>
            </w:r>
          </w:p>
        </w:tc>
      </w:tr>
      <w:tr>
        <w:trPr>
          <w:trHeight w:val="264"/>
        </w:trPr>
        <w:tc>
          <w:tcPr>
            <w:tcW w:w="2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21"/>
                <w:szCs w:val="21"/>
                <w:color w:val="auto"/>
              </w:rPr>
            </w:pPr>
          </w:p>
        </w:tc>
      </w:tr>
      <w:tr>
        <w:trPr>
          <w:trHeight w:val="271"/>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  $</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(1,992)</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(1,401)</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237%  $</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(3,071)</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(3,009)</w:t>
            </w:r>
          </w:p>
        </w:tc>
        <w:tc>
          <w:tcPr>
            <w:tcW w:w="9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4,853%</w:t>
            </w:r>
          </w:p>
        </w:tc>
      </w:tr>
    </w:tbl>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2017 and 2016</w:t>
      </w:r>
    </w:p>
    <w:p>
      <w:pPr>
        <w:spacing w:after="0" w:line="16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Other expense, net was $2.0 million for three months ended June 30, 2017 versus $0.6 million of other expense, net, for the same period in 2016. Interest expense increased by $1.9 million due to our term loan, and other income was $ 0.1 million due to net gains related to foreign currency exchange and remeasurement for the three months ended June 30, 2017 as compared to a net loss of $0.4 million for the same period in 2016.</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2017 and 2016</w:t>
      </w:r>
    </w:p>
    <w:p>
      <w:pPr>
        <w:spacing w:after="0" w:line="169" w:lineRule="exact"/>
        <w:rPr>
          <w:sz w:val="20"/>
          <w:szCs w:val="20"/>
          <w:color w:val="auto"/>
        </w:rPr>
      </w:pPr>
    </w:p>
    <w:p>
      <w:pPr>
        <w:jc w:val="both"/>
        <w:ind w:right="100" w:firstLine="432"/>
        <w:spacing w:after="0" w:line="271" w:lineRule="auto"/>
        <w:rPr>
          <w:sz w:val="20"/>
          <w:szCs w:val="20"/>
          <w:color w:val="auto"/>
        </w:rPr>
      </w:pPr>
      <w:r>
        <w:rPr>
          <w:rFonts w:ascii="Arial" w:cs="Arial" w:eastAsia="Arial" w:hAnsi="Arial"/>
          <w:sz w:val="18"/>
          <w:szCs w:val="18"/>
          <w:color w:val="auto"/>
        </w:rPr>
        <w:t>Other expense net was $3.1 million for six months ended June 30, 2017 versus $ 3.0 million in the same period in 2016. Interest expense increased by $3.9 million due to our term loan, which was offset by net gains related to foreign currency exchange and remeasurement of $1.1 million for the six months ended June 30, 2017 as compared to $0.3 million in the same period last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June 30, 2017, we had $31.0 million in cash and cash equivalents and working capital of $58.2 million. Cash and cash equivalents held in the United States were $24.1 million and consisted primarily of U.S. Government money market mutual funds and non-interest bearing checking deposits, with the remainder held in various foreign subsidiaries. We consider amounts held outside the U.S. to be accessible and have provided for the estimated U.S. income tax liability associated with our foreign earnings.</w:t>
      </w:r>
    </w:p>
    <w:p>
      <w:pPr>
        <w:spacing w:after="0" w:line="62"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Although we have taken actions to improve our liquidity and help us achieve profitability, the solar market is volatile, and we are subject to market dynamics that are beyond our control. As disclosed in our Form 10-K for the year ended December 31, 2016, we concluded that substantial doubt exists as to our ability to continue as a going concern within the next year. The accompanying consolidated financial statements for the three and six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ended June 30, 2017 are presented on a going concern basis and do not include any adjustments that might result from the outcome of this uncertainty. Information about the actions we have taken and are taking to mitigate our liquidity constraints is presented below.</w:t>
      </w:r>
    </w:p>
    <w:p>
      <w:pPr>
        <w:spacing w:after="0" w:line="3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Actions we have taken to reduce our operating expenses include a reduction in our global workforce in the third quarter of 2016 and a second reduction in January 2017. We have eliminated certain projects that did not have a near-term return on investment, consolidated office space at our headquarters, divested our services business and engaged a management consulting firm to help us improve operational efficiencies. We expect the cumulative impact of these actions to decrease our ongoing annual operating expenses by approximately 35%. For the six months ended June 30, 2017, we achieved a combined $19.7 million in savings for research and development, sales and marketing and general and administrative expenses over the same period in 2016, which was partially offset by increased restructuring charges of $10.9 million.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taken and are taking actions to improve our liquidity, including raising funds in the capital markets. In 2016, we completed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public offering of 13,000,000 shares of our common stock. Including the subsequent over-allotment, we sold approximately 15 million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realized net proceeds of approximately $16.2 million.</w:t>
      </w:r>
    </w:p>
    <w:p>
      <w:pPr>
        <w:spacing w:after="0" w:line="95" w:lineRule="exact"/>
        <w:rPr>
          <w:sz w:val="20"/>
          <w:szCs w:val="20"/>
          <w:color w:val="auto"/>
        </w:rPr>
      </w:pPr>
    </w:p>
    <w:p>
      <w:pPr>
        <w:ind w:right="220" w:firstLine="648"/>
        <w:spacing w:after="0" w:line="271" w:lineRule="auto"/>
        <w:rPr>
          <w:sz w:val="20"/>
          <w:szCs w:val="20"/>
          <w:color w:val="auto"/>
        </w:rPr>
      </w:pPr>
      <w:r>
        <w:rPr>
          <w:rFonts w:ascii="Arial" w:cs="Arial" w:eastAsia="Arial" w:hAnsi="Arial"/>
          <w:sz w:val="18"/>
          <w:szCs w:val="18"/>
          <w:color w:val="auto"/>
        </w:rPr>
        <w:t>In December 2016, we entered into an At The Market Issuance Sales Agreement (ATM) under which we could sell shares of our common stock up to a gross aggregate offering price of $17.0 million. We realized the full $17.0 million of gross proceeds available under the ATM during the three months ended March 31, 2017.</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2017, we completed a private placement of common stock that resulted in gross proceeds of $10.0 million.</w:t>
      </w:r>
    </w:p>
    <w:p>
      <w:pPr>
        <w:spacing w:after="0" w:line="11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July 2016, we entered into a loan and security agreement (the “Original Term Loan Agreement”) with lenders that are affiliates of Tennenbaum Capital Partners, LLC (“TCP”), which has subsequently been amended and modified as discussed below and in Note 7, “Debt.” Under the agreement, the lenders committed to advance a term loan in an aggregate principal amount of up to $25.0 million with a maturity date of July 1, 2020. We drew down the $25.0 million term loan commitment at closing.</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Payments under the original agreement were interest only through June 30, 2017, followed by consecutive equal monthly payments of principal plus accrued interest that were to begin on July 1, 2017 and continue through the maturity date. The Original Term Loan Agreement provides for an interest rate per annum equal to the higher of (i) 10.25% or (ii) LIBOR plus 9.5625%, subject to a 1.0% reduction if we achieve minimum levels of Revenue and EBITDA (each as defined in the Original Term Loan Agreement) for the twelve-consecutive month period ending June 30, 2017. In addition, we paid 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loan was secured by a second-priority security interest on substantially all our assets except intellectual property. The Original Term Loan Agreement does not contain any financial covenants, but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Original Term Loan Agreement offers TCP typical rights and remedies in any event of default, including the ability to declare all amounts outstanding immediately due and payable. We do not expect the lender to declare default under any event, including the material adverse change clause.</w:t>
      </w:r>
    </w:p>
    <w:p>
      <w:pPr>
        <w:spacing w:after="0" w:line="7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2016 we had a $50.0 million revolving credit facility with Wells Fargo Bank, N.A. (“Wells Fargo”) that was entered into on November 7, 2012, as first amended on February 14, 2014. On December 18, 2015, we entered into an amended and restated revolving credit agreement with Wells Fargo (the “Revolver”) which extended the maturity date from November 7, 2016 to November 7, 2019 and added an uncommitted accordion feature that could increase the size of the facility by $25.0 million, subject to certain approvals and meeting certain criteria.</w:t>
      </w:r>
    </w:p>
    <w:p>
      <w:pPr>
        <w:spacing w:after="0" w:line="62"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In February 2017, we amended our loan and security agreement with TCP to provide an additional $25 million in principal (the “New Term Loan Agreement”). We simultaneously terminated our revolving credit facility with Wells Fargo Bank, N.A., and the combined principal and interest balance of $10.3 million was fully repaid. The new term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loan is secured by a first-priority security interest on substantially all our assets except intellectual property and has the same July 1, 2020 maturity date as the original TCP loan, both of which are now interest only until February 2018.</w:t>
      </w:r>
    </w:p>
    <w:p>
      <w:pPr>
        <w:spacing w:after="0" w:line="91"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The New Term Loan Agreement requires that (i) at all times from the closing date to and including March 31, 2018, we have Unrestricted Cash (as defined in the New Term Loan Agreement) of at least $10.0 million; (ii) at all times from the closing date to and including March 31, 2018, that the aggregate amount of Consolidated Unrestricted Cash, plus the value of Consolidated Receivables, plus the value of Consolidated Inventory (each as defined in the New Term Loan Agreement) divided by the outstanding principal amount of both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both term loans, shall equal or exceed 1.75. In addition, the New Term Loan Agreement is subject to customary affirmative and negative covenants including restrictions on creation of liens, dispositions of assets, mergers, changing the nature of its business and dividends and other distributions, in each case subject to certain exceptions. The New Term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New Term Loan Agreement offers TCP typical rights and remedies in any event of default, including the ability to declare all amounts outstanding immediately due and payable. We expect to be in compliance with the financial covenants noted above, and we do not expect the lender to declare default under any event, including the material adverse change clause. See Note 7. “Debt.”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4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(24,325)</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(7,991)</w:t>
            </w: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(3,515)</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(8,188)</w:t>
            </w:r>
          </w:p>
        </w:tc>
      </w:tr>
      <w:tr>
        <w:trPr>
          <w:trHeight w:val="2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40,735</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294</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13,189</w:t>
            </w: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(20,209)</w:t>
            </w:r>
          </w:p>
        </w:tc>
      </w:tr>
      <w:tr>
        <w:trPr>
          <w:trHeight w:val="2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For the six months ended June 30, 2017, net cash used in operating activities of $24.3 million was primarily attributable to a net loss of $35.4 million offset by non-cash charges of $11.7 million and net cash outflows from changes in operating assets and liabilities of $0.6 million. Non-cash charges included $3.6 million of stock-based compensation, $4.6 million of depreciation and amortization, $0.7 million provision for doubtful accounts and a net $1.8 million in asset impairment and restructuring charges.</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primary driver of cash outflows from changes in operating assets and liabilities was a $14.1 million decrease in accounts payable resulting from timing of vendor payments that led to a decrease in average days payable outstanding of approximately 47% and an increase in prepaid expenses and other assets of $5.3 million. Cash outflows from changes in operating assets and liabilities was mostly offset by a $11.1 million decrease in inventory, a $3.9 million decrease in accounts receivable and a $3.6 million increase in deferred revenue.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six months ended June 30, 2016, net cash used in operating activities of $8.0 million was primarily attributable to a net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of $35.5 million offset by non-cash charges of $12.5 million and net cash inflows from changes in our operating assets and liabilities of $15.0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Non-cash charges included $5.7 million of stock-based compensation, $5.4 million of depreciation and amortization and a $1.3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provision for doubtful accounts.</w:t>
      </w:r>
    </w:p>
    <w:p>
      <w:pPr>
        <w:spacing w:after="0" w:line="9" w:lineRule="exact"/>
        <w:rPr>
          <w:sz w:val="20"/>
          <w:szCs w:val="20"/>
          <w:color w:val="auto"/>
        </w:rPr>
      </w:pPr>
    </w:p>
    <w:p>
      <w:pPr>
        <w:ind w:right="300" w:firstLine="432"/>
        <w:spacing w:after="0" w:line="255" w:lineRule="auto"/>
        <w:rPr>
          <w:sz w:val="20"/>
          <w:szCs w:val="20"/>
          <w:color w:val="auto"/>
        </w:rPr>
      </w:pPr>
      <w:r>
        <w:rPr>
          <w:rFonts w:ascii="Arial" w:cs="Arial" w:eastAsia="Arial" w:hAnsi="Arial"/>
          <w:sz w:val="18"/>
          <w:szCs w:val="18"/>
          <w:color w:val="auto"/>
        </w:rPr>
        <w:t>The primary driver of cash inflows from changes in operating assets and liabilities was a $ 15.3 million increase in accounts payable, accrued and other liabilities resulting from timing of vendor payments. Also contributing to cash inflows was an increase in deferred revenue related to our cloud-based monitoring service of $6.6 million and a decrease in inventory of $1.5 million, which was attributable to improved working capital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management. Cash outflows from changes in operating assets and liabilities included a $4.2 million increase in accounts receivable as a result of higher sales in the second quarter of 2016 compared to the fourth quarter of 2015, a $3.7 million increase in prepaid expenses and other assets attributable to deferral of costs for certain sales arrangements with extended payment terms and a $0.5 million decrease to warranty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40" w:firstLine="432"/>
        <w:spacing w:after="0" w:line="292" w:lineRule="auto"/>
        <w:rPr>
          <w:sz w:val="20"/>
          <w:szCs w:val="20"/>
          <w:color w:val="auto"/>
        </w:rPr>
      </w:pPr>
      <w:r>
        <w:rPr>
          <w:rFonts w:ascii="Arial" w:cs="Arial" w:eastAsia="Arial" w:hAnsi="Arial"/>
          <w:sz w:val="18"/>
          <w:szCs w:val="18"/>
          <w:color w:val="auto"/>
        </w:rPr>
        <w:t>For the six months ended June 30, 2017, net cash used in investing activities of $3.5 million primarily resulted from purchases of test and assembly equipment and capitalized costs related to internal-use software.</w:t>
      </w:r>
    </w:p>
    <w:p>
      <w:pPr>
        <w:spacing w:after="0" w:line="91" w:lineRule="exact"/>
        <w:rPr>
          <w:sz w:val="20"/>
          <w:szCs w:val="20"/>
          <w:color w:val="auto"/>
        </w:rPr>
      </w:pPr>
    </w:p>
    <w:p>
      <w:pPr>
        <w:ind w:right="40" w:firstLine="432"/>
        <w:spacing w:after="0" w:line="292" w:lineRule="auto"/>
        <w:rPr>
          <w:sz w:val="20"/>
          <w:szCs w:val="20"/>
          <w:color w:val="auto"/>
        </w:rPr>
      </w:pPr>
      <w:r>
        <w:rPr>
          <w:rFonts w:ascii="Arial" w:cs="Arial" w:eastAsia="Arial" w:hAnsi="Arial"/>
          <w:sz w:val="18"/>
          <w:szCs w:val="18"/>
          <w:color w:val="auto"/>
        </w:rPr>
        <w:t>For the six months ended June 30, 2016, net cash used in investing activities of $8.2 million primarily resulted from purchases of test and assembly equipment, capitalized costs related to internal-use software and license fees for certain technology related to ASIC development.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8"/>
          <w:szCs w:val="18"/>
          <w:color w:val="auto"/>
        </w:rPr>
        <w:t>For the six months ended June 30, 2017, net cash provided by financing activities of $40.7 million consisted of net proceeds from sales of common stock of $26.5 million, which included proceeds from the private placement and ATM offering described above and net proceeds from the term loan of $24.2 million, offset by the repayment of principal on our revolving credit facility of $10.1 million.</w:t>
      </w:r>
    </w:p>
    <w:p>
      <w:pPr>
        <w:spacing w:after="0" w:line="109" w:lineRule="exact"/>
        <w:rPr>
          <w:sz w:val="20"/>
          <w:szCs w:val="20"/>
          <w:color w:val="auto"/>
        </w:rPr>
      </w:pPr>
    </w:p>
    <w:p>
      <w:pPr>
        <w:jc w:val="both"/>
        <w:ind w:right="140" w:firstLine="432"/>
        <w:spacing w:after="0" w:line="271" w:lineRule="auto"/>
        <w:rPr>
          <w:sz w:val="20"/>
          <w:szCs w:val="20"/>
          <w:color w:val="auto"/>
        </w:rPr>
      </w:pPr>
      <w:r>
        <w:rPr>
          <w:rFonts w:ascii="Arial" w:cs="Arial" w:eastAsia="Arial" w:hAnsi="Arial"/>
          <w:sz w:val="18"/>
          <w:szCs w:val="18"/>
          <w:color w:val="auto"/>
        </w:rPr>
        <w:t>For the six months ended June 30, 2016, net cash used by financing activities of $3.9 million was primarily due to net repayments under our Revolver of $4.6 million, which was offset by $0.8 million in proceeds received from the issuance of common stock under employee stock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3" w:lineRule="exact"/>
        <w:rPr>
          <w:sz w:val="20"/>
          <w:szCs w:val="20"/>
          <w:color w:val="auto"/>
        </w:rPr>
      </w:pPr>
    </w:p>
    <w:p>
      <w:pPr>
        <w:ind w:firstLine="432"/>
        <w:spacing w:after="0" w:line="271" w:lineRule="auto"/>
        <w:rPr>
          <w:sz w:val="20"/>
          <w:szCs w:val="20"/>
          <w:color w:val="auto"/>
        </w:rPr>
      </w:pPr>
      <w:r>
        <w:rPr>
          <w:rFonts w:ascii="Arial" w:cs="Arial" w:eastAsia="Arial" w:hAnsi="Arial"/>
          <w:sz w:val="18"/>
          <w:szCs w:val="18"/>
          <w:color w:val="auto"/>
        </w:rPr>
        <w:t>There were no material changes during the six months ended June 30, 2017 to our contractual commitments as presented in “Management’s Discussion and Analysis of Financial Condition and Results of Operations” of our 2016 Form 10-K other than the termination of our revolving credit facility and additional term debt as described in Note 7.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we did not have any off-balance sheet arrangements, as defined in Item 303(a)(4)(ii) of SEC Regulation S-K.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28"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109" w:lineRule="exact"/>
        <w:rPr>
          <w:sz w:val="20"/>
          <w:szCs w:val="20"/>
          <w:color w:val="auto"/>
        </w:rPr>
      </w:pPr>
    </w:p>
    <w:p>
      <w:pPr>
        <w:ind w:right="240" w:firstLine="432"/>
        <w:spacing w:after="0" w:line="271" w:lineRule="auto"/>
        <w:rPr>
          <w:sz w:val="20"/>
          <w:szCs w:val="20"/>
          <w:color w:val="auto"/>
        </w:rPr>
      </w:pPr>
      <w:r>
        <w:rPr>
          <w:rFonts w:ascii="Arial" w:cs="Arial" w:eastAsia="Arial" w:hAnsi="Arial"/>
          <w:sz w:val="18"/>
          <w:szCs w:val="18"/>
          <w:color w:val="auto"/>
        </w:rPr>
        <w:t>There have been no significant changes during the six months ended June 30, 2017 to the items that we disclosed as our critical accounting policies and estimates in Management’s Discussion and Analysis of Financial Condition and Results of Operations in our Annual Report on Form 10-K for the year ended December 31, 2016.</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1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73" w:lineRule="exact"/>
        <w:rPr>
          <w:sz w:val="20"/>
          <w:szCs w:val="20"/>
          <w:color w:val="auto"/>
        </w:rPr>
      </w:pPr>
    </w:p>
    <w:p>
      <w:pPr>
        <w:ind w:firstLine="432"/>
        <w:spacing w:after="0" w:line="292"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of the Notes to Condensed Consolidated Financial Statements under Item 1 for recently issued accounting pronouncements not yet effective.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1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3" w:lineRule="exact"/>
        <w:rPr>
          <w:sz w:val="20"/>
          <w:szCs w:val="20"/>
          <w:color w:val="auto"/>
        </w:rPr>
      </w:pPr>
    </w:p>
    <w:p>
      <w:pPr>
        <w:ind w:right="120" w:firstLine="432"/>
        <w:spacing w:after="0" w:line="271" w:lineRule="auto"/>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10-K for the year ended December 31, 2016. Our exposures to market risk have not changed materially since December 31, 2016.</w:t>
      </w:r>
    </w:p>
    <w:p>
      <w:pPr>
        <w:spacing w:after="0" w:line="26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360" w:firstLine="432"/>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2017. The term “disclosure controls and procedures,” as defined in Rules 13a-15(e) and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2017, our chief executive officer and chief financial officer concluded that, as of such date, our disclosure controls and procedures were effective at the reasonable assurance level.</w:t>
      </w:r>
    </w:p>
    <w:p>
      <w:pPr>
        <w:spacing w:after="0" w:line="127" w:lineRule="exact"/>
        <w:rPr>
          <w:sz w:val="20"/>
          <w:szCs w:val="20"/>
          <w:color w:val="auto"/>
        </w:rPr>
      </w:pPr>
    </w:p>
    <w:p>
      <w:pPr>
        <w:ind w:right="20" w:firstLine="432"/>
        <w:spacing w:after="0" w:line="271"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100" w:firstLine="432"/>
        <w:spacing w:after="0" w:line="271"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1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7" w:lineRule="exact"/>
        <w:rPr>
          <w:sz w:val="20"/>
          <w:szCs w:val="20"/>
          <w:color w:val="auto"/>
        </w:rPr>
      </w:pPr>
    </w:p>
    <w:p>
      <w:pPr>
        <w:ind w:right="100" w:firstLine="446"/>
        <w:spacing w:after="0" w:line="260"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11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4" w:lineRule="exact"/>
        <w:rPr>
          <w:sz w:val="20"/>
          <w:szCs w:val="20"/>
          <w:color w:val="auto"/>
        </w:rPr>
      </w:pPr>
    </w:p>
    <w:p>
      <w:pPr>
        <w:ind w:firstLine="405"/>
        <w:spacing w:after="0" w:line="289"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incurred significant net losses since we began doing business, including a net loss of $35.4 million during the six months ended June 30, 2017. As of June 30, 2017, we had an accumulated deficit of $285.9 million. Our revenue may increase or decrease for a number of possible reasons, many of which are outside our control, including a decline in demand for our offerings, increased competition, a decrease in the growth of the solar industry or our market share, or our failure to capitalize on growth opportunities. If we fail to generate sufficient revenue to support our operations, we may not be able to achieve or sustain profitability. In connection with the issuance of our consolidated financial statements for the year ended December 31, 2016, we concluded that there is substantial doubt regarding our ability to continue as a going concern. While we have taken and continue to take steps to improve our financial position since December 31, 2016 (including raising additional capital and further reducing expenses), there can be no assurance that these steps will be sufficient and we could fail to continue as a going concern. Furthermore, if we require additional capital to finance our operations, this determination could impair our ability to finance our operations through the sale of equity, incurring debt, or other financing alternatives.</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21" w:lineRule="exact"/>
        <w:rPr>
          <w:sz w:val="20"/>
          <w:szCs w:val="20"/>
          <w:color w:val="auto"/>
        </w:rPr>
      </w:pPr>
    </w:p>
    <w:p>
      <w:pPr>
        <w:jc w:val="both"/>
        <w:ind w:right="140" w:firstLine="432"/>
        <w:spacing w:after="0" w:line="271" w:lineRule="auto"/>
        <w:rPr>
          <w:sz w:val="20"/>
          <w:szCs w:val="20"/>
          <w:color w:val="auto"/>
        </w:rPr>
      </w:pPr>
      <w:r>
        <w:rPr>
          <w:rFonts w:ascii="Arial" w:cs="Arial" w:eastAsia="Arial" w:hAnsi="Arial"/>
          <w:sz w:val="18"/>
          <w:szCs w:val="18"/>
          <w:color w:val="auto"/>
        </w:rPr>
        <w:t>We have disclosed our conclusion under ASU 2014-15, “Presentation of Financial Statements - Going Concern” that there is substantial doubt about our ability to continue as a going concern and our plans to mitigate the conditions that led to that conclusion. Therefore, we may need to raise additional capital to execute on our current or future business strategies, including to:</w:t>
      </w:r>
    </w:p>
    <w:p>
      <w:pPr>
        <w:spacing w:after="0" w:line="1"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do not know what forms of financing, if any, will be available to us, and the determination that there is substantial doubt about our ability to continue as a going concern could impair our ability to raise financing, if needed. If financing is not available on acceptable terms, if and when needed, our ability to fund our operations, enhance our research and development and sales and marketing functions, develop and enhance our products, respond to unanticipated events, including unanticipated opportunities, or otherwise respond to competitive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15"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 If we fail to raise sufficient additional capital if needed, we may not be able to completely execute our business plan and may not be able to continue as a going concern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117" w:lineRule="exact"/>
        <w:rPr>
          <w:sz w:val="20"/>
          <w:szCs w:val="20"/>
          <w:color w:val="auto"/>
        </w:rPr>
      </w:pPr>
    </w:p>
    <w:p>
      <w:pPr>
        <w:ind w:firstLine="432"/>
        <w:spacing w:after="0" w:line="256" w:lineRule="auto"/>
        <w:rPr>
          <w:sz w:val="20"/>
          <w:szCs w:val="20"/>
          <w:color w:val="auto"/>
        </w:rPr>
      </w:pPr>
      <w:r>
        <w:rPr>
          <w:rFonts w:ascii="Arial" w:cs="Arial" w:eastAsia="Arial" w:hAnsi="Arial"/>
          <w:sz w:val="18"/>
          <w:szCs w:val="18"/>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16" w:lineRule="exact"/>
        <w:rPr>
          <w:sz w:val="20"/>
          <w:szCs w:val="20"/>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17" w:lineRule="exact"/>
        <w:rPr>
          <w:rFonts w:ascii="Arial" w:cs="Arial" w:eastAsia="Arial" w:hAnsi="Arial"/>
          <w:sz w:val="18"/>
          <w:szCs w:val="18"/>
          <w:color w:val="auto"/>
        </w:rPr>
      </w:pPr>
    </w:p>
    <w:p>
      <w:pPr>
        <w:ind w:left="980" w:right="140" w:hanging="486"/>
        <w:spacing w:after="0" w:line="29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36" w:lineRule="exact"/>
        <w:rPr>
          <w:rFonts w:ascii="Arial" w:cs="Arial" w:eastAsia="Arial" w:hAnsi="Arial"/>
          <w:sz w:val="18"/>
          <w:szCs w:val="18"/>
          <w:color w:val="auto"/>
        </w:rPr>
      </w:pPr>
    </w:p>
    <w:p>
      <w:pPr>
        <w:ind w:left="980" w:right="560" w:hanging="486"/>
        <w:spacing w:after="0" w:line="29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36" w:lineRule="exact"/>
        <w:rPr>
          <w:rFonts w:ascii="Arial" w:cs="Arial" w:eastAsia="Arial" w:hAnsi="Arial"/>
          <w:sz w:val="18"/>
          <w:szCs w:val="18"/>
          <w:color w:val="auto"/>
        </w:rPr>
      </w:pPr>
    </w:p>
    <w:p>
      <w:pPr>
        <w:ind w:left="980" w:right="200" w:hanging="486"/>
        <w:spacing w:after="0" w:line="29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80" w:hanging="486"/>
        <w:spacing w:after="0" w:line="29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45" w:lineRule="exact"/>
        <w:rPr>
          <w:sz w:val="20"/>
          <w:szCs w:val="20"/>
          <w:color w:val="auto"/>
        </w:rPr>
      </w:pPr>
    </w:p>
    <w:p>
      <w:pPr>
        <w:ind w:right="780" w:firstLine="432"/>
        <w:spacing w:after="0" w:line="29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91" w:lineRule="exact"/>
        <w:rPr>
          <w:sz w:val="20"/>
          <w:szCs w:val="20"/>
          <w:color w:val="auto"/>
        </w:rPr>
      </w:pPr>
    </w:p>
    <w:p>
      <w:pPr>
        <w:ind w:right="200" w:firstLine="432"/>
        <w:spacing w:after="0" w:line="260"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 including impairing the recorded value of our inventory.</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1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7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2016, CED Greentech accounted for approximately 18% of total net revenues. In 2015, CED Greentech and Vivint Solar, Inc. accounted for approximately 17% and 12% of total net revenues, respectively.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For example, beginning in 2015, Vivint Solar, Inc. implemented a multi-sourcing strategy, and therefore, is not sole-sourcing our microinverters, which has resulted in and may continue to result in a reduction in our revenue generated from sales to Vivint. In addition, adverse events affecting our customers could also adversely affect our revenue and results of operations (for instance, the recent filing of a voluntary petition for bankruptcy protection by one of our customers prevented us from timely collection of our accounts receivable from that customer). The loss of, or events affecting, Vivint or one or more of our other large customers have had, could have and could continue to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17" w:lineRule="exact"/>
        <w:rPr>
          <w:sz w:val="20"/>
          <w:szCs w:val="20"/>
          <w:color w:val="auto"/>
        </w:rPr>
      </w:pPr>
    </w:p>
    <w:p>
      <w:pPr>
        <w:ind w:right="760" w:firstLine="432"/>
        <w:spacing w:after="0" w:line="281"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2"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20" w:hanging="486"/>
        <w:spacing w:after="0" w:line="29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36" w:lineRule="exact"/>
        <w:rPr>
          <w:rFonts w:ascii="Arial" w:cs="Arial" w:eastAsia="Arial" w:hAnsi="Arial"/>
          <w:sz w:val="18"/>
          <w:szCs w:val="18"/>
          <w:color w:val="auto"/>
        </w:rPr>
      </w:pPr>
    </w:p>
    <w:p>
      <w:pPr>
        <w:ind w:left="980" w:right="240" w:hanging="486"/>
        <w:spacing w:after="0" w:line="29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36" w:lineRule="exact"/>
        <w:rPr>
          <w:rFonts w:ascii="Arial" w:cs="Arial" w:eastAsia="Arial" w:hAnsi="Arial"/>
          <w:sz w:val="18"/>
          <w:szCs w:val="18"/>
          <w:color w:val="auto"/>
        </w:rPr>
      </w:pPr>
    </w:p>
    <w:p>
      <w:pPr>
        <w:ind w:left="980" w:right="260" w:hanging="486"/>
        <w:spacing w:after="0" w:line="29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right="20" w:hanging="486"/>
        <w:spacing w:after="0" w:line="29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71" w:lineRule="exact"/>
        <w:rPr>
          <w:sz w:val="20"/>
          <w:szCs w:val="20"/>
          <w:color w:val="auto"/>
        </w:rPr>
      </w:pPr>
    </w:p>
    <w:p>
      <w:pPr>
        <w:ind w:right="820"/>
        <w:spacing w:after="0" w:line="301"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1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124"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75" w:lineRule="exact"/>
        <w:rPr>
          <w:sz w:val="20"/>
          <w:szCs w:val="20"/>
          <w:color w:val="auto"/>
        </w:rPr>
      </w:pPr>
    </w:p>
    <w:p>
      <w:pPr>
        <w:ind w:right="200" w:firstLine="432"/>
        <w:spacing w:after="0" w:line="260"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Competitors in the inverter market include, amongst others, SMA Solar Technology AG, Fronius International GmbH, ABB Ltd. and SolarEdge Technologies, Inc.. Other existing or emerging companies, such as Huawei Technologies Co. Ltd., may also begin offering alternative microinverter, DC to DC optimizer and other power electronic solutions.</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Competition has intensified, and we expect the trend to continue as new and existing competitors enter the microinverter market, or market and sell related products, such as DC to DC optimizers that can be used in conjunction with central or string inverters. SMA Solar Technology AG and ABB Ltd. market and sell microinverter products, and several new entrants to the microinverter market have recently announced plans to ship or have already shipped products. We believe that a number of companies have developed or are developing microinverters and other products that will compete directly with our microinverter systems in the module-level power electronics, or MLPE market, including low-cost manufacturers such as Huawei Technologies Co. Ltd.. In addition, central and string inverter manufacturers continue to reduce their prices, putting additional pressure on us and other alternative technologies.</w:t>
      </w:r>
    </w:p>
    <w:p>
      <w:pPr>
        <w:spacing w:after="0" w:line="12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2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For instance, SunPower Corporation acquired a microinverter company SolarBridge Technologies, Inc. in November of 2014.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microinverter systems or sell products that compete with our microinverters systems, which would negatively impact our revenue and gross profit.</w:t>
      </w:r>
    </w:p>
    <w:p>
      <w:pPr>
        <w:spacing w:after="0" w:line="177"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75" w:lineRule="exact"/>
        <w:rPr>
          <w:sz w:val="20"/>
          <w:szCs w:val="20"/>
          <w:color w:val="auto"/>
        </w:rPr>
      </w:pPr>
    </w:p>
    <w:p>
      <w:pPr>
        <w:ind w:firstLine="432"/>
        <w:spacing w:after="0" w:line="271"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09" w:lineRule="exact"/>
        <w:rPr>
          <w:sz w:val="20"/>
          <w:szCs w:val="20"/>
          <w:color w:val="auto"/>
        </w:rPr>
      </w:pPr>
    </w:p>
    <w:p>
      <w:pPr>
        <w:ind w:right="620"/>
        <w:spacing w:after="0" w:line="301" w:lineRule="auto"/>
        <w:rPr>
          <w:sz w:val="20"/>
          <w:szCs w:val="20"/>
          <w:color w:val="auto"/>
        </w:rPr>
      </w:pPr>
      <w:r>
        <w:rPr>
          <w:rFonts w:ascii="Arial" w:cs="Arial" w:eastAsia="Arial" w:hAnsi="Arial"/>
          <w:sz w:val="18"/>
          <w:szCs w:val="18"/>
          <w:b w:val="1"/>
          <w:bCs w:val="1"/>
          <w:i w:val="1"/>
          <w:iCs w:val="1"/>
          <w:color w:val="auto"/>
        </w:rPr>
        <w:t>Our microinverter systems, including our AC Battery storage solution and recently announced integrated AC Module, may not achieve broader market acceptance, which would prevent us from increasing our revenue and market share.</w:t>
      </w:r>
    </w:p>
    <w:p>
      <w:pPr>
        <w:spacing w:after="0" w:line="21"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1" w:lineRule="exact"/>
        <w:rPr>
          <w:sz w:val="20"/>
          <w:szCs w:val="20"/>
          <w:color w:val="auto"/>
        </w:rPr>
      </w:pPr>
    </w:p>
    <w:p>
      <w:pPr>
        <w:ind w:left="980" w:right="40" w:hanging="486"/>
        <w:spacing w:after="0" w:line="29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produce microinverter systems and AC Battery storage products that compete favorably against other solutions on the basis of price, quality, reliability and performance;</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400" w:hanging="486"/>
        <w:spacing w:after="0" w:line="29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have a relatively limited history with respect to reliability and performance;</w:t>
      </w:r>
    </w:p>
    <w:p>
      <w:pPr>
        <w:spacing w:after="0" w:line="36" w:lineRule="exact"/>
        <w:rPr>
          <w:rFonts w:ascii="Arial" w:cs="Arial" w:eastAsia="Arial" w:hAnsi="Arial"/>
          <w:sz w:val="18"/>
          <w:szCs w:val="18"/>
          <w:color w:val="auto"/>
        </w:rPr>
      </w:pPr>
    </w:p>
    <w:p>
      <w:pPr>
        <w:ind w:left="980" w:right="760" w:hanging="486"/>
        <w:spacing w:after="0" w:line="29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AC Battery storage solution, which is a new technology with a limited history with respect to reliability and performance;</w:t>
      </w:r>
    </w:p>
    <w:p>
      <w:pPr>
        <w:spacing w:after="0" w:line="36" w:lineRule="exact"/>
        <w:rPr>
          <w:rFonts w:ascii="Arial" w:cs="Arial" w:eastAsia="Arial" w:hAnsi="Arial"/>
          <w:sz w:val="18"/>
          <w:szCs w:val="18"/>
          <w:color w:val="auto"/>
        </w:rPr>
      </w:pPr>
    </w:p>
    <w:p>
      <w:pPr>
        <w:ind w:left="980" w:right="260" w:hanging="486"/>
        <w:spacing w:after="0" w:line="29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36" w:lineRule="exact"/>
        <w:rPr>
          <w:rFonts w:ascii="Arial" w:cs="Arial" w:eastAsia="Arial" w:hAnsi="Arial"/>
          <w:sz w:val="18"/>
          <w:szCs w:val="18"/>
          <w:color w:val="auto"/>
        </w:rPr>
      </w:pPr>
    </w:p>
    <w:p>
      <w:pPr>
        <w:ind w:left="980" w:right="680" w:hanging="486"/>
        <w:spacing w:after="0" w:line="29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These installers often have made substantial investments in design, installation resources and training in traditional central or string inverter systems, which may create challenges for us to achieve their adoption of our microinverter systems.</w:t>
      </w:r>
    </w:p>
    <w:p>
      <w:pPr>
        <w:spacing w:after="0" w:line="116"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75" w:lineRule="exact"/>
        <w:rPr>
          <w:sz w:val="20"/>
          <w:szCs w:val="20"/>
          <w:color w:val="auto"/>
        </w:rPr>
      </w:pPr>
    </w:p>
    <w:p>
      <w:pPr>
        <w:ind w:firstLine="432"/>
        <w:spacing w:after="0" w:line="260"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12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recent change in the U.S. presidential administration may create regulatory uncertainty in the clean energy sector generally and the solar energy sector in particular. If the new administration or the U.S. Congress take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11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U.S. International Trade Commission (“ITC”) is expected to make a determination of injury by September 22, 2017 on a petition filed by Suniva Inc. calling for tariffs and minimum price guarantees on solar equipment manufactured outside of the U.S. If the ITC determines that Suniva and other U.S. manufacturers have suffered injury as a result of the importation of lower-priced solar equipment, the ITC will then have until November 13, 2017 to recommend a remedy to the president, who may subsequently impose minimum price requirements, tariffs, quotas or other remedies. Any such remedies could have a negative impact on the overall demand for solar products in the U.S. If applied specifically to products that we or our commercial partners import such remedies could materially harm our business, financial condition and results of operations.</w:t>
      </w:r>
    </w:p>
    <w:p>
      <w:pPr>
        <w:spacing w:after="0" w:line="123"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China. During the 2016 election campaign, the new president made comments suggesting that he was not supportive of certain existing international trade agreements, including the North American Free Trade Agreement (“NAFTA”). At this time, it remains unclear what the new administration or the U.S. Congress may or may not do with respect to these international trade agreements. If the new administration takes action to impose any border tariff or to withdraw from or materially modify NAFTA or certain other international trade agreements, our business, financial condition and results of operations could be adversely affected.</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any of which will adversely affect our business and financial condition.</w:t>
      </w:r>
    </w:p>
    <w:p>
      <w:pPr>
        <w:spacing w:after="0" w:line="21"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1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75"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 These tax credits could be reduced or eliminated as part of tax code changes or regulatory reform initiatives by the new Congress and presidential administration.</w:t>
      </w:r>
    </w:p>
    <w:p>
      <w:pPr>
        <w:spacing w:after="0" w:line="124" w:lineRule="exact"/>
        <w:rPr>
          <w:sz w:val="20"/>
          <w:szCs w:val="20"/>
          <w:color w:val="auto"/>
        </w:rPr>
      </w:pPr>
    </w:p>
    <w:p>
      <w:pPr>
        <w:ind w:right="120" w:firstLine="432"/>
        <w:spacing w:after="0" w:line="258"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will not adequately stimulate future growth in the residential solar market.</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also sell our products in Europe. A number of European countries, including Germany, Belgium, Spain, Italy and the United Kingdom have adopted reductions or concluded their FiT programs. Certain countries, notably Greece and Spain, have proposed or enacted taxes levied on renewable energy. These and related developments have significantly impacted the solar industry in Europe and may adversely affect the future demand for the solar energy solutions in Europe.</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In 2013, Australia elected a new national government. The new leadership pledged to revise national energy policy, including potentially reducing Australia’s RET and revising certain renewable energy financing mechanisms. In July 2014, the new leadership successfully repealed the tax on carbon emissions. This has been replaced with the Direct Action Plan, which primarily provides funding to corporations to reduce emissions. States and territories in Australia have different FiTs, and the gradual reduction of FiTs in some states may reduce the incentive for homeowners to export unused solar energy produced back to the grid.</w:t>
      </w:r>
    </w:p>
    <w:p>
      <w:pPr>
        <w:spacing w:after="0" w:line="123"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also sell our products in Ontario, Canada.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23"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75" w:lineRule="exact"/>
        <w:rPr>
          <w:sz w:val="20"/>
          <w:szCs w:val="20"/>
          <w:color w:val="auto"/>
        </w:rPr>
      </w:pPr>
    </w:p>
    <w:p>
      <w:pPr>
        <w:jc w:val="both"/>
        <w:ind w:right="560" w:firstLine="432"/>
        <w:spacing w:after="0" w:line="271"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France, the Benelux region, certain other European markets, Australia, New Zealand and certain other Asian markets, could materially and adversely affect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09"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16" w:lineRule="exact"/>
        <w:rPr>
          <w:sz w:val="20"/>
          <w:szCs w:val="20"/>
          <w:color w:val="auto"/>
        </w:rPr>
      </w:pPr>
    </w:p>
    <w:p>
      <w:pPr>
        <w:ind w:firstLine="432"/>
        <w:spacing w:after="0" w:line="260"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21"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The threat of continuing global economic, capital markets and credit disruptions, including sovereign debt issues, pose risks for our business.</w:t>
      </w:r>
    </w:p>
    <w:p>
      <w:pPr>
        <w:spacing w:after="0" w:line="75"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24"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75"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 to 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incorporating our microinverter systems is high relative to the cost of electricity from other sources, our business, financial condition and results of operations may be harmed.</w:t>
      </w:r>
    </w:p>
    <w:p>
      <w:pPr>
        <w:spacing w:after="0" w:line="91"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75" w:lineRule="exact"/>
        <w:rPr>
          <w:sz w:val="20"/>
          <w:szCs w:val="20"/>
          <w:color w:val="auto"/>
        </w:rPr>
      </w:pPr>
    </w:p>
    <w:p>
      <w:pPr>
        <w:ind w:right="120" w:firstLine="432"/>
        <w:spacing w:after="0" w:line="260"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2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16"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09" w:lineRule="exact"/>
        <w:rPr>
          <w:sz w:val="20"/>
          <w:szCs w:val="20"/>
          <w:color w:val="auto"/>
        </w:rPr>
      </w:pPr>
    </w:p>
    <w:p>
      <w:pPr>
        <w:ind w:firstLine="432"/>
        <w:spacing w:after="0" w:line="260"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workforce, our business and operating results may suffer.</w:t>
      </w:r>
    </w:p>
    <w:p>
      <w:pPr>
        <w:spacing w:after="0" w:line="117" w:lineRule="exact"/>
        <w:rPr>
          <w:sz w:val="20"/>
          <w:szCs w:val="20"/>
          <w:color w:val="auto"/>
        </w:rPr>
      </w:pPr>
    </w:p>
    <w:p>
      <w:pPr>
        <w:jc w:val="both"/>
        <w:ind w:right="220" w:firstLine="432"/>
        <w:spacing w:after="0" w:line="271"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1"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train and manage a dynamic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17" w:lineRule="exact"/>
        <w:rPr>
          <w:sz w:val="20"/>
          <w:szCs w:val="20"/>
          <w:color w:val="auto"/>
        </w:rPr>
      </w:pPr>
    </w:p>
    <w:p>
      <w:pPr>
        <w:ind w:right="140" w:firstLine="446"/>
        <w:spacing w:after="0" w:line="260" w:lineRule="auto"/>
        <w:rPr>
          <w:sz w:val="20"/>
          <w:szCs w:val="20"/>
          <w:color w:val="auto"/>
        </w:rPr>
      </w:pPr>
      <w:r>
        <w:rPr>
          <w:rFonts w:ascii="Arial" w:cs="Arial" w:eastAsia="Arial" w:hAnsi="Arial"/>
          <w:sz w:val="18"/>
          <w:szCs w:val="18"/>
          <w:color w:val="auto"/>
        </w:rPr>
        <w:t>We currently offer microinverter systems targeting the residential and commercial markets in the United States, Canada, Mexico and certain Central American markets, the United Kingdom, France, the Benelux region, certain other European markets, Australia, New Zealand and certain other Asian markets. We recently introduced our AC Battery storage solution in Australia, the United States, and the United Kingdom. We intend to expand into other international markets. Our success in these new geographic and product markets will depend on a number of factors, such as:</w:t>
      </w:r>
    </w:p>
    <w:p>
      <w:pPr>
        <w:spacing w:after="0" w:line="13"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116"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1" w:lineRule="exact"/>
        <w:rPr>
          <w:sz w:val="20"/>
          <w:szCs w:val="20"/>
          <w:color w:val="auto"/>
        </w:rPr>
      </w:pPr>
    </w:p>
    <w:p>
      <w:pPr>
        <w:ind w:right="20" w:firstLine="432"/>
        <w:spacing w:after="0" w:line="271"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980" w:right="420" w:hanging="486"/>
        <w:spacing w:after="0" w:line="29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9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23"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75"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24" w:lineRule="exact"/>
        <w:rPr>
          <w:sz w:val="20"/>
          <w:szCs w:val="20"/>
          <w:color w:val="auto"/>
        </w:rPr>
      </w:pPr>
    </w:p>
    <w:p>
      <w:pPr>
        <w:ind w:right="100" w:firstLine="432"/>
        <w:spacing w:after="0" w:line="260"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most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supply of products to our customers, which in turn would reduce our revenues, harm our relationships with our customers and damage our relationships with our distributors and end customers and cause us to forgo potential revenue opportunities.</w:t>
      </w:r>
    </w:p>
    <w:p>
      <w:pPr>
        <w:spacing w:after="0" w:line="91" w:lineRule="exact"/>
        <w:rPr>
          <w:sz w:val="20"/>
          <w:szCs w:val="20"/>
          <w:color w:val="auto"/>
        </w:rPr>
      </w:pPr>
    </w:p>
    <w:p>
      <w:pPr>
        <w:ind w:right="920"/>
        <w:spacing w:after="0" w:line="301"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75"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16"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2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6" w:lineRule="exact"/>
        <w:rPr>
          <w:sz w:val="20"/>
          <w:szCs w:val="20"/>
          <w:color w:val="auto"/>
        </w:rPr>
      </w:pPr>
    </w:p>
    <w:p>
      <w:pPr>
        <w:ind w:right="860"/>
        <w:spacing w:after="0" w:line="301"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7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depend on sole source and limited source suppliers for key components of our products. For example, our ASICs are purchased from a sole source supplier or developed for us by sole source suppliers. Similarly, the battery cells for our AC Battery storage products are also currently sole sourced.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and could result in lost revenue or higher expenses and would harm our business.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7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26"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7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 party financing structures, such as power purchase or lease agreements. Our sales growth may depend on sales to developers of third party solar finance offerings who provide solar as a service via power purchase agreements or leasing structures. The third 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130"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We rely primarily on distributors, large installers and providers of solar financing to assist in selling our products, and the failure of these customers to perform as expected could reduce our future revenue.</w:t>
      </w:r>
    </w:p>
    <w:p>
      <w:pPr>
        <w:spacing w:after="0" w:line="7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23" w:lineRule="exact"/>
        <w:rPr>
          <w:sz w:val="20"/>
          <w:szCs w:val="20"/>
          <w:color w:val="auto"/>
        </w:rPr>
      </w:pPr>
    </w:p>
    <w:p>
      <w:pPr>
        <w:jc w:val="both"/>
        <w:ind w:right="320" w:firstLine="432"/>
        <w:spacing w:after="0" w:line="271"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current customers, failure by these customers to perform as expected, or failure by us to cultivate new customer relationships, could hinder our ability to expand our operations and harm our revenue and operating results.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may fail to translate into revenue in the quantities or timeline projected, thus, having a materially adverse impact on our revenue, operating results and financial stability. In addition, we are pursuing new geographic markets. The inability to capture new customers in these high-growth geographic markets could have a material adverse effect on our business, financial condition or results of operations.</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7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We have developed variants of our microinverter system that enable an “AC module” in which the microinverter is directly attached to the solar modules. The market success of such solutions will depend in part on our ability to continue to work closely with solar module manufacturers to design solar modules that are compatible with such direct attachment of our microinverter. We may not be able to encourage additional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additional effective partnerships with solar module manufacturers may be adversely affected by the substantial changes faced by many of these manufacturers due to declining prices and revenues from sales of solar modules.</w:t>
      </w:r>
    </w:p>
    <w:p>
      <w:pPr>
        <w:spacing w:after="0" w:line="124" w:lineRule="exact"/>
        <w:rPr>
          <w:sz w:val="20"/>
          <w:szCs w:val="20"/>
          <w:color w:val="auto"/>
        </w:rPr>
      </w:pPr>
    </w:p>
    <w:p>
      <w:pPr>
        <w:ind w:right="880"/>
        <w:spacing w:after="0" w:line="301"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1" w:lineRule="exact"/>
        <w:rPr>
          <w:sz w:val="20"/>
          <w:szCs w:val="20"/>
          <w:color w:val="auto"/>
        </w:rPr>
      </w:pPr>
    </w:p>
    <w:p>
      <w:pPr>
        <w:ind w:right="80" w:firstLine="432"/>
        <w:spacing w:after="0" w:line="258"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24"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28" w:lineRule="exact"/>
        <w:rPr>
          <w:sz w:val="20"/>
          <w:szCs w:val="20"/>
          <w:color w:val="auto"/>
        </w:rPr>
      </w:pPr>
    </w:p>
    <w:p>
      <w:pPr>
        <w:ind w:right="60" w:firstLine="432"/>
        <w:spacing w:after="0" w:line="271"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16"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23" w:lineRule="exact"/>
        <w:rPr>
          <w:sz w:val="20"/>
          <w:szCs w:val="20"/>
          <w:color w:val="auto"/>
        </w:rPr>
      </w:pPr>
    </w:p>
    <w:p>
      <w:pPr>
        <w:ind w:right="80" w:firstLine="432"/>
        <w:spacing w:after="0" w:line="260"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21"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75"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19" w:lineRule="exact"/>
        <w:rPr>
          <w:sz w:val="20"/>
          <w:szCs w:val="20"/>
          <w:color w:val="auto"/>
        </w:rPr>
      </w:pPr>
    </w:p>
    <w:p>
      <w:pPr>
        <w:ind w:left="980" w:right="520" w:hanging="486"/>
        <w:spacing w:after="0" w:line="29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40" w:hanging="486"/>
        <w:spacing w:after="0" w:line="29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7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6"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above could harm our business and put us at a competitive disadvantage.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8" w:lineRule="exact"/>
        <w:rPr>
          <w:sz w:val="20"/>
          <w:szCs w:val="20"/>
          <w:color w:val="auto"/>
        </w:rPr>
      </w:pPr>
    </w:p>
    <w:p>
      <w:pPr>
        <w:ind w:right="600"/>
        <w:spacing w:after="0" w:line="301" w:lineRule="auto"/>
        <w:rPr>
          <w:sz w:val="20"/>
          <w:szCs w:val="20"/>
          <w:color w:val="auto"/>
        </w:rPr>
      </w:pPr>
      <w:r>
        <w:rPr>
          <w:rFonts w:ascii="Arial" w:cs="Arial" w:eastAsia="Arial" w:hAnsi="Arial"/>
          <w:sz w:val="18"/>
          <w:szCs w:val="18"/>
          <w:b w:val="1"/>
          <w:bCs w:val="1"/>
          <w:i w:val="1"/>
          <w:iCs w:val="1"/>
          <w:color w:val="auto"/>
        </w:rPr>
        <w:t>Covenants in our credit facility and term loan may limit our flexibility in responding to business opportunities and competitive developments and increase our vulnerability to adverse economic or industry conditions.</w:t>
      </w:r>
    </w:p>
    <w:p>
      <w:pPr>
        <w:spacing w:after="0" w:line="7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We are a party to a term loan agreement with affiliates of Tennenbaum Capital Partners, LLC (“TCP”).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have elected to comply with reduced public company reporting requirements applicable to emerging growth companies, which could make our common stock less attractive to investors.</w:t>
      </w:r>
    </w:p>
    <w:p>
      <w:pPr>
        <w:spacing w:after="0" w:line="7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enacted in April 2012, or the JOBS Act. We have chosen to take advantage of exemptions from various reporting requirements applicable to other public companies but not to “emerging growth companies,” including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cease to be an “emerging growth company” on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because we have chosen to take advantage of these exemptions. If some investors find our common stock less attractive as a result of any choices to reduce future disclosure, there may be a less active trading market for our common stock and our stock price may be more volatile.</w:t>
      </w:r>
    </w:p>
    <w:p>
      <w:pPr>
        <w:spacing w:after="0" w:line="126" w:lineRule="exact"/>
        <w:rPr>
          <w:sz w:val="20"/>
          <w:szCs w:val="20"/>
          <w:color w:val="auto"/>
        </w:rPr>
      </w:pPr>
    </w:p>
    <w:p>
      <w:pPr>
        <w:jc w:val="both"/>
        <w:ind w:right="140"/>
        <w:spacing w:after="0" w:line="27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16"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first Annual Report on 10-K for the year in which we cease to be an “emerging growth company,” as defined in the JOBS Act. If we or our independent registered public accounting firm discover a material weakness in the future, the disclosure of that fact, even if quickly remedied, could reduce the market’s confidence in our financial statements and harm our stock price. In addition, a delay in compliance with Section 404 of the Sarbanes-Oxley Act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7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recently completed a study to assess whether an ownership change has occurred or whether there have been multiple ownership changes since we became a loss corporation under the Code. However, we do not anticipate these limitations will significantly impact our ability to utilize the net operating losses and tax credit carryforwards.</w:t>
      </w:r>
    </w:p>
    <w:p>
      <w:pPr>
        <w:spacing w:after="0" w:line="129" w:lineRule="exact"/>
        <w:rPr>
          <w:sz w:val="20"/>
          <w:szCs w:val="20"/>
          <w:color w:val="auto"/>
        </w:rPr>
      </w:pPr>
    </w:p>
    <w:p>
      <w:pPr>
        <w:ind w:right="40" w:firstLine="432"/>
        <w:spacing w:after="0" w:line="260"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cloud-based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23"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75" w:lineRule="exact"/>
        <w:rPr>
          <w:sz w:val="20"/>
          <w:szCs w:val="20"/>
          <w:color w:val="auto"/>
        </w:rPr>
      </w:pPr>
    </w:p>
    <w:p>
      <w:pPr>
        <w:ind w:right="720" w:firstLine="432"/>
        <w:spacing w:after="0" w:line="29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15"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2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were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28"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cyber-attacks,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28" w:lineRule="exact"/>
        <w:rPr>
          <w:sz w:val="20"/>
          <w:szCs w:val="20"/>
          <w:color w:val="auto"/>
        </w:rPr>
      </w:pPr>
    </w:p>
    <w:p>
      <w:pPr>
        <w:ind w:right="940"/>
        <w:spacing w:after="0" w:line="333"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 efficient manner. If we are unable to use ocean transportation to deliver our products, our business and financial condition could be materially and adversely impacted.</w:t>
      </w:r>
    </w:p>
    <w:p>
      <w:pPr>
        <w:spacing w:after="0" w:line="5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20" w:firstLine="432"/>
        <w:spacing w:after="0" w:line="260"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1"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21"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600" w:hanging="486"/>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60" w:hanging="486"/>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20" w:hanging="486"/>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520" w:hanging="486"/>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36"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right="180" w:firstLine="432"/>
        <w:spacing w:after="0" w:line="260" w:lineRule="auto"/>
        <w:rPr>
          <w:sz w:val="20"/>
          <w:szCs w:val="20"/>
          <w:color w:val="auto"/>
        </w:rPr>
      </w:pPr>
      <w:r>
        <w:rPr>
          <w:rFonts w:ascii="Arial" w:cs="Arial" w:eastAsia="Arial" w:hAnsi="Arial"/>
          <w:sz w:val="18"/>
          <w:szCs w:val="18"/>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21" w:lineRule="exact"/>
        <w:rPr>
          <w:sz w:val="20"/>
          <w:szCs w:val="20"/>
          <w:color w:val="auto"/>
        </w:rPr>
      </w:pPr>
    </w:p>
    <w:p>
      <w:pPr>
        <w:jc w:val="both"/>
        <w:ind w:right="40"/>
        <w:spacing w:after="0" w:line="301"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75" w:lineRule="exact"/>
        <w:rPr>
          <w:sz w:val="20"/>
          <w:szCs w:val="20"/>
          <w:color w:val="auto"/>
        </w:rPr>
      </w:pPr>
    </w:p>
    <w:p>
      <w:pPr>
        <w:jc w:val="both"/>
        <w:ind w:right="40" w:firstLine="432"/>
        <w:spacing w:after="0" w:line="260"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700"/>
        <w:spacing w:after="0" w:line="301" w:lineRule="auto"/>
        <w:rPr>
          <w:sz w:val="20"/>
          <w:szCs w:val="20"/>
          <w:color w:val="auto"/>
        </w:rPr>
      </w:pPr>
      <w:r>
        <w:rPr>
          <w:rFonts w:ascii="Arial" w:cs="Arial" w:eastAsia="Arial" w:hAnsi="Arial"/>
          <w:sz w:val="18"/>
          <w:szCs w:val="18"/>
          <w:b w:val="1"/>
          <w:bCs w:val="1"/>
          <w:i w:val="1"/>
          <w:iCs w:val="1"/>
          <w:color w:val="auto"/>
        </w:rPr>
        <w:t>*If we fail to meet the continued listing standards of Nasdaq, our common stock may be delisted, which could have a material adverse effect on the liquidity and market price of our common stock.</w:t>
      </w:r>
    </w:p>
    <w:p>
      <w:pPr>
        <w:spacing w:after="0" w:line="7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common stock is currently traded on the Nasdaq Global Market. The Nasdaq Stock Market LLC (“Nasdaq”) has requirements that a company must meet in order to remain listed on Nasdaq. As previously disclosed in our filing with the SEC on form 8 -K on June 28, 2017, we received a letter from Nasdaq on June 23, 2017, providing notification that, for the previous 30 consecutive business days, the closing bid price for our common stock was below the minimum $1.00 per share requirement for continued listing under Nasdaq’s Listing Rule 5450(a)(1) (the “Minimum Bid Price Requirement”). Under Nasdaq Listing Rule 5810(c)(3)(A), if prior to December 20, 2017, the closing bid price of our common stock is at or above $1.00 for a minimum of 10 consecutive business days, Nasdaq will provide us with written confirmation of compliance. If we do not achieve compliance with the Minimum Bid Price Requirement by December 20, 2017, we may be eligible for an additional 180 calendar days compliance period if we elects to transfer to the Nasdaq Capital Market. To take advantage of the additional compliance period, we would be required to meet the continued listing requirement for market value of publicly held shares and all other initial listing standards for the Nasdaq Capital Market, with the exception of the Minimum Bid Price Requirement, and would need to provide written notice of our intention to cure the deficiency during the second compliance period. However, if it appears that we will not be able to cure the deficiency, or if we are otherwise not eligible, Nasdaq would notify us that our securities would be subject to delisting. We may appeal such determination to delist our securities, but there can be no assurance that Nasdaq would grant that appeal.</w:t>
      </w:r>
    </w:p>
    <w:p>
      <w:pPr>
        <w:spacing w:after="0" w:line="123" w:lineRule="exact"/>
        <w:rPr>
          <w:sz w:val="20"/>
          <w:szCs w:val="20"/>
          <w:color w:val="auto"/>
        </w:rPr>
      </w:pPr>
    </w:p>
    <w:p>
      <w:pPr>
        <w:ind w:right="600" w:firstLine="432"/>
        <w:spacing w:after="0" w:line="292" w:lineRule="auto"/>
        <w:rPr>
          <w:sz w:val="20"/>
          <w:szCs w:val="20"/>
          <w:color w:val="auto"/>
        </w:rPr>
      </w:pPr>
      <w:r>
        <w:rPr>
          <w:rFonts w:ascii="Arial" w:cs="Arial" w:eastAsia="Arial" w:hAnsi="Arial"/>
          <w:sz w:val="18"/>
          <w:szCs w:val="18"/>
          <w:color w:val="auto"/>
        </w:rPr>
        <w:t>If our common stock were to be delisted, the liquidity of our common stock would be adversely affected and the market price of our common stock could decrease.</w:t>
      </w:r>
    </w:p>
    <w:p>
      <w:pPr>
        <w:spacing w:after="0" w:line="91"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75"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24"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75" w:lineRule="exact"/>
        <w:rPr>
          <w:sz w:val="20"/>
          <w:szCs w:val="20"/>
          <w:color w:val="auto"/>
        </w:rPr>
      </w:pPr>
    </w:p>
    <w:p>
      <w:pPr>
        <w:ind w:right="80" w:firstLine="432"/>
        <w:spacing w:after="0" w:line="260"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21" w:lineRule="exact"/>
        <w:rPr>
          <w:sz w:val="20"/>
          <w:szCs w:val="20"/>
          <w:color w:val="auto"/>
        </w:rPr>
      </w:pPr>
    </w:p>
    <w:p>
      <w:pPr>
        <w:ind w:right="140" w:firstLine="432"/>
        <w:spacing w:after="0" w:line="271"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09"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75" w:lineRule="exact"/>
        <w:rPr>
          <w:sz w:val="20"/>
          <w:szCs w:val="20"/>
          <w:color w:val="auto"/>
        </w:rPr>
      </w:pPr>
    </w:p>
    <w:p>
      <w:pPr>
        <w:jc w:val="both"/>
        <w:ind w:right="640" w:firstLine="432"/>
        <w:spacing w:after="0" w:line="271"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6"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21" w:lineRule="exact"/>
        <w:rPr>
          <w:sz w:val="20"/>
          <w:szCs w:val="20"/>
          <w:color w:val="auto"/>
        </w:rPr>
      </w:pPr>
    </w:p>
    <w:p>
      <w:pPr>
        <w:jc w:val="both"/>
        <w:ind w:right="200" w:firstLine="432"/>
        <w:spacing w:after="0" w:line="271"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1" w:lineRule="exact"/>
        <w:rPr>
          <w:sz w:val="20"/>
          <w:szCs w:val="20"/>
          <w:color w:val="auto"/>
        </w:rPr>
      </w:pPr>
    </w:p>
    <w:p>
      <w:pPr>
        <w:ind w:left="980" w:right="62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36" w:lineRule="exact"/>
        <w:rPr>
          <w:rFonts w:ascii="Arial" w:cs="Arial" w:eastAsia="Arial" w:hAnsi="Arial"/>
          <w:sz w:val="18"/>
          <w:szCs w:val="18"/>
          <w:color w:val="auto"/>
        </w:rPr>
      </w:pPr>
    </w:p>
    <w:p>
      <w:pPr>
        <w:ind w:left="980" w:right="56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36" w:lineRule="exact"/>
        <w:rPr>
          <w:rFonts w:ascii="Arial" w:cs="Arial" w:eastAsia="Arial" w:hAnsi="Arial"/>
          <w:sz w:val="18"/>
          <w:szCs w:val="18"/>
          <w:color w:val="auto"/>
        </w:rPr>
      </w:pPr>
    </w:p>
    <w:p>
      <w:pPr>
        <w:ind w:left="980" w:right="26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36" w:lineRule="exact"/>
        <w:rPr>
          <w:rFonts w:ascii="Arial" w:cs="Arial" w:eastAsia="Arial" w:hAnsi="Arial"/>
          <w:sz w:val="18"/>
          <w:szCs w:val="18"/>
          <w:color w:val="auto"/>
        </w:rPr>
      </w:pPr>
    </w:p>
    <w:p>
      <w:pPr>
        <w:ind w:left="98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36" w:lineRule="exact"/>
        <w:rPr>
          <w:rFonts w:ascii="Arial" w:cs="Arial" w:eastAsia="Arial" w:hAnsi="Arial"/>
          <w:sz w:val="18"/>
          <w:szCs w:val="18"/>
          <w:color w:val="auto"/>
        </w:rPr>
      </w:pPr>
    </w:p>
    <w:p>
      <w:pPr>
        <w:ind w:left="980" w:right="60" w:hanging="486"/>
        <w:spacing w:after="0" w:line="26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7" w:lineRule="exact"/>
        <w:rPr>
          <w:rFonts w:ascii="Arial" w:cs="Arial" w:eastAsia="Arial" w:hAnsi="Arial"/>
          <w:sz w:val="18"/>
          <w:szCs w:val="18"/>
          <w:color w:val="auto"/>
        </w:rPr>
      </w:pPr>
    </w:p>
    <w:p>
      <w:pPr>
        <w:ind w:left="980" w:right="200" w:hanging="486"/>
        <w:spacing w:after="0" w:line="27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55" w:lineRule="exact"/>
        <w:rPr>
          <w:rFonts w:ascii="Arial" w:cs="Arial" w:eastAsia="Arial" w:hAnsi="Arial"/>
          <w:sz w:val="18"/>
          <w:szCs w:val="18"/>
          <w:color w:val="auto"/>
        </w:rPr>
      </w:pPr>
    </w:p>
    <w:p>
      <w:pPr>
        <w:ind w:left="980" w:right="180" w:hanging="486"/>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45" w:lineRule="exact"/>
        <w:rPr>
          <w:sz w:val="20"/>
          <w:szCs w:val="20"/>
          <w:color w:val="auto"/>
        </w:rPr>
      </w:pPr>
    </w:p>
    <w:p>
      <w:pPr>
        <w:ind w:right="80" w:firstLine="432"/>
        <w:spacing w:after="0" w:line="271"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09" w:lineRule="exact"/>
        <w:rPr>
          <w:sz w:val="20"/>
          <w:szCs w:val="20"/>
          <w:color w:val="auto"/>
        </w:rPr>
      </w:pPr>
    </w:p>
    <w:p>
      <w:pPr>
        <w:jc w:val="both"/>
        <w:ind w:right="260" w:firstLine="432"/>
        <w:spacing w:after="0" w:line="271"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6"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8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116"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73" w:lineRule="exact"/>
        <w:rPr>
          <w:sz w:val="20"/>
          <w:szCs w:val="20"/>
          <w:color w:val="auto"/>
        </w:rPr>
      </w:pPr>
    </w:p>
    <w:p>
      <w:pPr>
        <w:ind w:firstLine="432"/>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August 9, 2017</w:t>
      </w:r>
    </w:p>
    <w:p>
      <w:pPr>
        <w:spacing w:after="0" w:line="35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7"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37465</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Humberto Garcia</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116"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6280" w:type="dxa"/>
            <w:vAlign w:val="bottom"/>
            <w:gridSpan w:val="2"/>
          </w:tcPr>
          <w:p>
            <w:pPr>
              <w:ind w:left="448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4"/>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548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bl>
    <w:p>
      <w:pPr>
        <w:spacing w:after="0" w:line="153"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ind w:right="120"/>
        <w:spacing w:after="0" w:line="276" w:lineRule="auto"/>
        <w:rPr>
          <w:sz w:val="20"/>
          <w:szCs w:val="20"/>
          <w:color w:val="auto"/>
        </w:rPr>
      </w:pPr>
      <w:r>
        <w:rPr>
          <w:rFonts w:ascii="Arial" w:cs="Arial" w:eastAsia="Arial" w:hAnsi="Arial"/>
          <w:sz w:val="18"/>
          <w:szCs w:val="18"/>
          <w:color w:val="auto"/>
        </w:rPr>
        <w:t>Certificate of Amendment of the Amended and Restated Certificate of Incorporation of Enphase Energy, Inc. dated May 18,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1"/>
          <w:szCs w:val="21"/>
          <w:color w:val="auto"/>
          <w:vertAlign w:val="superscript"/>
        </w:rPr>
        <w:t>(1)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1"/>
          <w:szCs w:val="21"/>
          <w:color w:val="auto"/>
          <w:vertAlign w:val="superscript"/>
        </w:rPr>
        <w:t>(2)</w:t>
      </w:r>
    </w:p>
    <w:p>
      <w:pPr>
        <w:spacing w:after="0" w:line="150"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2010 Amended and Restated Investors’ Rights Agreement by and between Enphase Energy, Inc. and the investors listed on Exhibit A thereto, dated March 15, 2010, as amended.</w:t>
      </w:r>
      <w:r>
        <w:rPr>
          <w:rFonts w:ascii="Arial" w:cs="Arial" w:eastAsia="Arial" w:hAnsi="Arial"/>
          <w:sz w:val="21"/>
          <w:szCs w:val="21"/>
          <w:color w:val="auto"/>
          <w:vertAlign w:val="superscript"/>
        </w:rPr>
        <w:t>(2)</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Master License Agreement by and between Enphase Energy, Inc. and Flextronics Industrial, Ltd. dated June 9, 2017</w:t>
      </w:r>
    </w:p>
    <w:p>
      <w:pPr>
        <w:spacing w:after="0" w:line="185" w:lineRule="exact"/>
        <w:rPr>
          <w:sz w:val="20"/>
          <w:szCs w:val="20"/>
          <w:color w:val="auto"/>
        </w:rPr>
      </w:pPr>
    </w:p>
    <w:p>
      <w:pPr>
        <w:ind w:right="720"/>
        <w:spacing w:after="0" w:line="276" w:lineRule="auto"/>
        <w:rPr>
          <w:sz w:val="20"/>
          <w:szCs w:val="20"/>
          <w:color w:val="auto"/>
        </w:rPr>
      </w:pPr>
      <w:r>
        <w:rPr>
          <w:rFonts w:ascii="Arial" w:cs="Arial" w:eastAsia="Arial" w:hAnsi="Arial"/>
          <w:sz w:val="18"/>
          <w:szCs w:val="18"/>
          <w:color w:val="auto"/>
        </w:rPr>
        <w:t>First Amendment to Security Agreements by and between Enphase Energy, Inc. and Flextronics Industrial, Ltd. and Flextronics America, LLC. dated June 9, 2017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 pursuant to Rule 13a-14(a)/15d-14(a).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 pursuant to Rule 13a-14(a)/15d-14(a).</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Document.</w:t>
      </w:r>
    </w:p>
    <w:p>
      <w:pPr>
        <w:spacing w:after="0" w:line="36" w:lineRule="exact"/>
        <w:rPr>
          <w:sz w:val="20"/>
          <w:szCs w:val="20"/>
          <w:color w:val="auto"/>
        </w:rPr>
      </w:pPr>
    </w:p>
    <w:p>
      <w:pPr>
        <w:sectPr>
          <w:pgSz w:w="11900" w:h="16838" w:orient="portrait"/>
          <w:cols w:equalWidth="0" w:num="2">
            <w:col w:w="800" w:space="720"/>
            <w:col w:w="9900"/>
          </w:cols>
          <w:pgMar w:left="240" w:top="116"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right="20" w:hanging="482"/>
        <w:spacing w:after="0" w:line="292"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9" w:lineRule="exact"/>
        <w:rPr>
          <w:rFonts w:ascii="Arial" w:cs="Arial" w:eastAsia="Arial" w:hAnsi="Arial"/>
          <w:sz w:val="18"/>
          <w:szCs w:val="18"/>
          <w:color w:val="auto"/>
        </w:rPr>
      </w:pPr>
    </w:p>
    <w:p>
      <w:pPr>
        <w:ind w:left="1300" w:hanging="482"/>
        <w:spacing w:after="0" w:line="292"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as Exhibit 4.8 to the Registration Statement on Form S-1/A (File No. 333-174925), and incorporated herein by reference.</w:t>
      </w:r>
    </w:p>
    <w:p>
      <w:pPr>
        <w:spacing w:after="0" w:line="10" w:lineRule="exact"/>
        <w:rPr>
          <w:sz w:val="20"/>
          <w:szCs w:val="20"/>
          <w:color w:val="auto"/>
        </w:rPr>
      </w:pPr>
    </w:p>
    <w:p>
      <w:pPr>
        <w:jc w:val="both"/>
        <w:ind w:left="1300" w:hanging="482"/>
        <w:spacing w:after="0" w:line="271"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6" w:right="239" w:bottom="1440" w:gutter="0" w:footer="0" w:header="0"/>
          <w:type w:val="continuous"/>
        </w:sectPr>
      </w:pPr>
    </w:p>
    <w:bookmarkStart w:id="52" w:name="page53"/>
    <w:bookmarkEnd w:id="52"/>
    <w:p>
      <w:pPr>
        <w:jc w:val="center"/>
        <w:ind w:left="1380"/>
        <w:spacing w:after="0"/>
        <w:rPr>
          <w:sz w:val="20"/>
          <w:szCs w:val="20"/>
          <w:color w:val="auto"/>
        </w:rPr>
      </w:pPr>
      <w:r>
        <w:rPr>
          <w:rFonts w:ascii="Times New Roman" w:cs="Times New Roman" w:eastAsia="Times New Roman" w:hAnsi="Times New Roman"/>
          <w:sz w:val="18"/>
          <w:szCs w:val="18"/>
          <w:b w:val="1"/>
          <w:bCs w:val="1"/>
          <w:color w:val="444444"/>
        </w:rPr>
        <w:t>CERTIFICATE OF AMENDMENT OF THE</w:t>
      </w:r>
    </w:p>
    <w:p>
      <w:pPr>
        <w:spacing w:after="0" w:line="31"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8"/>
          <w:szCs w:val="18"/>
          <w:b w:val="1"/>
          <w:bCs w:val="1"/>
          <w:color w:val="444444"/>
        </w:rPr>
        <w:t>AMENDED AND RESTATED CERTIFICATE OF INCORPORATION OF ENPHASE ENERGY, INC.</w:t>
      </w:r>
    </w:p>
    <w:p>
      <w:pPr>
        <w:spacing w:after="0" w:line="135" w:lineRule="exact"/>
        <w:rPr>
          <w:sz w:val="20"/>
          <w:szCs w:val="20"/>
          <w:color w:val="auto"/>
        </w:rPr>
      </w:pPr>
    </w:p>
    <w:p>
      <w:pPr>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313131"/>
        </w:rPr>
        <w:t xml:space="preserve">ENPHASE ENERGY, INC., </w:t>
      </w:r>
      <w:r>
        <w:rPr>
          <w:rFonts w:ascii="Times New Roman" w:cs="Times New Roman" w:eastAsia="Times New Roman" w:hAnsi="Times New Roman"/>
          <w:sz w:val="18"/>
          <w:szCs w:val="18"/>
          <w:color w:val="313131"/>
        </w:rPr>
        <w:t>a corporation organized and existing under and by virtue of the General Corporation Law of the State of Delaware (the</w:t>
      </w:r>
      <w:r>
        <w:rPr>
          <w:rFonts w:ascii="Times New Roman" w:cs="Times New Roman" w:eastAsia="Times New Roman" w:hAnsi="Times New Roman"/>
          <w:sz w:val="18"/>
          <w:szCs w:val="18"/>
          <w:b w:val="1"/>
          <w:bCs w:val="1"/>
          <w:color w:val="313131"/>
        </w:rPr>
        <w:t xml:space="preserve"> </w:t>
      </w:r>
      <w:r>
        <w:rPr>
          <w:rFonts w:ascii="Times New Roman" w:cs="Times New Roman" w:eastAsia="Times New Roman" w:hAnsi="Times New Roman"/>
          <w:sz w:val="18"/>
          <w:szCs w:val="18"/>
          <w:color w:val="313131"/>
        </w:rPr>
        <w:t>"</w:t>
      </w:r>
      <w:r>
        <w:rPr>
          <w:rFonts w:ascii="Times New Roman" w:cs="Times New Roman" w:eastAsia="Times New Roman" w:hAnsi="Times New Roman"/>
          <w:sz w:val="18"/>
          <w:szCs w:val="18"/>
          <w:b w:val="1"/>
          <w:bCs w:val="1"/>
          <w:i w:val="1"/>
          <w:iCs w:val="1"/>
          <w:color w:val="313131"/>
        </w:rPr>
        <w:t>Corporation"),</w:t>
      </w:r>
      <w:r>
        <w:rPr>
          <w:rFonts w:ascii="Times New Roman" w:cs="Times New Roman" w:eastAsia="Times New Roman" w:hAnsi="Times New Roman"/>
          <w:sz w:val="18"/>
          <w:szCs w:val="18"/>
          <w:color w:val="313131"/>
        </w:rPr>
        <w:t xml:space="preserve"> hereby certifies that:</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313131"/>
        </w:rPr>
        <w:t xml:space="preserve">FIRST: </w:t>
      </w:r>
      <w:r>
        <w:rPr>
          <w:rFonts w:ascii="Times New Roman" w:cs="Times New Roman" w:eastAsia="Times New Roman" w:hAnsi="Times New Roman"/>
          <w:sz w:val="18"/>
          <w:szCs w:val="18"/>
          <w:color w:val="313131"/>
        </w:rPr>
        <w:t>The name of the Corporation is</w:t>
      </w:r>
      <w:r>
        <w:rPr>
          <w:rFonts w:ascii="Times New Roman" w:cs="Times New Roman" w:eastAsia="Times New Roman" w:hAnsi="Times New Roman"/>
          <w:sz w:val="18"/>
          <w:szCs w:val="18"/>
          <w:b w:val="1"/>
          <w:bCs w:val="1"/>
          <w:color w:val="313131"/>
        </w:rPr>
        <w:t xml:space="preserve"> ENPHASE ENERGY, INC.</w:t>
      </w:r>
    </w:p>
    <w:p>
      <w:pPr>
        <w:spacing w:after="0" w:line="158"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color w:val="313131"/>
        </w:rPr>
        <w:t xml:space="preserve">SECOND: </w:t>
      </w:r>
      <w:r>
        <w:rPr>
          <w:rFonts w:ascii="Times New Roman" w:cs="Times New Roman" w:eastAsia="Times New Roman" w:hAnsi="Times New Roman"/>
          <w:sz w:val="18"/>
          <w:szCs w:val="18"/>
          <w:color w:val="313131"/>
        </w:rPr>
        <w:t>The Certificate of Incorporation of this corporation was originally filed with the Secretary of State of Delaware on March 20, 2006 under</w:t>
      </w:r>
      <w:r>
        <w:rPr>
          <w:rFonts w:ascii="Times New Roman" w:cs="Times New Roman" w:eastAsia="Times New Roman" w:hAnsi="Times New Roman"/>
          <w:sz w:val="18"/>
          <w:szCs w:val="18"/>
          <w:b w:val="1"/>
          <w:bCs w:val="1"/>
          <w:color w:val="313131"/>
        </w:rPr>
        <w:t xml:space="preserve"> </w:t>
      </w:r>
      <w:r>
        <w:rPr>
          <w:rFonts w:ascii="Times New Roman" w:cs="Times New Roman" w:eastAsia="Times New Roman" w:hAnsi="Times New Roman"/>
          <w:sz w:val="18"/>
          <w:szCs w:val="18"/>
          <w:color w:val="313131"/>
        </w:rPr>
        <w:t>the name "PVI Solutions, Inc."</w:t>
      </w:r>
    </w:p>
    <w:p>
      <w:pPr>
        <w:spacing w:after="0" w:line="87"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b w:val="1"/>
          <w:bCs w:val="1"/>
          <w:color w:val="313131"/>
        </w:rPr>
        <w:t xml:space="preserve">THIRD: </w:t>
      </w:r>
      <w:r>
        <w:rPr>
          <w:rFonts w:ascii="Times New Roman" w:cs="Times New Roman" w:eastAsia="Times New Roman" w:hAnsi="Times New Roman"/>
          <w:sz w:val="18"/>
          <w:szCs w:val="18"/>
          <w:color w:val="313131"/>
        </w:rPr>
        <w:t>The Board of Directors of the Corporation, acting in accordance with the provisions of Sections 141 and 242 of the General Corporation</w:t>
      </w:r>
      <w:r>
        <w:rPr>
          <w:rFonts w:ascii="Times New Roman" w:cs="Times New Roman" w:eastAsia="Times New Roman" w:hAnsi="Times New Roman"/>
          <w:sz w:val="18"/>
          <w:szCs w:val="18"/>
          <w:b w:val="1"/>
          <w:bCs w:val="1"/>
          <w:color w:val="313131"/>
        </w:rPr>
        <w:t xml:space="preserve"> </w:t>
      </w:r>
      <w:r>
        <w:rPr>
          <w:rFonts w:ascii="Times New Roman" w:cs="Times New Roman" w:eastAsia="Times New Roman" w:hAnsi="Times New Roman"/>
          <w:sz w:val="18"/>
          <w:szCs w:val="18"/>
          <w:color w:val="313131"/>
        </w:rPr>
        <w:t>Law of the State of Delaware, adopted resolutions to amend its Amended and Restated Certificate of Incorporation as follows:</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313131"/>
        </w:rPr>
        <w:t>1. Article IV, Section A shall be amended and restated to read in its entirety as follows:</w:t>
      </w:r>
    </w:p>
    <w:p>
      <w:pPr>
        <w:spacing w:after="0" w:line="77"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color w:val="313131"/>
        </w:rPr>
        <w:t>"(A) This Corporation is authorized to issue two classes of stock to be designated, respectively, "Common Stock" and "Preferred Stock." The total number of shares that this Corporation is authorized to issue is One Hundred Thirty-Five Million (135,000,000) shares, each with a par value of $0.00001 per share. One Hundred Twenty-Five Million (125,000,000) shares shall be Common Stock and Ten Million (10,000,000) shares shall be Preferred Stock."</w:t>
      </w:r>
    </w:p>
    <w:p>
      <w:pPr>
        <w:spacing w:after="0" w:line="10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313131"/>
        </w:rPr>
        <w:t xml:space="preserve">FOURTH: </w:t>
      </w:r>
      <w:r>
        <w:rPr>
          <w:rFonts w:ascii="Times New Roman" w:cs="Times New Roman" w:eastAsia="Times New Roman" w:hAnsi="Times New Roman"/>
          <w:sz w:val="18"/>
          <w:szCs w:val="18"/>
          <w:color w:val="313131"/>
        </w:rPr>
        <w:t>Thereafter pursuant to a resolution of the Board of Directors, this Certificate of Amendment was submitted to the stockholders of the</w:t>
      </w:r>
      <w:r>
        <w:rPr>
          <w:rFonts w:ascii="Times New Roman" w:cs="Times New Roman" w:eastAsia="Times New Roman" w:hAnsi="Times New Roman"/>
          <w:sz w:val="18"/>
          <w:szCs w:val="18"/>
          <w:b w:val="1"/>
          <w:bCs w:val="1"/>
          <w:color w:val="313131"/>
        </w:rPr>
        <w:t xml:space="preserve"> </w:t>
      </w:r>
      <w:r>
        <w:rPr>
          <w:rFonts w:ascii="Times New Roman" w:cs="Times New Roman" w:eastAsia="Times New Roman" w:hAnsi="Times New Roman"/>
          <w:sz w:val="18"/>
          <w:szCs w:val="18"/>
          <w:color w:val="313131"/>
        </w:rPr>
        <w:t>Corporation for their approval, and was duly adopted at the Annual Meeting of Stockholders held on May 18, 2017 in accordance with the provisions of Section 242 of the General Corporation Law of the State of Delaware.</w:t>
      </w:r>
    </w:p>
    <w:p>
      <w:pPr>
        <w:spacing w:after="0" w:line="200" w:lineRule="exact"/>
        <w:rPr>
          <w:sz w:val="20"/>
          <w:szCs w:val="20"/>
          <w:color w:val="auto"/>
        </w:rPr>
      </w:pPr>
    </w:p>
    <w:p>
      <w:pPr>
        <w:spacing w:after="0" w:line="2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1"/>
          <w:szCs w:val="21"/>
          <w:b w:val="1"/>
          <w:bCs w:val="1"/>
          <w:color w:val="auto"/>
        </w:rPr>
        <w:t>ENPHASE ENERGY,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0"/>
          <w:szCs w:val="20"/>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28575</wp:posOffset>
            </wp:positionV>
            <wp:extent cx="28816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Paul B. Nahi</w:t>
      </w:r>
    </w:p>
    <w:p>
      <w:pPr>
        <w:spacing w:after="0" w:line="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ectPr>
          <w:pgSz w:w="11900" w:h="16838" w:orient="portrait"/>
          <w:cols w:equalWidth="0" w:num="1">
            <w:col w:w="11300"/>
          </w:cols>
          <w:pgMar w:left="360" w:top="630" w:right="239" w:bottom="1440" w:gutter="0" w:footer="0" w:header="0"/>
        </w:sectPr>
      </w:pPr>
    </w:p>
    <w:bookmarkStart w:id="53" w:name="page54"/>
    <w:bookmarkEnd w:id="53"/>
    <w:p>
      <w:pPr>
        <w:jc w:val="both"/>
        <w:spacing w:after="0" w:line="251" w:lineRule="auto"/>
        <w:rPr>
          <w:sz w:val="20"/>
          <w:szCs w:val="20"/>
          <w:color w:val="auto"/>
        </w:rPr>
      </w:pPr>
      <w:r>
        <w:rPr>
          <w:rFonts w:ascii="Times New Roman" w:cs="Times New Roman" w:eastAsia="Times New Roman" w:hAnsi="Times New Roman"/>
          <w:sz w:val="21"/>
          <w:szCs w:val="21"/>
          <w:i w:val="1"/>
          <w:iCs w:val="1"/>
          <w:color w:val="auto"/>
        </w:rPr>
        <w:t>THIS MASTER LICENSE AGREEMENT IS SUBJECT TO AN AMENDED AND RESTATED INTERCREDITOR AGREEMENT OF EVEN DATE, AS SUCH AGREEMENT MAY BE AMENDED OR AMENDED AND RESTATED FROM TIME TO TIME, BY AND AMONG FLEXTRONICS INDUSTRIAL, LTD AND OBSIDIAN AGENCY SERVICES, INC. A COPY OF THE INTERCREDITOR AGREEMENT IS AVAILABLE FROM FLEXTRONICS INDUSTRIAL, LTD. UPON WRITTEN REQUEST.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MASTER LICENSE AGREEMENT</w:t>
      </w:r>
    </w:p>
    <w:p>
      <w:pPr>
        <w:spacing w:after="0" w:line="200" w:lineRule="exact"/>
        <w:rPr>
          <w:sz w:val="20"/>
          <w:szCs w:val="20"/>
          <w:color w:val="auto"/>
        </w:rPr>
      </w:pPr>
    </w:p>
    <w:p>
      <w:pPr>
        <w:spacing w:after="0" w:line="38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MASTER LICENSE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June 9 , 2017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is by and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Enphase Energy, Inc., a Delaware corporation having its business at 1420 North McDowell Boulevard, Petaluma, California 94954 (“</w:t>
      </w:r>
      <w:r>
        <w:rPr>
          <w:rFonts w:ascii="Times New Roman" w:cs="Times New Roman" w:eastAsia="Times New Roman" w:hAnsi="Times New Roman"/>
          <w:sz w:val="20"/>
          <w:szCs w:val="20"/>
          <w:u w:val="single" w:color="auto"/>
          <w:color w:val="auto"/>
        </w:rPr>
        <w:t>Enphase</w:t>
      </w:r>
      <w:r>
        <w:rPr>
          <w:rFonts w:ascii="Times New Roman" w:cs="Times New Roman" w:eastAsia="Times New Roman" w:hAnsi="Times New Roman"/>
          <w:sz w:val="20"/>
          <w:szCs w:val="20"/>
          <w:color w:val="auto"/>
        </w:rPr>
        <w:t>”) and Flextronics Industrial, Ltd., a Mauritius corporation having its place of business at Level 3, Alexander House, 35 Cybercity, Ebene, Mauritius (“</w:t>
      </w:r>
      <w:r>
        <w:rPr>
          <w:rFonts w:ascii="Times New Roman" w:cs="Times New Roman" w:eastAsia="Times New Roman" w:hAnsi="Times New Roman"/>
          <w:sz w:val="20"/>
          <w:szCs w:val="20"/>
          <w:u w:val="single" w:color="auto"/>
          <w:color w:val="auto"/>
        </w:rPr>
        <w:t>Flextronics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right="340" w:firstLine="648"/>
        <w:spacing w:after="0" w:line="249" w:lineRule="auto"/>
        <w:rPr>
          <w:sz w:val="20"/>
          <w:szCs w:val="20"/>
          <w:color w:val="auto"/>
        </w:rPr>
      </w:pPr>
      <w:r>
        <w:rPr>
          <w:rFonts w:ascii="Times New Roman" w:cs="Times New Roman" w:eastAsia="Times New Roman" w:hAnsi="Times New Roman"/>
          <w:sz w:val="20"/>
          <w:szCs w:val="20"/>
          <w:color w:val="auto"/>
        </w:rPr>
        <w:t>WHEREAS, Enphase desires to license its Intellectual Property relating to microinverters, storage products and data gateways for capturing and exploiting solar energy, including certain issued and pending patents, to Flextronics in order for Flextronics to market, manufacture, and sell such microinverters, storage products and data gateways as further set forth in this Agreement. (Individually, Enphase and Flextronics are referred to herein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 and together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the Parties agree as follows:</w:t>
      </w:r>
    </w:p>
    <w:p>
      <w:pPr>
        <w:spacing w:after="0" w:line="225" w:lineRule="exact"/>
        <w:rPr>
          <w:sz w:val="20"/>
          <w:szCs w:val="20"/>
          <w:color w:val="auto"/>
        </w:rPr>
      </w:pPr>
    </w:p>
    <w:p>
      <w:pPr>
        <w:ind w:right="60" w:firstLine="8"/>
        <w:spacing w:after="0" w:line="301" w:lineRule="auto"/>
        <w:tabs>
          <w:tab w:leader="none" w:pos="797"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Certain terms are defined in the body of this Agreement. When used in this Agreement or in any applicable Product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Authorization as defined terms, the following terms shall have the meanings set forth below:</w:t>
      </w:r>
    </w:p>
    <w:p>
      <w:pPr>
        <w:spacing w:after="0" w:line="143" w:lineRule="exact"/>
        <w:rPr>
          <w:sz w:val="20"/>
          <w:szCs w:val="20"/>
          <w:color w:val="auto"/>
        </w:rPr>
      </w:pPr>
    </w:p>
    <w:p>
      <w:pPr>
        <w:ind w:right="120"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Party, each person or entity that directly or indirectly, through one or more intermediaries, owns or controls, or is controlled by or under common control with, such Party. For the purpose of this definition, “</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management and policies, whether through the ownership of voting securities, by contract or otherwise.</w:t>
      </w:r>
    </w:p>
    <w:p>
      <w:pPr>
        <w:spacing w:after="0" w:line="180"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Assemble-Build Intellectual Property</w:t>
      </w:r>
      <w:r>
        <w:rPr>
          <w:rFonts w:ascii="Times New Roman" w:cs="Times New Roman" w:eastAsia="Times New Roman" w:hAnsi="Times New Roman"/>
          <w:sz w:val="20"/>
          <w:szCs w:val="20"/>
          <w:color w:val="auto"/>
        </w:rPr>
        <w:t>” means all Patents, Software, instructions, schematics, assembly and engineering drawings, process documentation, and test specifications required or desirable for marketing, manufacturing or selling the Products;</w:t>
      </w:r>
    </w:p>
    <w:p>
      <w:pPr>
        <w:spacing w:after="0" w:line="16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Envoys</w:t>
      </w:r>
      <w:r>
        <w:rPr>
          <w:rFonts w:ascii="Times New Roman" w:cs="Times New Roman" w:eastAsia="Times New Roman" w:hAnsi="Times New Roman"/>
          <w:sz w:val="20"/>
          <w:szCs w:val="20"/>
          <w:color w:val="auto"/>
        </w:rPr>
        <w:t>” mean internet-ready data gateway devices that gather production data from each microinverters and delivers this data to the Borrrower’s proprietary, cloud-based data management platform.</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Sale</w:t>
      </w:r>
      <w:r>
        <w:rPr>
          <w:rFonts w:ascii="Times New Roman" w:cs="Times New Roman" w:eastAsia="Times New Roman" w:hAnsi="Times New Roman"/>
          <w:sz w:val="20"/>
          <w:szCs w:val="20"/>
          <w:color w:val="auto"/>
        </w:rPr>
        <w:t>” means the first sale by Flextronics or any of its Affiliates to an Person not an Affiliate of any of the Products.</w:t>
      </w:r>
    </w:p>
    <w:p>
      <w:pPr>
        <w:spacing w:after="0" w:line="216" w:lineRule="exact"/>
        <w:rPr>
          <w:sz w:val="20"/>
          <w:szCs w:val="20"/>
          <w:color w:val="auto"/>
        </w:rPr>
      </w:pPr>
    </w:p>
    <w:p>
      <w:pPr>
        <w:ind w:right="68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United States and foreign: (a) inventions and discoveries (whether patentable or unpatentable, whether or not reduced to practice, and/or whether developed alone</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18" w:right="239" w:bottom="1440" w:gutter="0" w:footer="0" w:header="0"/>
        </w:sectPr>
      </w:pPr>
    </w:p>
    <w:bookmarkStart w:id="54" w:name="page55"/>
    <w:bookmarkEnd w:id="54"/>
    <w:p>
      <w:pPr>
        <w:spacing w:after="0" w:line="242" w:lineRule="auto"/>
        <w:rPr>
          <w:sz w:val="20"/>
          <w:szCs w:val="20"/>
          <w:color w:val="auto"/>
        </w:rPr>
      </w:pPr>
      <w:r>
        <w:rPr>
          <w:rFonts w:ascii="Times New Roman" w:cs="Times New Roman" w:eastAsia="Times New Roman" w:hAnsi="Times New Roman"/>
          <w:sz w:val="20"/>
          <w:szCs w:val="20"/>
          <w:color w:val="auto"/>
        </w:rPr>
        <w:t>or jointly with others) and all improvements thereto; (b) Patents; (c) Marks; (d) copyrights (registered or unregistered), copyrightable works, rights of authorship, and registrations and applications for registration thereof and renewals thereof; (e) Software; (f) all other trade secrets and other confidential or proprietary information (including without limitation ideas, technologies, know-how, manufacturing and production processes and techniques, algorithms, formulae, schematics, databases, research and development information, drawings, schematics, specifications, prototypes, work-in-process, bills of materials, designs and design files (including CAD files and drawings), mask works and mask work registrations, plans, proposals, technical data, pricing data, marketing data, financial records, technical or product manuals or other documentation, customer and supplier lists and other proprietary information, data or materials); (g) copies and tangible embodiments thereof (in whatever form or medium), and all modifications, improvements, enhancements and derivative works of any of the foregoing; and (h) rights in or to any of the foregoing, including any licenses and any rights to sue and collect remedies for any past, present and future infringement of any of the foregoing, and rights of priority and protection of interests therein under the laws of any governmental authority.</w:t>
      </w:r>
    </w:p>
    <w:p>
      <w:pPr>
        <w:spacing w:after="0" w:line="193" w:lineRule="exact"/>
        <w:rPr>
          <w:sz w:val="20"/>
          <w:szCs w:val="20"/>
          <w:color w:val="auto"/>
        </w:rPr>
      </w:pPr>
    </w:p>
    <w:p>
      <w:pPr>
        <w:ind w:right="260" w:firstLine="648"/>
        <w:spacing w:after="0" w:line="269" w:lineRule="auto"/>
        <w:rPr>
          <w:sz w:val="20"/>
          <w:szCs w:val="20"/>
          <w:color w:val="auto"/>
        </w:rPr>
      </w:pPr>
      <w:r>
        <w:rPr>
          <w:rFonts w:ascii="Times New Roman" w:cs="Times New Roman" w:eastAsia="Times New Roman" w:hAnsi="Times New Roman"/>
          <w:sz w:val="20"/>
          <w:szCs w:val="20"/>
          <w:color w:val="auto"/>
        </w:rPr>
        <w:t>"Inverters" mean ASIC-based, module-level electronic devices that convert DC energy harvested from an individual solar panel into AC energy ready for immediate consumption, storage, or delivery back to the grid.</w:t>
      </w:r>
    </w:p>
    <w:p>
      <w:pPr>
        <w:spacing w:after="0" w:line="160"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Manufacturing Services Agreement</w:t>
      </w:r>
      <w:r>
        <w:rPr>
          <w:rFonts w:ascii="Times New Roman" w:cs="Times New Roman" w:eastAsia="Times New Roman" w:hAnsi="Times New Roman"/>
          <w:sz w:val="20"/>
          <w:szCs w:val="20"/>
          <w:color w:val="auto"/>
        </w:rPr>
        <w:t>” means the Flextronics Manufacturing Services Agreement dated March 1, 2009 by and between Enphase and Flextronics, as amended or otherwise modified.</w:t>
      </w:r>
    </w:p>
    <w:p>
      <w:pPr>
        <w:spacing w:after="0" w:line="160"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Marks</w:t>
      </w:r>
      <w:r>
        <w:rPr>
          <w:rFonts w:ascii="Times New Roman" w:cs="Times New Roman" w:eastAsia="Times New Roman" w:hAnsi="Times New Roman"/>
          <w:sz w:val="20"/>
          <w:szCs w:val="20"/>
          <w:color w:val="auto"/>
        </w:rPr>
        <w:t>” means all trademarks, trade names, trade dress, service marks, service names, brands, logos, designs, slogans, product names, corporate names or Internet domain names, together with all of the designs used by Enphase prior to the Effective Date and the goodwill symbolized thereby and associated therewith, and registrations and applications for registration thereof and renewals thereof, including but not limited to the trademarks and services marks that are the subject of the following current or pending registrations at the U.S. Patent and Trademark Office: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ENPHASE, Reg. 4,056,628</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ENPHASE ENERGY, Reg. Nos. 3595609 and 4056580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ENVIRON, Reg. 4,071,569</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ENLIGHTEN, Reg. 3,758,421</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ENLIGHTEN MANAGER, Reg. 4,514,077</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MY ENLIGHTEN, Reg. 4,514,076</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 Ser. 87/079,116</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 Reg. 1,263,188</w:t>
      </w:r>
    </w:p>
    <w:p>
      <w:pPr>
        <w:spacing w:after="0" w:line="216" w:lineRule="exact"/>
        <w:rPr>
          <w:sz w:val="20"/>
          <w:szCs w:val="20"/>
          <w:color w:val="auto"/>
        </w:rPr>
      </w:pPr>
    </w:p>
    <w:p>
      <w:pPr>
        <w:jc w:val="both"/>
        <w:ind w:right="1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means all patents, patent applications, patent and invention disclosures, and all other rights of inventorship, together with all reissuances, continuations, continuations-in-part, divisions, revisions, extensions and re-examinations thereof and any amendment thereto as a result of re-examination, inter parties review or post grant review.</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00"/>
          </w:cols>
          <w:pgMar w:left="240" w:top="616" w:right="259" w:bottom="1440" w:gutter="0" w:footer="0" w:header="0"/>
        </w:sectPr>
      </w:pPr>
    </w:p>
    <w:bookmarkStart w:id="55" w:name="page56"/>
    <w:bookmarkEnd w:id="55"/>
    <w:p>
      <w:pPr>
        <w:ind w:right="68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Products</w:t>
      </w:r>
      <w:r>
        <w:rPr>
          <w:rFonts w:ascii="Times New Roman" w:cs="Times New Roman" w:eastAsia="Times New Roman" w:hAnsi="Times New Roman"/>
          <w:sz w:val="20"/>
          <w:szCs w:val="20"/>
          <w:color w:val="auto"/>
        </w:rPr>
        <w:t>” means those products listed and described on Exhibit A attached hereto.</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 Specifications</w:t>
      </w:r>
      <w:r>
        <w:rPr>
          <w:rFonts w:ascii="Times New Roman" w:cs="Times New Roman" w:eastAsia="Times New Roman" w:hAnsi="Times New Roman"/>
          <w:sz w:val="20"/>
          <w:szCs w:val="20"/>
          <w:color w:val="auto"/>
        </w:rPr>
        <w:t>” means product specifications pertaining to the Products.</w:t>
      </w:r>
    </w:p>
    <w:p>
      <w:pPr>
        <w:spacing w:after="0" w:line="22" w:lineRule="exact"/>
        <w:rPr>
          <w:sz w:val="20"/>
          <w:szCs w:val="20"/>
          <w:color w:val="auto"/>
        </w:rPr>
      </w:pPr>
    </w:p>
    <w:p>
      <w:pPr>
        <w:ind w:right="8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Software</w:t>
      </w:r>
      <w:r>
        <w:rPr>
          <w:rFonts w:ascii="Times New Roman" w:cs="Times New Roman" w:eastAsia="Times New Roman" w:hAnsi="Times New Roman"/>
          <w:sz w:val="20"/>
          <w:szCs w:val="20"/>
          <w:color w:val="auto"/>
        </w:rPr>
        <w:t>” means all computer software (including operating systems, application programs, application program interfaces, firmware and software embedded with any equipment, product, prototype or DSP chip, including without limitation source code, source code engines, source data files and object code thereof), software development tools (including without limitation assemblers, compilers, converters, utilities, compression tools, and scripts), libraries, algorithms, routines, subroutines, commented and documented code, programmer’s notes, system architecture, logic flow, data, technical specifications, modules, computer applications and operating programs, interfaces, databases and documentation thereof, including any modifications, enhancements and derivative works of any of the computer software programs described above.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shall have the meaning provided in Section 6.1.</w:t>
      </w:r>
    </w:p>
    <w:p>
      <w:pPr>
        <w:spacing w:after="0" w:line="200" w:lineRule="exact"/>
        <w:rPr>
          <w:sz w:val="20"/>
          <w:szCs w:val="20"/>
          <w:color w:val="auto"/>
        </w:rPr>
      </w:pPr>
    </w:p>
    <w:p>
      <w:pPr>
        <w:spacing w:after="0" w:line="232" w:lineRule="exact"/>
        <w:rPr>
          <w:sz w:val="20"/>
          <w:szCs w:val="20"/>
          <w:color w:val="auto"/>
        </w:rPr>
      </w:pPr>
    </w:p>
    <w:p>
      <w:pPr>
        <w:ind w:right="80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Third-Party IP</w:t>
      </w:r>
      <w:r>
        <w:rPr>
          <w:rFonts w:ascii="Times New Roman" w:cs="Times New Roman" w:eastAsia="Times New Roman" w:hAnsi="Times New Roman"/>
          <w:sz w:val="20"/>
          <w:szCs w:val="20"/>
          <w:color w:val="auto"/>
        </w:rPr>
        <w:t>” means any intellectual property rights that are owned by a person or entity not a party to this Agreement, not including an Affiliate of any Party.</w:t>
      </w:r>
    </w:p>
    <w:p>
      <w:pPr>
        <w:spacing w:after="0" w:line="156"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RIGHTS GRANTED</w:t>
      </w:r>
    </w:p>
    <w:p>
      <w:pPr>
        <w:spacing w:after="0" w:line="229" w:lineRule="exact"/>
        <w:rPr>
          <w:sz w:val="20"/>
          <w:szCs w:val="20"/>
          <w:color w:val="auto"/>
        </w:rPr>
      </w:pPr>
    </w:p>
    <w:p>
      <w:pPr>
        <w:ind w:right="60" w:firstLine="1702"/>
        <w:spacing w:after="0" w:line="285"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19"/>
          <w:szCs w:val="19"/>
          <w:u w:val="single" w:color="auto"/>
          <w:color w:val="auto"/>
        </w:rPr>
        <w:t>Enphase’s Assemble-Build Intellectual Property</w:t>
      </w:r>
      <w:r>
        <w:rPr>
          <w:rFonts w:ascii="Times New Roman" w:cs="Times New Roman" w:eastAsia="Times New Roman" w:hAnsi="Times New Roman"/>
          <w:sz w:val="19"/>
          <w:szCs w:val="19"/>
          <w:color w:val="auto"/>
          <w:highlight w:val="white"/>
        </w:rPr>
        <w:t>. Under this Agreement and according to these terms,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Enphase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hereby grants to Flextronics a limited, non-exclusive, non-transferable (provided, however, that the license shall be fully transferable and/or sublicenseable to one or more Affiliates of Flextronics on the basis set forth in Section 7.4 below), revocable (per the terms of this Agreement), worldwide, fully paid-up license during the Term to reproduce, exploit and use the Assemble-Build Intellectual Property to make, use, sell and import Products in conformance with all Product Specifications. The foregoing license specifically includes the right to purchase materials and components from third parties containing Enphase’s Intellectual Property</w:t>
      </w:r>
    </w:p>
    <w:p>
      <w:pPr>
        <w:spacing w:after="0" w:line="172" w:lineRule="exact"/>
        <w:rPr>
          <w:sz w:val="20"/>
          <w:szCs w:val="20"/>
          <w:color w:val="auto"/>
        </w:rPr>
      </w:pPr>
    </w:p>
    <w:p>
      <w:pPr>
        <w:ind w:firstLine="1702"/>
        <w:spacing w:after="0" w:line="285"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19"/>
          <w:szCs w:val="19"/>
          <w:u w:val="single" w:color="auto"/>
          <w:color w:val="auto"/>
          <w:highlight w:val="white"/>
        </w:rPr>
        <w:t>Marks</w:t>
      </w:r>
      <w:r>
        <w:rPr>
          <w:rFonts w:ascii="Times New Roman" w:cs="Times New Roman" w:eastAsia="Times New Roman" w:hAnsi="Times New Roman"/>
          <w:sz w:val="19"/>
          <w:szCs w:val="19"/>
          <w:color w:val="auto"/>
          <w:highlight w:val="white"/>
        </w:rPr>
        <w:t>. Under this Agreement and according to these terms,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Enphase hereby grants to Flextronics a limited, non-exclusive, non-transferable (provided, however, that the license shall be fully transferable and/or sublicenseable to one or more Affiliates of Flextronics on the basis set forth in Section 7.4 below), revocable (per the terms of this Agreement) worldwide, and fully paid-up license during the Term to use the Marks solely on and in connection with marketing, sale and distribution of the Products worldwide. Nothing in this Agreement shall be construed as conferring upon Flextronics any right to include any of the Marks in advertising, packaging, publicity or other commercial activities related to any Product.</w:t>
      </w:r>
    </w:p>
    <w:p>
      <w:pPr>
        <w:spacing w:after="0" w:line="190" w:lineRule="exact"/>
        <w:rPr>
          <w:sz w:val="20"/>
          <w:szCs w:val="20"/>
          <w:color w:val="auto"/>
        </w:rPr>
      </w:pPr>
    </w:p>
    <w:p>
      <w:pPr>
        <w:ind w:right="360" w:firstLine="1305"/>
        <w:spacing w:after="0" w:line="288" w:lineRule="auto"/>
        <w:tabs>
          <w:tab w:leader="none" w:pos="177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Flextronics agrees that all uses of the Marks, including without limitation, related advertising, promotional, collateral materials and other related uses of the Marks by Flextronics shall conform to standards of color, size, font and design set by, and under the control of, Enphase, and all and Products provided by Flextronics shall comply with all legal standards and Product Specifications.</w:t>
      </w:r>
    </w:p>
    <w:p>
      <w:pPr>
        <w:spacing w:after="0" w:line="1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16" w:right="239" w:bottom="1440" w:gutter="0" w:footer="0" w:header="0"/>
        </w:sectPr>
      </w:pPr>
    </w:p>
    <w:bookmarkStart w:id="56" w:name="page57"/>
    <w:bookmarkEnd w:id="56"/>
    <w:p>
      <w:pPr>
        <w:ind w:right="120" w:firstLine="1305"/>
        <w:spacing w:after="0" w:line="288" w:lineRule="auto"/>
        <w:tabs>
          <w:tab w:leader="none" w:pos="1765"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Flextronics agrees to use (i) ®, ™, or other appropriate trademark symbols, (ii) notices indicating ownership of the Marks; and (iii) use the Marks as adjectives followed by generic terms. Flextronics shall make advertising, packaging and labeling available to Enphase upon Enphase’s request from time to time for the purposes of satisfying Enphase of Flextronics’ compliance with this Agreement.</w:t>
      </w:r>
    </w:p>
    <w:p>
      <w:pPr>
        <w:spacing w:after="0" w:line="167" w:lineRule="exact"/>
        <w:rPr>
          <w:sz w:val="20"/>
          <w:szCs w:val="20"/>
          <w:color w:val="auto"/>
        </w:rPr>
      </w:pPr>
    </w:p>
    <w:p>
      <w:pPr>
        <w:ind w:right="320" w:firstLine="1702"/>
        <w:spacing w:after="0" w:line="259"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19"/>
          <w:szCs w:val="19"/>
          <w:u w:val="single" w:color="auto"/>
          <w:color w:val="auto"/>
        </w:rPr>
        <w:t>No Other Licenses</w:t>
      </w:r>
      <w:r>
        <w:rPr>
          <w:rFonts w:ascii="Times New Roman" w:cs="Times New Roman" w:eastAsia="Times New Roman" w:hAnsi="Times New Roman"/>
          <w:sz w:val="19"/>
          <w:szCs w:val="19"/>
          <w:color w:val="auto"/>
        </w:rPr>
        <w:t>. Each Party acknowledges and agrees that, except as expressly set forth in this Agreement, no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licenses or rights under any intellectual property rights of the other Party are given or intended to be given by this Agreement to such other Party.</w:t>
      </w:r>
    </w:p>
    <w:p>
      <w:pPr>
        <w:spacing w:after="0" w:line="200" w:lineRule="exact"/>
        <w:rPr>
          <w:sz w:val="20"/>
          <w:szCs w:val="20"/>
          <w:color w:val="auto"/>
        </w:rPr>
      </w:pPr>
    </w:p>
    <w:p>
      <w:pPr>
        <w:spacing w:after="0" w:line="24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INTELLECTUAL PROPERTY RIGHTS</w:t>
      </w:r>
    </w:p>
    <w:p>
      <w:pPr>
        <w:spacing w:after="0" w:line="229" w:lineRule="exact"/>
        <w:rPr>
          <w:sz w:val="20"/>
          <w:szCs w:val="20"/>
          <w:color w:val="auto"/>
        </w:rPr>
      </w:pPr>
    </w:p>
    <w:p>
      <w:pPr>
        <w:ind w:firstLine="1702"/>
        <w:spacing w:after="0" w:line="27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19"/>
          <w:szCs w:val="19"/>
          <w:u w:val="single" w:color="auto"/>
          <w:color w:val="auto"/>
        </w:rPr>
        <w:t>Intellectual Property Ownership</w:t>
      </w:r>
      <w:r>
        <w:rPr>
          <w:rFonts w:ascii="Times New Roman" w:cs="Times New Roman" w:eastAsia="Times New Roman" w:hAnsi="Times New Roman"/>
          <w:sz w:val="19"/>
          <w:szCs w:val="19"/>
          <w:color w:val="auto"/>
        </w:rPr>
        <w:t>. Flextronics acknowledges and agrees that no license or ownership right in or to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Assemble-Build Intellectual Property underlying such modifications, improvements, enhancements and/or derivative works, except for the limited license granted in </w:t>
      </w:r>
      <w:r>
        <w:rPr>
          <w:rFonts w:ascii="Times New Roman" w:cs="Times New Roman" w:eastAsia="Times New Roman" w:hAnsi="Times New Roman"/>
          <w:sz w:val="19"/>
          <w:szCs w:val="19"/>
          <w:u w:val="single" w:color="auto"/>
          <w:color w:val="auto"/>
        </w:rPr>
        <w:t>Section 2.1</w:t>
      </w:r>
      <w:r>
        <w:rPr>
          <w:rFonts w:ascii="Times New Roman" w:cs="Times New Roman" w:eastAsia="Times New Roman" w:hAnsi="Times New Roman"/>
          <w:sz w:val="19"/>
          <w:szCs w:val="19"/>
          <w:color w:val="auto"/>
        </w:rPr>
        <w:t xml:space="preserve"> above, is granted or transferred by Enphase, and that Enphase shall remain the sole and exclusive owner of all Assemble-Build Intellectual Property. The Parties shall reasonably cooperate with each other as may be necessary from time to time in order to confirm in writing an applicable Party’s ownership of any of its intellectual property rights. Flextronics hereby acknowledges that Enphase is and will forever remain the sole and rightful owner of the Marks, and any use of a Mark by Flextronics pursuant to this Agreement and all goodwill arising from the use of the Marks shall inure solely to the benefit of Enphase. During the continuance and after a termination of this Agreement, Flextronics will not claim any right in or to any of the Marks or any trademarks confusingly similar thereto, other than the license to use the same as specifically provided in this Agreement, nor will Flextronics dispute or assist others to dispute the ownership or validity of any of the Marks. Flextronics shall not acquire or have any right, title or interest in and to the Marks as a result of the use of the Marks.</w:t>
      </w:r>
    </w:p>
    <w:p>
      <w:pPr>
        <w:spacing w:after="0" w:line="200" w:lineRule="exact"/>
        <w:rPr>
          <w:sz w:val="20"/>
          <w:szCs w:val="20"/>
          <w:color w:val="auto"/>
        </w:rPr>
      </w:pPr>
    </w:p>
    <w:p>
      <w:pPr>
        <w:spacing w:after="0" w:line="242" w:lineRule="exact"/>
        <w:rPr>
          <w:sz w:val="20"/>
          <w:szCs w:val="20"/>
          <w:color w:val="auto"/>
        </w:rPr>
      </w:pPr>
    </w:p>
    <w:p>
      <w:pPr>
        <w:ind w:right="40" w:firstLine="1702"/>
        <w:spacing w:after="0" w:line="28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19"/>
          <w:szCs w:val="19"/>
          <w:u w:val="single" w:color="auto"/>
          <w:color w:val="auto"/>
        </w:rPr>
        <w:t>Third-Party IP</w:t>
      </w:r>
      <w:r>
        <w:rPr>
          <w:rFonts w:ascii="Times New Roman" w:cs="Times New Roman" w:eastAsia="Times New Roman" w:hAnsi="Times New Roman"/>
          <w:sz w:val="19"/>
          <w:szCs w:val="19"/>
          <w:color w:val="auto"/>
        </w:rPr>
        <w:t>. Except to the extent otherwise provided in the applicable Product Specification no Party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knowingly incorporate, include or embed in any Product any (a) intellectual property of such Party that, to such Party’s actual knowledge, infringes or is alleged to infringe upon any valid and enforceable Third-Party IP or (b) Third-Party IP other than Third-Party IP (i) to which such Party owns all right, title and interest necessary to so incorporate, include or embed and (ii) that has been approved for such incorporation, inclusion or embedding by the other Party hereto pursuant to the applicable Product.</w:t>
      </w:r>
    </w:p>
    <w:p>
      <w:pPr>
        <w:spacing w:after="0" w:line="170" w:lineRule="exact"/>
        <w:rPr>
          <w:sz w:val="20"/>
          <w:szCs w:val="20"/>
          <w:color w:val="auto"/>
        </w:rPr>
      </w:pPr>
    </w:p>
    <w:p>
      <w:pPr>
        <w:ind w:right="200" w:firstLine="1702"/>
        <w:spacing w:after="0" w:line="307"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19"/>
          <w:szCs w:val="19"/>
          <w:u w:val="single" w:color="auto"/>
          <w:color w:val="auto"/>
        </w:rPr>
        <w:t>License Restrictions</w:t>
      </w:r>
      <w:r>
        <w:rPr>
          <w:rFonts w:ascii="Times New Roman" w:cs="Times New Roman" w:eastAsia="Times New Roman" w:hAnsi="Times New Roman"/>
          <w:sz w:val="19"/>
          <w:szCs w:val="19"/>
          <w:color w:val="auto"/>
        </w:rPr>
        <w:t>. Flextronics shall not take any action, or permit others to take any action, outside the scope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licenses set forth in this Agreement.</w:t>
      </w:r>
    </w:p>
    <w:p>
      <w:pPr>
        <w:spacing w:after="0" w:line="140" w:lineRule="exact"/>
        <w:rPr>
          <w:sz w:val="20"/>
          <w:szCs w:val="20"/>
          <w:color w:val="auto"/>
        </w:rPr>
      </w:pPr>
    </w:p>
    <w:p>
      <w:pPr>
        <w:ind w:right="180" w:firstLine="1702"/>
        <w:spacing w:after="0" w:line="28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19"/>
          <w:szCs w:val="19"/>
          <w:u w:val="single" w:color="auto"/>
          <w:color w:val="auto"/>
        </w:rPr>
        <w:t>Notice of Infringement</w:t>
      </w:r>
      <w:r>
        <w:rPr>
          <w:rFonts w:ascii="Times New Roman" w:cs="Times New Roman" w:eastAsia="Times New Roman" w:hAnsi="Times New Roman"/>
          <w:sz w:val="19"/>
          <w:szCs w:val="19"/>
          <w:color w:val="auto"/>
        </w:rPr>
        <w:t>. Each Party shall promptly notify the other Party should it learn that any third party 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infringing any intellectual property of the other Party. No Party shall have any obligation hereunder to take any action to stop the alleged infringement of its Intellectual Property, and the failure of such Party to take any such action shall have no effect on the other Party’s rights or obligations hereunder.</w:t>
      </w:r>
    </w:p>
    <w:p>
      <w:pPr>
        <w:spacing w:after="0" w:line="200" w:lineRule="exact"/>
        <w:rPr>
          <w:sz w:val="20"/>
          <w:szCs w:val="20"/>
          <w:color w:val="auto"/>
        </w:rPr>
      </w:pPr>
    </w:p>
    <w:p>
      <w:pPr>
        <w:spacing w:after="0" w:line="215"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CONFIDENTIALITY</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right="140" w:firstLine="1702"/>
        <w:spacing w:after="0" w:line="26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19"/>
          <w:szCs w:val="19"/>
          <w:u w:val="single" w:color="auto"/>
          <w:color w:val="auto"/>
        </w:rPr>
        <w:t>Definition of Confidential Information</w:t>
      </w:r>
      <w:r>
        <w:rPr>
          <w:rFonts w:ascii="Times New Roman" w:cs="Times New Roman" w:eastAsia="Times New Roman" w:hAnsi="Times New Roman"/>
          <w:sz w:val="19"/>
          <w:szCs w:val="19"/>
          <w:color w:val="auto"/>
        </w:rPr>
        <w:t>. For purposes of this Agreement, “</w:t>
      </w: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means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information, documentation, technical data or know-how of a Party included or incorporated in, relating to or provided in connection with any Assemble-Build</w:t>
      </w:r>
    </w:p>
    <w:p>
      <w:pPr>
        <w:spacing w:after="0" w:line="2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859" w:right="239" w:bottom="1440" w:gutter="0" w:footer="0" w:header="0"/>
        </w:sectPr>
      </w:pPr>
    </w:p>
    <w:bookmarkStart w:id="57" w:name="page58"/>
    <w:bookmarkEnd w:id="57"/>
    <w:p>
      <w:pPr>
        <w:ind w:right="40"/>
        <w:spacing w:after="0" w:line="242" w:lineRule="auto"/>
        <w:rPr>
          <w:sz w:val="20"/>
          <w:szCs w:val="20"/>
          <w:color w:val="auto"/>
        </w:rPr>
      </w:pPr>
      <w:r>
        <w:rPr>
          <w:rFonts w:ascii="Times New Roman" w:cs="Times New Roman" w:eastAsia="Times New Roman" w:hAnsi="Times New Roman"/>
          <w:sz w:val="20"/>
          <w:szCs w:val="20"/>
          <w:color w:val="auto"/>
        </w:rPr>
        <w:t>Intellectual Property or Product, whether disclosed in tangible or intangible form. Notwithstanding the foregoing,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does not include information, documentation, technical data or know-how of a disclosing Party which (a) at the time of disclosure, is available to the general public; (b) at a later date, becomes available to the general public through no fault of the receiving Party, and then only after such later date; (c) the receiving Party can demonstrate by such receiving Party’s files and records was in its possession before receipt; (d) is independently developed by the receiving Party, without access to, or use of, any Confidential Information of the disclosing Party, as demonstrated by such receiving Party’s files and records; (e) is disclosed to the receiving Party without restriction on disclosure by a third party who had the lawful right to disclose such information in such manner; or (f) is disclosed pursuant to a court order or is otherwise required by law to be disclosed; provided that the receiving Party has notified the disclosing Party immediately upon learning of the possibility of any such court order or legal requirement and has given the disclosing Party a reasonable opportunity (and cooperated with the disclosing Party) to contest or limit the scope of such required disclosure (including application for a protective order).</w:t>
      </w:r>
    </w:p>
    <w:p>
      <w:pPr>
        <w:spacing w:after="0" w:line="202" w:lineRule="exact"/>
        <w:rPr>
          <w:sz w:val="20"/>
          <w:szCs w:val="20"/>
          <w:color w:val="auto"/>
        </w:rPr>
      </w:pPr>
    </w:p>
    <w:p>
      <w:pPr>
        <w:ind w:right="20" w:firstLine="1702"/>
        <w:spacing w:after="0" w:line="28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19"/>
          <w:szCs w:val="19"/>
          <w:u w:val="single" w:color="auto"/>
          <w:color w:val="auto"/>
        </w:rPr>
        <w:t>Nondisclosure and Non-Use of Confidential Information</w:t>
      </w:r>
      <w:r>
        <w:rPr>
          <w:rFonts w:ascii="Times New Roman" w:cs="Times New Roman" w:eastAsia="Times New Roman" w:hAnsi="Times New Roman"/>
          <w:sz w:val="19"/>
          <w:szCs w:val="19"/>
          <w:color w:val="auto"/>
        </w:rPr>
        <w:t>. Each Party agrees not to use any 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of the other Party except to the extent reasonably required for such Party to perform its obligations or exercise its rights hereunder, including with respect to any Product. Each Party agrees not to disclose any Confidential Information of the other Party to any third person or entity other than to employees of such receiving Party who, prior to such disclosure, agree to be and are bound by confidentiality, nondisclosure and non-use obligations in content substantially similar to those contained in this Agreement. Each Party agrees that it shall take all reasonable steps to protect the secrecy of and avoid disclosure or use of the Confidential Information of the other Party in order to prevent it from falling into the public domain or the possession of unauthorized persons which shall include the highest degree of care that such Party utilizes to protect its own confidential information of a similar nature. A receiving Party shall promptly notify a disclosing Party of any misuse or misappropriation of any of the disclosing Party’s Confidential Information which may come to the attention of the receiving Party.</w:t>
      </w:r>
    </w:p>
    <w:p>
      <w:pPr>
        <w:spacing w:after="0" w:line="171" w:lineRule="exact"/>
        <w:rPr>
          <w:sz w:val="20"/>
          <w:szCs w:val="20"/>
          <w:color w:val="auto"/>
        </w:rPr>
      </w:pPr>
    </w:p>
    <w:p>
      <w:pPr>
        <w:ind w:right="20" w:firstLine="1702"/>
        <w:spacing w:after="0" w:line="269"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19"/>
          <w:szCs w:val="19"/>
          <w:u w:val="single" w:color="auto"/>
          <w:color w:val="auto"/>
        </w:rPr>
        <w:t>Continuing Obligation of Confidentiality</w:t>
      </w:r>
      <w:r>
        <w:rPr>
          <w:rFonts w:ascii="Times New Roman" w:cs="Times New Roman" w:eastAsia="Times New Roman" w:hAnsi="Times New Roman"/>
          <w:sz w:val="19"/>
          <w:szCs w:val="19"/>
          <w:color w:val="auto"/>
        </w:rPr>
        <w:t>. Notwithstanding the termination of this Agreement, the confidentiality,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nondisclosure and non-use obligations hereunder with respect to each item of Confidential Information shall terminate five years from the date of receipt thereof by a receiving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any Confidential Information that constitutes a trade secret shall be entitled to all of the protections and benefits under any applicable trade secrets protection act(s) and any other applicable law and such information shall remain subject to the confidentiality, nondisclosure and non-use obligations hereunder with respect to Confidential Information until the later of</w:t>
      </w:r>
    </w:p>
    <w:p>
      <w:pPr>
        <w:spacing w:after="0" w:line="1" w:lineRule="exact"/>
        <w:rPr>
          <w:sz w:val="20"/>
          <w:szCs w:val="20"/>
          <w:color w:val="auto"/>
        </w:rPr>
      </w:pPr>
    </w:p>
    <w:p>
      <w:pPr>
        <w:ind w:firstLine="8"/>
        <w:spacing w:after="0" w:line="295" w:lineRule="auto"/>
        <w:tabs>
          <w:tab w:leader="none" w:pos="26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five years from the date of receipt thereof by a receiving Party or (b) the date upon which such information is no longer deemed to be a trade secret by a court of competent jurisdiction.</w:t>
      </w:r>
    </w:p>
    <w:p>
      <w:pPr>
        <w:spacing w:after="0" w:line="157" w:lineRule="exact"/>
        <w:rPr>
          <w:sz w:val="20"/>
          <w:szCs w:val="20"/>
          <w:color w:val="auto"/>
        </w:rPr>
      </w:pPr>
    </w:p>
    <w:p>
      <w:pPr>
        <w:ind w:right="80" w:firstLine="1702"/>
        <w:spacing w:after="0" w:line="28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19"/>
          <w:szCs w:val="19"/>
          <w:u w:val="single" w:color="auto"/>
          <w:color w:val="auto"/>
        </w:rPr>
        <w:t>Return of Confidential Information</w:t>
      </w:r>
      <w:r>
        <w:rPr>
          <w:rFonts w:ascii="Times New Roman" w:cs="Times New Roman" w:eastAsia="Times New Roman" w:hAnsi="Times New Roman"/>
          <w:sz w:val="19"/>
          <w:szCs w:val="19"/>
          <w:color w:val="auto"/>
        </w:rPr>
        <w:t>. Within five days of the termination of this Agreement, any 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Information of a Party held or possessed by the other Party shall be promptly delivered to the Party to which such Confidential Information belongs or, if such delivery is not possible without commercially unreasonable expense or effort, such Confidential Information shall be destroyed or otherwise disposed of in a manner that adequately protects the confidentiality of such Confidential Information. Notwithstanding the foregoing, the Party returning and/or destroying such Confidential Information shall be entitled to retain one (1) archival copy of any materials or documents included in such Confidential Information solely for the purposes of monitoring such Party’s continuing obligations of confidentiality under this Agreement. Concurrently with its return and/or destruction of such Confidential Information, such Party shall furnish to the other Party a certification, signed by an</w:t>
      </w:r>
    </w:p>
    <w:p>
      <w:pPr>
        <w:spacing w:after="0" w:line="20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16" w:right="239" w:bottom="1440" w:gutter="0" w:footer="0" w:header="0"/>
        </w:sectPr>
      </w:pPr>
    </w:p>
    <w:bookmarkStart w:id="58" w:name="page59"/>
    <w:bookmarkEnd w:id="58"/>
    <w:p>
      <w:pPr>
        <w:ind w:right="260"/>
        <w:spacing w:after="0" w:line="269" w:lineRule="auto"/>
        <w:rPr>
          <w:sz w:val="20"/>
          <w:szCs w:val="20"/>
          <w:color w:val="auto"/>
        </w:rPr>
      </w:pPr>
      <w:r>
        <w:rPr>
          <w:rFonts w:ascii="Times New Roman" w:cs="Times New Roman" w:eastAsia="Times New Roman" w:hAnsi="Times New Roman"/>
          <w:sz w:val="20"/>
          <w:szCs w:val="20"/>
          <w:color w:val="auto"/>
        </w:rPr>
        <w:t xml:space="preserve">authorized officer of such Party, attesting to the return and/or destruction of all Confidential Information in accordance with the terms of this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180" w:firstLine="1702"/>
        <w:spacing w:after="0" w:line="285"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19"/>
          <w:szCs w:val="19"/>
          <w:u w:val="single" w:color="auto"/>
          <w:color w:val="auto"/>
        </w:rPr>
        <w:t>Representations, Warranties and Disclaimers</w:t>
      </w:r>
      <w:r>
        <w:rPr>
          <w:rFonts w:ascii="Times New Roman" w:cs="Times New Roman" w:eastAsia="Times New Roman" w:hAnsi="Times New Roman"/>
          <w:sz w:val="19"/>
          <w:szCs w:val="19"/>
          <w:color w:val="auto"/>
        </w:rPr>
        <w:t>. Each Party represents and warrants to the other Party that it has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full right and power to enter, execute and deliver this Agreement and to consummate the transactions and perform its obligations as contemplated by this Agreement. In addition, Enphase represents and warrants that it owns the entire right, title and interest in the Assemble-Build Intellectual Property and in the Marks, and no claims have been asserted challenging its inventorship, ownership or right to use such intellectual property related to the Products and that it has the right to sell, license or otherwise transfer or encumber the Assemble-Build Intellectual Property and the Marks, and has obtained the assignment of all interests and all rights to the Assemble-Build Intellectual Property and the Marks from any and all third parties.</w:t>
      </w:r>
    </w:p>
    <w:p>
      <w:pPr>
        <w:spacing w:after="0" w:line="169" w:lineRule="exact"/>
        <w:rPr>
          <w:sz w:val="20"/>
          <w:szCs w:val="20"/>
          <w:color w:val="auto"/>
        </w:rPr>
      </w:pPr>
    </w:p>
    <w:p>
      <w:pPr>
        <w:ind w:right="140" w:firstLine="1702"/>
        <w:spacing w:after="0" w:line="27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19"/>
          <w:szCs w:val="19"/>
          <w:u w:val="single" w:color="auto"/>
          <w:color w:val="auto"/>
        </w:rPr>
        <w:t>No Disputes or Litigation</w:t>
      </w:r>
      <w:r>
        <w:rPr>
          <w:rFonts w:ascii="Times New Roman" w:cs="Times New Roman" w:eastAsia="Times New Roman" w:hAnsi="Times New Roman"/>
          <w:sz w:val="19"/>
          <w:szCs w:val="19"/>
          <w:color w:val="auto"/>
        </w:rPr>
        <w:t>. Enphase represents and warrants that, to its knowledge after due inquiry, the intellectual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property is not and has not been the subject matter of any dispute with any third party. Enphase further represents and warrants that, to its knowledge, except as set forth in Exhibit B hereto, no Third Party IP, is necessary to manufacture, sell or distribute the Prodduct.</w:t>
      </w:r>
    </w:p>
    <w:p>
      <w:pPr>
        <w:spacing w:after="0" w:line="175" w:lineRule="exact"/>
        <w:rPr>
          <w:sz w:val="20"/>
          <w:szCs w:val="20"/>
          <w:color w:val="auto"/>
        </w:rPr>
      </w:pPr>
    </w:p>
    <w:p>
      <w:pPr>
        <w:ind w:right="360" w:firstLine="1702"/>
        <w:spacing w:after="0" w:line="29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19"/>
          <w:szCs w:val="19"/>
          <w:u w:val="single" w:color="auto"/>
          <w:color w:val="auto"/>
        </w:rPr>
        <w:t>No Infringement</w:t>
      </w:r>
      <w:r>
        <w:rPr>
          <w:rFonts w:ascii="Times New Roman" w:cs="Times New Roman" w:eastAsia="Times New Roman" w:hAnsi="Times New Roman"/>
          <w:sz w:val="19"/>
          <w:szCs w:val="19"/>
          <w:color w:val="auto"/>
        </w:rPr>
        <w:t>. Enphase represents and warrants that, to its knowledge after due inquiry, use of the Assemble-Build Instructions and the Marks does not infringe upon the rights of any third parties, and that no third party has infringed upon or misappropriated any rights in connection with any Intellectual Property rights.</w:t>
      </w:r>
    </w:p>
    <w:p>
      <w:pPr>
        <w:spacing w:after="0" w:line="166" w:lineRule="exact"/>
        <w:rPr>
          <w:sz w:val="20"/>
          <w:szCs w:val="20"/>
          <w:color w:val="auto"/>
        </w:rPr>
      </w:pPr>
    </w:p>
    <w:p>
      <w:pPr>
        <w:ind w:right="520" w:firstLine="1702"/>
        <w:spacing w:after="0" w:line="273"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19"/>
          <w:szCs w:val="19"/>
          <w:u w:val="single" w:color="auto"/>
          <w:color w:val="auto"/>
        </w:rPr>
        <w:t>Disclaimers</w:t>
      </w:r>
      <w:r>
        <w:rPr>
          <w:rFonts w:ascii="Times New Roman" w:cs="Times New Roman" w:eastAsia="Times New Roman" w:hAnsi="Times New Roman"/>
          <w:sz w:val="19"/>
          <w:szCs w:val="19"/>
          <w:color w:val="auto"/>
        </w:rPr>
        <w:t>. EXCEPT AS SET FORTH IN SECTIONS 5.1, 5.2 AND 5.3, FLEXTRONICS AND ENPHASE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EXPRESSLY DISCLAIM ALL OTHER REPRESENTATIONS AND WARRANTIES, WHETHER EXPRESS OR IMPLIED, WITH RESPECT TO THE LICENSE GRANTED BY THIS AGREEMENT.</w:t>
      </w:r>
    </w:p>
    <w:p>
      <w:pPr>
        <w:spacing w:after="0" w:line="175" w:lineRule="exact"/>
        <w:rPr>
          <w:sz w:val="20"/>
          <w:szCs w:val="20"/>
          <w:color w:val="auto"/>
        </w:rPr>
      </w:pPr>
    </w:p>
    <w:p>
      <w:pPr>
        <w:ind w:firstLine="1702"/>
        <w:spacing w:after="0" w:line="274"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Each party (the “</w:t>
      </w:r>
      <w:r>
        <w:rPr>
          <w:rFonts w:ascii="Times New Roman" w:cs="Times New Roman" w:eastAsia="Times New Roman" w:hAnsi="Times New Roman"/>
          <w:sz w:val="19"/>
          <w:szCs w:val="19"/>
          <w:u w:val="single" w:color="auto"/>
          <w:color w:val="auto"/>
        </w:rPr>
        <w:t>Indemnifying Party</w:t>
      </w:r>
      <w:r>
        <w:rPr>
          <w:rFonts w:ascii="Times New Roman" w:cs="Times New Roman" w:eastAsia="Times New Roman" w:hAnsi="Times New Roman"/>
          <w:sz w:val="19"/>
          <w:szCs w:val="19"/>
          <w:color w:val="auto"/>
        </w:rPr>
        <w:t>”) shall indemnify, defend and hold harmless the other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u w:val="single" w:color="auto"/>
          <w:color w:val="auto"/>
        </w:rPr>
        <w:t>Indemnified Party</w:t>
      </w:r>
      <w:r>
        <w:rPr>
          <w:rFonts w:ascii="Times New Roman" w:cs="Times New Roman" w:eastAsia="Times New Roman" w:hAnsi="Times New Roman"/>
          <w:sz w:val="19"/>
          <w:szCs w:val="19"/>
          <w:color w:val="auto"/>
        </w:rPr>
        <w:t>”) and its Affiliates, employees, officers, directors, agents, successors and assigns (each, a “</w:t>
      </w:r>
      <w:r>
        <w:rPr>
          <w:rFonts w:ascii="Times New Roman" w:cs="Times New Roman" w:eastAsia="Times New Roman" w:hAnsi="Times New Roman"/>
          <w:sz w:val="19"/>
          <w:szCs w:val="19"/>
          <w:u w:val="single" w:color="auto"/>
          <w:color w:val="auto"/>
        </w:rPr>
        <w:t>Related Party</w:t>
      </w:r>
      <w:r>
        <w:rPr>
          <w:rFonts w:ascii="Times New Roman" w:cs="Times New Roman" w:eastAsia="Times New Roman" w:hAnsi="Times New Roman"/>
          <w:sz w:val="19"/>
          <w:szCs w:val="19"/>
          <w:color w:val="auto"/>
        </w:rPr>
        <w:t>”) for any third party claim, demand or action (including any related losses, damages, attorneys’ fees or other expenses) (a “</w:t>
      </w:r>
      <w:r>
        <w:rPr>
          <w:rFonts w:ascii="Times New Roman" w:cs="Times New Roman" w:eastAsia="Times New Roman" w:hAnsi="Times New Roman"/>
          <w:sz w:val="19"/>
          <w:szCs w:val="19"/>
          <w:u w:val="single" w:color="auto"/>
          <w:color w:val="auto"/>
        </w:rPr>
        <w:t>Claim</w:t>
      </w:r>
      <w:r>
        <w:rPr>
          <w:rFonts w:ascii="Times New Roman" w:cs="Times New Roman" w:eastAsia="Times New Roman" w:hAnsi="Times New Roman"/>
          <w:sz w:val="19"/>
          <w:szCs w:val="19"/>
          <w:color w:val="auto"/>
        </w:rPr>
        <w:t>”) arising out of or related to</w:t>
      </w:r>
    </w:p>
    <w:p>
      <w:pPr>
        <w:spacing w:after="0" w:line="2" w:lineRule="exact"/>
        <w:rPr>
          <w:sz w:val="20"/>
          <w:szCs w:val="20"/>
          <w:color w:val="auto"/>
        </w:rPr>
      </w:pPr>
    </w:p>
    <w:p>
      <w:pPr>
        <w:ind w:right="160" w:firstLine="8"/>
        <w:spacing w:after="0" w:line="274" w:lineRule="auto"/>
        <w:tabs>
          <w:tab w:leader="none" w:pos="269"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by the Indemnifying Party or any Related Party of the Indemnifying Party of any obligation, warranty or representation hereunder or (b) the gross negligence or willful misconduct of the Indemnifying Party or any Related Party of the Indemnifying Party. The Indemnified Parties shall notify the Indemnifying Party upon learning of any such Claim, shall permit the Indemnifying Party to control the defense of the Claim and shall provide the Indemnifying Party with reasonable assistance, at the Indemnifying Party’s expense, in the defense of the Claim.</w:t>
      </w:r>
    </w:p>
    <w:p>
      <w:pPr>
        <w:spacing w:after="0" w:line="180" w:lineRule="exact"/>
        <w:rPr>
          <w:sz w:val="20"/>
          <w:szCs w:val="20"/>
          <w:color w:val="auto"/>
        </w:rPr>
      </w:pPr>
    </w:p>
    <w:p>
      <w:pPr>
        <w:ind w:right="60" w:firstLine="1702"/>
        <w:spacing w:after="0" w:line="285"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19"/>
          <w:szCs w:val="19"/>
          <w:u w:val="single" w:color="auto"/>
          <w:color w:val="auto"/>
        </w:rPr>
        <w:t>Limitations of Liability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EXCEPT WITH RESPECT TO BREACHES OF 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(CONFIDENTIALITY) OR FOR EACH PARTY’S INDEMNIFICATION OBLIGATIONS IN SECTION 5.5, IN NO EVENT SHALL EITHER PARTY BE LIABLE TO THE OTHER FOR ANY “COVER” DAMAGES (INCLUDING INTERNAL COVER DAMAGES WHICH THE PARTIES AGREE MAY NOT BE CONSIDERED “DIRECT” DAMAGES), OR ANY INCIDENTAL, CONSEQUENTIAL, SPECIAL OR PUNITIVE DAMAGES OF ANY KIND OR NATURE ARISING OUT OF THIS AGREEMENT OR THE SALE OF PRODUCTS, WHETHER SUCH LIABILITY IS ASSERTED ON THE BASIS OF CONTRACT, TORT</w:t>
      </w:r>
    </w:p>
    <w:p>
      <w:pPr>
        <w:spacing w:after="0" w:line="19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00"/>
          </w:cols>
          <w:pgMar w:left="240" w:top="832" w:right="259" w:bottom="1440" w:gutter="0" w:footer="0" w:header="0"/>
        </w:sectPr>
      </w:pPr>
    </w:p>
    <w:bookmarkStart w:id="59" w:name="page60"/>
    <w:bookmarkEnd w:id="59"/>
    <w:p>
      <w:pPr>
        <w:ind w:right="200"/>
        <w:spacing w:after="0" w:line="256" w:lineRule="auto"/>
        <w:rPr>
          <w:sz w:val="20"/>
          <w:szCs w:val="20"/>
          <w:color w:val="auto"/>
        </w:rPr>
      </w:pPr>
      <w:r>
        <w:rPr>
          <w:rFonts w:ascii="Times New Roman" w:cs="Times New Roman" w:eastAsia="Times New Roman" w:hAnsi="Times New Roman"/>
          <w:sz w:val="20"/>
          <w:szCs w:val="20"/>
          <w:b w:val="1"/>
          <w:bCs w:val="1"/>
          <w:color w:val="auto"/>
        </w:rPr>
        <w:t>(INCLUDING THE POSSIBILITY OF NEGLIGENCE OR STRICT LIABILITY), OR OTHERWISE, EVEN IF THE PARTY HAS BEEN WARNED OF THE POSSIBILITY OF ANY SUCH LOSS OR DAMAGE, AND EVEN IF ANY OF THE LIMITED REMEDIES IN THIS AGREEMENT FAIL OF THEIR ESSENTIAL PURPOSE.</w:t>
      </w:r>
    </w:p>
    <w:p>
      <w:pPr>
        <w:spacing w:after="0" w:line="182" w:lineRule="exact"/>
        <w:rPr>
          <w:sz w:val="20"/>
          <w:szCs w:val="20"/>
          <w:color w:val="auto"/>
        </w:rPr>
      </w:pPr>
    </w:p>
    <w:p>
      <w:pPr>
        <w:ind w:right="40" w:firstLine="1702"/>
        <w:spacing w:after="0" w:line="274"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19"/>
          <w:szCs w:val="19"/>
          <w:u w:val="single" w:color="auto"/>
          <w:color w:val="auto"/>
        </w:rPr>
        <w:t>Subordination of Claims.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Any claims or rights of Flextronics for breach of the representations and warranties arising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under Sections 5.1-5.3 or for indemnification arising under Section 5.5 are expressly subject to and subordinated pursuant to the terms of Second Amended and Restated Intercreditor Agreement dated as of June 9, 2017, as such agreement may be amended or amended and restated from time to time, by and among Flextronics Industrial, Ltd and Obsidian Agency Services, Inc. (the “</w:t>
      </w:r>
      <w:r>
        <w:rPr>
          <w:rFonts w:ascii="Times New Roman" w:cs="Times New Roman" w:eastAsia="Times New Roman" w:hAnsi="Times New Roman"/>
          <w:sz w:val="19"/>
          <w:szCs w:val="19"/>
          <w:u w:val="single" w:color="auto"/>
          <w:color w:val="auto"/>
        </w:rPr>
        <w:t>Intercreditor Agreement</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TERM AND TERMINATION</w:t>
      </w:r>
    </w:p>
    <w:p>
      <w:pPr>
        <w:spacing w:after="0" w:line="229" w:lineRule="exact"/>
        <w:rPr>
          <w:sz w:val="20"/>
          <w:szCs w:val="20"/>
          <w:color w:val="auto"/>
        </w:rPr>
      </w:pPr>
    </w:p>
    <w:p>
      <w:pPr>
        <w:ind w:firstLine="1702"/>
        <w:spacing w:after="0" w:line="27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The term of this Agreement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shall commence on the date hereof and continue until terminated (x)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Flextronics for convenience, upon 30 days’ prior written notice to Enphase, (y) by Enphase on or after twenty-four months from the date hereof upon prior written notice to Flextronics, provided however, that if the date of the Initial Sale occurs after the first anniversary from the date hereof but before twenty-four months from the date hereof, then by Enphase on or after the first anniversary the Initial Sale, or (z) by either Party upon prior written notice to the other if the other Party defaults in the performance of any other material term or condition of this Agreement and such default continues unremedied for a period of 30 days after the delivery of written notice thereof by the terminating Party to the other Party.</w:t>
      </w:r>
    </w:p>
    <w:p>
      <w:pPr>
        <w:spacing w:after="0" w:line="200" w:lineRule="exact"/>
        <w:rPr>
          <w:sz w:val="20"/>
          <w:szCs w:val="20"/>
          <w:color w:val="auto"/>
        </w:rPr>
      </w:pPr>
    </w:p>
    <w:p>
      <w:pPr>
        <w:spacing w:after="0" w:line="239" w:lineRule="exact"/>
        <w:rPr>
          <w:sz w:val="20"/>
          <w:szCs w:val="20"/>
          <w:color w:val="auto"/>
        </w:rPr>
      </w:pPr>
    </w:p>
    <w:p>
      <w:pPr>
        <w:ind w:right="40" w:firstLine="1702"/>
        <w:spacing w:after="0" w:line="28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19"/>
          <w:szCs w:val="19"/>
          <w:u w:val="single" w:color="auto"/>
          <w:color w:val="auto"/>
        </w:rPr>
        <w:t>Effect of Termination</w:t>
      </w:r>
      <w:r>
        <w:rPr>
          <w:rFonts w:ascii="Times New Roman" w:cs="Times New Roman" w:eastAsia="Times New Roman" w:hAnsi="Times New Roman"/>
          <w:sz w:val="19"/>
          <w:szCs w:val="19"/>
          <w:color w:val="auto"/>
        </w:rPr>
        <w:t>. Except as set forth in this Agreement, in the event of termination of this Agreement,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rights and obligations hereunder shall terminate immediately;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any obligation that has accrued as of the termination date shall survive the termination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rights and the obligations of the Parties set forth in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(Intellectual Property Ownership),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(License Restrictions),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(Confidentiality), and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xml:space="preserve"> (Governing Law) of this Agreement, along with any other provision of this Agreement which by its express terms continues after the termination of this Agreement, shall survive the termination of this Agreement (including termination following any rejection of this Agreement in a Bankruptcy) and shall continue in effect as described therein. In addition, any other provision required to interpret or to enforce the Parties’ rights and obligations under this Agreement shall also survive, but only to the extent required for the full observation and performance of this Agreement. Any termination of this Agreement shall be without prejudice to the rights of any Party against the other Party accrued or accruing under this Agreement prior to termination. Except as expressly set forth herein, the rights to terminate as set forth herein shall be in addition to all other rights and remedies available under this Agreement, at law, or in equity, or otherwise.</w:t>
      </w:r>
    </w:p>
    <w:p>
      <w:pPr>
        <w:spacing w:after="0" w:line="165"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ADDITIONAL COVENANTS/GENERAL TERMS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340" w:firstLine="1702"/>
        <w:spacing w:after="0" w:line="27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19"/>
          <w:szCs w:val="19"/>
          <w:u w:val="single" w:color="auto"/>
          <w:color w:val="auto"/>
        </w:rPr>
        <w:t>Supply to Enphase Customers</w:t>
      </w:r>
      <w:r>
        <w:rPr>
          <w:rFonts w:ascii="Times New Roman" w:cs="Times New Roman" w:eastAsia="Times New Roman" w:hAnsi="Times New Roman"/>
          <w:sz w:val="19"/>
          <w:szCs w:val="19"/>
          <w:color w:val="auto"/>
        </w:rPr>
        <w:t>. Before offering to sell any Products to any third party, if requested by Enphase,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Flextronics shall offer to sell such Product to Enphase’s then-current customers. Any such sale shall be on such prices, terms and conditions that Flextronics and such customers shall negotiate, and nothing herein shall require Flextroncis to offer to Enphase’s customers any of the current pricing, terms or conditions between Enphase and such customers.</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828" w:right="239" w:bottom="1440" w:gutter="0" w:footer="0" w:header="0"/>
        </w:sectPr>
      </w:pPr>
    </w:p>
    <w:bookmarkStart w:id="60" w:name="page61"/>
    <w:bookmarkEnd w:id="60"/>
    <w:p>
      <w:pPr>
        <w:ind w:right="120" w:firstLine="1702"/>
        <w:spacing w:after="0" w:line="30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failure or delay by either Party in enforcing any of its rights under this Agreement shall be construed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 waiver of the right to subsequently enforce any of its rights, whether relating to the same or a subsequent matter.</w:t>
      </w:r>
    </w:p>
    <w:p>
      <w:pPr>
        <w:spacing w:after="0" w:line="140" w:lineRule="exact"/>
        <w:rPr>
          <w:sz w:val="20"/>
          <w:szCs w:val="20"/>
          <w:color w:val="auto"/>
        </w:rPr>
      </w:pPr>
    </w:p>
    <w:p>
      <w:pPr>
        <w:ind w:left="1700"/>
        <w:spacing w:after="0"/>
        <w:tabs>
          <w:tab w:leader="none" w:pos="214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notices, requests, claims, demands, instructions and other communications to be given hereunder to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either Party shall be in writing and delivered in person, sent by courier (such as Federal Express, UPS, or DHL) postage prepaid, or sent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registered or certified mail, postage prepaid, return receipt requested, in each case to the address of such Party set forth on the first page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and (x) in the case of Enphase, to the attention of Bert Garcia, Vice President and Chief Financial Officer, with a copy to Enphase at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address set forth on the first page of this Agreement and directed to the attention of In-House Legal, and to Cooley LLP, 101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Street,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San Francisco, California 94111-5800, Attn: Robert L. Eisenbach III, and (y) in the case of Flextronics, to the attention of</w:t>
      </w:r>
    </w:p>
    <w:p>
      <w:pPr>
        <w:spacing w:after="0"/>
        <w:rPr>
          <w:sz w:val="20"/>
          <w:szCs w:val="20"/>
          <w:color w:val="auto"/>
        </w:rPr>
      </w:pPr>
      <w:r>
        <w:rPr>
          <w:rFonts w:ascii="Times New Roman" w:cs="Times New Roman" w:eastAsia="Times New Roman" w:hAnsi="Times New Roman"/>
          <w:sz w:val="19"/>
          <w:szCs w:val="19"/>
          <w:color w:val="auto"/>
        </w:rPr>
        <w:t>[________]. Any such notice shall be deemed sufficient if delivered personally or if delivered by any other means upon which the Parties shall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mutually agree. Either Party may change the address to which notice is to be given by notice given in the manner set forth above.</w:t>
      </w:r>
    </w:p>
    <w:p>
      <w:pPr>
        <w:spacing w:after="0" w:line="236" w:lineRule="exact"/>
        <w:rPr>
          <w:sz w:val="20"/>
          <w:szCs w:val="20"/>
          <w:color w:val="auto"/>
        </w:rPr>
      </w:pPr>
    </w:p>
    <w:p>
      <w:pPr>
        <w:ind w:right="20" w:firstLine="1702"/>
        <w:spacing w:after="0" w:line="286"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This Agreement may not be assigned or otherwise transferred (including in the event of a change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control or comparable transaction) by a Party without the prior written consent of the other Party, which consent shall not be unreasonably withheld. Notwithstanding the foregoing, Flextronics shall be permitted to assign the benefits of this Agreement, in whole or in part, to any Affiliate, provided that Flextronics shall remain liable for all of its obligations under this Agreement notwithstanding any such assignment. Any purported assignment in violation of this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 xml:space="preserve"> shall be void.</w:t>
      </w:r>
    </w:p>
    <w:p>
      <w:pPr>
        <w:spacing w:after="0" w:line="170" w:lineRule="exact"/>
        <w:rPr>
          <w:sz w:val="20"/>
          <w:szCs w:val="20"/>
          <w:color w:val="auto"/>
        </w:rPr>
      </w:pPr>
    </w:p>
    <w:p>
      <w:pPr>
        <w:ind w:firstLine="1702"/>
        <w:spacing w:after="0" w:line="307"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19"/>
          <w:szCs w:val="19"/>
          <w:u w:val="single" w:color="auto"/>
          <w:color w:val="auto"/>
        </w:rPr>
        <w:t>No Rights in Third Parties</w:t>
      </w:r>
      <w:r>
        <w:rPr>
          <w:rFonts w:ascii="Times New Roman" w:cs="Times New Roman" w:eastAsia="Times New Roman" w:hAnsi="Times New Roman"/>
          <w:sz w:val="19"/>
          <w:szCs w:val="19"/>
          <w:color w:val="auto"/>
        </w:rPr>
        <w:t>. This Agreement does not grant any rights or remedies to any person or entity that is not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party to this Agreement. No person or entity is a third party beneficiary of this Agreement.</w:t>
      </w:r>
    </w:p>
    <w:p>
      <w:pPr>
        <w:spacing w:after="0" w:line="140" w:lineRule="exact"/>
        <w:rPr>
          <w:sz w:val="20"/>
          <w:szCs w:val="20"/>
          <w:color w:val="auto"/>
        </w:rPr>
      </w:pPr>
    </w:p>
    <w:p>
      <w:pPr>
        <w:ind w:right="40" w:firstLine="1702"/>
        <w:spacing w:after="0" w:line="283"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laws of the state of California (but not any conflicts of law rules that would require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application of the laws of a different jurisdiction) govern this Agreement and all disputes related to this Agreement. The parties shall submit any dispute, claim or controversy arising from or related in any way to this Agreement or the interpretation, application, breach, termination, or validity of this Agreement, including without limitation any claim of inducement of this Agreement by fraud, for resolution by binding arbitration in accordance with the Comprehensive Arbitration Rules &amp; Procedures of JAMS. The arbitration is to be held in Santa Clara County, California and be conducted in English by one arbitrator. The arbitrator shall be a retired judge selected from the panel of available arbitrators. Judgment on any award in arbitration may be entered in any court of competent jurisdiction. Notwithstanding the foregoing sentence, should any party to this Agreement hereafter institute any legal action or administrative proceeding against the other by any method other than set forth in this section, the responding party shall be entitled to recover from the initiating party all damages, costs, expenses, and attorneys' fees incurred as a result of such action. Notwithstanding the above, each party has the right to file exclusively in the Santa Clara, California state court or the federal courts in and for the Northern District of California an application for temporary or preliminary injunctive relief, writ of attachment, writ of possession, temporary protective order, or appointment of a receiver on the grounds that the arbitration award to which the applicant may be entitled may be rendered ineffectual in the absence of such relief. In the event of any dispute between the parties, the parties hereby knowingly and voluntarily agree that any and all matters shall be decided by a judge or arbitrator without a jury to the fullest extent permissible under applicable law</w:t>
      </w:r>
    </w:p>
    <w:p>
      <w:pPr>
        <w:spacing w:after="0" w:line="200" w:lineRule="exact"/>
        <w:rPr>
          <w:sz w:val="20"/>
          <w:szCs w:val="20"/>
          <w:color w:val="auto"/>
        </w:rPr>
      </w:pPr>
    </w:p>
    <w:p>
      <w:pPr>
        <w:spacing w:after="0" w:line="25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841" w:right="239" w:bottom="1440" w:gutter="0" w:footer="0" w:header="0"/>
        </w:sectPr>
      </w:pPr>
    </w:p>
    <w:bookmarkStart w:id="61" w:name="page62"/>
    <w:bookmarkEnd w:id="61"/>
    <w:p>
      <w:pPr>
        <w:jc w:val="both"/>
        <w:ind w:firstLine="1702"/>
        <w:spacing w:after="0" w:line="288"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19"/>
          <w:szCs w:val="19"/>
          <w:u w:val="single" w:color="auto"/>
          <w:color w:val="auto"/>
        </w:rPr>
        <w:t>Import and Export Compliance</w:t>
      </w:r>
      <w:r>
        <w:rPr>
          <w:rFonts w:ascii="Times New Roman" w:cs="Times New Roman" w:eastAsia="Times New Roman" w:hAnsi="Times New Roman"/>
          <w:sz w:val="19"/>
          <w:szCs w:val="19"/>
          <w:color w:val="auto"/>
        </w:rPr>
        <w:t>. In the event either Party determines that any export or import laws or regulations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the United States or any other country apply to any Product, each Party shall cooperate and comply with the other Party’s reasonable requests to ensure that such Product is not exported or imported, directly or indirectly, in violation of, and is otherwise in compliance with, all such laws or regulations.</w:t>
      </w:r>
    </w:p>
    <w:p>
      <w:pPr>
        <w:spacing w:after="0" w:line="200" w:lineRule="exact"/>
        <w:rPr>
          <w:sz w:val="20"/>
          <w:szCs w:val="20"/>
          <w:color w:val="auto"/>
        </w:rPr>
      </w:pPr>
    </w:p>
    <w:p>
      <w:pPr>
        <w:spacing w:after="0" w:line="228" w:lineRule="exact"/>
        <w:rPr>
          <w:sz w:val="20"/>
          <w:szCs w:val="20"/>
          <w:color w:val="auto"/>
        </w:rPr>
      </w:pPr>
    </w:p>
    <w:p>
      <w:pPr>
        <w:ind w:right="120" w:firstLine="1702"/>
        <w:spacing w:after="0" w:line="307"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The article and section headings contained in this Agreement are solely for the purpose of reference,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are not part of the agreement of the Parties and shall not in any way affect the meaning or interpretation of this Agreement.</w:t>
      </w:r>
    </w:p>
    <w:p>
      <w:pPr>
        <w:spacing w:after="0" w:line="140" w:lineRule="exact"/>
        <w:rPr>
          <w:sz w:val="20"/>
          <w:szCs w:val="20"/>
          <w:color w:val="auto"/>
        </w:rPr>
      </w:pPr>
    </w:p>
    <w:p>
      <w:pPr>
        <w:ind w:right="40" w:firstLine="1702"/>
        <w:spacing w:after="0" w:line="270"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one or more provisions of this Agreement are held to be unenforceable under applicable law,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provision shall be modified or excluded from this Agreement to the extent necessary to implement the purposes of this Agreement, and the balance of the Agreement shall be interpreted as if such provision were so modified or excluded and shall be enforceable in accordance with its terms.</w:t>
      </w:r>
    </w:p>
    <w:p>
      <w:pPr>
        <w:spacing w:after="0" w:line="200" w:lineRule="exact"/>
        <w:rPr>
          <w:sz w:val="20"/>
          <w:szCs w:val="20"/>
          <w:color w:val="auto"/>
        </w:rPr>
      </w:pPr>
    </w:p>
    <w:p>
      <w:pPr>
        <w:spacing w:after="0" w:line="241" w:lineRule="exact"/>
        <w:rPr>
          <w:sz w:val="20"/>
          <w:szCs w:val="20"/>
          <w:color w:val="auto"/>
        </w:rPr>
      </w:pPr>
    </w:p>
    <w:p>
      <w:pPr>
        <w:ind w:right="120" w:firstLine="1702"/>
        <w:spacing w:after="0" w:line="287"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and the Product Authorizations executed by the Parties pursuant to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Agreement embodies the entire agreement and understanding of the Parties with respect to the subject matter of this Agreement and supersede all prior agreements and understandings between the Parties with respect to the transactions contemplated hereby. This Agreement may be amended, modified or supplemented only by written agreement of both of the Parties.</w:t>
      </w:r>
    </w:p>
    <w:p>
      <w:pPr>
        <w:spacing w:after="0" w:line="170" w:lineRule="exact"/>
        <w:rPr>
          <w:sz w:val="20"/>
          <w:szCs w:val="20"/>
          <w:color w:val="auto"/>
        </w:rPr>
      </w:pPr>
    </w:p>
    <w:p>
      <w:pPr>
        <w:ind w:right="440" w:firstLine="1702"/>
        <w:spacing w:after="0" w:line="274"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19"/>
          <w:szCs w:val="19"/>
          <w:u w:val="single" w:color="auto"/>
          <w:color w:val="auto"/>
        </w:rPr>
        <w:t>Independent Contractors</w:t>
      </w:r>
      <w:r>
        <w:rPr>
          <w:rFonts w:ascii="Times New Roman" w:cs="Times New Roman" w:eastAsia="Times New Roman" w:hAnsi="Times New Roman"/>
          <w:sz w:val="19"/>
          <w:szCs w:val="19"/>
          <w:color w:val="auto"/>
        </w:rPr>
        <w:t>. It is expressly agreed that the Parties shall be independent contractors and that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relationship between the Parties shall not constitute a partnership, joint venture or agency. No Party shall have the authority to make any statements, representations or commitments of any kind, or to take any action, which shall be binding on any other Party, without the prior written consent of such other Party.</w:t>
      </w:r>
    </w:p>
    <w:p>
      <w:pPr>
        <w:spacing w:after="0" w:line="171" w:lineRule="exact"/>
        <w:rPr>
          <w:sz w:val="20"/>
          <w:szCs w:val="20"/>
          <w:color w:val="auto"/>
        </w:rPr>
      </w:pPr>
    </w:p>
    <w:p>
      <w:pPr>
        <w:ind w:right="500" w:firstLine="1702"/>
        <w:spacing w:after="0" w:line="269"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each of which shall be deemed an original, but all of which together shall constitute one and the same instrument.</w:t>
      </w:r>
    </w:p>
    <w:p>
      <w:pPr>
        <w:spacing w:after="0" w:line="19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00"/>
          </w:cols>
          <w:pgMar w:left="240" w:top="841" w:right="259" w:bottom="1440" w:gutter="0" w:footer="0" w:header="0"/>
        </w:sectPr>
      </w:pPr>
    </w:p>
    <w:bookmarkStart w:id="62" w:name="page63"/>
    <w:bookmarkEnd w:id="62"/>
    <w:p>
      <w:pPr>
        <w:ind w:left="18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3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ENPHASE ENERGY, INC.</w:t>
            </w:r>
          </w:p>
        </w:tc>
        <w:tc>
          <w:tcPr>
            <w:tcW w:w="5140" w:type="dxa"/>
            <w:vAlign w:val="bottom"/>
            <w:gridSpan w:val="2"/>
          </w:tcPr>
          <w:p>
            <w:pPr>
              <w:ind w:left="440"/>
              <w:spacing w:after="0"/>
              <w:rPr>
                <w:sz w:val="20"/>
                <w:szCs w:val="20"/>
                <w:color w:val="auto"/>
              </w:rPr>
            </w:pPr>
            <w:r>
              <w:rPr>
                <w:rFonts w:ascii="Times New Roman" w:cs="Times New Roman" w:eastAsia="Times New Roman" w:hAnsi="Times New Roman"/>
                <w:sz w:val="20"/>
                <w:szCs w:val="20"/>
                <w:b w:val="1"/>
                <w:bCs w:val="1"/>
                <w:color w:val="auto"/>
              </w:rPr>
              <w:t>FLEXTRONICS INDUSTRIAL LTD.</w:t>
            </w:r>
          </w:p>
        </w:tc>
      </w:tr>
      <w:tr>
        <w:trPr>
          <w:trHeight w:val="51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 Bert Garcia</w:t>
            </w:r>
          </w:p>
        </w:tc>
        <w:tc>
          <w:tcPr>
            <w:tcW w:w="13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By:</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Manny Marimuthu</w:t>
            </w:r>
          </w:p>
        </w:tc>
      </w:tr>
      <w:tr>
        <w:trPr>
          <w:trHeight w:val="49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Bert Garcia</w:t>
            </w:r>
          </w:p>
        </w:tc>
        <w:tc>
          <w:tcPr>
            <w:tcW w:w="13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Manny Marimuthu</w:t>
            </w: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CFO</w:t>
            </w:r>
          </w:p>
        </w:tc>
        <w:tc>
          <w:tcPr>
            <w:tcW w:w="13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Title:</w:t>
            </w:r>
          </w:p>
        </w:tc>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00"/>
          </w:cols>
          <w:pgMar w:left="720" w:top="1058" w:right="679" w:bottom="1440" w:gutter="0" w:footer="0" w:header="0"/>
        </w:sectPr>
      </w:pPr>
    </w:p>
    <w:bookmarkStart w:id="63" w:name="page64"/>
    <w:bookmarkEnd w:id="63"/>
    <w:p>
      <w:pPr>
        <w:jc w:val="center"/>
        <w:ind w:right="-151"/>
        <w:spacing w:after="0"/>
        <w:rPr>
          <w:sz w:val="20"/>
          <w:szCs w:val="20"/>
          <w:color w:val="auto"/>
        </w:rPr>
      </w:pPr>
      <w:r>
        <w:rPr>
          <w:rFonts w:ascii="Times New Roman" w:cs="Times New Roman" w:eastAsia="Times New Roman" w:hAnsi="Times New Roman"/>
          <w:sz w:val="20"/>
          <w:szCs w:val="20"/>
          <w:b w:val="1"/>
          <w:bCs w:val="1"/>
          <w:color w:val="auto"/>
        </w:rPr>
        <w:t>Exhibit A – Products</w:t>
      </w:r>
    </w:p>
    <w:p>
      <w:pPr>
        <w:spacing w:after="0" w:line="220" w:lineRule="exact"/>
        <w:rPr>
          <w:sz w:val="20"/>
          <w:szCs w:val="20"/>
          <w:color w:val="auto"/>
        </w:rPr>
      </w:pPr>
    </w:p>
    <w:p>
      <w:pPr>
        <w:ind w:left="-8" w:firstLine="8"/>
        <w:spacing w:after="0" w:line="269" w:lineRule="auto"/>
        <w:tabs>
          <w:tab w:leader="none" w:pos="1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Finished goods consisting of Envoys, Inverters and other goods as may be agreed to in writing by Enphase and Flextronics, whenever made and wherever located for which Flextronics retains title.</w:t>
      </w:r>
    </w:p>
    <w:p>
      <w:pPr>
        <w:spacing w:after="0" w:line="159" w:lineRule="exact"/>
        <w:rPr>
          <w:rFonts w:ascii="Times New Roman" w:cs="Times New Roman" w:eastAsia="Times New Roman" w:hAnsi="Times New Roman"/>
          <w:sz w:val="20"/>
          <w:szCs w:val="20"/>
          <w:color w:val="auto"/>
        </w:rPr>
      </w:pPr>
    </w:p>
    <w:p>
      <w:pPr>
        <w:ind w:left="-8" w:right="300" w:firstLine="8"/>
        <w:spacing w:after="0" w:line="269" w:lineRule="auto"/>
        <w:tabs>
          <w:tab w:leader="none" w:pos="19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Works in progress of Envoys, Inverters and other goods as may be agreed to in writing by Enphase and Flextronics, whenever made and wherever located for which for which Flextronics retains title.</w:t>
      </w:r>
    </w:p>
    <w:p>
      <w:pPr>
        <w:spacing w:after="0" w:line="200" w:lineRule="exact"/>
        <w:rPr>
          <w:sz w:val="20"/>
          <w:szCs w:val="20"/>
          <w:color w:val="auto"/>
        </w:rPr>
      </w:pPr>
    </w:p>
    <w:p>
      <w:pPr>
        <w:spacing w:after="0" w:line="212" w:lineRule="exact"/>
        <w:rPr>
          <w:sz w:val="20"/>
          <w:szCs w:val="20"/>
          <w:color w:val="auto"/>
        </w:rPr>
      </w:pPr>
    </w:p>
    <w:p>
      <w:pPr>
        <w:ind w:left="4212"/>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72"/>
          </w:cols>
          <w:pgMar w:left="248" w:top="842" w:right="379" w:bottom="1440" w:gutter="0" w:footer="0" w:header="0"/>
        </w:sectPr>
      </w:pPr>
    </w:p>
    <w:bookmarkStart w:id="64" w:name="page65"/>
    <w:bookmarkEnd w:id="64"/>
    <w:p>
      <w:pPr>
        <w:jc w:val="right"/>
        <w:ind w:right="3119"/>
        <w:spacing w:after="0"/>
        <w:rPr>
          <w:sz w:val="20"/>
          <w:szCs w:val="20"/>
          <w:color w:val="auto"/>
        </w:rPr>
      </w:pPr>
      <w:r>
        <w:rPr>
          <w:rFonts w:ascii="Times New Roman" w:cs="Times New Roman" w:eastAsia="Times New Roman" w:hAnsi="Times New Roman"/>
          <w:sz w:val="20"/>
          <w:szCs w:val="20"/>
          <w:b w:val="1"/>
          <w:bCs w:val="1"/>
          <w:color w:val="auto"/>
        </w:rPr>
        <w:t>Exhibit B – Third Party Licenses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May 8, 2007 License between Enphase and Digital Core Design.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219"/>
          </w:cols>
          <w:pgMar w:left="240" w:top="842"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FIRST AMENDMENT TO SECURITY AGREEMENTS</w:t>
      </w:r>
    </w:p>
    <w:p>
      <w:pPr>
        <w:spacing w:after="0" w:line="24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THIS FIRST AMENDMENT TO SECURITY AGREEMENTS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is made effective as of June 9, 2017, by and among Flextronics Industrial, LTD and Flextronics America, LLC (together with their successors and assigns, collectively, “</w:t>
      </w:r>
      <w:r>
        <w:rPr>
          <w:rFonts w:ascii="Times New Roman" w:cs="Times New Roman" w:eastAsia="Times New Roman" w:hAnsi="Times New Roman"/>
          <w:sz w:val="21"/>
          <w:szCs w:val="21"/>
          <w:u w:val="single" w:color="auto"/>
          <w:color w:val="auto"/>
        </w:rPr>
        <w:t>Flex</w:t>
      </w:r>
      <w:r>
        <w:rPr>
          <w:rFonts w:ascii="Times New Roman" w:cs="Times New Roman" w:eastAsia="Times New Roman" w:hAnsi="Times New Roman"/>
          <w:sz w:val="21"/>
          <w:szCs w:val="21"/>
          <w:color w:val="auto"/>
        </w:rPr>
        <w:t>”) and Enphase Energy, Inc., a Delaware corporation (“</w:t>
      </w:r>
      <w:r>
        <w:rPr>
          <w:rFonts w:ascii="Times New Roman" w:cs="Times New Roman" w:eastAsia="Times New Roman" w:hAnsi="Times New Roman"/>
          <w:sz w:val="21"/>
          <w:szCs w:val="21"/>
          <w:u w:val="single" w:color="auto"/>
          <w:color w:val="auto"/>
        </w:rPr>
        <w:t>Enphase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RECITALS</w:t>
      </w:r>
    </w:p>
    <w:p>
      <w:pPr>
        <w:spacing w:after="0" w:line="245" w:lineRule="exact"/>
        <w:rPr>
          <w:sz w:val="20"/>
          <w:szCs w:val="20"/>
          <w:color w:val="auto"/>
        </w:rPr>
      </w:pPr>
    </w:p>
    <w:p>
      <w:pPr>
        <w:jc w:val="both"/>
        <w:ind w:left="980" w:hanging="648"/>
        <w:spacing w:after="0" w:line="246" w:lineRule="auto"/>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Enphase and Flex, entered into a certain Security Agreement, dated effective as of December 30, 2016 (as modified and amended, the “</w:t>
      </w:r>
      <w:r>
        <w:rPr>
          <w:rFonts w:ascii="Times New Roman" w:cs="Times New Roman" w:eastAsia="Times New Roman" w:hAnsi="Times New Roman"/>
          <w:sz w:val="21"/>
          <w:szCs w:val="21"/>
          <w:u w:val="single" w:color="auto"/>
          <w:color w:val="auto"/>
        </w:rPr>
        <w:t>Security Agreement</w:t>
      </w:r>
      <w:r>
        <w:rPr>
          <w:rFonts w:ascii="Times New Roman" w:cs="Times New Roman" w:eastAsia="Times New Roman" w:hAnsi="Times New Roman"/>
          <w:sz w:val="21"/>
          <w:szCs w:val="21"/>
          <w:color w:val="auto"/>
        </w:rPr>
        <w:t>”), a certain Intellectual Property Security Agreement dated effective as of December 30, 2016 (as modified and amended, the “</w:t>
      </w:r>
      <w:r>
        <w:rPr>
          <w:rFonts w:ascii="Times New Roman" w:cs="Times New Roman" w:eastAsia="Times New Roman" w:hAnsi="Times New Roman"/>
          <w:sz w:val="21"/>
          <w:szCs w:val="21"/>
          <w:u w:val="single" w:color="auto"/>
          <w:color w:val="auto"/>
        </w:rPr>
        <w:t>IP Security Agreement</w:t>
      </w:r>
      <w:r>
        <w:rPr>
          <w:rFonts w:ascii="Times New Roman" w:cs="Times New Roman" w:eastAsia="Times New Roman" w:hAnsi="Times New Roman"/>
          <w:sz w:val="21"/>
          <w:szCs w:val="21"/>
          <w:color w:val="auto"/>
        </w:rPr>
        <w:t>”), and a certain Pledge Agreement, dated effective as of December 30, 2016 (as modified and amended, the “</w:t>
      </w:r>
      <w:r>
        <w:rPr>
          <w:rFonts w:ascii="Times New Roman" w:cs="Times New Roman" w:eastAsia="Times New Roman" w:hAnsi="Times New Roman"/>
          <w:sz w:val="21"/>
          <w:szCs w:val="21"/>
          <w:u w:val="single" w:color="auto"/>
          <w:color w:val="auto"/>
        </w:rPr>
        <w:t>Pledge Agreement</w:t>
      </w:r>
      <w:r>
        <w:rPr>
          <w:rFonts w:ascii="Times New Roman" w:cs="Times New Roman" w:eastAsia="Times New Roman" w:hAnsi="Times New Roman"/>
          <w:sz w:val="21"/>
          <w:szCs w:val="21"/>
          <w:color w:val="auto"/>
        </w:rPr>
        <w:t>”, and, together with the Security Agreement and the IP Security Agreement, sometimes collectively referred to as the “</w:t>
      </w:r>
      <w:r>
        <w:rPr>
          <w:rFonts w:ascii="Times New Roman" w:cs="Times New Roman" w:eastAsia="Times New Roman" w:hAnsi="Times New Roman"/>
          <w:sz w:val="21"/>
          <w:szCs w:val="21"/>
          <w:u w:val="single" w:color="auto"/>
          <w:color w:val="auto"/>
        </w:rPr>
        <w:t>Security Agreements</w:t>
      </w:r>
      <w:r>
        <w:rPr>
          <w:rFonts w:ascii="Times New Roman" w:cs="Times New Roman" w:eastAsia="Times New Roman" w:hAnsi="Times New Roman"/>
          <w:sz w:val="21"/>
          <w:szCs w:val="21"/>
          <w:color w:val="auto"/>
        </w:rPr>
        <w:t>”), to secure certain obligations owed by Enphase to Flex. Capitalized terms used herein and not otherwise defined will have the meanings assigned to them in the Security Agreements.</w:t>
      </w:r>
    </w:p>
    <w:p>
      <w:pPr>
        <w:spacing w:after="0" w:line="212" w:lineRule="exact"/>
        <w:rPr>
          <w:rFonts w:ascii="Times New Roman" w:cs="Times New Roman" w:eastAsia="Times New Roman" w:hAnsi="Times New Roman"/>
          <w:sz w:val="21"/>
          <w:szCs w:val="21"/>
          <w:color w:val="auto"/>
        </w:rPr>
      </w:pPr>
    </w:p>
    <w:p>
      <w:pPr>
        <w:jc w:val="both"/>
        <w:ind w:left="980" w:hanging="648"/>
        <w:spacing w:after="0" w:line="256" w:lineRule="auto"/>
        <w:tabs>
          <w:tab w:leader="none" w:pos="9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Enphase has requested certain amendments to the Security Agreements. Flex is willing to make the modifications and amendments described below, upon the terms, covenants and conditions set forth herein, and in reliance upon the representations and warranties of Enphase contained herein.</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NOW, THEREFORE, in consideration of the foregoing Recitals (which are incorporated herein by reference), the terms, covenants and conditions hereinafter set forth, and other good and valuable consideration, the receipt and sufficiency of which is hereby acknowledged, the parties agree as follows:</w:t>
      </w:r>
    </w:p>
    <w:p>
      <w:pPr>
        <w:spacing w:after="0" w:line="200" w:lineRule="exact"/>
        <w:rPr>
          <w:sz w:val="20"/>
          <w:szCs w:val="20"/>
          <w:color w:val="auto"/>
        </w:rPr>
      </w:pPr>
    </w:p>
    <w:p>
      <w:pPr>
        <w:ind w:firstLine="8"/>
        <w:spacing w:after="0" w:line="270" w:lineRule="auto"/>
        <w:tabs>
          <w:tab w:leader="none" w:pos="47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Notwithstanding anything contained in any of the Security Agreements to the contrary, upon the completion and satisfaction of all of the following conditions precedent:</w:t>
      </w:r>
    </w:p>
    <w:p>
      <w:pPr>
        <w:spacing w:after="0" w:line="185" w:lineRule="exact"/>
        <w:rPr>
          <w:rFonts w:ascii="Times New Roman" w:cs="Times New Roman" w:eastAsia="Times New Roman" w:hAnsi="Times New Roman"/>
          <w:sz w:val="21"/>
          <w:szCs w:val="21"/>
          <w:color w:val="auto"/>
        </w:rPr>
      </w:pPr>
    </w:p>
    <w:p>
      <w:pPr>
        <w:ind w:left="660" w:hanging="4"/>
        <w:spacing w:after="0" w:line="270" w:lineRule="auto"/>
        <w:tabs>
          <w:tab w:leader="none" w:pos="96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Enphase’s Free Cash Flow (defined below) is positive for four (4) consecutive fiscal quarters measured as of the last day of each such quarter,</w:t>
      </w:r>
    </w:p>
    <w:p>
      <w:pPr>
        <w:spacing w:after="0" w:line="50" w:lineRule="exact"/>
        <w:rPr>
          <w:rFonts w:ascii="Times New Roman" w:cs="Times New Roman" w:eastAsia="Times New Roman" w:hAnsi="Times New Roman"/>
          <w:sz w:val="21"/>
          <w:szCs w:val="21"/>
          <w:color w:val="auto"/>
        </w:rPr>
      </w:pPr>
    </w:p>
    <w:p>
      <w:pPr>
        <w:ind w:left="660" w:right="20" w:hanging="4"/>
        <w:spacing w:after="0" w:line="270" w:lineRule="auto"/>
        <w:tabs>
          <w:tab w:leader="none" w:pos="96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Enphase’s Non-GAAP Net Income (defined below) is positive for four (4) consecutive fiscal quarters measured as of the last day of each such quarter,</w:t>
      </w:r>
    </w:p>
    <w:p>
      <w:pPr>
        <w:spacing w:after="0" w:line="50" w:lineRule="exact"/>
        <w:rPr>
          <w:rFonts w:ascii="Times New Roman" w:cs="Times New Roman" w:eastAsia="Times New Roman" w:hAnsi="Times New Roman"/>
          <w:sz w:val="21"/>
          <w:szCs w:val="21"/>
          <w:color w:val="auto"/>
        </w:rPr>
      </w:pPr>
    </w:p>
    <w:p>
      <w:pPr>
        <w:ind w:left="940" w:hanging="284"/>
        <w:spacing w:after="0"/>
        <w:tabs>
          <w:tab w:leader="none" w:pos="9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from Enphase to Flex or its affiliates has been past due at any time during four (4) consecutive fiscal quarters, and</w:t>
      </w:r>
    </w:p>
    <w:p>
      <w:pPr>
        <w:spacing w:after="0" w:line="121" w:lineRule="exact"/>
        <w:rPr>
          <w:rFonts w:ascii="Times New Roman" w:cs="Times New Roman" w:eastAsia="Times New Roman" w:hAnsi="Times New Roman"/>
          <w:sz w:val="20"/>
          <w:szCs w:val="20"/>
          <w:color w:val="auto"/>
        </w:rPr>
      </w:pPr>
    </w:p>
    <w:p>
      <w:pPr>
        <w:ind w:left="660" w:hanging="4"/>
        <w:spacing w:after="0" w:line="270" w:lineRule="auto"/>
        <w:tabs>
          <w:tab w:leader="none" w:pos="983"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(as defined in the Security Agreements) has occurred and is continuing as of the satisfaction of the foregoing conditions;</w:t>
      </w:r>
    </w:p>
    <w:p>
      <w:pPr>
        <w:spacing w:after="0" w:line="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Security Agreements shall automatically terminate and Flex’s security interest in the Collateral shall cease. Upon written notice from Enphase to Flex of the completion such conditions precedent, Flex shall use commercially reasonable efforts to promptly file (i) applicable releases with the U.S. Patent and Trademark Office regarding Enphase’s Intellectual Property, and (ii) such UCC-3 termination notices or other instruments as may be reasonably requested to evidence the release of Flex’s security interests in the Collateral. Enphase agrees to promptly reimburse Flex for Flex’s reasonable costs and expenses</w:t>
      </w:r>
    </w:p>
    <w:p>
      <w:pPr>
        <w:sectPr>
          <w:pgSz w:w="11900" w:h="16838" w:orient="portrait"/>
          <w:cols w:equalWidth="0" w:num="1">
            <w:col w:w="11420"/>
          </w:cols>
          <w:pgMar w:left="240" w:top="363" w:right="239" w:bottom="1440" w:gutter="0" w:footer="0" w:header="0"/>
        </w:sectPr>
      </w:pPr>
    </w:p>
    <w:bookmarkStart w:id="66" w:name="page67"/>
    <w:bookmarkEnd w:id="66"/>
    <w:p>
      <w:pPr>
        <w:jc w:val="both"/>
        <w:spacing w:after="0" w:line="267" w:lineRule="auto"/>
        <w:rPr>
          <w:sz w:val="20"/>
          <w:szCs w:val="20"/>
          <w:color w:val="auto"/>
        </w:rPr>
      </w:pPr>
      <w:r>
        <w:rPr>
          <w:rFonts w:ascii="Times New Roman" w:cs="Times New Roman" w:eastAsia="Times New Roman" w:hAnsi="Times New Roman"/>
          <w:sz w:val="20"/>
          <w:szCs w:val="20"/>
          <w:color w:val="auto"/>
        </w:rPr>
        <w:t>(including attorneys' fees) related to such releases and filings upon written request therefor. “</w:t>
      </w:r>
      <w:r>
        <w:rPr>
          <w:rFonts w:ascii="Times New Roman" w:cs="Times New Roman" w:eastAsia="Times New Roman" w:hAnsi="Times New Roman"/>
          <w:sz w:val="20"/>
          <w:szCs w:val="20"/>
          <w:u w:val="single" w:color="auto"/>
          <w:color w:val="auto"/>
        </w:rPr>
        <w:t>Free Cash Flow</w:t>
      </w:r>
      <w:r>
        <w:rPr>
          <w:rFonts w:ascii="Times New Roman" w:cs="Times New Roman" w:eastAsia="Times New Roman" w:hAnsi="Times New Roman"/>
          <w:sz w:val="20"/>
          <w:szCs w:val="20"/>
          <w:color w:val="auto"/>
        </w:rPr>
        <w:t>” means as of any date of measurement, Enphase’s operating cash flow, less cash used for capital expenditures, calculated in the same manner as in Enphase’s Form 10-K for its fiscal year ended December 31, 2016. “</w:t>
      </w:r>
      <w:r>
        <w:rPr>
          <w:rFonts w:ascii="Times New Roman" w:cs="Times New Roman" w:eastAsia="Times New Roman" w:hAnsi="Times New Roman"/>
          <w:sz w:val="20"/>
          <w:szCs w:val="20"/>
          <w:u w:val="single" w:color="auto"/>
          <w:color w:val="auto"/>
        </w:rPr>
        <w:t>Non-GAAP Net Income</w:t>
      </w:r>
      <w:r>
        <w:rPr>
          <w:rFonts w:ascii="Times New Roman" w:cs="Times New Roman" w:eastAsia="Times New Roman" w:hAnsi="Times New Roman"/>
          <w:sz w:val="20"/>
          <w:szCs w:val="20"/>
          <w:color w:val="auto"/>
        </w:rPr>
        <w:t>” means Enphase’s consolidated non-GAAP net income or net loss, as applicable, calculated in the same manner as in Enphase’s Form 10-K for its fiscal year ended December 31, 2016.</w:t>
      </w:r>
    </w:p>
    <w:p>
      <w:pPr>
        <w:spacing w:after="0" w:line="192"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Enphase’s Representations and Warranties</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Affirmation of Security Agreements</w:t>
      </w:r>
      <w:r>
        <w:rPr>
          <w:rFonts w:ascii="Times New Roman" w:cs="Times New Roman" w:eastAsia="Times New Roman" w:hAnsi="Times New Roman"/>
          <w:sz w:val="21"/>
          <w:szCs w:val="21"/>
          <w:color w:val="auto"/>
        </w:rPr>
        <w:t>. Except as amended hereby, the terms, provisions, conditions and agreements of the Security Agreements are hereby ratified and confirmed and will remain in full force and effect. Enphase expressly acknowledges that this First Amendment will neither extinguish nor satisfy, nor constitute a novation or a waiver of, Enphase’s existing indebtedness or obligations to Flex. Each and every representation and warranty of Enphase set forth in the Security Agreements is hereby confirmed and ratified in all material respects and such representations and warranties will be deemed to have been made and undertaken as of the date of this First Amendment as well as at the time they were made and undertaken.</w:t>
      </w:r>
    </w:p>
    <w:p>
      <w:pPr>
        <w:spacing w:after="0" w:line="211"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0"/>
          <w:szCs w:val="20"/>
          <w:u w:val="single" w:color="auto"/>
          <w:color w:val="auto"/>
        </w:rPr>
        <w:t>Other Representations</w:t>
      </w:r>
      <w:r>
        <w:rPr>
          <w:rFonts w:ascii="Times New Roman" w:cs="Times New Roman" w:eastAsia="Times New Roman" w:hAnsi="Times New Roman"/>
          <w:sz w:val="20"/>
          <w:szCs w:val="20"/>
          <w:color w:val="auto"/>
        </w:rPr>
        <w:t>. Enphase further represents and warrants that:</w:t>
      </w:r>
    </w:p>
    <w:p>
      <w:pPr>
        <w:spacing w:after="0" w:line="245"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21"/>
          <w:szCs w:val="21"/>
          <w:color w:val="auto"/>
        </w:rPr>
        <w:t>2.2.1 No event of default in the Flextronics Services Agreements or the Obsidian Credit Agreement and related loan documents (as modified, amended and restated) now exists or will exist immediately following the execution hereof or after giving effect to the transactions contemplated hereby.</w:t>
      </w:r>
    </w:p>
    <w:p>
      <w:pPr>
        <w:spacing w:after="0" w:line="200"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1"/>
          <w:szCs w:val="21"/>
          <w:color w:val="auto"/>
        </w:rPr>
        <w:t>2.2.2 All necessary corporate actions have been taken by Enphase to authorize the execution, delivery and performance of this First Amendment; this First Amendment and each such other document or instrument have been duly and validly executed and delivered, and are valid and legally binding upon the parties thereto and enforceable in accordance with their respective terms, except to the extent that the enforceability thereof may be limited by bankruptcy, insolvency or similar laws or by general equitable principals.</w:t>
      </w:r>
    </w:p>
    <w:p>
      <w:pPr>
        <w:spacing w:after="0" w:line="205"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1"/>
          <w:szCs w:val="21"/>
          <w:color w:val="auto"/>
        </w:rPr>
        <w:t>2.2.3 No consent, approval or authorization of, or filing, registration or qualification with, any governmental authority or any other person or entity is required to be obtained by Enphase in connection with the execution, delivery or performance of this First Amendment, or any document or instrument required in connection herewith or therewith which has not already been obtained or completed.</w:t>
      </w:r>
    </w:p>
    <w:p>
      <w:pPr>
        <w:spacing w:after="0" w:line="205" w:lineRule="exact"/>
        <w:rPr>
          <w:sz w:val="20"/>
          <w:szCs w:val="20"/>
          <w:color w:val="auto"/>
        </w:rPr>
      </w:pPr>
    </w:p>
    <w:p>
      <w:pPr>
        <w:jc w:val="both"/>
        <w:ind w:firstLine="8"/>
        <w:spacing w:after="0" w:line="256" w:lineRule="auto"/>
        <w:tabs>
          <w:tab w:leader="none" w:pos="44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Continuing Security Interest</w:t>
      </w:r>
      <w:r>
        <w:rPr>
          <w:rFonts w:ascii="Times New Roman" w:cs="Times New Roman" w:eastAsia="Times New Roman" w:hAnsi="Times New Roman"/>
          <w:sz w:val="21"/>
          <w:szCs w:val="21"/>
          <w:color w:val="auto"/>
        </w:rPr>
        <w:t>. This First Amendment is executed by Enphase to acknowledge, agree and consent to the amendments made pursuant hereto, and to acknowledge that the security interests and liens granted by Enphase to Flex under the Security Agreements will continue to secure all Obligations.</w:t>
      </w:r>
    </w:p>
    <w:p>
      <w:pPr>
        <w:spacing w:after="0" w:line="199" w:lineRule="exact"/>
        <w:rPr>
          <w:rFonts w:ascii="Times New Roman" w:cs="Times New Roman" w:eastAsia="Times New Roman" w:hAnsi="Times New Roman"/>
          <w:sz w:val="21"/>
          <w:szCs w:val="21"/>
          <w:color w:val="auto"/>
        </w:rPr>
      </w:pPr>
    </w:p>
    <w:p>
      <w:pPr>
        <w:jc w:val="both"/>
        <w:ind w:firstLine="8"/>
        <w:spacing w:after="0" w:line="256" w:lineRule="auto"/>
        <w:tabs>
          <w:tab w:leader="none" w:pos="55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Enphase covenants and agrees a) to pay the Obligations, and b) to perform and observe covenants, agreements, stipulations and conditions on Enphase’s part to be performed under this First Amendment and/or the Security Agreements and all other documents executed in connection herewith and therewith.</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3" w:right="239" w:bottom="1440" w:gutter="0" w:footer="0" w:header="0"/>
        </w:sectPr>
      </w:pPr>
    </w:p>
    <w:bookmarkStart w:id="67" w:name="page68"/>
    <w:bookmarkEnd w:id="67"/>
    <w:p>
      <w:pPr>
        <w:jc w:val="both"/>
        <w:ind w:firstLine="8"/>
        <w:spacing w:after="0" w:line="251" w:lineRule="auto"/>
        <w:tabs>
          <w:tab w:leader="none" w:pos="4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Waivers; Releases</w:t>
      </w:r>
      <w:r>
        <w:rPr>
          <w:rFonts w:ascii="Times New Roman" w:cs="Times New Roman" w:eastAsia="Times New Roman" w:hAnsi="Times New Roman"/>
          <w:sz w:val="21"/>
          <w:szCs w:val="21"/>
          <w:color w:val="auto"/>
        </w:rPr>
        <w:t>. Enphase, by signing below, hereby waives and releases Flex, and their members, directors, officers, managers, employees, attorneys, affiliates and subsidiaries, from any and all claims, offsets, defenses and counterclaims, such waiver and release being with full knowledge and understanding of the circumstances and effect thereof and after having consulted legal counsel with respect thereto.</w:t>
      </w:r>
    </w:p>
    <w:p>
      <w:pPr>
        <w:spacing w:after="0" w:line="205" w:lineRule="exact"/>
        <w:rPr>
          <w:rFonts w:ascii="Times New Roman" w:cs="Times New Roman" w:eastAsia="Times New Roman" w:hAnsi="Times New Roman"/>
          <w:sz w:val="21"/>
          <w:szCs w:val="21"/>
          <w:color w:val="auto"/>
        </w:rPr>
      </w:pPr>
    </w:p>
    <w:p>
      <w:pPr>
        <w:jc w:val="both"/>
        <w:ind w:firstLine="8"/>
        <w:spacing w:after="0" w:line="247" w:lineRule="auto"/>
        <w:tabs>
          <w:tab w:leader="none" w:pos="53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Non-Waiver</w:t>
      </w:r>
      <w:r>
        <w:rPr>
          <w:rFonts w:ascii="Times New Roman" w:cs="Times New Roman" w:eastAsia="Times New Roman" w:hAnsi="Times New Roman"/>
          <w:sz w:val="21"/>
          <w:szCs w:val="21"/>
          <w:color w:val="auto"/>
        </w:rPr>
        <w:t>. This First Amendment does not obligate Flex to agree to any other extension or modification of the Security Agreements, does not constitute a course of conduct or dealing on behalf of Flex or a waiver of any other rights or remedies of Flex. No omission or delay by Flex in exercising any right or power under the Security Agreements, this First Amendment or any related instruments, agreements or documents will impair such right or power or be construed to be a waiver of any Default or Event of Default or an acquiescence therein. Any single of partial exercise of any such right or power by Flex will not preclude other of future exercise thereof, or the exercise of any other right, and no waiver will be valid unless in writing and then only to the extend specified.</w:t>
      </w:r>
    </w:p>
    <w:p>
      <w:pPr>
        <w:spacing w:after="0" w:line="211" w:lineRule="exact"/>
        <w:rPr>
          <w:sz w:val="20"/>
          <w:szCs w:val="20"/>
          <w:color w:val="auto"/>
        </w:rPr>
      </w:pPr>
    </w:p>
    <w:p>
      <w:pPr>
        <w:ind w:firstLine="8"/>
        <w:spacing w:after="0" w:line="270" w:lineRule="auto"/>
        <w:tabs>
          <w:tab w:leader="none" w:pos="47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First Amendment may be executed in as many counterparts as may be convenient, each of which when so executed will be deemed to be an original for all purposes, and all of which will be deemed on and the same instrument.</w:t>
      </w:r>
    </w:p>
    <w:p>
      <w:pPr>
        <w:spacing w:after="0" w:line="185" w:lineRule="exact"/>
        <w:rPr>
          <w:rFonts w:ascii="Times New Roman" w:cs="Times New Roman" w:eastAsia="Times New Roman" w:hAnsi="Times New Roman"/>
          <w:sz w:val="21"/>
          <w:szCs w:val="21"/>
          <w:color w:val="auto"/>
        </w:rPr>
      </w:pPr>
    </w:p>
    <w:p>
      <w:pPr>
        <w:ind w:firstLine="8"/>
        <w:spacing w:after="0" w:line="270" w:lineRule="auto"/>
        <w:tabs>
          <w:tab w:leader="none" w:pos="45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Acts</w:t>
      </w:r>
      <w:r>
        <w:rPr>
          <w:rFonts w:ascii="Times New Roman" w:cs="Times New Roman" w:eastAsia="Times New Roman" w:hAnsi="Times New Roman"/>
          <w:sz w:val="21"/>
          <w:szCs w:val="21"/>
          <w:color w:val="auto"/>
        </w:rPr>
        <w:t>. The parties agree to perform any further acts and to execute and deliver any additional documents which may be reasonably necessary to carry out the intent and provisions of this First Amendment.</w:t>
      </w:r>
    </w:p>
    <w:p>
      <w:pPr>
        <w:spacing w:after="0" w:line="185" w:lineRule="exact"/>
        <w:rPr>
          <w:rFonts w:ascii="Times New Roman" w:cs="Times New Roman" w:eastAsia="Times New Roman" w:hAnsi="Times New Roman"/>
          <w:sz w:val="21"/>
          <w:szCs w:val="21"/>
          <w:color w:val="auto"/>
        </w:rPr>
      </w:pPr>
    </w:p>
    <w:p>
      <w:pPr>
        <w:ind w:firstLine="8"/>
        <w:spacing w:after="0" w:line="270" w:lineRule="auto"/>
        <w:tabs>
          <w:tab w:leader="none" w:pos="5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 This First Amendment is binding upon and will inure to the benefit of Enphase, Flex, and their respective heirs, personal representatives, successors and assigns.</w:t>
      </w:r>
    </w:p>
    <w:p>
      <w:pPr>
        <w:spacing w:after="0" w:line="185" w:lineRule="exact"/>
        <w:rPr>
          <w:rFonts w:ascii="Times New Roman" w:cs="Times New Roman" w:eastAsia="Times New Roman" w:hAnsi="Times New Roman"/>
          <w:sz w:val="21"/>
          <w:szCs w:val="21"/>
          <w:color w:val="auto"/>
        </w:rPr>
      </w:pPr>
    </w:p>
    <w:p>
      <w:pPr>
        <w:jc w:val="both"/>
        <w:ind w:firstLine="8"/>
        <w:spacing w:after="0" w:line="248" w:lineRule="auto"/>
        <w:tabs>
          <w:tab w:leader="none" w:pos="47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w:t>
      </w:r>
      <w:r>
        <w:rPr>
          <w:rFonts w:ascii="Times New Roman" w:cs="Times New Roman" w:eastAsia="Times New Roman" w:hAnsi="Times New Roman"/>
          <w:sz w:val="21"/>
          <w:szCs w:val="21"/>
          <w:color w:val="auto"/>
        </w:rPr>
        <w:t>. This First Amendment will be interpreted in accordance with the laws of the State of California, without regard to its conflicts of laws principles. Headings used herein are provided for convenience only, and will not be used in construing this First Amendment. If any provision of this First Amendment is deemed by a court of competent jurisdiction to be invalid or unenforceable, then such invalid or unenforceable provision will be ignored and will have no effect upon the validity and enforceability of the remaining provisions hereof.</w:t>
      </w:r>
    </w:p>
    <w:p>
      <w:pPr>
        <w:spacing w:after="0" w:line="210" w:lineRule="exact"/>
        <w:rPr>
          <w:rFonts w:ascii="Times New Roman" w:cs="Times New Roman" w:eastAsia="Times New Roman" w:hAnsi="Times New Roman"/>
          <w:sz w:val="21"/>
          <w:szCs w:val="21"/>
          <w:color w:val="auto"/>
        </w:rPr>
      </w:pPr>
    </w:p>
    <w:p>
      <w:pPr>
        <w:ind w:firstLine="8"/>
        <w:spacing w:after="0" w:line="270" w:lineRule="auto"/>
        <w:tabs>
          <w:tab w:leader="none" w:pos="479"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Section 8 of the Security Agreement is incorporated in this First Amendment by reference as if fully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606" w:right="239" w:bottom="1440" w:gutter="0" w:footer="0" w:header="0"/>
        </w:sectPr>
      </w:pPr>
    </w:p>
    <w:bookmarkStart w:id="68" w:name="page69"/>
    <w:bookmarkEnd w:id="68"/>
    <w:p>
      <w:pPr>
        <w:ind w:firstLine="648"/>
        <w:spacing w:after="0" w:line="270" w:lineRule="auto"/>
        <w:rPr>
          <w:sz w:val="20"/>
          <w:szCs w:val="20"/>
          <w:color w:val="auto"/>
        </w:rPr>
      </w:pPr>
      <w:r>
        <w:rPr>
          <w:rFonts w:ascii="Times New Roman" w:cs="Times New Roman" w:eastAsia="Times New Roman" w:hAnsi="Times New Roman"/>
          <w:sz w:val="21"/>
          <w:szCs w:val="21"/>
          <w:color w:val="auto"/>
        </w:rPr>
        <w:t>IN WITNESS WHEREOF, the parties have signed this First Amendment to Security Agreements, intending to be legally bound thereby as of the date first set forth above.</w:t>
      </w:r>
    </w:p>
    <w:p>
      <w:pPr>
        <w:spacing w:after="0" w:line="34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b w:val="1"/>
          <w:bCs w:val="1"/>
          <w:u w:val="single" w:color="auto"/>
          <w:color w:val="auto"/>
        </w:rPr>
        <w:t>ENPHASE</w:t>
      </w:r>
      <w:r>
        <w:rPr>
          <w:rFonts w:ascii="Times New Roman" w:cs="Times New Roman" w:eastAsia="Times New Roman" w:hAnsi="Times New Roman"/>
          <w:sz w:val="21"/>
          <w:szCs w:val="21"/>
          <w:b w:val="1"/>
          <w:bCs w:val="1"/>
          <w:color w:val="auto"/>
        </w:rPr>
        <w:t>:</w:t>
      </w:r>
    </w:p>
    <w:p>
      <w:pPr>
        <w:spacing w:after="0" w:line="24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b w:val="1"/>
          <w:bCs w:val="1"/>
          <w:color w:val="auto"/>
        </w:rPr>
        <w:t>ENPHASE ENERGY,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0"/>
          <w:szCs w:val="20"/>
          <w:color w:val="auto"/>
        </w:rPr>
        <w:t>/s/ Bert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28575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Print Name: Bert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28575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Print 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28575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First Amendment to Security Agreements]</w:t>
      </w:r>
    </w:p>
    <w:p>
      <w:pPr>
        <w:sectPr>
          <w:pgSz w:w="11900" w:h="16838" w:orient="portrait"/>
          <w:cols w:equalWidth="0" w:num="1">
            <w:col w:w="11400"/>
          </w:cols>
          <w:pgMar w:left="240" w:top="620" w:right="259" w:bottom="1440" w:gutter="0" w:footer="0" w:header="0"/>
        </w:sectPr>
      </w:pPr>
    </w:p>
    <w:bookmarkStart w:id="69" w:name="page70"/>
    <w:bookmarkEnd w:id="69"/>
    <w:p>
      <w:pPr>
        <w:ind w:firstLine="648"/>
        <w:spacing w:after="0" w:line="283" w:lineRule="auto"/>
        <w:rPr>
          <w:sz w:val="20"/>
          <w:szCs w:val="20"/>
          <w:color w:val="auto"/>
        </w:rPr>
      </w:pPr>
      <w:r>
        <w:rPr>
          <w:rFonts w:ascii="Times New Roman" w:cs="Times New Roman" w:eastAsia="Times New Roman" w:hAnsi="Times New Roman"/>
          <w:sz w:val="21"/>
          <w:szCs w:val="21"/>
          <w:color w:val="auto"/>
        </w:rPr>
        <w:t>IN WITNESS WHEREOF, the parties have signed this First Amendment to Security Agreements, intending to be legally bound thereby as of the date first set forth above.</w:t>
      </w:r>
    </w:p>
    <w:p>
      <w:pPr>
        <w:spacing w:after="0" w:line="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b w:val="1"/>
          <w:bCs w:val="1"/>
          <w:color w:val="auto"/>
        </w:rPr>
        <w:t>FLEX:</w:t>
      </w:r>
    </w:p>
    <w:p>
      <w:pPr>
        <w:spacing w:after="0" w:line="24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b w:val="1"/>
          <w:bCs w:val="1"/>
          <w:color w:val="auto"/>
        </w:rPr>
        <w:t>FLEXTRONICS INDUSTRIAL, LTD.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0"/>
          <w:szCs w:val="20"/>
          <w:color w:val="auto"/>
        </w:rPr>
        <w:t>/s/ Manny Marimuthu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28575</wp:posOffset>
            </wp:positionV>
            <wp:extent cx="31216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0"/>
          <w:szCs w:val="20"/>
          <w:color w:val="auto"/>
        </w:rPr>
        <w:t>Manny Marimuthu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28575</wp:posOffset>
            </wp:positionV>
            <wp:extent cx="3121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Print 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28575</wp:posOffset>
            </wp:positionV>
            <wp:extent cx="312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b w:val="1"/>
          <w:bCs w:val="1"/>
          <w:color w:val="auto"/>
        </w:rPr>
        <w:t>FLEXTRONICS AMERICA,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0"/>
          <w:szCs w:val="20"/>
          <w:color w:val="auto"/>
        </w:rPr>
        <w:t>/s/ David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28575</wp:posOffset>
            </wp:positionV>
            <wp:extent cx="3121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0"/>
          <w:szCs w:val="20"/>
          <w:color w:val="auto"/>
        </w:rPr>
        <w:t>David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28575</wp:posOffset>
            </wp:positionV>
            <wp:extent cx="31216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Print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28575</wp:posOffset>
            </wp:positionV>
            <wp:extent cx="31216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First Amendment to Security Agreements]</w:t>
      </w:r>
    </w:p>
    <w:p>
      <w:pPr>
        <w:sectPr>
          <w:pgSz w:w="11900" w:h="16838" w:orient="portrait"/>
          <w:cols w:equalWidth="0" w:num="1">
            <w:col w:w="11400"/>
          </w:cols>
          <w:pgMar w:left="240" w:top="633" w:right="2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320" w:hanging="332"/>
        <w:spacing w:after="0" w:line="27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1140" w:right="60" w:hanging="322"/>
        <w:spacing w:after="0" w:line="271"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1140" w:right="360" w:hanging="322"/>
        <w:spacing w:after="0" w:line="271"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jc w:val="both"/>
        <w:ind w:left="1140" w:right="300" w:hanging="322"/>
        <w:spacing w:after="0" w:line="271"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1140" w:right="120" w:hanging="322"/>
        <w:spacing w:after="0" w:line="271"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140" w:right="260" w:hanging="322"/>
        <w:spacing w:after="0" w:line="271"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1140" w:right="180" w:hanging="322"/>
        <w:spacing w:after="0" w:line="292" w:lineRule="auto"/>
        <w:tabs>
          <w:tab w:leader="none" w:pos="11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37465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Badrinarayanan Kothandaraman</w:t>
      </w:r>
    </w:p>
    <w:p>
      <w:pPr>
        <w:spacing w:after="0" w:line="7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Operating Officer</w:t>
      </w:r>
    </w:p>
    <w:p>
      <w:pPr>
        <w:spacing w:after="0" w:line="1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 Humberto Garcia, certify that:</w:t>
      </w:r>
    </w:p>
    <w:p>
      <w:pPr>
        <w:spacing w:after="0" w:line="19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340" w:right="340" w:hanging="332"/>
        <w:spacing w:after="0" w:line="323"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320" w:hanging="332"/>
        <w:spacing w:after="0" w:line="27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49" w:lineRule="exact"/>
        <w:rPr>
          <w:rFonts w:ascii="Arial" w:cs="Arial" w:eastAsia="Arial" w:hAnsi="Arial"/>
          <w:sz w:val="17"/>
          <w:szCs w:val="17"/>
          <w:color w:val="auto"/>
        </w:rPr>
      </w:pPr>
    </w:p>
    <w:p>
      <w:pPr>
        <w:ind w:left="1140" w:right="60" w:hanging="322"/>
        <w:spacing w:after="0" w:line="271"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1140" w:right="360" w:hanging="322"/>
        <w:spacing w:after="0" w:line="271"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jc w:val="both"/>
        <w:ind w:left="1140" w:right="300" w:hanging="322"/>
        <w:spacing w:after="0" w:line="271"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1140" w:right="120" w:hanging="322"/>
        <w:spacing w:after="0" w:line="271"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8"/>
          <w:szCs w:val="18"/>
          <w:color w:val="auto"/>
        </w:rPr>
      </w:pPr>
    </w:p>
    <w:p>
      <w:pPr>
        <w:ind w:left="340" w:right="320" w:hanging="332"/>
        <w:spacing w:after="0" w:line="27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ind w:left="1140" w:right="260" w:hanging="322"/>
        <w:spacing w:after="0" w:line="271"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Arial" w:cs="Arial" w:eastAsia="Arial" w:hAnsi="Arial"/>
          <w:sz w:val="18"/>
          <w:szCs w:val="18"/>
          <w:color w:val="auto"/>
        </w:rPr>
      </w:pPr>
    </w:p>
    <w:p>
      <w:pPr>
        <w:ind w:left="1140" w:right="180" w:hanging="322"/>
        <w:spacing w:after="0" w:line="292" w:lineRule="auto"/>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2017</w:t>
      </w: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Humberto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37465</wp:posOffset>
            </wp:positionV>
            <wp:extent cx="38334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Humberto Garcia</w:t>
      </w:r>
    </w:p>
    <w:p>
      <w:pPr>
        <w:spacing w:after="0" w:line="7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Vice President and Chief Financial Officer</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420"/>
          </w:cols>
          <w:pgMar w:left="240" w:top="9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Vice President and Chief Operating Officer of Enphase Energy, Inc. (the “Company”), and Humberto Garcia, Vice President and Chief Financial Officer of the Company, each hereby certifies that, to the best of his or her knowledge:</w:t>
      </w:r>
    </w:p>
    <w:p>
      <w:pPr>
        <w:spacing w:after="0" w:line="143" w:lineRule="exact"/>
        <w:rPr>
          <w:sz w:val="20"/>
          <w:szCs w:val="20"/>
          <w:color w:val="auto"/>
        </w:rPr>
      </w:pPr>
    </w:p>
    <w:p>
      <w:pPr>
        <w:ind w:right="300" w:firstLine="8"/>
        <w:spacing w:after="0" w:line="292" w:lineRule="auto"/>
        <w:tabs>
          <w:tab w:leader="none" w:pos="2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June 30, 2017, to which this Certification is attached as Exhibit 32.1 (the “Periodic Report”), fully complies with the requirements of Section 13(a) or Section 15(d) of the Exchange Act; and</w:t>
      </w:r>
    </w:p>
    <w:p>
      <w:pPr>
        <w:spacing w:after="0" w:line="117" w:lineRule="exact"/>
        <w:rPr>
          <w:rFonts w:ascii="Arial" w:cs="Arial" w:eastAsia="Arial" w:hAnsi="Arial"/>
          <w:sz w:val="18"/>
          <w:szCs w:val="18"/>
          <w:b w:val="1"/>
          <w:bCs w:val="1"/>
          <w:color w:val="auto"/>
        </w:rPr>
      </w:pPr>
    </w:p>
    <w:p>
      <w:pPr>
        <w:ind w:right="240" w:firstLine="8"/>
        <w:spacing w:after="0" w:line="292" w:lineRule="auto"/>
        <w:tabs>
          <w:tab w:leader="none" w:pos="2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9th day of August,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/s/ Badrinarayanan Kothandaraman</w:t>
            </w:r>
          </w:p>
        </w:tc>
        <w:tc>
          <w:tcPr>
            <w:tcW w:w="6160" w:type="dxa"/>
            <w:vAlign w:val="bottom"/>
          </w:tcPr>
          <w:p>
            <w:pPr>
              <w:ind w:left="20"/>
              <w:spacing w:after="0"/>
              <w:rPr>
                <w:sz w:val="20"/>
                <w:szCs w:val="20"/>
                <w:color w:val="auto"/>
              </w:rPr>
            </w:pPr>
            <w:r>
              <w:rPr>
                <w:rFonts w:ascii="Arial" w:cs="Arial" w:eastAsia="Arial" w:hAnsi="Arial"/>
                <w:sz w:val="18"/>
                <w:szCs w:val="18"/>
                <w:color w:val="auto"/>
              </w:rPr>
              <w:t>/s/ Humberto Garcia</w:t>
            </w:r>
          </w:p>
        </w:tc>
      </w:tr>
      <w:tr>
        <w:trPr>
          <w:trHeight w:val="23"/>
        </w:trPr>
        <w:tc>
          <w:tcPr>
            <w:tcW w:w="5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241"/>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Badrinarayanan Kothandaraman</w:t>
            </w:r>
          </w:p>
        </w:tc>
        <w:tc>
          <w:tcPr>
            <w:tcW w:w="6160" w:type="dxa"/>
            <w:vAlign w:val="bottom"/>
          </w:tcPr>
          <w:p>
            <w:pPr>
              <w:ind w:left="20"/>
              <w:spacing w:after="0"/>
              <w:rPr>
                <w:sz w:val="20"/>
                <w:szCs w:val="20"/>
                <w:color w:val="auto"/>
              </w:rPr>
            </w:pPr>
            <w:r>
              <w:rPr>
                <w:rFonts w:ascii="Arial" w:cs="Arial" w:eastAsia="Arial" w:hAnsi="Arial"/>
                <w:sz w:val="18"/>
                <w:szCs w:val="18"/>
                <w:color w:val="auto"/>
              </w:rPr>
              <w:t>Humberto Garcia</w:t>
            </w:r>
          </w:p>
        </w:tc>
      </w:tr>
      <w:tr>
        <w:trPr>
          <w:trHeight w:val="284"/>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Vice President and Chief Operating Officer</w:t>
            </w:r>
          </w:p>
        </w:tc>
        <w:tc>
          <w:tcPr>
            <w:tcW w:w="616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365"/>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6160" w:type="dxa"/>
            <w:vAlign w:val="bottom"/>
          </w:tcPr>
          <w:p>
            <w:pPr>
              <w:ind w:left="20"/>
              <w:spacing w:after="0"/>
              <w:rPr>
                <w:sz w:val="20"/>
                <w:szCs w:val="20"/>
                <w:color w:val="auto"/>
              </w:rPr>
            </w:pPr>
            <w:r>
              <w:rPr>
                <w:rFonts w:ascii="Arial" w:cs="Arial" w:eastAsia="Arial" w:hAnsi="Arial"/>
                <w:sz w:val="18"/>
                <w:szCs w:val="18"/>
                <w:color w:val="auto"/>
              </w:rPr>
              <w:t>(Principal Executive Officer and Principal Financial Officer)</w:t>
            </w:r>
          </w:p>
        </w:tc>
      </w:tr>
    </w:tbl>
    <w:p>
      <w:pPr>
        <w:spacing w:after="0" w:line="1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emdash "/>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2"/>
    </w:lvl>
  </w:abstractNum>
  <w:abstractNum w:abstractNumId="18">
    <w:nsid w:val="2CA88611"/>
    <w:multiLevelType w:val="hybridMultilevel"/>
    <w:lvl w:ilvl="0">
      <w:lvlJc w:val="left"/>
      <w:lvlText w:val="(%1)"/>
      <w:numFmt w:val="upperLetter"/>
      <w:start w:val="1"/>
    </w:lvl>
  </w:abstractNum>
  <w:abstractNum w:abstractNumId="19">
    <w:nsid w:val="836C40E"/>
    <w:multiLevelType w:val="hybridMultilevel"/>
    <w:lvl w:ilvl="0">
      <w:lvlJc w:val="left"/>
      <w:lvlText w:val="(%1)"/>
      <w:numFmt w:val="upperLetter"/>
      <w:start w:val="2"/>
    </w:lvl>
  </w:abstractNum>
  <w:abstractNum w:abstractNumId="20">
    <w:nsid w:val="2901D82"/>
    <w:multiLevelType w:val="hybridMultilevel"/>
    <w:lvl w:ilvl="0">
      <w:lvlJc w:val="left"/>
      <w:lvlText w:val="%1."/>
      <w:numFmt w:val="decimal"/>
      <w:start w:val="3"/>
    </w:lvl>
  </w:abstractNum>
  <w:abstractNum w:abstractNumId="21">
    <w:nsid w:val="3A95F874"/>
    <w:multiLevelType w:val="hybridMultilevel"/>
    <w:lvl w:ilvl="0">
      <w:lvlJc w:val="left"/>
      <w:lvlText w:val="%1."/>
      <w:numFmt w:val="decimal"/>
      <w:start w:val="4"/>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decimal"/>
      <w:start w:val="5"/>
    </w:lvl>
  </w:abstractNum>
  <w:abstractNum w:abstractNumId="24">
    <w:nsid w:val="7C3DBD3D"/>
    <w:multiLevelType w:val="hybridMultilevel"/>
    <w:lvl w:ilvl="0">
      <w:lvlJc w:val="left"/>
      <w:lvlText w:val="(%1)"/>
      <w:numFmt w:val="lowerLetter"/>
      <w:start w:val="1"/>
    </w:lvl>
  </w:abstractNum>
  <w:abstractNum w:abstractNumId="25">
    <w:nsid w:val="737B8DDC"/>
    <w:multiLevelType w:val="hybridMultilevel"/>
    <w:lvl w:ilvl="0">
      <w:lvlJc w:val="left"/>
      <w:lvlText w:val="%1."/>
      <w:numFmt w:val="decimal"/>
      <w:start w:val="6"/>
    </w:lvl>
  </w:abstractNum>
  <w:abstractNum w:abstractNumId="26">
    <w:nsid w:val="6CEAF087"/>
    <w:multiLevelType w:val="hybridMultilevel"/>
    <w:lvl w:ilvl="0">
      <w:lvlJc w:val="left"/>
      <w:lvlText w:val="%1."/>
      <w:numFmt w:val="decimal"/>
      <w:start w:val="7"/>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upperLetter"/>
      <w:start w:val="1"/>
    </w:lvl>
  </w:abstractNum>
  <w:abstractNum w:abstractNumId="29">
    <w:nsid w:val="3006C83E"/>
    <w:multiLevelType w:val="hybridMultilevel"/>
    <w:lvl w:ilvl="0">
      <w:lvlJc w:val="left"/>
      <w:lvlText w:val="%1."/>
      <w:numFmt w:val="decimal"/>
      <w:start w:val="1"/>
    </w:lvl>
    <w:lvl w:ilvl="1">
      <w:lvlJc w:val="left"/>
      <w:lvlText w:val="(%2)"/>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decimal"/>
      <w:start w:val="3"/>
    </w:lvl>
  </w:abstractNum>
  <w:abstractNum w:abstractNumId="32">
    <w:nsid w:val="5577F8E1"/>
    <w:multiLevelType w:val="hybridMultilevel"/>
    <w:lvl w:ilvl="0">
      <w:lvlJc w:val="left"/>
      <w:lvlText w:val="%1."/>
      <w:numFmt w:val="decimal"/>
      <w:start w:val="5"/>
    </w:lvl>
  </w:abstractNum>
  <w:abstractNum w:abstractNumId="33">
    <w:nsid w:val="440BADFC"/>
    <w:multiLevelType w:val="hybridMultilevel"/>
    <w:lvl w:ilvl="0">
      <w:lvlJc w:val="left"/>
      <w:lvlText w:val="%1."/>
      <w:numFmt w:val="decimal"/>
      <w:start w:val="8"/>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2019-12-29T04:43:28Z</dcterms:created>
  <dcterms:modified xsi:type="dcterms:W3CDTF">2019-12-29T04:43:28Z</dcterms:modified>
</cp:coreProperties>
</file>