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76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45" w:lineRule="exact"/>
        <w:rPr>
          <w:sz w:val="24"/>
          <w:szCs w:val="24"/>
          <w:color w:val="auto"/>
        </w:rPr>
      </w:pPr>
    </w:p>
    <w:p>
      <w:pPr>
        <w:ind w:left="720" w:right="200" w:hanging="685"/>
        <w:spacing w:after="0" w:line="254"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1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ind w:left="386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 w:lineRule="exact"/>
        <w:rPr>
          <w:sz w:val="24"/>
          <w:szCs w:val="24"/>
          <w:color w:val="auto"/>
        </w:rPr>
      </w:pPr>
    </w:p>
    <w:tbl>
      <w:tblPr>
        <w:tblLayout w:type="fixed"/>
        <w:tblInd w:w="1560" w:type="dxa"/>
        <w:tblCellMar>
          <w:top w:w="0" w:type="dxa"/>
          <w:left w:w="0" w:type="dxa"/>
          <w:bottom w:w="0" w:type="dxa"/>
          <w:right w:w="0" w:type="dxa"/>
        </w:tblCellMar>
      </w:tblPr>
      <w:tr>
        <w:trPr>
          <w:trHeight w:val="207"/>
        </w:trPr>
        <w:tc>
          <w:tcPr>
            <w:tcW w:w="6320" w:type="dxa"/>
            <w:vAlign w:val="bottom"/>
          </w:tcPr>
          <w:p>
            <w:pPr>
              <w:jc w:val="center"/>
              <w:ind w:left="1886"/>
              <w:spacing w:after="0"/>
              <w:rPr>
                <w:sz w:val="20"/>
                <w:szCs w:val="20"/>
                <w:color w:val="auto"/>
              </w:rPr>
            </w:pPr>
            <w:r>
              <w:rPr>
                <w:rFonts w:ascii="Times New Roman" w:cs="Times New Roman" w:eastAsia="Times New Roman" w:hAnsi="Times New Roman"/>
                <w:sz w:val="18"/>
                <w:szCs w:val="18"/>
                <w:b w:val="1"/>
                <w:bCs w:val="1"/>
                <w:color w:val="auto"/>
              </w:rPr>
              <w:t>Commission File Number: 001-35480</w:t>
            </w:r>
          </w:p>
        </w:tc>
        <w:tc>
          <w:tcPr>
            <w:tcW w:w="1300" w:type="dxa"/>
            <w:vAlign w:val="bottom"/>
          </w:tcPr>
          <w:p>
            <w:pPr>
              <w:spacing w:after="0"/>
              <w:rPr>
                <w:sz w:val="17"/>
                <w:szCs w:val="17"/>
                <w:color w:val="auto"/>
              </w:rPr>
            </w:pPr>
          </w:p>
        </w:tc>
      </w:tr>
      <w:tr>
        <w:trPr>
          <w:trHeight w:val="183"/>
        </w:trPr>
        <w:tc>
          <w:tcPr>
            <w:tcW w:w="6320" w:type="dxa"/>
            <w:vAlign w:val="bottom"/>
          </w:tcPr>
          <w:p>
            <w:pPr>
              <w:jc w:val="center"/>
              <w:ind w:left="1946"/>
              <w:spacing w:after="0" w:line="183" w:lineRule="exact"/>
              <w:rPr>
                <w:sz w:val="20"/>
                <w:szCs w:val="20"/>
                <w:color w:val="auto"/>
              </w:rPr>
            </w:pPr>
            <w:r>
              <w:rPr>
                <w:rFonts w:ascii="Times New Roman" w:cs="Times New Roman" w:eastAsia="Times New Roman" w:hAnsi="Times New Roman"/>
                <w:sz w:val="18"/>
                <w:szCs w:val="18"/>
                <w:color w:val="auto"/>
                <w:w w:val="99"/>
              </w:rPr>
              <w:t>____________________________________________</w:t>
            </w:r>
          </w:p>
        </w:tc>
        <w:tc>
          <w:tcPr>
            <w:tcW w:w="1300" w:type="dxa"/>
            <w:vAlign w:val="bottom"/>
          </w:tcPr>
          <w:p>
            <w:pPr>
              <w:spacing w:after="0"/>
              <w:rPr>
                <w:sz w:val="15"/>
                <w:szCs w:val="15"/>
                <w:color w:val="auto"/>
              </w:rPr>
            </w:pPr>
          </w:p>
        </w:tc>
      </w:tr>
      <w:tr>
        <w:trPr>
          <w:trHeight w:val="575"/>
        </w:trPr>
        <w:tc>
          <w:tcPr>
            <w:tcW w:w="6320" w:type="dxa"/>
            <w:vAlign w:val="bottom"/>
          </w:tcPr>
          <w:p>
            <w:pPr>
              <w:jc w:val="center"/>
              <w:ind w:left="1926"/>
              <w:spacing w:after="0"/>
              <w:rPr>
                <w:sz w:val="20"/>
                <w:szCs w:val="20"/>
                <w:color w:val="auto"/>
              </w:rPr>
            </w:pPr>
            <w:r>
              <w:rPr>
                <w:rFonts w:ascii="Times New Roman" w:cs="Times New Roman" w:eastAsia="Times New Roman" w:hAnsi="Times New Roman"/>
                <w:sz w:val="43"/>
                <w:szCs w:val="43"/>
                <w:b w:val="1"/>
                <w:bCs w:val="1"/>
                <w:color w:val="auto"/>
                <w:w w:val="99"/>
              </w:rPr>
              <w:t>Enphase Energy, Inc.</w:t>
            </w:r>
          </w:p>
        </w:tc>
        <w:tc>
          <w:tcPr>
            <w:tcW w:w="1300" w:type="dxa"/>
            <w:vAlign w:val="bottom"/>
          </w:tcPr>
          <w:p>
            <w:pPr>
              <w:spacing w:after="0"/>
              <w:rPr>
                <w:sz w:val="24"/>
                <w:szCs w:val="24"/>
                <w:color w:val="auto"/>
              </w:rPr>
            </w:pPr>
          </w:p>
        </w:tc>
      </w:tr>
      <w:tr>
        <w:trPr>
          <w:trHeight w:val="268"/>
        </w:trPr>
        <w:tc>
          <w:tcPr>
            <w:tcW w:w="6320" w:type="dxa"/>
            <w:vAlign w:val="bottom"/>
          </w:tcPr>
          <w:p>
            <w:pPr>
              <w:jc w:val="center"/>
              <w:ind w:left="188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300" w:type="dxa"/>
            <w:vAlign w:val="bottom"/>
          </w:tcPr>
          <w:p>
            <w:pPr>
              <w:spacing w:after="0"/>
              <w:rPr>
                <w:sz w:val="23"/>
                <w:szCs w:val="23"/>
                <w:color w:val="auto"/>
              </w:rPr>
            </w:pPr>
          </w:p>
        </w:tc>
      </w:tr>
      <w:tr>
        <w:trPr>
          <w:trHeight w:val="234"/>
        </w:trPr>
        <w:tc>
          <w:tcPr>
            <w:tcW w:w="6320" w:type="dxa"/>
            <w:vAlign w:val="bottom"/>
          </w:tcPr>
          <w:p>
            <w:pPr>
              <w:jc w:val="center"/>
              <w:ind w:left="1946"/>
              <w:spacing w:after="0"/>
              <w:rPr>
                <w:sz w:val="20"/>
                <w:szCs w:val="20"/>
                <w:color w:val="auto"/>
              </w:rPr>
            </w:pPr>
            <w:r>
              <w:rPr>
                <w:rFonts w:ascii="Times New Roman" w:cs="Times New Roman" w:eastAsia="Times New Roman" w:hAnsi="Times New Roman"/>
                <w:sz w:val="18"/>
                <w:szCs w:val="18"/>
                <w:color w:val="auto"/>
                <w:w w:val="99"/>
              </w:rPr>
              <w:t>____________________________________________</w:t>
            </w:r>
          </w:p>
        </w:tc>
        <w:tc>
          <w:tcPr>
            <w:tcW w:w="1300" w:type="dxa"/>
            <w:vAlign w:val="bottom"/>
          </w:tcPr>
          <w:p>
            <w:pPr>
              <w:spacing w:after="0"/>
              <w:rPr>
                <w:sz w:val="20"/>
                <w:szCs w:val="20"/>
                <w:color w:val="auto"/>
              </w:rPr>
            </w:pPr>
          </w:p>
        </w:tc>
      </w:tr>
      <w:tr>
        <w:trPr>
          <w:trHeight w:val="326"/>
        </w:trPr>
        <w:tc>
          <w:tcPr>
            <w:tcW w:w="6320" w:type="dxa"/>
            <w:vAlign w:val="bottom"/>
          </w:tcPr>
          <w:p>
            <w:pPr>
              <w:jc w:val="center"/>
              <w:ind w:right="384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20-4645388</w:t>
            </w:r>
          </w:p>
        </w:tc>
      </w:tr>
      <w:tr>
        <w:trPr>
          <w:trHeight w:val="149"/>
        </w:trPr>
        <w:tc>
          <w:tcPr>
            <w:tcW w:w="6320" w:type="dxa"/>
            <w:vAlign w:val="bottom"/>
          </w:tcPr>
          <w:p>
            <w:pPr>
              <w:jc w:val="center"/>
              <w:ind w:right="384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0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tcPr>
          <w:p>
            <w:pPr>
              <w:jc w:val="center"/>
              <w:ind w:right="384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6320" w:type="dxa"/>
            <w:vAlign w:val="bottom"/>
          </w:tcPr>
          <w:p>
            <w:pPr>
              <w:jc w:val="center"/>
              <w:ind w:right="3846"/>
              <w:spacing w:after="0"/>
              <w:rPr>
                <w:sz w:val="20"/>
                <w:szCs w:val="20"/>
                <w:color w:val="auto"/>
              </w:rPr>
            </w:pPr>
            <w:r>
              <w:rPr>
                <w:rFonts w:ascii="Times New Roman" w:cs="Times New Roman" w:eastAsia="Times New Roman" w:hAnsi="Times New Roman"/>
                <w:sz w:val="18"/>
                <w:szCs w:val="18"/>
                <w:b w:val="1"/>
                <w:bCs w:val="1"/>
                <w:color w:val="auto"/>
              </w:rPr>
              <w:t>1420 N. McDowell Blvd.</w:t>
            </w:r>
          </w:p>
        </w:tc>
        <w:tc>
          <w:tcPr>
            <w:tcW w:w="1300" w:type="dxa"/>
            <w:vAlign w:val="bottom"/>
          </w:tcPr>
          <w:p>
            <w:pPr>
              <w:spacing w:after="0"/>
              <w:rPr>
                <w:sz w:val="24"/>
                <w:szCs w:val="24"/>
                <w:color w:val="auto"/>
              </w:rPr>
            </w:pPr>
          </w:p>
        </w:tc>
      </w:tr>
      <w:tr>
        <w:trPr>
          <w:trHeight w:val="238"/>
        </w:trPr>
        <w:tc>
          <w:tcPr>
            <w:tcW w:w="6320" w:type="dxa"/>
            <w:vAlign w:val="bottom"/>
          </w:tcPr>
          <w:p>
            <w:pPr>
              <w:jc w:val="center"/>
              <w:ind w:right="3846"/>
              <w:spacing w:after="0"/>
              <w:rPr>
                <w:sz w:val="20"/>
                <w:szCs w:val="20"/>
                <w:color w:val="auto"/>
              </w:rPr>
            </w:pPr>
            <w:r>
              <w:rPr>
                <w:rFonts w:ascii="Times New Roman" w:cs="Times New Roman" w:eastAsia="Times New Roman" w:hAnsi="Times New Roman"/>
                <w:sz w:val="18"/>
                <w:szCs w:val="18"/>
                <w:b w:val="1"/>
                <w:bCs w:val="1"/>
                <w:color w:val="auto"/>
              </w:rPr>
              <w:t>Petaluma, California</w:t>
            </w:r>
          </w:p>
        </w:tc>
        <w:tc>
          <w:tcPr>
            <w:tcW w:w="1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94954</w:t>
            </w:r>
          </w:p>
        </w:tc>
      </w:tr>
      <w:tr>
        <w:trPr>
          <w:trHeight w:val="220"/>
        </w:trPr>
        <w:tc>
          <w:tcPr>
            <w:tcW w:w="6320" w:type="dxa"/>
            <w:vAlign w:val="bottom"/>
          </w:tcPr>
          <w:p>
            <w:pPr>
              <w:jc w:val="center"/>
              <w:ind w:right="38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0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6320" w:type="dxa"/>
            <w:vAlign w:val="bottom"/>
          </w:tcPr>
          <w:p>
            <w:pPr>
              <w:jc w:val="center"/>
              <w:ind w:left="1906"/>
              <w:spacing w:after="0"/>
              <w:rPr>
                <w:sz w:val="20"/>
                <w:szCs w:val="20"/>
                <w:color w:val="auto"/>
              </w:rPr>
            </w:pPr>
            <w:r>
              <w:rPr>
                <w:rFonts w:ascii="Times New Roman" w:cs="Times New Roman" w:eastAsia="Times New Roman" w:hAnsi="Times New Roman"/>
                <w:sz w:val="18"/>
                <w:szCs w:val="18"/>
                <w:b w:val="1"/>
                <w:bCs w:val="1"/>
                <w:color w:val="auto"/>
                <w:w w:val="99"/>
              </w:rPr>
              <w:t>(707) 774-7000</w:t>
            </w:r>
          </w:p>
        </w:tc>
        <w:tc>
          <w:tcPr>
            <w:tcW w:w="1300" w:type="dxa"/>
            <w:vAlign w:val="bottom"/>
          </w:tcPr>
          <w:p>
            <w:pPr>
              <w:spacing w:after="0"/>
              <w:rPr>
                <w:sz w:val="24"/>
                <w:szCs w:val="24"/>
                <w:color w:val="auto"/>
              </w:rPr>
            </w:pPr>
          </w:p>
        </w:tc>
      </w:tr>
      <w:tr>
        <w:trPr>
          <w:trHeight w:val="155"/>
        </w:trPr>
        <w:tc>
          <w:tcPr>
            <w:tcW w:w="6320" w:type="dxa"/>
            <w:vAlign w:val="bottom"/>
          </w:tcPr>
          <w:p>
            <w:pPr>
              <w:jc w:val="center"/>
              <w:ind w:left="1886"/>
              <w:spacing w:after="0" w:line="155" w:lineRule="exact"/>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00" w:type="dxa"/>
            <w:vAlign w:val="bottom"/>
          </w:tcPr>
          <w:p>
            <w:pPr>
              <w:spacing w:after="0"/>
              <w:rPr>
                <w:sz w:val="13"/>
                <w:szCs w:val="13"/>
                <w:color w:val="auto"/>
              </w:rPr>
            </w:pPr>
          </w:p>
        </w:tc>
      </w:tr>
      <w:tr>
        <w:trPr>
          <w:trHeight w:val="234"/>
        </w:trPr>
        <w:tc>
          <w:tcPr>
            <w:tcW w:w="6320" w:type="dxa"/>
            <w:vAlign w:val="bottom"/>
          </w:tcPr>
          <w:p>
            <w:pPr>
              <w:jc w:val="center"/>
              <w:ind w:left="1946"/>
              <w:spacing w:after="0"/>
              <w:rPr>
                <w:sz w:val="20"/>
                <w:szCs w:val="20"/>
                <w:color w:val="auto"/>
              </w:rPr>
            </w:pPr>
            <w:r>
              <w:rPr>
                <w:rFonts w:ascii="Times New Roman" w:cs="Times New Roman" w:eastAsia="Times New Roman" w:hAnsi="Times New Roman"/>
                <w:sz w:val="18"/>
                <w:szCs w:val="18"/>
                <w:color w:val="auto"/>
                <w:w w:val="99"/>
              </w:rPr>
              <w:t>____________________________________________</w:t>
            </w:r>
          </w:p>
        </w:tc>
        <w:tc>
          <w:tcPr>
            <w:tcW w:w="1300" w:type="dxa"/>
            <w:vAlign w:val="bottom"/>
          </w:tcPr>
          <w:p>
            <w:pPr>
              <w:spacing w:after="0"/>
              <w:rPr>
                <w:sz w:val="20"/>
                <w:szCs w:val="20"/>
                <w:color w:val="auto"/>
              </w:rPr>
            </w:pPr>
          </w:p>
        </w:tc>
      </w:tr>
    </w:tbl>
    <w:p>
      <w:pPr>
        <w:spacing w:after="0" w:line="184"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4"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56" w:lineRule="exact"/>
        <w:rPr>
          <w:sz w:val="24"/>
          <w:szCs w:val="24"/>
          <w:color w:val="auto"/>
        </w:rPr>
      </w:pPr>
    </w:p>
    <w:p>
      <w:pPr>
        <w:sectPr>
          <w:pgSz w:w="11900" w:h="16838" w:orient="portrait"/>
          <w:cols w:equalWidth="0" w:num="4">
            <w:col w:w="2180" w:space="720"/>
            <w:col w:w="4300" w:space="720"/>
            <w:col w:w="2460" w:space="720"/>
            <w:col w:w="320"/>
          </w:cols>
          <w:pgMar w:left="240" w:top="229" w:right="239" w:bottom="1440" w:gutter="0" w:footer="0" w:header="0"/>
          <w:type w:val="continuous"/>
        </w:sectPr>
      </w:pP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5">
            <w:col w:w="2180" w:space="720"/>
            <w:col w:w="160" w:space="40"/>
            <w:col w:w="4100" w:space="720"/>
            <w:col w:w="2460" w:space="720"/>
            <w:col w:w="320"/>
          </w:cols>
          <w:pgMar w:left="240" w:top="229"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90" w:lineRule="exact"/>
        <w:rPr>
          <w:sz w:val="24"/>
          <w:szCs w:val="24"/>
          <w:color w:val="auto"/>
        </w:rPr>
      </w:pPr>
    </w:p>
    <w:p>
      <w:pPr>
        <w:sectPr>
          <w:pgSz w:w="11900" w:h="16838" w:orient="portrait"/>
          <w:cols w:equalWidth="0" w:num="4">
            <w:col w:w="8180" w:space="180"/>
            <w:col w:w="260" w:space="100"/>
            <w:col w:w="160" w:space="180"/>
            <w:col w:w="236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As of July 31, 2014, there were 42,942,058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JUNE 30, 2014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Borders>
              <w:bottom w:val="single" w:sz="8" w:color="0000EE"/>
            </w:tcBorders>
            <w:gridSpan w:val="9"/>
          </w:tcPr>
          <w:p>
            <w:pPr>
              <w:jc w:val="center"/>
              <w:spacing w:after="0" w:line="189" w:lineRule="exact"/>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PART I. FINANCIAL INFORMATION</w:t>
              </w:r>
            </w:hyperlink>
          </w:p>
        </w:tc>
        <w:tc>
          <w:tcPr>
            <w:tcW w:w="268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 (Unaudited)</w:t>
              </w:r>
            </w:hyperlink>
          </w:p>
        </w:tc>
        <w:tc>
          <w:tcPr>
            <w:tcW w:w="6000" w:type="dxa"/>
            <w:vAlign w:val="bottom"/>
            <w:gridSpan w:val="1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4"/>
                <w:szCs w:val="24"/>
                <w:color w:val="auto"/>
              </w:rPr>
            </w:pPr>
          </w:p>
        </w:tc>
      </w:tr>
      <w:tr>
        <w:trPr>
          <w:trHeight w:val="250"/>
        </w:trPr>
        <w:tc>
          <w:tcPr>
            <w:tcW w:w="1480" w:type="dxa"/>
            <w:vAlign w:val="bottom"/>
          </w:tcPr>
          <w:p>
            <w:pPr>
              <w:spacing w:after="0"/>
              <w:rPr>
                <w:sz w:val="21"/>
                <w:szCs w:val="21"/>
                <w:color w:val="auto"/>
              </w:rPr>
            </w:pPr>
          </w:p>
        </w:tc>
        <w:tc>
          <w:tcPr>
            <w:tcW w:w="2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w:t>
              </w:r>
            </w:hyperlink>
          </w:p>
        </w:tc>
        <w:tc>
          <w:tcPr>
            <w:tcW w:w="5480" w:type="dxa"/>
            <w:vAlign w:val="bottom"/>
            <w:gridSpan w:val="9"/>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3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w:t>
              </w:r>
            </w:hyperlink>
          </w:p>
        </w:tc>
        <w:tc>
          <w:tcPr>
            <w:tcW w:w="4760" w:type="dxa"/>
            <w:vAlign w:val="bottom"/>
            <w:gridSpan w:val="8"/>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842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Loss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5</w:t>
              </w:r>
            </w:hyperlink>
          </w:p>
        </w:tc>
      </w:tr>
      <w:tr>
        <w:trPr>
          <w:trHeight w:val="250"/>
        </w:trPr>
        <w:tc>
          <w:tcPr>
            <w:tcW w:w="1480" w:type="dxa"/>
            <w:vAlign w:val="bottom"/>
          </w:tcPr>
          <w:p>
            <w:pPr>
              <w:spacing w:after="0"/>
              <w:rPr>
                <w:sz w:val="21"/>
                <w:szCs w:val="21"/>
                <w:color w:val="auto"/>
              </w:rPr>
            </w:pPr>
          </w:p>
        </w:tc>
        <w:tc>
          <w:tcPr>
            <w:tcW w:w="37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w:t>
              </w:r>
            </w:hyperlink>
          </w:p>
        </w:tc>
        <w:tc>
          <w:tcPr>
            <w:tcW w:w="660" w:type="dxa"/>
            <w:vAlign w:val="bottom"/>
            <w:tcBorders>
              <w:top w:val="single" w:sz="8" w:color="0000EE"/>
            </w:tcBorders>
            <w:gridSpan w:val="3"/>
          </w:tcPr>
          <w:p>
            <w:pPr>
              <w:spacing w:after="0"/>
              <w:rPr>
                <w:sz w:val="21"/>
                <w:szCs w:val="21"/>
                <w:color w:val="auto"/>
              </w:rPr>
            </w:pPr>
          </w:p>
        </w:tc>
        <w:tc>
          <w:tcPr>
            <w:tcW w:w="4040" w:type="dxa"/>
            <w:vAlign w:val="bottom"/>
            <w:gridSpan w:val="4"/>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40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w:t>
              </w:r>
            </w:hyperlink>
          </w:p>
        </w:tc>
        <w:tc>
          <w:tcPr>
            <w:tcW w:w="442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7</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8"/>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96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15</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4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Quantitative and Qualitative Disclosures About Market Risk</w:t>
              </w:r>
            </w:hyperlink>
          </w:p>
        </w:tc>
        <w:tc>
          <w:tcPr>
            <w:tcW w:w="2120" w:type="dxa"/>
            <w:vAlign w:val="bottom"/>
            <w:gridSpan w:val="4"/>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22</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40" w:type="dxa"/>
            <w:vAlign w:val="bottom"/>
            <w:tcBorders>
              <w:left w:val="single" w:sz="8" w:color="0000EE"/>
            </w:tcBorders>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Controls and Procedures</w:t>
              </w:r>
            </w:hyperlink>
          </w:p>
        </w:tc>
        <w:tc>
          <w:tcPr>
            <w:tcW w:w="40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22</w:t>
              </w:r>
            </w:hyperlink>
          </w:p>
        </w:tc>
      </w:tr>
      <w:tr>
        <w:trPr>
          <w:trHeight w:val="372"/>
        </w:trPr>
        <w:tc>
          <w:tcPr>
            <w:tcW w:w="14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11"/>
          </w:tcPr>
          <w:p>
            <w:pPr>
              <w:jc w:val="center"/>
              <w:ind w:right="2680"/>
              <w:spacing w:after="0"/>
              <w:rPr>
                <w:rFonts w:ascii="Times New Roman" w:cs="Times New Roman" w:eastAsia="Times New Roman" w:hAnsi="Times New Roman"/>
                <w:sz w:val="18"/>
                <w:szCs w:val="18"/>
                <w:b w:val="1"/>
                <w:bCs w:val="1"/>
                <w:color w:val="0000EE"/>
                <w:w w:val="98"/>
              </w:rPr>
            </w:pPr>
            <w:hyperlink w:anchor="page23">
              <w:r>
                <w:rPr>
                  <w:rFonts w:ascii="Times New Roman" w:cs="Times New Roman" w:eastAsia="Times New Roman" w:hAnsi="Times New Roman"/>
                  <w:sz w:val="18"/>
                  <w:szCs w:val="18"/>
                  <w:b w:val="1"/>
                  <w:bCs w:val="1"/>
                  <w:color w:val="0000EE"/>
                  <w:w w:val="98"/>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4"/>
          </w:tcPr>
          <w:p>
            <w:pPr>
              <w:spacing w:after="0"/>
              <w:rPr>
                <w:rFonts w:ascii="Times New Roman" w:cs="Times New Roman" w:eastAsia="Times New Roman" w:hAnsi="Times New Roman"/>
                <w:sz w:val="18"/>
                <w:szCs w:val="18"/>
                <w:color w:val="0000EE"/>
                <w:w w:val="95"/>
              </w:rPr>
            </w:pPr>
            <w:hyperlink w:anchor="page24">
              <w:r>
                <w:rPr>
                  <w:rFonts w:ascii="Times New Roman" w:cs="Times New Roman" w:eastAsia="Times New Roman" w:hAnsi="Times New Roman"/>
                  <w:sz w:val="18"/>
                  <w:szCs w:val="18"/>
                  <w:color w:val="0000EE"/>
                  <w:w w:val="95"/>
                </w:rPr>
                <w:t>Legal Proceedings</w:t>
              </w:r>
            </w:hyperlink>
          </w:p>
        </w:tc>
        <w:tc>
          <w:tcPr>
            <w:tcW w:w="1500" w:type="dxa"/>
            <w:vAlign w:val="bottom"/>
            <w:gridSpan w:val="5"/>
          </w:tcPr>
          <w:p>
            <w:pPr>
              <w:spacing w:after="0"/>
              <w:rPr>
                <w:sz w:val="24"/>
                <w:szCs w:val="24"/>
                <w:color w:val="auto"/>
              </w:rPr>
            </w:pPr>
          </w:p>
        </w:tc>
        <w:tc>
          <w:tcPr>
            <w:tcW w:w="2760" w:type="dxa"/>
            <w:vAlign w:val="bottom"/>
            <w:tcBorders>
              <w:top w:val="single" w:sz="8" w:color="0000EE"/>
            </w:tcBorders>
            <w:gridSpan w:val="7"/>
          </w:tcPr>
          <w:p>
            <w:pPr>
              <w:spacing w:after="0"/>
              <w:rPr>
                <w:sz w:val="24"/>
                <w:szCs w:val="24"/>
                <w:color w:val="auto"/>
              </w:rPr>
            </w:pPr>
          </w:p>
        </w:tc>
        <w:tc>
          <w:tcPr>
            <w:tcW w:w="284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24</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Risk Factors</w:t>
              </w:r>
            </w:hyperlink>
          </w:p>
        </w:tc>
        <w:tc>
          <w:tcPr>
            <w:tcW w:w="71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24</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420" w:type="dxa"/>
            <w:vAlign w:val="bottom"/>
            <w:gridSpan w:val="19"/>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Unregistered Sales of Equity Securities and Use of Proceeds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42</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Defaults Upon Senior Securities</w:t>
              </w:r>
            </w:hyperlink>
          </w:p>
        </w:tc>
        <w:tc>
          <w:tcPr>
            <w:tcW w:w="40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42</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610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Mine Safety Disclosures</w:t>
              </w:r>
            </w:hyperlink>
          </w:p>
        </w:tc>
        <w:tc>
          <w:tcPr>
            <w:tcW w:w="540" w:type="dxa"/>
            <w:vAlign w:val="bottom"/>
          </w:tcPr>
          <w:p>
            <w:pPr>
              <w:spacing w:after="0"/>
              <w:rPr>
                <w:sz w:val="21"/>
                <w:szCs w:val="21"/>
                <w:color w:val="auto"/>
              </w:rPr>
            </w:pPr>
          </w:p>
        </w:tc>
        <w:tc>
          <w:tcPr>
            <w:tcW w:w="610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42</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64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Other Information</w:t>
              </w:r>
            </w:hyperlink>
          </w:p>
        </w:tc>
        <w:tc>
          <w:tcPr>
            <w:tcW w:w="460" w:type="dxa"/>
            <w:vAlign w:val="bottom"/>
          </w:tcPr>
          <w:p>
            <w:pPr>
              <w:spacing w:after="0"/>
              <w:rPr>
                <w:sz w:val="21"/>
                <w:szCs w:val="21"/>
                <w:color w:val="auto"/>
              </w:rPr>
            </w:pPr>
          </w:p>
        </w:tc>
        <w:tc>
          <w:tcPr>
            <w:tcW w:w="664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42</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4"/>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Exhibits</w:t>
              </w:r>
            </w:hyperlink>
          </w:p>
        </w:tc>
        <w:tc>
          <w:tcPr>
            <w:tcW w:w="71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42</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2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1"/>
                <w:szCs w:val="21"/>
                <w:color w:val="auto"/>
              </w:rPr>
            </w:pPr>
          </w:p>
        </w:tc>
        <w:tc>
          <w:tcPr>
            <w:tcW w:w="700" w:type="dxa"/>
            <w:vAlign w:val="bottom"/>
            <w:gridSpan w:val="2"/>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Signature</w:t>
              </w:r>
            </w:hyperlink>
          </w:p>
        </w:tc>
        <w:tc>
          <w:tcPr>
            <w:tcW w:w="7720" w:type="dxa"/>
            <w:vAlign w:val="bottom"/>
            <w:gridSpan w:val="17"/>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43</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 w:type="dxa"/>
            <w:vAlign w:val="bottom"/>
          </w:tcPr>
          <w:p>
            <w:pPr>
              <w:spacing w:after="0"/>
              <w:rPr>
                <w:sz w:val="24"/>
                <w:szCs w:val="24"/>
                <w:color w:val="auto"/>
              </w:rPr>
            </w:pPr>
          </w:p>
        </w:tc>
        <w:tc>
          <w:tcPr>
            <w:tcW w:w="770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ENPHASE ENERGY, INC.</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40" w:type="dxa"/>
            <w:vAlign w:val="bottom"/>
          </w:tcPr>
          <w:p>
            <w:pPr>
              <w:spacing w:after="0"/>
              <w:rPr>
                <w:sz w:val="24"/>
                <w:szCs w:val="24"/>
                <w:color w:val="auto"/>
              </w:rPr>
            </w:pPr>
          </w:p>
        </w:tc>
        <w:tc>
          <w:tcPr>
            <w:tcW w:w="770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70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(In thousands, except par value)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770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40" w:type="dxa"/>
            <w:vAlign w:val="bottom"/>
            <w:tcBorders>
              <w:bottom w:val="single" w:sz="8" w:color="CCEEFF"/>
            </w:tcBorders>
          </w:tcPr>
          <w:p>
            <w:pPr>
              <w:spacing w:after="0"/>
              <w:rPr>
                <w:sz w:val="16"/>
                <w:szCs w:val="16"/>
                <w:color w:val="auto"/>
              </w:rPr>
            </w:pPr>
          </w:p>
        </w:tc>
        <w:tc>
          <w:tcPr>
            <w:tcW w:w="7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32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of $2,711 and $2,000</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32,084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16,580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3,655</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90,509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132,083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116,669</w:t>
            </w:r>
          </w:p>
        </w:tc>
        <w:tc>
          <w:tcPr>
            <w:tcW w:w="0" w:type="dxa"/>
            <w:vAlign w:val="bottom"/>
          </w:tcPr>
          <w:p>
            <w:pPr>
              <w:spacing w:after="0"/>
              <w:rPr>
                <w:sz w:val="1"/>
                <w:szCs w:val="1"/>
                <w:color w:val="auto"/>
              </w:rPr>
            </w:pPr>
          </w:p>
        </w:tc>
      </w:tr>
      <w:tr>
        <w:trPr>
          <w:trHeight w:val="67"/>
        </w:trPr>
        <w:tc>
          <w:tcPr>
            <w:tcW w:w="640" w:type="dxa"/>
            <w:vAlign w:val="bottom"/>
            <w:tcBorders>
              <w:bottom w:val="single" w:sz="8" w:color="CCEEFF"/>
            </w:tcBorders>
          </w:tcPr>
          <w:p>
            <w:pPr>
              <w:spacing w:after="0"/>
              <w:rPr>
                <w:sz w:val="5"/>
                <w:szCs w:val="5"/>
                <w:color w:val="auto"/>
              </w:rPr>
            </w:pPr>
          </w:p>
        </w:tc>
        <w:tc>
          <w:tcPr>
            <w:tcW w:w="7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5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7,363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25"/>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Warranty obligations, current portion (includes $508 and $0 measured at fair value at June 30, 2014 and</w:t>
            </w:r>
          </w:p>
        </w:tc>
        <w:tc>
          <w:tcPr>
            <w:tcW w:w="300" w:type="dxa"/>
            <w:vAlign w:val="bottom"/>
          </w:tcPr>
          <w:p>
            <w:pPr>
              <w:spacing w:after="0"/>
              <w:rPr>
                <w:sz w:val="19"/>
                <w:szCs w:val="19"/>
                <w:color w:val="auto"/>
              </w:rPr>
            </w:pPr>
          </w:p>
        </w:tc>
        <w:tc>
          <w:tcPr>
            <w:tcW w:w="1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8,477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4,942</w:t>
            </w:r>
          </w:p>
        </w:tc>
        <w:tc>
          <w:tcPr>
            <w:tcW w:w="0" w:type="dxa"/>
            <w:vAlign w:val="bottom"/>
          </w:tcPr>
          <w:p>
            <w:pPr>
              <w:spacing w:after="0"/>
              <w:rPr>
                <w:sz w:val="1"/>
                <w:szCs w:val="1"/>
                <w:color w:val="auto"/>
              </w:rPr>
            </w:pPr>
          </w:p>
        </w:tc>
      </w:tr>
      <w:tr>
        <w:trPr>
          <w:trHeight w:val="126"/>
        </w:trPr>
        <w:tc>
          <w:tcPr>
            <w:tcW w:w="8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December 31, 2013, respectively)</w:t>
            </w:r>
          </w:p>
        </w:tc>
        <w:tc>
          <w:tcPr>
            <w:tcW w:w="3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loans,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51,956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33,365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11,284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Warranty obligations, noncurrent (includes $1,298 and $0 measured at fair value at June 30, 2014 and</w:t>
            </w:r>
          </w:p>
        </w:tc>
        <w:tc>
          <w:tcPr>
            <w:tcW w:w="30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25,490</w:t>
            </w:r>
          </w:p>
        </w:tc>
        <w:tc>
          <w:tcPr>
            <w:tcW w:w="0" w:type="dxa"/>
            <w:vAlign w:val="bottom"/>
          </w:tcPr>
          <w:p>
            <w:pPr>
              <w:spacing w:after="0"/>
              <w:rPr>
                <w:sz w:val="1"/>
                <w:szCs w:val="1"/>
                <w:color w:val="auto"/>
              </w:rPr>
            </w:pPr>
          </w:p>
        </w:tc>
      </w:tr>
      <w:tr>
        <w:trPr>
          <w:trHeight w:val="126"/>
        </w:trPr>
        <w:tc>
          <w:tcPr>
            <w:tcW w:w="83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December 31, 2013, respectively)</w:t>
            </w:r>
          </w:p>
        </w:tc>
        <w:tc>
          <w:tcPr>
            <w:tcW w:w="30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340" w:type="dxa"/>
            <w:vAlign w:val="bottom"/>
            <w:tcBorders>
              <w:bottom w:val="single" w:sz="8" w:color="CCEEFF"/>
            </w:tcBorders>
            <w:gridSpan w:val="2"/>
            <w:vMerge w:val="continue"/>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loans, noncurrent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5,170</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94,929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76,463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$0.00001 par value, 10,000 shares authorized; none issued and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Common stock, $0.00001 par value, 100,000 shares authorized; 42,835 and 42,123 shares issued and</w:t>
            </w:r>
          </w:p>
        </w:tc>
        <w:tc>
          <w:tcPr>
            <w:tcW w:w="30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8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outstanding as of June 30, 2014 and December 31, 2013, respectively</w:t>
            </w:r>
          </w:p>
        </w:tc>
        <w:tc>
          <w:tcPr>
            <w:tcW w:w="3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192,916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37,154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40,206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132,083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116,669</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82,004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139,584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103,744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55,172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94,097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75,259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26,832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45,487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28,485</w:t>
            </w:r>
          </w:p>
        </w:tc>
      </w:tr>
      <w:tr>
        <w:trPr>
          <w:trHeight w:val="22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17,510</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10,493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19,321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14,215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7,679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14,205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11,962</w:t>
            </w: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29,320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53,760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43,687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(16,802)</w:t>
            </w: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in per share calculation, basic and diluted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42,648</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41,617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42,428</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41,384</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7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(3,031)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(3,025)</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(16,761)</w:t>
            </w:r>
          </w:p>
        </w:tc>
      </w:tr>
      <w:tr>
        <w:trPr>
          <w:trHeight w:val="27"/>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loss on disposal of assets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1,937</w:t>
            </w:r>
          </w:p>
        </w:tc>
      </w:tr>
      <w:tr>
        <w:trPr>
          <w:trHeight w:val="237"/>
        </w:trPr>
        <w:tc>
          <w:tcPr>
            <w:tcW w:w="8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Accounts payable, accrued compensation and 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r>
      <w:tr>
        <w:trPr>
          <w:trHeight w:val="237"/>
        </w:trPr>
        <w:tc>
          <w:tcPr>
            <w:tcW w:w="8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Warranty obligations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5,439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Deferred revenues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2,091</w:t>
            </w:r>
          </w:p>
        </w:tc>
      </w:tr>
      <w:tr>
        <w:trPr>
          <w:trHeight w:val="217"/>
        </w:trPr>
        <w:tc>
          <w:tcPr>
            <w:tcW w:w="88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4,134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Repayments of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Principal payments under capital leases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plans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1,534</w:t>
            </w:r>
          </w:p>
        </w:tc>
      </w:tr>
      <w:tr>
        <w:trPr>
          <w:trHeight w:val="217"/>
        </w:trPr>
        <w:tc>
          <w:tcPr>
            <w:tcW w:w="88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45,294</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and cash equivalents—End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37,621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33,976</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Supplemental disclosures </w:t>
            </w:r>
            <w:r>
              <w:rPr>
                <w:rFonts w:ascii="Times New Roman" w:cs="Times New Roman" w:eastAsia="Times New Roman" w:hAnsi="Times New Roman"/>
                <w:sz w:val="18"/>
                <w:szCs w:val="18"/>
                <w:color w:val="auto"/>
              </w:rPr>
              <w:t>of non-cash investing and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50"/>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7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Enphase Energy, Inc. (“Enphase” or the “Company”) designs, develops, and sells microinverter systems for the solar photovoltaic industry.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accounting principles generally accepted in the United States (“U.S. GAAP”). The condensed consolidated financial statements include the accounts of the Company and its wholly-owned subsidiaries. All intercompany balances and transactions have been eliminated in the consolidation.</w:t>
      </w:r>
    </w:p>
    <w:p>
      <w:pPr>
        <w:spacing w:after="0" w:line="122"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Certain reclassifications of prior year's balances have been made to conform to current year presentation, including separately presenting balances for “Warranty obligations” in current liabilities on the condensed consolidated balance sheet and under changes in operating assets and liabilities on the condensed consolidated statements of cash flow.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7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interim financial statements reflect all adjustments, consisting of normal recurring items, considered necessary to present fairly the Company's financial condition, results of operations, comprehensive loss and cash flows for the periods indicated. The results of operations for the three and six months ended June 30, 2014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2013.</w:t>
      </w:r>
    </w:p>
    <w:p>
      <w:pPr>
        <w:spacing w:after="0" w:line="13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Other than as described under “Fair Value Option for Microinverters Sold Since January 1, 2014” below, there have been no material changes in the Company's significant accounting policies since the date of the Company's Annual Report on Form 10-K for the year ended December 31, 2013. Reference is made to the disclosures therein for a summary of all of the Company’s significant accounting policies.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about future events, and apply judgments that affect the reported amounts of assets, liabilities, revenue, expenses and the related disclosures. Significant estimates and assumptions reflected in the financial statements include revenue recognition, inventory valuation and accrued warranty obligations. Actual results could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Microinverters Sold Since January 1, 2014</w:t>
      </w:r>
    </w:p>
    <w:p>
      <w:pPr>
        <w:spacing w:after="0" w:line="175"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The Company’s warranty obligations related to microinverters sold since January 1, 2014 provide the Company the right, but not the requirement, to assign its warranty obligations to a third-party. Under Accounting Standards Codification (“ASC”) 825—</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 See Note 4—Fair Value Measurements.</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121" w:right="29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46"/>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 Warranty obligations initially recorded at fair value at the time of sale will be subsequently re-measured to fair value at each reporting date. In addition, the fair value of the liability will be accreted over the corresponding term of the warranty of up to 25 years using the interest method. Any changes in fair value of the liability from period-to-period, including accretion expense, will be recognized in cost of revenues. As of June 30, 2014, warranty obligations associated with sales prior to December 31, 2013 were $31.0 million and warranty obligations associated with sales subsequent to December 31, 2013 were $1.9 million, of which $1.8 million were eligible for fair value accounting. The portion of warranty obligations arising from sales subsequent to December 31, 2013 that was not eligible for fair value accounting relates to sales of non-microinverter products. Periodic adjustments necessitated by actual experience of claims and any future changes in estimates to amounts not eligible for fair value accounting will continue to be accounted for on an undiscounted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Effective</w:t>
      </w:r>
    </w:p>
    <w:p>
      <w:pPr>
        <w:spacing w:after="0" w:line="173"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which will replace most existing revenue recognition guidance under U.S. GAAP. The updated standard is based on the principle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The updated standard becomes effective for the Company in the first quarter of 2017 and permits the use of either the retrospective or cumulative effect transition method. The Company is evaluating the potential impact of implementing this ASU on its consolidated financial statements and related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Inventory as of June 30, 2014 and December 31, 2013 consists of the following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1,428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15,152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15,724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16,580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WARRANTY OBLIGATIONS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warranty activities during the three and six months ended June 30, 2014 and 2013 were as follows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82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obligations,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30,432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21,338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Accruals for warranties issued during period</w:t>
            </w:r>
          </w:p>
        </w:tc>
        <w:tc>
          <w:tcPr>
            <w:tcW w:w="26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estimates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 due to accretion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obligations,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32,969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32,969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26,777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18,790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2014, the $33.0 million in warranty obligations included $1.8 million measured at fair value (see Note 4—Fair Value Measurements).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Estimates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The changes in estimates discussed below arose from new information available to management and subsequent developments, and accordingly, from better insight and improved judgment.</w:t>
      </w:r>
    </w:p>
    <w:p>
      <w:pPr>
        <w:spacing w:after="0" w:line="126"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2014, incremental charges from changes in estimates comprised of $2.9 million and $3.1 million, respectively, to reflect higher estimated failure rates and $0.1 million and $1.3 million, respectively, to reflect higher estimated replacement costs. These incremental charges were primarily related to the Company's second generation microinverter.</w:t>
      </w:r>
    </w:p>
    <w:p>
      <w:pPr>
        <w:spacing w:after="0" w:line="12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2013, incremental charges from changes in estimates comprised of $7.2 million and $8.6 million, respectively, to reflect higher estimated failure rates offset by $0.3 million and $0.2 million, respectively, for lower estimated replacement costs. These net incremental charges were primarily related to the Company's second generation microinverter. Other adjustments relate to all product generations and included a $0.5 million incremental charge for higher estimated replacement costs in the six months ended June 30, 2013. In addition, for the three and six months ended June 30, 2013, the Company updated its projected warranty claim rates for its covered installed base, which reduced warranty expense by $4.2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26"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1" w:lineRule="exact"/>
        <w:rPr>
          <w:sz w:val="20"/>
          <w:szCs w:val="20"/>
          <w:color w:val="auto"/>
        </w:rPr>
      </w:pPr>
    </w:p>
    <w:p>
      <w:pPr>
        <w:ind w:left="980" w:right="300" w:hanging="486"/>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41"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one or more quoted prices in markets that are not active or for which all significant inputs are observable, either directly or indirectly.</w:t>
      </w:r>
    </w:p>
    <w:p>
      <w:pPr>
        <w:spacing w:after="0" w:line="2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75" w:lineRule="exact"/>
        <w:rPr>
          <w:sz w:val="20"/>
          <w:szCs w:val="20"/>
          <w:color w:val="auto"/>
        </w:rPr>
      </w:pPr>
    </w:p>
    <w:p>
      <w:pPr>
        <w:ind w:right="60" w:firstLine="446"/>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cash and cash equivalents, accounts receivable, accounts payable and accrued liabilities approximate fair value because of the short maturity of those instruments. The carrying amounts of the Company's term loans approximate fair value because they are variable interest rate 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75" w:lineRule="exact"/>
        <w:rPr>
          <w:sz w:val="20"/>
          <w:szCs w:val="20"/>
          <w:color w:val="auto"/>
        </w:rPr>
      </w:pPr>
    </w:p>
    <w:p>
      <w:pPr>
        <w:ind w:right="380" w:firstLine="446"/>
        <w:spacing w:after="0" w:line="282" w:lineRule="auto"/>
        <w:rPr>
          <w:sz w:val="20"/>
          <w:szCs w:val="20"/>
          <w:color w:val="auto"/>
        </w:rPr>
      </w:pPr>
      <w:r>
        <w:rPr>
          <w:rFonts w:ascii="Times New Roman" w:cs="Times New Roman" w:eastAsia="Times New Roman" w:hAnsi="Times New Roman"/>
          <w:sz w:val="18"/>
          <w:szCs w:val="18"/>
          <w:color w:val="auto"/>
        </w:rPr>
        <w:t>The Company utilizes foreign currency forward contracts from time to time to reduce the impact of foreign currency fluctuations arising from both sales and purchases denominated in Euros and the British Pound Sterling.</w:t>
      </w:r>
    </w:p>
    <w:p>
      <w:pPr>
        <w:spacing w:after="0" w:line="108" w:lineRule="exact"/>
        <w:rPr>
          <w:sz w:val="20"/>
          <w:szCs w:val="20"/>
          <w:color w:val="auto"/>
        </w:rPr>
      </w:pPr>
    </w:p>
    <w:p>
      <w:pPr>
        <w:ind w:right="100" w:firstLine="446"/>
        <w:spacing w:after="0" w:line="282" w:lineRule="auto"/>
        <w:rPr>
          <w:sz w:val="20"/>
          <w:szCs w:val="20"/>
          <w:color w:val="auto"/>
        </w:rPr>
      </w:pPr>
      <w:r>
        <w:rPr>
          <w:rFonts w:ascii="Times New Roman" w:cs="Times New Roman" w:eastAsia="Times New Roman" w:hAnsi="Times New Roman"/>
          <w:sz w:val="18"/>
          <w:szCs w:val="18"/>
          <w:color w:val="auto"/>
        </w:rPr>
        <w:t>The Company did not have any foreign currency forward contracts outstanding at June 30, 2014. The following table presents the Company’s financial instruments that were measured at fair value on a recurring basis by level within the fair value hierarchy at December 31, 2013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95"/>
        </w:trPr>
        <w:tc>
          <w:tcPr>
            <w:tcW w:w="448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 (Level 2)</w:t>
            </w:r>
          </w:p>
        </w:tc>
        <w:tc>
          <w:tcPr>
            <w:tcW w:w="46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4"/>
                <w:szCs w:val="24"/>
                <w:color w:val="auto"/>
              </w:rPr>
            </w:pPr>
          </w:p>
        </w:tc>
        <w:tc>
          <w:tcPr>
            <w:tcW w:w="432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60" w:firstLine="44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2014 and 2013, the Company recorded net gains related to foreign currency forward contracts of $50,000 and $56,000, respectively, in other income (expense), net.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Option for Warranty Obligations Related to Microinverters Sold Since January 1, 2014</w:t>
      </w:r>
    </w:p>
    <w:p>
      <w:pPr>
        <w:spacing w:after="0" w:line="175" w:lineRule="exact"/>
        <w:rPr>
          <w:sz w:val="20"/>
          <w:szCs w:val="20"/>
          <w:color w:val="auto"/>
        </w:rPr>
      </w:pPr>
    </w:p>
    <w:p>
      <w:pPr>
        <w:ind w:right="60" w:firstLine="446"/>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80" w:lineRule="exact"/>
        <w:rPr>
          <w:sz w:val="20"/>
          <w:szCs w:val="20"/>
          <w:color w:val="auto"/>
        </w:rPr>
      </w:pPr>
    </w:p>
    <w:p>
      <w:pPr>
        <w:ind w:right="44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warranty obligations measured at fair value on a recurring basis using significant unobservable inputs (Level 3) for the six months ended June 30, 2014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3"/>
                <w:szCs w:val="13"/>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Warranty Obligations</w:t>
            </w:r>
          </w:p>
        </w:tc>
      </w:tr>
      <w:tr>
        <w:trPr>
          <w:trHeight w:val="149"/>
        </w:trPr>
        <w:tc>
          <w:tcPr>
            <w:tcW w:w="9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Measured at Fair</w:t>
            </w:r>
          </w:p>
        </w:tc>
      </w:tr>
      <w:tr>
        <w:trPr>
          <w:trHeight w:val="195"/>
        </w:trPr>
        <w:tc>
          <w:tcPr>
            <w:tcW w:w="9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for warranties issued during period</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1,638</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estimates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due to accretion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Balance—June 30,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1,806</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Information about Level 3 Fair Value Measurements</w:t>
      </w:r>
    </w:p>
    <w:p>
      <w:pPr>
        <w:spacing w:after="0" w:line="229" w:lineRule="exact"/>
        <w:rPr>
          <w:sz w:val="20"/>
          <w:szCs w:val="20"/>
          <w:color w:val="auto"/>
        </w:rPr>
      </w:pPr>
    </w:p>
    <w:p>
      <w:pPr>
        <w:ind w:right="180" w:firstLine="189"/>
        <w:spacing w:after="0" w:line="282" w:lineRule="auto"/>
        <w:rPr>
          <w:sz w:val="20"/>
          <w:szCs w:val="20"/>
          <w:color w:val="auto"/>
        </w:rPr>
      </w:pPr>
      <w:r>
        <w:rPr>
          <w:rFonts w:ascii="Times New Roman" w:cs="Times New Roman" w:eastAsia="Times New Roman" w:hAnsi="Times New Roman"/>
          <w:sz w:val="18"/>
          <w:szCs w:val="18"/>
          <w:color w:val="auto"/>
        </w:rPr>
        <w:t>As of June 30, 2014, the significant unobservable inputs used in the fair value measurement of the Company's warranty obligations designated as Level 3 are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Item Measured at Fair Value</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Significant Unobservable Input</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Used</w:t>
            </w:r>
          </w:p>
        </w:tc>
        <w:tc>
          <w:tcPr>
            <w:tcW w:w="0" w:type="dxa"/>
            <w:vAlign w:val="bottom"/>
          </w:tcPr>
          <w:p>
            <w:pPr>
              <w:spacing w:after="0"/>
              <w:rPr>
                <w:sz w:val="1"/>
                <w:szCs w:val="1"/>
                <w:color w:val="auto"/>
              </w:rPr>
            </w:pPr>
          </w:p>
        </w:tc>
      </w:tr>
      <w:tr>
        <w:trPr>
          <w:trHeight w:val="214"/>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Warranty obligations for</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Profit element and risk premium</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microinverters sold since January 1,</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Discounted cash flows</w:t>
            </w:r>
          </w:p>
        </w:tc>
        <w:tc>
          <w:tcPr>
            <w:tcW w:w="120" w:type="dxa"/>
            <w:vAlign w:val="bottom"/>
            <w:shd w:val="clear" w:color="auto" w:fill="CCEEFF"/>
          </w:tcPr>
          <w:p>
            <w:pPr>
              <w:spacing w:after="0"/>
              <w:rPr>
                <w:sz w:val="17"/>
                <w:szCs w:val="17"/>
                <w:color w:val="auto"/>
              </w:rPr>
            </w:pPr>
          </w:p>
        </w:tc>
        <w:tc>
          <w:tcPr>
            <w:tcW w:w="45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Credit-adjusted risk-free rate (discount rate)</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40" w:type="dxa"/>
            <w:vAlign w:val="bottom"/>
            <w:gridSpan w:val="2"/>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189"/>
        <w:spacing w:after="0" w:line="282" w:lineRule="auto"/>
        <w:rPr>
          <w:sz w:val="20"/>
          <w:szCs w:val="20"/>
          <w:color w:val="auto"/>
        </w:rPr>
      </w:pPr>
      <w:r>
        <w:rPr>
          <w:rFonts w:ascii="Times New Roman" w:cs="Times New Roman" w:eastAsia="Times New Roman" w:hAnsi="Times New Roman"/>
          <w:sz w:val="18"/>
          <w:szCs w:val="18"/>
          <w:color w:val="auto"/>
        </w:rPr>
        <w:t>An increase (decrease) in the profit element and risk premium input in isolation would result in a higher (lower) fair value measurement of the liability. An increase (decrease) in the discount rate in isolation would result in a substantially lower (higher) fair value measurement of the liability.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TERM LOANS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long-term debt at June 30, 2014 and December 31, 2013 consists of the following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7,400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 financing facility, net of unamortized discount of $0 and $31, respectively</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1,277</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8,677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loans, noncurrent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5,170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40" w:firstLine="432"/>
        <w:spacing w:after="0" w:line="272" w:lineRule="auto"/>
        <w:rPr>
          <w:sz w:val="20"/>
          <w:szCs w:val="20"/>
          <w:color w:val="auto"/>
        </w:rPr>
      </w:pPr>
      <w:r>
        <w:rPr>
          <w:rFonts w:ascii="Times New Roman" w:cs="Times New Roman" w:eastAsia="Times New Roman" w:hAnsi="Times New Roman"/>
          <w:sz w:val="17"/>
          <w:szCs w:val="17"/>
          <w:color w:val="auto"/>
        </w:rPr>
        <w:t>During the six months ended June 30, 2014, the Company was a party to three debt agreements: (i) a $50.0 million revolving credit facility (the "Revolver") with Wells Fargo Bank, N.A., (ii) a facility with Hercules Technology Growth Capital, Inc. (“Hercules Facility”) consisting of an initial draw in the amount of $7.4 million under the facility and a commitment to provide an incremental line of credit of up to $15.6 million through March 31, 2014, and</w:t>
      </w:r>
    </w:p>
    <w:p>
      <w:pPr>
        <w:spacing w:after="0" w:line="2" w:lineRule="exact"/>
        <w:rPr>
          <w:sz w:val="20"/>
          <w:szCs w:val="20"/>
          <w:color w:val="auto"/>
        </w:rPr>
      </w:pPr>
    </w:p>
    <w:p>
      <w:pPr>
        <w:ind w:right="160" w:firstLine="8"/>
        <w:spacing w:after="0" w:line="26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equipment financing facility, also with Hercules. Each of these debt agreements is described in greater detail in the consolidated financial statements and related notes thereto included in the Company's Annual Report on Form 10-K for the year ended December 31, 2013.</w:t>
      </w:r>
    </w:p>
    <w:p>
      <w:pPr>
        <w:spacing w:after="0" w:line="12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On February 14, 2014, the Company entered into an amendment to the Revolver which extended the maturity date from November 7, 2015 to November 7, 2016. In addition, the amendment lowered the minimum liquidity covenant in undrawn availability from $8.0 million to $5.0 million in cash while maintaining at least $15.0 million of liquidity (defined as the sum of cash and the borrowing base) at all times. To date, the Company has not drawn on the Revolver.</w:t>
      </w:r>
    </w:p>
    <w:p>
      <w:pPr>
        <w:spacing w:after="0" w:line="126"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On March 31, 2014, the undrawn $15.6 million incremental line of credit under the Hercules Facility expired in accordance with its terms as the Company elected not to renew this incremental line of credit.</w:t>
      </w:r>
    </w:p>
    <w:p>
      <w:pPr>
        <w:spacing w:after="0" w:line="108" w:lineRule="exact"/>
        <w:rPr>
          <w:sz w:val="20"/>
          <w:szCs w:val="20"/>
          <w:color w:val="auto"/>
        </w:rPr>
      </w:pPr>
    </w:p>
    <w:p>
      <w:pPr>
        <w:ind w:right="820" w:firstLine="432"/>
        <w:spacing w:after="0" w:line="282" w:lineRule="auto"/>
        <w:rPr>
          <w:sz w:val="20"/>
          <w:szCs w:val="20"/>
          <w:color w:val="auto"/>
        </w:rPr>
      </w:pPr>
      <w:r>
        <w:rPr>
          <w:rFonts w:ascii="Times New Roman" w:cs="Times New Roman" w:eastAsia="Times New Roman" w:hAnsi="Times New Roman"/>
          <w:sz w:val="18"/>
          <w:szCs w:val="18"/>
          <w:color w:val="auto"/>
        </w:rPr>
        <w:t>On June 1, 2014, the $5.0 million equipment financing facility with Hercules expired in accordance with its terms and all remaining amounts outstanding were repaid in full.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71" w:lineRule="exact"/>
        <w:rPr>
          <w:sz w:val="20"/>
          <w:szCs w:val="20"/>
          <w:color w:val="auto"/>
        </w:rPr>
      </w:pPr>
    </w:p>
    <w:p>
      <w:pPr>
        <w:ind w:right="400" w:firstLine="446"/>
        <w:spacing w:after="0" w:line="268" w:lineRule="auto"/>
        <w:rPr>
          <w:sz w:val="20"/>
          <w:szCs w:val="20"/>
          <w:color w:val="auto"/>
        </w:rPr>
      </w:pPr>
      <w:r>
        <w:rPr>
          <w:rFonts w:ascii="Times New Roman" w:cs="Times New Roman" w:eastAsia="Times New Roman" w:hAnsi="Times New Roman"/>
          <w:sz w:val="18"/>
          <w:szCs w:val="18"/>
          <w:b w:val="1"/>
          <w:bCs w:val="1"/>
          <w:color w:val="auto"/>
        </w:rPr>
        <w:t>Contingencies</w:t>
      </w:r>
      <w:r>
        <w:rPr>
          <w:rFonts w:ascii="Times New Roman" w:cs="Times New Roman" w:eastAsia="Times New Roman" w:hAnsi="Times New Roman"/>
          <w:sz w:val="18"/>
          <w:szCs w:val="18"/>
          <w:color w:val="auto"/>
        </w:rPr>
        <w:t>—The Company is not currently involved in any material legal proceedings. The Company may become involved in various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and claims that arise 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75"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Company has adopted certain equity incentive and stock purchase plans as described in the consolidated financial statements and related notes included in the Company’s Annual Report on Form 10-K for the year ended December 31, 2013.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Activity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six months ended June 30, 2014 (in thousands, except per share data):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57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8,509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5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5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2014</w:t>
            </w:r>
          </w:p>
        </w:tc>
        <w:tc>
          <w:tcPr>
            <w:tcW w:w="57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8,459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The intrinsic value of options exercised in the six months ended June 30, 2014 was $2.1 million. At June 30, 2014, the intrinsic value of options outstanding was $37.8 million based on the closing share price of the Company's stock as of June 30, 2014.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restricted stock unit activity for the six months ended June 30, 2014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2014</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units that vested in the six months ended June 30, 2014 was $0.5 million. At June 30, 2014, the aggregate intrinsic value of restricted stock units outstanding was $12.8 million based on the closing share price of the Company's stock as of June 30, 2014.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Compensation cost for all stock-based awards expected to vest is measured at fair value on the date of grant and recognized ratably over the requisite service period. The following table summarizes the components of total stock-based compensation expense included </w:t>
      </w:r>
      <w:r>
        <w:rPr>
          <w:rFonts w:ascii="Times New Roman" w:cs="Times New Roman" w:eastAsia="Times New Roman" w:hAnsi="Times New Roman"/>
          <w:sz w:val="18"/>
          <w:szCs w:val="18"/>
          <w:color w:val="010202"/>
        </w:rPr>
        <w:t>in the condensed consolidated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202"/>
        </w:rPr>
        <w:t xml:space="preserve">of operations for the periods presented (in </w:t>
      </w:r>
      <w:r>
        <w:rPr>
          <w:rFonts w:ascii="Times New Roman" w:cs="Times New Roman" w:eastAsia="Times New Roman" w:hAnsi="Times New Roman"/>
          <w:sz w:val="18"/>
          <w:szCs w:val="18"/>
          <w:color w:val="000000"/>
        </w:rPr>
        <w:t>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775</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associated with each type of award for the periods presented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21" w:lineRule="exact"/>
        <w:rPr>
          <w:sz w:val="20"/>
          <w:szCs w:val="20"/>
          <w:color w:val="auto"/>
        </w:rPr>
      </w:pPr>
    </w:p>
    <w:p>
      <w:pPr>
        <w:ind w:left="80" w:right="80" w:firstLine="378"/>
        <w:spacing w:after="0" w:line="282" w:lineRule="auto"/>
        <w:rPr>
          <w:sz w:val="20"/>
          <w:szCs w:val="20"/>
          <w:color w:val="auto"/>
        </w:rPr>
      </w:pPr>
      <w:r>
        <w:rPr>
          <w:rFonts w:ascii="Times New Roman" w:cs="Times New Roman" w:eastAsia="Times New Roman" w:hAnsi="Times New Roman"/>
          <w:sz w:val="18"/>
          <w:szCs w:val="18"/>
          <w:color w:val="010202"/>
        </w:rPr>
        <w:t>The fair value of option awards was estimated on the date of the grant using the Black-Scholes option valuation pricing model with the following input assumptions:</w:t>
      </w:r>
    </w:p>
    <w:p>
      <w:pPr>
        <w:spacing w:after="0" w:line="106" w:lineRule="exact"/>
        <w:rPr>
          <w:sz w:val="20"/>
          <w:szCs w:val="20"/>
          <w:color w:val="auto"/>
        </w:rPr>
      </w:pPr>
    </w:p>
    <w:p>
      <w:pPr>
        <w:ind w:left="880" w:hanging="318"/>
        <w:spacing w:after="0" w:line="290" w:lineRule="auto"/>
        <w:tabs>
          <w:tab w:leader="none" w:pos="880" w:val="left"/>
        </w:tabs>
        <w:numPr>
          <w:ilvl w:val="0"/>
          <w:numId w:val="5"/>
        </w:numPr>
        <w:rPr>
          <w:rFonts w:ascii="Times New Roman" w:cs="Times New Roman" w:eastAsia="Times New Roman" w:hAnsi="Times New Roman"/>
          <w:sz w:val="17"/>
          <w:szCs w:val="17"/>
          <w:i w:val="1"/>
          <w:iCs w:val="1"/>
          <w:color w:val="010202"/>
        </w:rPr>
      </w:pPr>
      <w:r>
        <w:rPr>
          <w:rFonts w:ascii="Times New Roman" w:cs="Times New Roman" w:eastAsia="Times New Roman" w:hAnsi="Times New Roman"/>
          <w:sz w:val="17"/>
          <w:szCs w:val="17"/>
          <w:i w:val="1"/>
          <w:iCs w:val="1"/>
          <w:color w:val="010202"/>
        </w:rPr>
        <w:t>Expected term</w:t>
      </w:r>
      <w:r>
        <w:rPr>
          <w:rFonts w:ascii="Times New Roman" w:cs="Times New Roman" w:eastAsia="Times New Roman" w:hAnsi="Times New Roman"/>
          <w:sz w:val="17"/>
          <w:szCs w:val="17"/>
          <w:color w:val="010202"/>
        </w:rPr>
        <w:t>—</w:t>
      </w:r>
      <w:r>
        <w:rPr>
          <w:rFonts w:ascii="Times New Roman" w:cs="Times New Roman" w:eastAsia="Times New Roman" w:hAnsi="Times New Roman"/>
          <w:sz w:val="17"/>
          <w:szCs w:val="17"/>
          <w:color w:val="000000"/>
        </w:rPr>
        <w:t>The expected term of the option awards represents the period of time between the grant date of the option awards and the date the</w:t>
      </w:r>
      <w:r>
        <w:rPr>
          <w:rFonts w:ascii="Times New Roman" w:cs="Times New Roman" w:eastAsia="Times New Roman" w:hAnsi="Times New Roman"/>
          <w:sz w:val="17"/>
          <w:szCs w:val="17"/>
          <w:i w:val="1"/>
          <w:iCs w:val="1"/>
          <w:color w:val="010202"/>
        </w:rPr>
        <w:t xml:space="preserve"> </w:t>
      </w:r>
      <w:r>
        <w:rPr>
          <w:rFonts w:ascii="Times New Roman" w:cs="Times New Roman" w:eastAsia="Times New Roman" w:hAnsi="Times New Roman"/>
          <w:sz w:val="17"/>
          <w:szCs w:val="17"/>
          <w:color w:val="000000"/>
        </w:rPr>
        <w:t>option awards are either exercised, converted or canceled, including an estimate for those option awards still outstanding. The Company used the simplified method, as permitted by the SEC for companies with a limited history of stock option exercise activity, to determine the expected term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its option grants.</w:t>
      </w:r>
    </w:p>
    <w:p>
      <w:pPr>
        <w:spacing w:after="0" w:line="183" w:lineRule="exact"/>
        <w:rPr>
          <w:sz w:val="20"/>
          <w:szCs w:val="20"/>
          <w:color w:val="auto"/>
        </w:rPr>
      </w:pPr>
    </w:p>
    <w:p>
      <w:pPr>
        <w:ind w:left="880" w:right="80" w:hanging="318"/>
        <w:spacing w:after="0" w:line="257" w:lineRule="auto"/>
        <w:tabs>
          <w:tab w:leader="none" w:pos="880" w:val="left"/>
        </w:tabs>
        <w:numPr>
          <w:ilvl w:val="0"/>
          <w:numId w:val="6"/>
        </w:numPr>
        <w:rPr>
          <w:rFonts w:ascii="Times New Roman" w:cs="Times New Roman" w:eastAsia="Times New Roman" w:hAnsi="Times New Roman"/>
          <w:sz w:val="18"/>
          <w:szCs w:val="18"/>
          <w:color w:val="010202"/>
        </w:rPr>
      </w:pPr>
      <w:r>
        <w:rPr>
          <w:rFonts w:ascii="Times New Roman" w:cs="Times New Roman" w:eastAsia="Times New Roman" w:hAnsi="Times New Roman"/>
          <w:sz w:val="18"/>
          <w:szCs w:val="18"/>
          <w:i w:val="1"/>
          <w:iCs w:val="1"/>
          <w:color w:val="010202"/>
        </w:rPr>
        <w:t>Expected volatility</w:t>
      </w:r>
      <w:r>
        <w:rPr>
          <w:rFonts w:ascii="Times New Roman" w:cs="Times New Roman" w:eastAsia="Times New Roman" w:hAnsi="Times New Roman"/>
          <w:sz w:val="18"/>
          <w:szCs w:val="18"/>
          <w:color w:val="010202"/>
        </w:rPr>
        <w:t>—</w:t>
      </w:r>
      <w:r>
        <w:rPr>
          <w:rFonts w:ascii="Times New Roman" w:cs="Times New Roman" w:eastAsia="Times New Roman" w:hAnsi="Times New Roman"/>
          <w:sz w:val="18"/>
          <w:szCs w:val="18"/>
          <w:color w:val="000000"/>
        </w:rPr>
        <w:t>The expected stock price volatility for option awards granted prior to March 31, 2014 was determined based on an average</w:t>
      </w:r>
      <w:r>
        <w:rPr>
          <w:rFonts w:ascii="Times New Roman" w:cs="Times New Roman" w:eastAsia="Times New Roman" w:hAnsi="Times New Roman"/>
          <w:sz w:val="18"/>
          <w:szCs w:val="18"/>
          <w:i w:val="1"/>
          <w:iCs w:val="1"/>
          <w:color w:val="010202"/>
        </w:rPr>
        <w:t xml:space="preserve"> </w:t>
      </w:r>
      <w:r>
        <w:rPr>
          <w:rFonts w:ascii="Times New Roman" w:cs="Times New Roman" w:eastAsia="Times New Roman" w:hAnsi="Times New Roman"/>
          <w:sz w:val="18"/>
          <w:szCs w:val="18"/>
          <w:color w:val="000000"/>
        </w:rPr>
        <w:t>of the historical volatilities of the common stock of several peer companies with characteristics similar to those of the Company. For option awards granted after March 31, 2014, the Company used a blended volatility estimate consisting of its own historical share price volatility (as the Company had at least two years of historical stock price data) augmented with historical volatility of peer companies for periods preceding the Company's initial public offering such that the time period over which historical volatility data used was at least equal to the expected term of the option award.</w:t>
      </w:r>
    </w:p>
    <w:p>
      <w:pPr>
        <w:spacing w:after="0" w:line="128" w:lineRule="exact"/>
        <w:rPr>
          <w:rFonts w:ascii="Times New Roman" w:cs="Times New Roman" w:eastAsia="Times New Roman" w:hAnsi="Times New Roman"/>
          <w:sz w:val="18"/>
          <w:szCs w:val="18"/>
          <w:color w:val="010202"/>
        </w:rPr>
      </w:pPr>
    </w:p>
    <w:p>
      <w:pPr>
        <w:ind w:left="880" w:hanging="318"/>
        <w:spacing w:after="0" w:line="284" w:lineRule="auto"/>
        <w:tabs>
          <w:tab w:leader="none" w:pos="880" w:val="left"/>
        </w:tabs>
        <w:numPr>
          <w:ilvl w:val="0"/>
          <w:numId w:val="6"/>
        </w:numPr>
        <w:rPr>
          <w:rFonts w:ascii="Times New Roman" w:cs="Times New Roman" w:eastAsia="Times New Roman" w:hAnsi="Times New Roman"/>
          <w:sz w:val="18"/>
          <w:szCs w:val="18"/>
          <w:i w:val="1"/>
          <w:iCs w:val="1"/>
          <w:color w:val="010202"/>
        </w:rPr>
      </w:pPr>
      <w:r>
        <w:rPr>
          <w:rFonts w:ascii="Times New Roman" w:cs="Times New Roman" w:eastAsia="Times New Roman" w:hAnsi="Times New Roman"/>
          <w:sz w:val="18"/>
          <w:szCs w:val="18"/>
          <w:i w:val="1"/>
          <w:iCs w:val="1"/>
          <w:color w:val="010202"/>
        </w:rPr>
        <w:t>Risk-free interest rate</w:t>
      </w:r>
      <w:r>
        <w:rPr>
          <w:rFonts w:ascii="Times New Roman" w:cs="Times New Roman" w:eastAsia="Times New Roman" w:hAnsi="Times New Roman"/>
          <w:sz w:val="18"/>
          <w:szCs w:val="18"/>
          <w:color w:val="010202"/>
        </w:rPr>
        <w:t>—The risk-free interest rate was based on the U.S. Treasury yield curve in effect at the time of grant and with a maturity that</w:t>
      </w:r>
      <w:r>
        <w:rPr>
          <w:rFonts w:ascii="Times New Roman" w:cs="Times New Roman" w:eastAsia="Times New Roman" w:hAnsi="Times New Roman"/>
          <w:sz w:val="18"/>
          <w:szCs w:val="18"/>
          <w:i w:val="1"/>
          <w:iCs w:val="1"/>
          <w:color w:val="010202"/>
        </w:rPr>
        <w:t xml:space="preserve"> </w:t>
      </w:r>
      <w:r>
        <w:rPr>
          <w:rFonts w:ascii="Times New Roman" w:cs="Times New Roman" w:eastAsia="Times New Roman" w:hAnsi="Times New Roman"/>
          <w:sz w:val="18"/>
          <w:szCs w:val="18"/>
          <w:color w:val="010202"/>
        </w:rPr>
        <w:t>approximated the Company's expected term.</w:t>
      </w:r>
    </w:p>
    <w:p>
      <w:pPr>
        <w:spacing w:after="0" w:line="104" w:lineRule="exact"/>
        <w:rPr>
          <w:rFonts w:ascii="Times New Roman" w:cs="Times New Roman" w:eastAsia="Times New Roman" w:hAnsi="Times New Roman"/>
          <w:sz w:val="18"/>
          <w:szCs w:val="18"/>
          <w:i w:val="1"/>
          <w:iCs w:val="1"/>
          <w:color w:val="010202"/>
        </w:rPr>
      </w:pPr>
    </w:p>
    <w:p>
      <w:pPr>
        <w:jc w:val="both"/>
        <w:ind w:left="440" w:right="280" w:firstLine="122"/>
        <w:spacing w:after="0" w:line="514" w:lineRule="auto"/>
        <w:tabs>
          <w:tab w:leader="none" w:pos="872" w:val="left"/>
        </w:tabs>
        <w:numPr>
          <w:ilvl w:val="0"/>
          <w:numId w:val="6"/>
        </w:numPr>
        <w:rPr>
          <w:rFonts w:ascii="Times New Roman" w:cs="Times New Roman" w:eastAsia="Times New Roman" w:hAnsi="Times New Roman"/>
          <w:sz w:val="17"/>
          <w:szCs w:val="17"/>
          <w:i w:val="1"/>
          <w:iCs w:val="1"/>
          <w:color w:val="010202"/>
        </w:rPr>
      </w:pPr>
      <w:r>
        <w:rPr>
          <w:rFonts w:ascii="Times New Roman" w:cs="Times New Roman" w:eastAsia="Times New Roman" w:hAnsi="Times New Roman"/>
          <w:sz w:val="17"/>
          <w:szCs w:val="17"/>
          <w:i w:val="1"/>
          <w:iCs w:val="1"/>
          <w:color w:val="010202"/>
        </w:rPr>
        <w:t>Dividend yield</w:t>
      </w:r>
      <w:r>
        <w:rPr>
          <w:rFonts w:ascii="Times New Roman" w:cs="Times New Roman" w:eastAsia="Times New Roman" w:hAnsi="Times New Roman"/>
          <w:sz w:val="17"/>
          <w:szCs w:val="17"/>
          <w:color w:val="010202"/>
        </w:rPr>
        <w:t>—The dividend yield was based on the Company's dividend history and the anticipated dividend payout over its expected term.</w:t>
      </w:r>
      <w:r>
        <w:rPr>
          <w:rFonts w:ascii="Times New Roman" w:cs="Times New Roman" w:eastAsia="Times New Roman" w:hAnsi="Times New Roman"/>
          <w:sz w:val="17"/>
          <w:szCs w:val="17"/>
          <w:i w:val="1"/>
          <w:iCs w:val="1"/>
          <w:color w:val="010202"/>
        </w:rPr>
        <w:t xml:space="preserve"> </w:t>
      </w:r>
      <w:r>
        <w:rPr>
          <w:rFonts w:ascii="Times New Roman" w:cs="Times New Roman" w:eastAsia="Times New Roman" w:hAnsi="Times New Roman"/>
          <w:sz w:val="17"/>
          <w:szCs w:val="17"/>
          <w:color w:val="000000"/>
        </w:rPr>
        <w:t>The following table presents the weighted-average assumptions used to estimate the fair values of the stock options granted in the periods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4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 risk-free rate of return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3.59</w:t>
            </w:r>
          </w:p>
        </w:tc>
      </w:tr>
      <w:tr>
        <w:trPr>
          <w:trHeight w:val="27"/>
        </w:trPr>
        <w:tc>
          <w:tcPr>
            <w:tcW w:w="6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restricted stock units granted was determined based on the price of the Company's common stock on the date of grant.</w:t>
      </w:r>
    </w:p>
    <w:p>
      <w:pPr>
        <w:spacing w:after="0" w:line="171"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As of June 30, 2014, there was approximately $19.7 million of total unrecognized compensation cost related to unvested equity awards expected to be recognized over a weighted-average period of 2.9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5"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No provision for U.S. federal or state income taxes has been made due to cumulative losses since the commencement of operations. The Company had a provision for income taxes of $115,000 and $124,000 for the three months ended June 30, 2014 and 2013, respectively, and $224,000 and $306,000 for the six months ended June 30, 2014 and 2013, respectively. The provision relates to the Company's subsidiaries located outside of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CONCENTRATION OF CREDIT RISK AND MAJOR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Concentration</w:t>
      </w:r>
    </w:p>
    <w:p>
      <w:pPr>
        <w:spacing w:after="0" w:line="1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Two customers represented approximately 30% and 12% of total net revenues for the three months ended June 30, 2014, and 27% and 14% of total net revenues for the six months ended June 30, 2014. The same two customers represented approximately 15% and 11% of total net revenues for the three months ended June 30, 2013, and 14% and 10% of total net revenues for the six months ended June 30, 2013.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At June 30, 2014, one customer accounted for 33% of net accounts receivable. At December 31, 2013, two customers accounted for 16% and 10% of net accounts receivable,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92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0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30"/>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42,648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41,617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42,428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41,384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2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708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stock options</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7,893</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7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322</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10,224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8,518</w:t>
            </w:r>
          </w:p>
        </w:tc>
      </w:tr>
      <w:tr>
        <w:trPr>
          <w:trHeight w:val="27"/>
        </w:trPr>
        <w:tc>
          <w:tcPr>
            <w:tcW w:w="7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7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KPCB Holdings, Inc. ("KPCB"), as nominee for certain funds of Kleiner Perkins Caufield &amp; Byers, is a related party which has a significant ownership interest in the Company. Sales of microinverters to entities that are majority-owned by KPCB entities were $2.1 million in the three and six months ended June 30, 2013. There were no sales to these entities for the three and six months ended June 30, 2014.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5,700,000 microinverters as of June 30, 2014. We currently offer microinverter systems targeting the residential and commercial markets in the United States, Canada, the United Kingdom, France, the Benelux region, certain other European markets and Australia.</w:t>
      </w:r>
    </w:p>
    <w:p>
      <w:pPr>
        <w:spacing w:after="0" w:line="130" w:lineRule="exact"/>
        <w:rPr>
          <w:sz w:val="20"/>
          <w:szCs w:val="20"/>
          <w:color w:val="auto"/>
        </w:rPr>
      </w:pPr>
    </w:p>
    <w:p>
      <w:pPr>
        <w:ind w:right="520" w:firstLine="446"/>
        <w:spacing w:after="0" w:line="282" w:lineRule="auto"/>
        <w:rPr>
          <w:sz w:val="20"/>
          <w:szCs w:val="20"/>
          <w:color w:val="auto"/>
        </w:rPr>
      </w:pPr>
      <w:r>
        <w:rPr>
          <w:rFonts w:ascii="Times New Roman" w:cs="Times New Roman" w:eastAsia="Times New Roman" w:hAnsi="Times New Roman"/>
          <w:sz w:val="18"/>
          <w:szCs w:val="18"/>
          <w:color w:val="auto"/>
        </w:rPr>
        <w:t>We sell our microinverter systems primarily to distributors who resell them to solar installers. We also sell directly to large installers and through original equipment manufacturers (“OEMs”), developers of third party solar financing offerings and strategic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Condensed Consolidated Statements of Operations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75" w:lineRule="exact"/>
        <w:rPr>
          <w:sz w:val="20"/>
          <w:szCs w:val="20"/>
          <w:color w:val="auto"/>
        </w:rPr>
      </w:pPr>
    </w:p>
    <w:p>
      <w:pPr>
        <w:ind w:right="240" w:firstLine="446"/>
        <w:spacing w:after="0" w:line="282" w:lineRule="auto"/>
        <w:rPr>
          <w:sz w:val="20"/>
          <w:szCs w:val="20"/>
          <w:color w:val="auto"/>
        </w:rPr>
      </w:pPr>
      <w:r>
        <w:rPr>
          <w:rFonts w:ascii="Times New Roman" w:cs="Times New Roman" w:eastAsia="Times New Roman" w:hAnsi="Times New Roman"/>
          <w:sz w:val="18"/>
          <w:szCs w:val="18"/>
          <w:color w:val="auto"/>
        </w:rPr>
        <w:t>We generate revenues from sales of our microinverter systems, which include microinverter units and related accessories, an Envoy communications gateway device, and our Enlighten web-based monitoring service.</w:t>
      </w:r>
    </w:p>
    <w:p>
      <w:pPr>
        <w:spacing w:after="0" w:line="108"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Our revenue is affected by changes in the volume and average selling prices of our microinverter systems, driven by supply and demand, sales incentives, and competitive product offerings. Our revenue growth is dependent on our ability to market our products in a manner that increases awareness for microinverter technology, the continual development and introduction of new products to meet the changing technology and performance requirements of our customers, and the expansion of our customer base.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175"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Cost of revenues is comprised primarily of product costs, warranty, purchasing and production planning personnel and related expenses, logistics costs, depreciation on manufacturing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on manufacturing test equipment, are not directly affected by sales volume.</w:t>
      </w:r>
    </w:p>
    <w:p>
      <w:pPr>
        <w:spacing w:after="0" w:line="126" w:lineRule="exact"/>
        <w:rPr>
          <w:sz w:val="20"/>
          <w:szCs w:val="20"/>
          <w:color w:val="auto"/>
        </w:rPr>
      </w:pPr>
    </w:p>
    <w:p>
      <w:pPr>
        <w:ind w:right="280" w:firstLine="446"/>
        <w:spacing w:after="0" w:line="261" w:lineRule="auto"/>
        <w:rPr>
          <w:sz w:val="20"/>
          <w:szCs w:val="20"/>
          <w:color w:val="auto"/>
        </w:rPr>
      </w:pPr>
      <w:r>
        <w:rPr>
          <w:rFonts w:ascii="Times New Roman" w:cs="Times New Roman" w:eastAsia="Times New Roman" w:hAnsi="Times New Roman"/>
          <w:sz w:val="18"/>
          <w:szCs w:val="18"/>
          <w:color w:val="auto"/>
        </w:rPr>
        <w:t>We outsource our manufacturing to third-party contract manufacturers and generally negotiate product pricing with them on a quarterly basis. In addition, a contract manufacturer also serves as our logistics provider by warehousing and delivering our products.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126"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Gross profit may vary from quarter to quarter and is primarily affected by our average selling prices, product cost, product mix, warranty costs, changes in estimates to pre-existing warranties and sales volume fluctuations resulting from seasonality.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Operating expenses consist of research and development, sales and marketing and general and administrative expenses. Personnel-related costs are the most significant component of each of these expense categories and include salaries and related payroll taxes and benefits, recruiting costs, sales commissions and stock-based compensation. We believe the investments we have made in our corporate infrastructure will enable us to deliver higher levels of net revenues without proportionate increases in research and development, sales and marketing, and general and administrative expenses.</w:t>
      </w:r>
    </w:p>
    <w:p>
      <w:pPr>
        <w:spacing w:after="0" w:line="126" w:lineRule="exact"/>
        <w:rPr>
          <w:sz w:val="20"/>
          <w:szCs w:val="20"/>
          <w:color w:val="auto"/>
        </w:rPr>
      </w:pPr>
    </w:p>
    <w:p>
      <w:pPr>
        <w:ind w:right="220" w:firstLine="44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includes personnel-related expenses such as salaries,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on research and development related equipment and other indirect costs.</w:t>
      </w:r>
    </w:p>
    <w:p>
      <w:pPr>
        <w:spacing w:after="0" w:line="126"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personnel-related expenses such as salaries, commissions, stock-based compensation, employee benefits and travel. It also includes trade shows, marketing, customer support and other indirect costs.</w:t>
      </w:r>
    </w:p>
    <w:p>
      <w:pPr>
        <w:spacing w:after="0" w:line="121" w:lineRule="exact"/>
        <w:rPr>
          <w:sz w:val="20"/>
          <w:szCs w:val="20"/>
          <w:color w:val="auto"/>
        </w:rPr>
      </w:pPr>
    </w:p>
    <w:p>
      <w:pPr>
        <w:ind w:right="280" w:firstLine="44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salaries,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Other income (expense), net includes interest income on invested cash balances and interest expense on amounts outstanding under our credit facilities and non-cash interest expense related to the amortization of debt discounts and deferred financing costs. Other income (expense), net also includes transaction gains and losses arising from transactions denominated in a currency other than the functional currency of the entity involved, as well as from foreign currency forward contracts.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We have not recorded any U.S. federal or state income tax provision for any of the periods presented because we have experienced operating losses since inception. The provision for income taxes related to our foreign operations was not material for all periods presented. Due to the history of losses we have generated since inception, we have recorded a full valuation allowance on our net deferred tax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2014 and 2013</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2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126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82,004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58,167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23,837</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  $</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139,584</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103,744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35,840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June 30, 2014 and 2013</w:t>
      </w:r>
    </w:p>
    <w:p>
      <w:pPr>
        <w:spacing w:after="0" w:line="173"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Net revenues increased by 41% for the three months ended June 30, 2014, as compared to the same period in 2013, due to higher volume of microinverter systems sold. We sold 598,000 microinverter units in the three months ended June 30, 2014, compared to 399,000 units in the same period in 2013. The growth in net revenues was primarily driven by increased demand in the U.S., U.K. and Australian solar markets. The favorable impact of the higher volume was partially offset by a decline in the average selling price of our products.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Six Months Ended June 30, 2014 and 2013</w:t>
      </w:r>
    </w:p>
    <w:p>
      <w:pPr>
        <w:spacing w:after="0" w:line="17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Net revenues increased by 35% for the six months ended June 30, 2014, as compared to the same period in 2013, due to higher volume of microinverter systems sold. We sold 1,021,000 microinverter units in the six months ended June 30, 2014, compared to 714,000 units in the same period in 2013. The growth in net revenues was primarily driven by increased demand in the U.S., U.K. and Australian solar markets. The favorable impact of the higher volume was partially offset by a decline in the average selling price of our products.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55,172</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41,883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13,289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94,097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75,259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18,838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600" w:type="dxa"/>
            <w:vAlign w:val="bottom"/>
          </w:tcPr>
          <w:p>
            <w:pPr>
              <w:spacing w:after="0"/>
              <w:rPr>
                <w:sz w:val="21"/>
                <w:szCs w:val="21"/>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16,284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10,548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45,487</w:t>
            </w:r>
          </w:p>
        </w:tc>
        <w:tc>
          <w:tcPr>
            <w:tcW w:w="340" w:type="dxa"/>
            <w:vAlign w:val="bottom"/>
          </w:tcPr>
          <w:p>
            <w:pPr>
              <w:spacing w:after="0"/>
              <w:rPr>
                <w:sz w:val="21"/>
                <w:szCs w:val="21"/>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28,485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17,002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32.7%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June 30, 2014 and 2013</w:t>
      </w:r>
    </w:p>
    <w:p>
      <w:pPr>
        <w:spacing w:after="0" w:line="17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Cost of revenues for the three months ended June 30, 2014 increased by 32%, or $13.3 million, as compared to the same period in 2013. Gross margin increased by 4.7 percentage points to 32.7% for the three months ended June 30, 2014, as compared to 28.0% for the same period in 2013. The increase was primarily attributable to a lower per-microinverter unit cost achieved through product cost reductions, higher production efficiencies, a larger sales mix of our fourth generation microinverter and lower warranty expense. Gross margin for the three months ended June 30, 2014 benefited from the favorable impact from measuring our warranty obligations related to microinverters sold since January 1, 2014 at fair value, which improved gross margin by approximately one percentage point. Costs of revenues for the three months ended June 30, 2014 and 2013 included net changes in estimates to previously recorded warranty obligations of $3.0 million and $2.7 million, respectively, which reduced gross margin by approximately 3.6 percentage points and 4.6 percentage points, respectively. See Note 3 to the Condensed Consolidated Financial Statements.</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Six Months Ended June 30, 2014 and 2013</w:t>
      </w:r>
    </w:p>
    <w:p>
      <w:pPr>
        <w:spacing w:after="0" w:line="173"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Cost of revenues for the six months ended June 30, 2014 increased by 25%, or $18.8 million, as compared to the same period in 2013. Gross margin increased by 5.1 percentage points to 32.6% for the six months ended June 30, 2014, as compared to 27.5% for the same period in 2013. The increase was primarily attributable to a lower per microinverter-unit cost achieved through product cost reductions, higher production efficiencies, a larger sales mix of our fourth generation microinverter and lower warranty expense. Gross margin for the six months ended June 30, 2014 benefited from the favorable impact from measuring our warranty obligations related to microinverters sold since January 1, 2014 at fair value, which improved gross margin by approximately one percentage point. Costs of revenues for the six months ended June 30, 2014 and 2013 included net changes in estimates to previously recorded warranty obligations of $4.4 million and $4.7 million, respectively, which reduced gross margin by approximately 3.1 percentage points and 4.5 percentage points, respectively. See Note 3 to the Condensed Consolidated Financial Statements.</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2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3"/>
                <w:szCs w:val="13"/>
                <w:color w:val="auto"/>
              </w:rPr>
            </w:pPr>
          </w:p>
        </w:tc>
        <w:tc>
          <w:tcPr>
            <w:tcW w:w="12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gridSpan w:val="4"/>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2,664</w:t>
            </w: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  $</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20,234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17,510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2,724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24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June 30, 2014 and 2013</w:t>
      </w:r>
    </w:p>
    <w:p>
      <w:pPr>
        <w:spacing w:after="0" w:line="173"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2014 increased by 31%, or $2.7 million, as compared to the same period in 2013. The increase was primarily attributable to a $1.8 million in compensation-related costs including growth in headcount and increased employee stock-based compensation expense. The remaining $0.9 million increase was primarily attributable to third-party development costs and increased prototype material expense. The amount of</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may fluctuate from period to period due to the differing levels and stages of development activity.</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Six Months Ended June 30, 2014 and 2013</w:t>
      </w:r>
    </w:p>
    <w:p>
      <w:pPr>
        <w:spacing w:after="0" w:line="173"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2014 increased by 16%, or $2.7 million, as compared to the same period in 2013. The increase was primarily attributable to a $2.2 million increase in compensation-related costs including growth in headcount and increased employee stock-based compensation expense. The remaining $0.5 million increase was primarily attributable to third-party development costs and increased prototype material expense. The amount of research and development expenses may fluctuate from period to period due to the differing levels and stages of development activity.</w:t>
      </w:r>
    </w:p>
    <w:p>
      <w:pPr>
        <w:spacing w:after="0" w:line="130" w:lineRule="exact"/>
        <w:rPr>
          <w:sz w:val="20"/>
          <w:szCs w:val="20"/>
          <w:color w:val="auto"/>
        </w:rPr>
      </w:pPr>
    </w:p>
    <w:p>
      <w:pPr>
        <w:jc w:val="both"/>
        <w:ind w:right="60" w:firstLine="432"/>
        <w:spacing w:after="0" w:line="282" w:lineRule="auto"/>
        <w:rPr>
          <w:sz w:val="20"/>
          <w:szCs w:val="20"/>
          <w:color w:val="auto"/>
        </w:rPr>
      </w:pPr>
      <w:r>
        <w:rPr>
          <w:rFonts w:ascii="Times New Roman" w:cs="Times New Roman" w:eastAsia="Times New Roman" w:hAnsi="Times New Roman"/>
          <w:sz w:val="18"/>
          <w:szCs w:val="18"/>
          <w:color w:val="auto"/>
        </w:rPr>
        <w:t>We intend to continue to commit significant resources to our research and development efforts because we believe they are essential to maintaining our competitive position. As a result, we anticipate that our research and development expenses will increase on a year-over-year basis for the remainder of 2014.</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3"/>
                <w:szCs w:val="13"/>
                <w:color w:val="auto"/>
              </w:rPr>
            </w:pPr>
          </w:p>
        </w:tc>
        <w:tc>
          <w:tcPr>
            <w:tcW w:w="12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gridSpan w:val="4"/>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3,128</w:t>
            </w: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  $</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19,321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5,106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1"/>
                <w:szCs w:val="21"/>
                <w:color w:val="auto"/>
              </w:rPr>
            </w:pPr>
          </w:p>
        </w:tc>
        <w:tc>
          <w:tcPr>
            <w:tcW w:w="124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June 30, 2014 and 2013</w:t>
      </w:r>
    </w:p>
    <w:p>
      <w:pPr>
        <w:spacing w:after="0" w:line="173"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three months ended June 30, 2014 increased by 42%, or $3.1 million, as compared to the same period in 2013. The increase was primarily attributable to a $2.2 million increase in compensation-related costs as a result of growth in headcount related to the expansion of our United Kingdom and Australian offices. The remaining difference was primarily due to a $0.7 million increase in bad debt expense and a $0.2 million increase related to international expansion efforts.</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Six Months Ended June 30, 2014 and 2013</w:t>
      </w:r>
    </w:p>
    <w:p>
      <w:pPr>
        <w:spacing w:after="0" w:line="173"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six months ended June 30, 2014 increased by 36%, or $5.1 million, as compared to the same period in 2013. The increase was primarily attributable to a $3.9 million increase in compensation-related costs as a result of growth in headcount related to the expansion of our United Kingdom and Australian offices. The remaining difference was primarily due to a $0.7 million increase in bad debt expense and a $0.5 million increase related to international expansion efforts.</w:t>
      </w:r>
    </w:p>
    <w:p>
      <w:pPr>
        <w:spacing w:after="0" w:line="126"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In order to increase the market penetration of our products and grow our business, we intend to continue to commit significant resources to our sales and marketing efforts. As a result, we anticipate that sales and marketing expenses will increase on a year-over-year basis for the remainder of 2014.</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2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3"/>
                <w:szCs w:val="13"/>
                <w:color w:val="auto"/>
              </w:rPr>
            </w:pPr>
          </w:p>
        </w:tc>
        <w:tc>
          <w:tcPr>
            <w:tcW w:w="12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gridSpan w:val="4"/>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1,753</w:t>
            </w: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  $</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14,205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11,962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2,243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24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June 30, 2014 and 2013</w:t>
      </w:r>
    </w:p>
    <w:p>
      <w:pPr>
        <w:spacing w:after="0" w:line="173"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2014 increased by 30%, or $1.8 million, as compared to the same period in 2013. The increase was primarily attributable to a $1.4 million increase in compensation-related costs due to annual salary adjustments, higher incentive compensation and increased stock based compensation. Our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general and administrative headcount remained relatively flat in the comparable periods. The remaining difference was due to a $0.4 million increase in professional services expense.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Six Months Ended June 30, 2014 and 2013</w:t>
      </w:r>
    </w:p>
    <w:p>
      <w:pPr>
        <w:spacing w:after="0" w:line="173"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2014 increased by 19%, or $2.2 million, as compared to the same period in 2013. The increase was primarily attributable to a $1.7 million increase in compensation-related costs due to annual salary adjustments, higher incentive compensation and increased stock based compensation. Our general and administrative headcount remained relatively flat in the comparable periods. In addition, increased professional services expense contributed $0.7 million to the increase. These increases were partially offset by a $0.2 million decrease in other corporate-level expenses such as insurance.</w:t>
      </w:r>
    </w:p>
    <w:p>
      <w:pPr>
        <w:spacing w:after="0" w:line="130"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We anticipate that general and administrative expenses will increase on a year-over-year basis for the remainder of 2014 as we continue to build our infrastructure to support our anticipated growth.</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24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8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(428)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353</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  $</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(770)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524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June 30, 2014 and 2013</w:t>
      </w:r>
    </w:p>
    <w:p>
      <w:pPr>
        <w:spacing w:after="0" w:line="173"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Other expense, net, for the three months ended June 30, 2014 decreased by $0.4 million, as compared to the same period in 2013, primarily attributable to favorable foreign currency exchange movements associated with transactions denominated in foreign currencies.</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Six Months Ended June 30, 2014 and 2013</w:t>
      </w:r>
    </w:p>
    <w:p>
      <w:pPr>
        <w:spacing w:after="0" w:line="173"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Other expense, net, for the six months ended June 30, 2014 decreased by $0.5 million, as compared to the same period in 2013, primarily attributable to favorable foreign currency exchange movements associated with transactions denominated in foreign currencies.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Historically, we funded our operations with proceeds from sale of our equity securities and borrowings from term loans. Our primary uses of cash are operating costs, working capital needs, capital expenditures and debt service requirements. Our future capital requirements are affected by many factors, including our rate of revenue growth; the expansion of our sales and marketing activities; the timing and extent of spending to support product development efforts; and the timing of introductions of new products and enhancements to existing products.</w:t>
      </w:r>
    </w:p>
    <w:p>
      <w:pPr>
        <w:spacing w:after="0" w:line="72"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As of June 30, 2014, we had $37.6 million in cash and cash equivalents, which is held primarily in non-interest bearing checking accounts, and $53.5 million in working capital. We believe our current cash and cash equivalents, together with borrowings available under our working capital facility, will be adequate to fund our debt obligations as well as our planned capital expenditures and operations over the next 12 months. If additional sources of liquidity are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3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4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0"/>
        </w:trPr>
        <w:tc>
          <w:tcPr>
            <w:tcW w:w="46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21"/>
                <w:szCs w:val="21"/>
                <w:color w:val="auto"/>
              </w:rPr>
            </w:pPr>
          </w:p>
        </w:tc>
      </w:tr>
      <w:tr>
        <w:trPr>
          <w:trHeight w:val="255"/>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62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4,134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(4,333)</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7"/>
        </w:trPr>
        <w:tc>
          <w:tcPr>
            <w:tcW w:w="46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7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w:t>
            </w:r>
          </w:p>
        </w:tc>
      </w:tr>
      <w:tr>
        <w:trPr>
          <w:trHeight w:val="459"/>
        </w:trPr>
        <w:tc>
          <w:tcPr>
            <w:tcW w:w="4640" w:type="dxa"/>
            <w:vAlign w:val="bottom"/>
          </w:tcPr>
          <w:p>
            <w:pPr>
              <w:spacing w:after="0"/>
              <w:rPr>
                <w:sz w:val="24"/>
                <w:szCs w:val="24"/>
                <w:color w:val="auto"/>
              </w:rPr>
            </w:pPr>
          </w:p>
        </w:tc>
        <w:tc>
          <w:tcPr>
            <w:tcW w:w="3700" w:type="dxa"/>
            <w:vAlign w:val="bottom"/>
          </w:tcPr>
          <w:p>
            <w:pPr>
              <w:jc w:val="right"/>
              <w:ind w:right="2456"/>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2014, net cash provided by operating activities of $4.1 million consisted of a net loss of $9.3 million, offset by non-cash charges of $9.3 million and a net cash inflow from changes in operating assets and liabilities of $4.1 million. Non-cash charges primarily consisted of stock-based compensation of $4.5 million, depreciation and amortization of $3.9 million and provisions for doubtful accounts of $0.7 million. The increase in cash provided by operating assets and liabilities was primarily attributable to a $16.6 million increase in accounts payable, accrued compensation and other accrued liabilities, which was partially offset by an increase of $15.2 million in accounts receivable and a $2.3 million increase to prepaid expenses and other assets. The increase in accounts payable was the result of higher business volume and the timing of vendor payments. The increase in accrued liabilities included higher anticipated purchase volume rebates earned by customers under our sales incentive programs. The increase in accounts receivable was reflective of the overall growth in revenues. The increase in other assets includes replacement units on-hand for use in servicing our warranty obligations. During the six months ended June 30, 2014, inventory decreased by $0.9 million as a result of the higher than anticipated demand for our microinverter systems in the second quarter of 2014. In addition, cash from operating activities benefited from a $1.5 million increase in deferred revenues related to sales of our Enlighten web-based monitoring service and a $2.5 million increase in warranty obligations due to increased sales of microinverters.</w:t>
      </w:r>
    </w:p>
    <w:p>
      <w:pPr>
        <w:spacing w:after="0" w:line="139" w:lineRule="exact"/>
        <w:rPr>
          <w:sz w:val="20"/>
          <w:szCs w:val="20"/>
          <w:color w:val="auto"/>
        </w:rPr>
      </w:pPr>
    </w:p>
    <w:p>
      <w:pPr>
        <w:ind w:right="160" w:firstLine="432"/>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2013, net cash used in operating activities of $8.0 million was primarily attributable to a net loss of $16.8 million, which was partially offset by non-cash charges of $3.4 million in depreciation and amortization and $2.9 million in stock-based compensation. In addition, cash provided by net changes in operating assets and liabilities was $2.3 million. Sources of cash totaled $9.5 million resulting from a decrease of $1.9 million in inventory, an increase of $5.4 million in warranty obligations and an increase of $2.1 million in deferred revenues. The $1.9 million decrease in inventory was a result of improvements in working capital management. The $5.4 million increase in warranty obligations was attributable to incremental charges from changes in estimates as well as higher volume of microinverters sold. The increase in deferred revenue of $2.1 million relates to sales of our Enlighten web-based monitoring service. Uses of cash included a $4.4 million increase in accounts receivable, a $2.3 million decrease in accounts payable, accrued compensation and other accrued liabilities and a $0.5 million increase in prepaid expenses and other assets. The increase in accounts receivable was primarily due to the more linear sales pattern in fourth quarter of 2012 compared to the second quarter of 2013. The decrease in accounts payable, accrued compensation and other accrued liabilities was attributable to the timing of vendor payments as well as incentive compensation payments.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2014, net cash used in investing activities was $4.3 million, primarily as a result of purchases of test and assembly equipment as well as additions to internally developed software.</w:t>
      </w:r>
    </w:p>
    <w:p>
      <w:pPr>
        <w:spacing w:after="0" w:line="108"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2013, net cash used in investing activities was $3.5 million, primarily as a result of purchases of test and assembly equipment as well as additions to internally developed software.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2014, net cash used in financing activities of $0.5 million was attributable to $2.2 million in principal repayments of outstanding term loans. The outflow of cash was offset by $1.0 million in cash received from common stock issuance pursuant to our employee equity incentive plans and $0.7 million in proceeds from our employee stock purchases under our employee stock purchase plan.</w:t>
      </w:r>
    </w:p>
    <w:p>
      <w:pPr>
        <w:spacing w:after="0" w:line="12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2013, net cash provided by financing activities was $0.3 million and consisted of $1.1 million in cash received from common stock issuance pursuant to our employee equity incentive plans and $0.4 million in proceeds from our employee stock purchases under our employee stock purchase plan. These inflows of cash were offset by $1.2 million in principal repayments of outstanding term loans.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Agreements</w:t>
      </w:r>
    </w:p>
    <w:p>
      <w:pPr>
        <w:spacing w:after="0" w:line="17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2014, we were a party to three debt agreements: (i) a $50.0 million revolving credit facility (the “Revolver”) with Wells Fargo Bank, N.A., (ii) a facility with Hercules Technology Growth Capital, Inc. (“Hercules Facility”) consisting of an initial draw in the amount of $7.4 million under the facility and a commitment to provide an incremental line of credit of up to $15.6 million through March 31, 2014, and (iii) a $5.0 million equipment financing facility, also with Hercules. Each of these debt agreements is described in greater detail in the consolidated financial statements and related notes thereto included in our Annual Report on Form 10-K for the year ended December 31, 2013.</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On February 14, 2014, we entered into an amendment to the Revolver which extended the maturity date from November 7, 2015 to November 7, 2016. In addition, the amendment lowered the minimum liquidity covenant in undrawn availability from $8.0 million to $5.0 million in cash while maintaining at least $15.0 million of liquidity (defined as the sum of cash and the borrowing base) at all times. To date, we have not drawn on the Revolver.</w:t>
      </w:r>
    </w:p>
    <w:p>
      <w:pPr>
        <w:spacing w:after="0" w:line="12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On March 31, 2014, the undrawn $15.6 million incremental line of credit under the Hercules Facility expired in accordance with its terms as we elected not to renew the incremental line of credit. As of June 30, 2014, the outstanding principal balance under the Hercules Facility was $6.5 million.</w:t>
      </w:r>
    </w:p>
    <w:p>
      <w:pPr>
        <w:spacing w:after="0" w:line="108" w:lineRule="exact"/>
        <w:rPr>
          <w:sz w:val="20"/>
          <w:szCs w:val="20"/>
          <w:color w:val="auto"/>
        </w:rPr>
      </w:pPr>
    </w:p>
    <w:p>
      <w:pPr>
        <w:ind w:right="800" w:firstLine="432"/>
        <w:spacing w:after="0" w:line="282" w:lineRule="auto"/>
        <w:rPr>
          <w:sz w:val="20"/>
          <w:szCs w:val="20"/>
          <w:color w:val="auto"/>
        </w:rPr>
      </w:pPr>
      <w:r>
        <w:rPr>
          <w:rFonts w:ascii="Times New Roman" w:cs="Times New Roman" w:eastAsia="Times New Roman" w:hAnsi="Times New Roman"/>
          <w:sz w:val="18"/>
          <w:szCs w:val="18"/>
          <w:color w:val="auto"/>
        </w:rPr>
        <w:t>On June 1, 2014, the $5.0 million equipment financing facility with Hercules expired in accordance with its terms and all remaining amounts outstanding were repaid in full.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Other than as described under “Debt Agreements” above, our contractual obligations as of June 30, 2014 have not materially changed from the amounts set forth in our Annual Report on Form 10-K for the year ended December 31, 2013.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2014, we did not have any off-balance sheet arrangements, as defined in Item 303(a)(4)(ii) of SEC Regulation 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3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consider an accounting policy to be critical if it is important to our financial condition and results of operations, and if it entails significant judgment, subjectivity and complexity on the part of management in its application. Other than as described under “Fair Value Option for Microinverters Sold Since January 1, 2014” below, there have been no material changes to the items that we disclosed as our critical accounting policies and estimates in Management's Discussion and Analysis of Financial Condition and Results of Operations in our Annual Report on Form 10-K for the year ended December 31,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Microinverters Sold Since January 1, 2014</w:t>
      </w:r>
    </w:p>
    <w:p>
      <w:pPr>
        <w:spacing w:after="0" w:line="175" w:lineRule="exact"/>
        <w:rPr>
          <w:sz w:val="20"/>
          <w:szCs w:val="20"/>
          <w:color w:val="auto"/>
        </w:rPr>
      </w:pPr>
    </w:p>
    <w:p>
      <w:pPr>
        <w:ind w:right="240" w:firstLine="446"/>
        <w:spacing w:after="0" w:line="258" w:lineRule="auto"/>
        <w:rPr>
          <w:sz w:val="20"/>
          <w:szCs w:val="20"/>
          <w:color w:val="auto"/>
        </w:rPr>
      </w:pPr>
      <w:r>
        <w:rPr>
          <w:rFonts w:ascii="Times New Roman" w:cs="Times New Roman" w:eastAsia="Times New Roman" w:hAnsi="Times New Roman"/>
          <w:sz w:val="18"/>
          <w:szCs w:val="18"/>
          <w:color w:val="auto"/>
        </w:rPr>
        <w:t>Our warranty obligations related to microinverters sold since January 1, 2014 provide us the right, but not the requirement, to assign our warranty obligations to a third-party. Under Accounting Standards Codification ("ASC") 825—</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("fair value option"), an entity may choose to elect the fair value option for such warranties at the time it first recognizes the eligible item. We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 See Note 4—Fair Value Measurements.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we used certain Level 3 inputs which are unobservable and significant to the overall fair value measurement. Such additional assumptions included a discount rate based on our credit-adjusted risk-free rate and compensation comprised of a profit element and risk premium required of a market participant to assume the obligation. Warranty obligations initially recorded at fair value at the time of sale will be subsequently re-measured to fair value at each reporting date. In addition, the fair value of the liability will be accreted over the corresponding term of the warranty of up to 25 years using the interest method. Any changes in fair value of the liability from period-to-period, including accretion expense, will be recognized in cost of revenues. As of June 30, 2014, warranty obligations associated with sales prior to December 31, 2013 were $31.0 million and warranty obligations associated with sales subsequent to December 31, 2013 were $1.9 million, of which $1.8 million were eligible for fair value accounting. The portion of warranty obligations arising from sales subsequent to December 31, 2013 that was not eligible for fair value accounting relates to sales of non-microinverter products. Periodic adjustments necessitated by actual experience of claims and any future changes in estimates to amounts not eligible for fair value accounting will continue to be accounted for on an undiscounted basis.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Effective</w:t>
      </w:r>
    </w:p>
    <w:p>
      <w:pPr>
        <w:spacing w:after="0" w:line="173"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which will replace most existing revenue recognition guidance under U.S. GAAP. The updated standard is based on the principle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The updated standard becomes effective for us in the first quarter of 2017 and permits the use of either the retrospective or cumulative effect transition method. We are evaluating the potential impact of implementing this ASU on our consolidated financial statements and related disclosures.</w:t>
      </w:r>
    </w:p>
    <w:p>
      <w:pPr>
        <w:spacing w:after="0" w:line="289"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2"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denominated in Euro, British Pounds Sterling, New Zealand Dollars and Australian Dollars. These payables and receivables primarily arise from both sales and purchases denominated in foreign currencies, as well as intercompany transactions. We also face currency exposure that arises from translating the results of our European, New Zealand and Australian operations, including sales and marketing and research and development expenses, to the U.S. dollar at exchange rates that have fluctuated from the beginning of a reporting period.</w:t>
      </w:r>
    </w:p>
    <w:p>
      <w:pPr>
        <w:spacing w:after="0" w:line="13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From time to time, we utilize foreign currency forward contracts to reduce the impact of foreign currency fluctuations.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condensed consolidated balance sheets, and gains and losses resulting from changes in the fair value are reported in other income (expense), net, in the accompanying condensed consolidated statements of operations.</w:t>
      </w:r>
    </w:p>
    <w:p>
      <w:pPr>
        <w:spacing w:after="0" w:line="130"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We did not have any foreign currency forward contracts outstanding at June 30, 2014. At December 31, 2013, the aggregate gross notional amounts of outstanding foreign currency forward contracts were $12.5 million, all of which matured on January 15, 2014.</w:t>
      </w:r>
    </w:p>
    <w:p>
      <w:pPr>
        <w:spacing w:after="0" w:line="266"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June 30, 2014.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disclosure. Based on the evaluation of our disclosure controls and procedures as of June 30, 2014, our chief executive officer and chief financial officer concluded that, as of such date, our disclosure controls and procedures were effective at the reasonable assurance level.</w:t>
      </w:r>
    </w:p>
    <w:p>
      <w:pPr>
        <w:spacing w:after="0" w:line="108"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w:t>
      </w:r>
    </w:p>
    <w:p>
      <w:pPr>
        <w:spacing w:after="0" w:line="1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80"/>
          </w:cols>
          <w:pgMar w:left="240" w:top="121" w:right="37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jc w:val="both"/>
        <w:ind w:right="80" w:firstLine="446"/>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118"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3" w:lineRule="exact"/>
        <w:rPr>
          <w:sz w:val="20"/>
          <w:szCs w:val="20"/>
          <w:color w:val="auto"/>
        </w:rPr>
      </w:pPr>
    </w:p>
    <w:p>
      <w:pPr>
        <w:ind w:right="18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26"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We have marked with an asterisk (*) those risks described below that reflect substantive changes from, or additions to, the risks described in our Annual Report on Form 10-K for the year ended December 31, 2013.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which may continue in the future, and we cannot be certain that we will achieve or sustain profitability.</w:t>
      </w:r>
    </w:p>
    <w:p>
      <w:pPr>
        <w:spacing w:after="0" w:line="17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quarter since inception, and we may continue to incur additional net losses in the future. We incurred net losses of $9.3 million for the six months ended June 30, 2014. As of June 30, 2014, we had an accumulated deficit of $162.2 million.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current business and future prospects.</w:t>
      </w:r>
    </w:p>
    <w:p>
      <w:pPr>
        <w:spacing w:after="0" w:line="17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have been in existence since 2006 and did not begin shipping our products in commercial quantities until mid-2008. Much of our growth has occurred in recent periods. Our limited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26"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22" w:lineRule="exact"/>
        <w:rPr>
          <w:sz w:val="20"/>
          <w:szCs w:val="20"/>
          <w:color w:val="auto"/>
        </w:rPr>
      </w:pPr>
    </w:p>
    <w:p>
      <w:pPr>
        <w:jc w:val="both"/>
        <w:ind w:right="60" w:firstLine="432"/>
        <w:spacing w:after="0" w:line="282" w:lineRule="auto"/>
        <w:rPr>
          <w:sz w:val="20"/>
          <w:szCs w:val="20"/>
          <w:color w:val="auto"/>
        </w:rPr>
      </w:pPr>
      <w:r>
        <w:rPr>
          <w:rFonts w:ascii="Times New Roman" w:cs="Times New Roman" w:eastAsia="Times New Roman" w:hAnsi="Times New Roman"/>
          <w:sz w:val="18"/>
          <w:szCs w:val="18"/>
          <w:color w:val="auto"/>
        </w:rPr>
        <w:t>Further, our efforts to achieve broader market acceptance for our microinverter systems and to expand beyond our existing markets may never succeed, which would adversely impact our ability to generate additional revenue or become profitable.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demand for solar energy solutions does not continue to grow or grows at a slower rate than we anticipate, our business will suffer.</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solar PV systems based on our product platform;</w:t>
      </w:r>
    </w:p>
    <w:p>
      <w:pPr>
        <w:spacing w:after="0" w:line="225" w:lineRule="exact"/>
        <w:rPr>
          <w:rFonts w:ascii="Times New Roman" w:cs="Times New Roman" w:eastAsia="Times New Roman" w:hAnsi="Times New Roman"/>
          <w:sz w:val="18"/>
          <w:szCs w:val="18"/>
          <w:color w:val="auto"/>
        </w:rPr>
      </w:pPr>
    </w:p>
    <w:p>
      <w:pPr>
        <w:ind w:left="980" w:right="240" w:hanging="486"/>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competitiveness, reliability and performance of solar PV systems compared to conventional and non-solar renewable energy sources and products;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government subsidies and incentives to support the development and deployment of solar energy solutions;</w:t>
      </w:r>
    </w:p>
    <w:p>
      <w:pPr>
        <w:spacing w:after="0" w:line="225" w:lineRule="exact"/>
        <w:rPr>
          <w:rFonts w:ascii="Times New Roman" w:cs="Times New Roman" w:eastAsia="Times New Roman" w:hAnsi="Times New Roman"/>
          <w:sz w:val="18"/>
          <w:szCs w:val="18"/>
          <w:color w:val="auto"/>
        </w:rPr>
      </w:pPr>
    </w:p>
    <w:p>
      <w:pPr>
        <w:ind w:left="980" w:right="420" w:hanging="486"/>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electric power industry and broader energy industries are deregulated to permit broader adoption of solar electricity generation;</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key raw materials and components used in the production of solar PV systems;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traditional carbon-based energy sources;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investment by end-users of solar energy products, which tend to decrease when economic growth slows;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continuance or success of, or increased government support for, other alternative energy generation technologies and products.</w:t>
      </w:r>
    </w:p>
    <w:p>
      <w:pPr>
        <w:spacing w:after="0" w:line="27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0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Short-term demand and supply imbalances, especially for solar module technology, recently have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05"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3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3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focus on a limited number of specific markets increases risks associated with the elimination or expiration of governmental subsidies and economic incentives for on-grid solar electricity applications.</w:t>
      </w:r>
    </w:p>
    <w:p>
      <w:pPr>
        <w:spacing w:after="0" w:line="105"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To date, we have generated substantially all of our revenues from North America and expect to continue to generate a substantial amount of our revenues from North America in the future. There are a number of important incentives that 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which expire on December 31, 2016.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We believe the tax credit and grant programs have had a positive effect on our sales since inception. However, unless the tax credit program is further extended, the eventual phase-out of this program could adversely affect sales of our products in the future.</w:t>
      </w:r>
    </w:p>
    <w:p>
      <w:pPr>
        <w:spacing w:after="0" w:line="135"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California is the largest single solar market in the United States, based on analysis from SEIA data and GTM Research, and a significant portion of our revenues are generated in California.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 Solar California” program is scheduled to expire on December 31, 2016, but the pace of installations has been high and the program is likely to conclude sooner. Both Pacific Gas and Electric and San Diego Gas and Electric have surpassed all installation thresholds in the residential sector and are no longer accepting applications. Pacific Gas and Electric is placing all new applications for the commercial sector on a waiting list, and these applications may not be able to receive incentives. Programs for other utilities and market segments continue, but could conclude prior to December 31, 2016 if installations continue at their current pace.</w:t>
      </w:r>
    </w:p>
    <w:p>
      <w:pPr>
        <w:spacing w:after="0" w:line="13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also sell our products in Ontario, Canada. The Ontario Power Authority Green Energy and Green Economy Act of 2009 created two separate FiT programs for projects greater than 10kW and for projects less than 10kW. These FiT programs provide participants with a fixed price for electricity produced over a 20-year contract term. Both programs were recently suspended while they underwent a review. The program for projects less than 10kW was re-opened to new applications in July 2012 with a procurement target of 50 MW. The program for projects between 10kW and 500kW was re-opened for new applications between December 14, 2012 and January 18, 2013 with a procurement target of 200 MW. The Government of Ontario has announced plans for annual procurement targets of 50MW of projects under 10kW and 150MW of projects between 10kW and 500kW through 2017. However, all procurement occurs at the direction of the Government of Ontario and these plans could change, or market conditions could result in procurement targets not being met. Furthermore,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32"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In the fourth quarter of 2011, we began selling our products in France, Italy and the Benelux region. During the second quarter of 2012, we opened a sales office in the United Kingdom and began selling our products there at the beginning of the third quarter. A number of European countries, including Germany, Belgium and the United Kingdom, have adopted reductions to their FiTs, Spain announced a suspension of its FiT for new renewable energy projects in January 2012 and Italy concluded its FiT program in July 2013. Certain countries, notably Greece and Spain, have proposed or enacted taxes levied on renewable energy. These and related developments have significantly impacted the solar industry in Europe and may adversely affect the future demand for the solar energy solutions in Europe. The reductions in European tariffs and subsidies and other requirements or incentives, including local content requirements or incentives, have negatively affected and may continue to negatively affect our business, financial condition and results of operations as we seek to increase our sales in Europe.</w:t>
      </w:r>
    </w:p>
    <w:p>
      <w:pPr>
        <w:spacing w:after="0" w:line="13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the first quarter of 2013, we began selling our products in Australia. In 2012, Australia enacted a national price on carbon emissions intended to increase the cost of traditional energy sources, thereby making renewable energy sources more attractive. Beginning in 2012, several states in Australia began to gradually reduce their FiTs. As of October 2013, all FiT programs in Australia expired. Australia recently elected a new national government. The new leadership has pledged to revise national energy policy, including potentially reducing Australia's renewable energy target and revising certain renewable energy financing mechanisms. In July 2014, the new leadership successfully repealed the tax on carbon emissions. The reductions in incentives and uncertainty around future energy policy may negatively affect our business financial condition, and results of operations as we seek to increase our business in Australia.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threat of continuing global economic, capital markets and credit disruptions, including sovereign debt issues, pose risks for our business.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microinverter systems may not achieve broader market acceptance, which would prevent us from increasing our revenue and market share.</w:t>
      </w:r>
    </w:p>
    <w:p>
      <w:pPr>
        <w:spacing w:after="0" w:line="175"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68"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introduce and complete new designs and timely qualify and certify our products;</w:t>
      </w:r>
    </w:p>
    <w:p>
      <w:pPr>
        <w:spacing w:after="0" w:line="225" w:lineRule="exact"/>
        <w:rPr>
          <w:rFonts w:ascii="Times New Roman" w:cs="Times New Roman" w:eastAsia="Times New Roman" w:hAnsi="Times New Roman"/>
          <w:sz w:val="18"/>
          <w:szCs w:val="18"/>
          <w:color w:val="auto"/>
        </w:rPr>
      </w:pPr>
    </w:p>
    <w:p>
      <w:pPr>
        <w:ind w:left="980" w:right="400" w:hanging="48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161" w:lineRule="exact"/>
        <w:rPr>
          <w:rFonts w:ascii="Times New Roman" w:cs="Times New Roman" w:eastAsia="Times New Roman" w:hAnsi="Times New Roman"/>
          <w:sz w:val="18"/>
          <w:szCs w:val="18"/>
          <w:color w:val="auto"/>
        </w:rPr>
      </w:pPr>
    </w:p>
    <w:p>
      <w:pPr>
        <w:ind w:left="980" w:right="360" w:hanging="48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installers, system owners and solar financing providers will be willing to purchase microinverter systems from us given our limited operating history;</w:t>
      </w:r>
    </w:p>
    <w:p>
      <w:pPr>
        <w:spacing w:after="0" w:line="161"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prospective system owners to obtain long-term financing for solar PV installations based on our product platform on acceptable terms or at all;</w:t>
      </w:r>
    </w:p>
    <w:p>
      <w:pPr>
        <w:spacing w:after="0" w:line="161" w:lineRule="exact"/>
        <w:rPr>
          <w:rFonts w:ascii="Times New Roman" w:cs="Times New Roman" w:eastAsia="Times New Roman" w:hAnsi="Times New Roman"/>
          <w:sz w:val="18"/>
          <w:szCs w:val="18"/>
          <w:color w:val="auto"/>
        </w:rPr>
      </w:pPr>
    </w:p>
    <w:p>
      <w:pPr>
        <w:ind w:left="980" w:right="680" w:hanging="48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microinverter systems that compete favorably against other solutions on the basis of price, quality, reliability and performance;</w:t>
      </w:r>
    </w:p>
    <w:p>
      <w:pPr>
        <w:spacing w:after="0" w:line="161" w:lineRule="exact"/>
        <w:rPr>
          <w:rFonts w:ascii="Times New Roman" w:cs="Times New Roman" w:eastAsia="Times New Roman" w:hAnsi="Times New Roman"/>
          <w:sz w:val="18"/>
          <w:szCs w:val="18"/>
          <w:color w:val="auto"/>
        </w:rPr>
      </w:pPr>
    </w:p>
    <w:p>
      <w:pPr>
        <w:ind w:left="980" w:right="400" w:hanging="48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that comply with local standards and regulatory requirements, as well as potential in-country manufacturing requirements; and</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successful relationships with our customers and suppliers.</w:t>
      </w:r>
    </w:p>
    <w:p>
      <w:pPr>
        <w:spacing w:after="0" w:line="293"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In addition, our ability to achieve increased market share will depend on our ability to increase sales to established solar installers, who have traditionally sold central inverters. These installers often have made substantial investments in design, installation resources and training in traditional central inverter systems, which may create challenges for us to achieve their adoption of our microinverter systems.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gross profit may fluctuate over time, which could impair our ability to achieve or maintain profitability.</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geographic or product mix;</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 including the impact of customer discounts and rebates; ability to reduce and control product costs;</w:t>
      </w:r>
    </w:p>
    <w:p>
      <w:pPr>
        <w:spacing w:after="0" w:line="225" w:lineRule="exact"/>
        <w:rPr>
          <w:rFonts w:ascii="Times New Roman" w:cs="Times New Roman" w:eastAsia="Times New Roman" w:hAnsi="Times New Roman"/>
          <w:sz w:val="18"/>
          <w:szCs w:val="18"/>
          <w:color w:val="auto"/>
        </w:rPr>
      </w:pPr>
    </w:p>
    <w:p>
      <w:pPr>
        <w:ind w:left="980" w:right="56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and reserves, including changes resulting from changes in estimates related to the long-term performance of our products, product replacement costs and warranty claim rates;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cost savings due to changes in component or raw material pricing or charges incurred due to inventory holding periods if product demand is not correctly anticipated;</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patterns from our distributors;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reductions on older products to sell remaining inventory;</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production costs, such as through technology innovations, in order to offset price declines in older products over time;</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shipment volume;</w:t>
      </w:r>
    </w:p>
    <w:p>
      <w:pPr>
        <w:sectPr>
          <w:pgSz w:w="11900" w:h="16838" w:orient="portrait"/>
          <w:cols w:equalWidth="0" w:num="1">
            <w:col w:w="11400"/>
          </w:cols>
          <w:pgMar w:left="240" w:top="121"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distribution channels;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and obsolete inventory and inventory holding charges;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expediting costs incurred to meet customer delivery requirements.</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Fluctuations in gross profit may adversely affect our ability to manage our business or achieve or maintain profitability.</w:t>
      </w:r>
    </w:p>
    <w:p>
      <w:pPr>
        <w:spacing w:after="0" w:line="16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0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To date, we have competed primarily against central inverter manufacturers and until recently have faced little direct competition in selling our microinverter systems. Marketing and selling our microinverter systems against traditional inverter solutions is highly competitive. Currently, competitors in the inverter market range from large companies such as SMA Solar Technology AG, Fronius International GmbH and Power-One Inc. to emerging companies offering alternative microinverter or other solar electronics products. Several of our existing and potential competitors are significantly larger, have greater financial, marketing, distribution, customer support and other resources, are more established than we are, and have significantly better brand recognition.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3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expect competition to intensify as new and existing competitors enter the microinverter market and additional add-on components like DC-to-DC optimizers that can be used with central inverters gain traction. We believe that a number of companies have developed or are developing microinverters and other products that will compete directly with our microinverter systems. SMA Solar Technology AG and Power-One Inc. have recently introduced microinverter products. In addition, several new entrants to the microinverter market have recently announced plans to ship or have already shipped products, including some of our OEM customers and partners.</w:t>
      </w:r>
    </w:p>
    <w:p>
      <w:pPr>
        <w:spacing w:after="0" w:line="130"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also may face competition from some of our customers who evaluate our capabilities against the merits of manufacturing products internally. For instance, solar module manufacturers could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may purchase fewer of our microinverter systems or sell products that compete with our microinverters systems, which would negatively impact our revenue and gross profit.</w:t>
      </w:r>
    </w:p>
    <w:p>
      <w:pPr>
        <w:spacing w:after="0" w:line="12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0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3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34"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30" w:lineRule="exact"/>
        <w:rPr>
          <w:sz w:val="20"/>
          <w:szCs w:val="20"/>
          <w:color w:val="auto"/>
        </w:rPr>
      </w:pPr>
    </w:p>
    <w:p>
      <w:pPr>
        <w:jc w:val="both"/>
        <w:ind w:right="120" w:firstLine="432"/>
        <w:spacing w:after="0" w:line="289" w:lineRule="auto"/>
        <w:rPr>
          <w:sz w:val="20"/>
          <w:szCs w:val="20"/>
          <w:color w:val="auto"/>
        </w:rPr>
      </w:pPr>
      <w:r>
        <w:rPr>
          <w:rFonts w:ascii="Times New Roman" w:cs="Times New Roman" w:eastAsia="Times New Roman" w:hAnsi="Times New Roman"/>
          <w:sz w:val="17"/>
          <w:szCs w:val="17"/>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10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0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3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34"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growth, our business and operating results may suffer.</w:t>
      </w:r>
    </w:p>
    <w:p>
      <w:pPr>
        <w:spacing w:after="0" w:line="175" w:lineRule="exact"/>
        <w:rPr>
          <w:sz w:val="20"/>
          <w:szCs w:val="20"/>
          <w:color w:val="auto"/>
        </w:rPr>
      </w:pPr>
    </w:p>
    <w:p>
      <w:pPr>
        <w:jc w:val="both"/>
        <w:ind w:right="220" w:firstLine="432"/>
        <w:spacing w:after="0" w:line="313" w:lineRule="auto"/>
        <w:rPr>
          <w:sz w:val="20"/>
          <w:szCs w:val="20"/>
          <w:color w:val="auto"/>
        </w:rPr>
      </w:pPr>
      <w:r>
        <w:rPr>
          <w:rFonts w:ascii="Times New Roman" w:cs="Times New Roman" w:eastAsia="Times New Roman" w:hAnsi="Times New Roman"/>
          <w:sz w:val="17"/>
          <w:szCs w:val="17"/>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30"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 larger organization;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third-party manufacturing, testing and distribution capacity;</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additional custom manufacturing test equipment;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 increasing number of relationships with customers, suppliers and other third parties;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and manage a growing employee base;</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customer support capabilities;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new and upgrade existing operational and financial systems;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financial disclosure controls and procedures.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firstLine="432"/>
        <w:spacing w:after="0" w:line="289" w:lineRule="auto"/>
        <w:rPr>
          <w:sz w:val="20"/>
          <w:szCs w:val="20"/>
          <w:color w:val="auto"/>
        </w:rPr>
      </w:pPr>
      <w:r>
        <w:rPr>
          <w:rFonts w:ascii="Times New Roman" w:cs="Times New Roman" w:eastAsia="Times New Roman" w:hAnsi="Times New Roman"/>
          <w:sz w:val="17"/>
          <w:szCs w:val="17"/>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and planned expansion into new markets could subject us to additional business, financial and competitive risks.</w:t>
      </w:r>
    </w:p>
    <w:p>
      <w:pPr>
        <w:spacing w:after="0" w:line="94"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We currently offer microinverter systems targeting the residential and commercial markets in the United States, Canada, the United Kingdom, France, the Benelux region, certain other European markets and Australia.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72"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microinverters in markets in which they have not traditionally been used;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new product markets to which we are not accustomed;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 increasing manufacturing capacity and production;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our potential customers to incur a higher upfront capital investment than may be required for competing solutions;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solutions to address the requirements of the larger commercial and utility-scale markets;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qualification and certification of new products for larger commercial and utility-scale installations;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production costs in order to price our products competitively over time;</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government subsidies and economic incentives for solar energy solutions;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forecasting and effective management of inventory levels in line with anticipated product demand;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capabilities and responsiveness.</w:t>
      </w:r>
    </w:p>
    <w:p>
      <w:pPr>
        <w:spacing w:after="0" w:line="279"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54" w:lineRule="exact"/>
        <w:rPr>
          <w:sz w:val="20"/>
          <w:szCs w:val="20"/>
          <w:color w:val="auto"/>
        </w:rPr>
      </w:pPr>
    </w:p>
    <w:p>
      <w:pPr>
        <w:ind w:left="980" w:right="4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including tax laws, trade laws, labor, safety, local content and consumer protection regulations, tariffs, export quotas, customs duties or other trade restrictions;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unfavorable intellectual property protection;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change in international political or economic conditions;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earnings;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and interest rates;</w:t>
      </w:r>
    </w:p>
    <w:p>
      <w:pPr>
        <w:spacing w:after="0" w:line="225" w:lineRule="exact"/>
        <w:rPr>
          <w:rFonts w:ascii="Times New Roman" w:cs="Times New Roman" w:eastAsia="Times New Roman" w:hAnsi="Times New Roman"/>
          <w:sz w:val="18"/>
          <w:szCs w:val="18"/>
          <w:color w:val="auto"/>
        </w:rPr>
      </w:pPr>
    </w:p>
    <w:p>
      <w:pPr>
        <w:ind w:left="980" w:right="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expenses in complying with a variety of U.S. and foreign laws, regulations and trade standards, including the Foreign Corrupt Practices Act;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cycles;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 requirements;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 concentrations;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expectations and product return policies;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performance and compatibility requirements.</w:t>
      </w:r>
    </w:p>
    <w:p>
      <w:pPr>
        <w:spacing w:after="0" w:line="279"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ectPr>
          <w:pgSz w:w="11900" w:h="16838" w:orient="portrait"/>
          <w:cols w:equalWidth="0" w:num="1">
            <w:col w:w="11360"/>
          </w:cols>
          <w:pgMar w:left="240" w:top="121" w:right="299" w:bottom="1440" w:gutter="0" w:footer="0" w:header="0"/>
        </w:sect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40" w:top="121" w:right="29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05" w:lineRule="exact"/>
        <w:rPr>
          <w:sz w:val="20"/>
          <w:szCs w:val="20"/>
          <w:color w:val="auto"/>
        </w:rPr>
      </w:pPr>
    </w:p>
    <w:p>
      <w:pPr>
        <w:ind w:right="120" w:firstLine="432"/>
        <w:spacing w:after="0" w:line="252" w:lineRule="auto"/>
        <w:rPr>
          <w:sz w:val="20"/>
          <w:szCs w:val="20"/>
          <w:color w:val="auto"/>
        </w:rPr>
      </w:pPr>
      <w:r>
        <w:rPr>
          <w:rFonts w:ascii="Times New Roman" w:cs="Times New Roman" w:eastAsia="Times New Roman" w:hAnsi="Times New Roman"/>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3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0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3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35" w:lineRule="exact"/>
        <w:rPr>
          <w:sz w:val="20"/>
          <w:szCs w:val="20"/>
          <w:color w:val="auto"/>
        </w:rPr>
      </w:pPr>
    </w:p>
    <w:p>
      <w:pPr>
        <w:jc w:val="both"/>
        <w:ind w:right="440" w:firstLine="432"/>
        <w:spacing w:after="0" w:line="266" w:lineRule="auto"/>
        <w:rPr>
          <w:sz w:val="20"/>
          <w:szCs w:val="20"/>
          <w:color w:val="auto"/>
        </w:rPr>
      </w:pPr>
      <w:r>
        <w:rPr>
          <w:rFonts w:ascii="Times New Roman" w:cs="Times New Roman" w:eastAsia="Times New Roman" w:hAnsi="Times New Roman"/>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Ordering patterns from our distributors may cause our revenue to fluctuate significantly from period to period.</w:t>
      </w:r>
    </w:p>
    <w:p>
      <w:pPr>
        <w:spacing w:after="0" w:line="17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operating results to fluctuate significantly. This fluctuation may cause our results to fall short of analyst or investor expectations in a certain period, which may cause our stock price to decline.</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0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Changes in current laws or regulations applicable to us or the imposition of new laws and regulations in the United States or other jurisdictions in which we do business, such as Australia,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3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26" w:lineRule="exact"/>
        <w:rPr>
          <w:sz w:val="20"/>
          <w:szCs w:val="20"/>
          <w:color w:val="auto"/>
        </w:rPr>
      </w:pPr>
    </w:p>
    <w:p>
      <w:pPr>
        <w:ind w:right="420" w:firstLine="432"/>
        <w:spacing w:after="0" w:line="261" w:lineRule="auto"/>
        <w:rPr>
          <w:sz w:val="20"/>
          <w:szCs w:val="20"/>
          <w:color w:val="auto"/>
        </w:rPr>
      </w:pPr>
      <w:r>
        <w:rPr>
          <w:rFonts w:ascii="Times New Roman" w:cs="Times New Roman" w:eastAsia="Times New Roman" w:hAnsi="Times New Roman"/>
          <w:sz w:val="18"/>
          <w:szCs w:val="18"/>
          <w:color w:val="auto"/>
        </w:rPr>
        <w:t>In addition, several states, including California, have either implemented or are considering implementing new restrictions on incentives or rule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2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While we are not aware of any other current or proposed export or import regulations which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2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0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3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0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3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2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3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2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0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are currently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could result in lost revenue or higher expenses and would harm our business.</w:t>
      </w:r>
    </w:p>
    <w:p>
      <w:pPr>
        <w:spacing w:after="0" w:line="12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05"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2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05"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installations on favorable terms, or increases in interest rates or changes in tax incentives, could lower an investor's return on investment in a solar PV installation,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4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10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sell our microinverter systems primarily through distributors, as well as through direct sales to solar equipment installers and sales to developers of third party solar finance offerings. For the six months ended June 30, 2014, Vivint Solar, Inc. and CED Greentech accounted for 27% and 14% of total revenues, respectively. In 2013, Vivint Solar, Inc., CED Greentech and Focused Energy, Inc. accounted for 15%, 14% and 11% of total net revenues, respectively. We do not have exclusive arrangements with these third parties and, as a result, many of our customers also market and sell products from our competitors, which may reduce our sales. Our customers may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3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2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0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0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3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35"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2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05"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81" w:lineRule="exact"/>
        <w:rPr>
          <w:sz w:val="20"/>
          <w:szCs w:val="20"/>
          <w:color w:val="auto"/>
        </w:rPr>
      </w:pPr>
    </w:p>
    <w:p>
      <w:pPr>
        <w:ind w:left="980" w:right="60" w:hanging="486"/>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claiming infringement a license to sell or use the relevant technology, which may not be available on reasonable terms, or at all;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selling, incorporating or using our products that embody the asserted intellectual property;</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w:t>
      </w:r>
    </w:p>
    <w:p>
      <w:pPr>
        <w:spacing w:after="0" w:line="225"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pursuant to indemnification obligations under some of our customer contracts; or expend significant resources to redesign the products that use the infringing technology and to develop or acquire non-infringing technology.</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0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and could continue to be affected by seasonal trends and construction cycles.</w:t>
      </w:r>
    </w:p>
    <w:p>
      <w:pPr>
        <w:spacing w:after="0" w:line="17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We have been and could continue to be subject to industry-specific seasonal fluctuations in the future,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2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our credit facilities may limit our flexibility in responding to business opportunities and competitive developments and increase our vulnerability to adverse economic or industry conditions.</w:t>
      </w:r>
    </w:p>
    <w:p>
      <w:pPr>
        <w:spacing w:after="0" w:line="105"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loan and security agreements with Wells Fargo Bank, National Association (“Wells Fargo”) and with Hercules Technology Growth Capital, Inc. (“Hercules”). The loan and security agreements with Wells Fargo and with Hercules restrict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These restrictions may limit our flexibility in responding to business opportunities, competitive developments and adverse economic or industry conditions. In addition, our obligations under our loan and security agreements with Wells Fargo and Hercules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05"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enacted in April 2012, or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3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2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prevent fraud. In addition, Section 404 of the Sarbanes-Oxley Act of 2002, or the Sarbanes-Oxley Act, requires us to establish and maintain internal control over financial reporting and disclosure controls procedures. The process of implementing our internal controls and complying with Section 404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of 2002,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0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Sections 382 and 383 of the Internal Revenue Code of 1986, as amended, contain rules that limit the ability of a company that undergoes an ownership change, which is generally any cumulative change in ownership of more than 50% of its stock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As a result, we may be unable to offset our taxable income with net operating losses, or our tax liability with credits, before these losses and credits expire.</w:t>
      </w:r>
    </w:p>
    <w:p>
      <w:pPr>
        <w:spacing w:after="0" w:line="13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 from other aspects of our business.</w:t>
      </w:r>
    </w:p>
    <w:p>
      <w:pPr>
        <w:spacing w:after="0" w:line="17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are subject to a wide variety of rules and regulations as a public reporting company. The Dodd-Frank Wall Street Reform and Consumer Protection Act, or the Dodd-Frank Act, the Sarbanes-Oxley Act and the rules implemented by the SEC and the NASDAQ Global Market impose significant regulatory requirements on public companies, including specific corporate governance practices. For example, the listing requirements of the NASDAQ Global Market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are required to devote a substantial amount of time to these compliance initiatives. Moreover, these rules and regulations increase our legal and financial compliance costs and make some activities more time-consuming and costly. As a public company, being subject to these rules and regulations makes it more difficult and more expensive for us to obtain director and officer liability insurance, and in the future,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139"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These rules and regulations also contain requirements that apply to manufacturers of products incorporating specified minerals. The Dodd-Frank Act requires public companies to report on their use of so-called conflict minerals originating from the Democratic Republic of Congo or its nine immediate neighbors. Certain minerals commonly used in semiconductors are on the list of conflict minerals, and additional minerals may be added to the list in the future. Compliance with these rules, which requires us to disclose our use of these minerals and may require us to obtain an annual audit of our sourcing and the chain of custody of these minerals, may be time-consuming and costly.</w:t>
      </w:r>
    </w:p>
    <w:p>
      <w:pPr>
        <w:spacing w:after="0" w:line="12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05"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68"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research and development efforts by hiring additional technical and other personnel;</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into new product markets and new geographies;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products, services or technologies; or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pursue our strategic plans and respond to competitive pressures.</w:t>
      </w:r>
    </w:p>
    <w:p>
      <w:pPr>
        <w:spacing w:after="0" w:line="279"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terrorist or cyber attacks, or other catastrophic events could harm our operations.</w:t>
      </w:r>
    </w:p>
    <w:p>
      <w:pPr>
        <w:spacing w:after="0" w:line="17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regardless of our operating performance.</w:t>
      </w:r>
    </w:p>
    <w:p>
      <w:pPr>
        <w:spacing w:after="0" w:line="175"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could be subject to wide fluctuations in response to, among other things, the risk factors described in “Part II. Item 1A. Risk Factors” of this Quarterly Report on Form 10-Q, and other factors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 to quarter due to a number of factors, which may lead to volatility in our stock price.</w:t>
      </w:r>
    </w:p>
    <w:p>
      <w:pPr>
        <w:spacing w:after="0" w:line="175"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68"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volume and product mix of sales of our products, which may have different average selling prices or profit margins;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225" w:lineRule="exact"/>
        <w:rPr>
          <w:rFonts w:ascii="Times New Roman" w:cs="Times New Roman" w:eastAsia="Times New Roman" w:hAnsi="Times New Roman"/>
          <w:sz w:val="18"/>
          <w:szCs w:val="18"/>
          <w:color w:val="auto"/>
        </w:rPr>
      </w:pPr>
    </w:p>
    <w:p>
      <w:pPr>
        <w:ind w:left="980" w:right="76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manufacture and deliver products to our customers in a timely and cost-effective manner and that meet customer requirements;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relationships with our contract manufacturers, customers and suppliers;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anticipation, announcement or introductions of new or enhanced products by our competitors and ourselves;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retail price of electricity;</w:t>
      </w:r>
    </w:p>
    <w:p>
      <w:pPr>
        <w:spacing w:after="0" w:line="225"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applicable to our business and products, particularly those relating to government incentives for solar energy applications;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costs or expenses;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maintenance and expansion of our business operations;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government-sponsored programs on our customers;</w:t>
      </w:r>
    </w:p>
    <w:p>
      <w:pPr>
        <w:spacing w:after="0" w:line="225" w:lineRule="exact"/>
        <w:rPr>
          <w:rFonts w:ascii="Times New Roman" w:cs="Times New Roman" w:eastAsia="Times New Roman" w:hAnsi="Times New Roman"/>
          <w:sz w:val="18"/>
          <w:szCs w:val="18"/>
          <w:color w:val="auto"/>
        </w:rPr>
      </w:pPr>
    </w:p>
    <w:p>
      <w:pPr>
        <w:ind w:left="980" w:right="28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estimate future warranty obligations due to product failure rates, claim rates or replacement costs;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customer demand, manufacturing requirements and manage our inventory;</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gross profit;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our revenue and plan our expenses appropriately;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7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121" w:right="27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0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2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executive officers and directors own a significant percentage of our stock, and they may take actions that our stockholders may not view as beneficial.</w:t>
      </w:r>
    </w:p>
    <w:p>
      <w:pPr>
        <w:spacing w:after="0" w:line="105"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Our principal stockholders, executive officers and directors own more than 50%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175"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3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1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05"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We currently do not plan to declare dividends on shares of our common stock in the foreseeable future. In addition, the terms of our bank loan agreements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1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05"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68" w:lineRule="exact"/>
        <w:rPr>
          <w:sz w:val="20"/>
          <w:szCs w:val="20"/>
          <w:color w:val="auto"/>
        </w:rPr>
      </w:pPr>
    </w:p>
    <w:p>
      <w:pPr>
        <w:ind w:left="980" w:right="620" w:hanging="486"/>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 which could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directory candidates;</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161" w:lineRule="exact"/>
        <w:rPr>
          <w:rFonts w:ascii="Times New Roman" w:cs="Times New Roman" w:eastAsia="Times New Roman" w:hAnsi="Times New Roman"/>
          <w:sz w:val="18"/>
          <w:szCs w:val="18"/>
          <w:color w:val="auto"/>
        </w:rPr>
      </w:pPr>
    </w:p>
    <w:p>
      <w:pPr>
        <w:ind w:left="980" w:right="920" w:hanging="486"/>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forces stockholder action to be taken at an annual or special meeting of our stockholders;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hanging="486"/>
        <w:spacing w:after="0" w:line="25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183" w:lineRule="exact"/>
        <w:rPr>
          <w:rFonts w:ascii="Times New Roman" w:cs="Times New Roman" w:eastAsia="Times New Roman" w:hAnsi="Times New Roman"/>
          <w:sz w:val="18"/>
          <w:szCs w:val="18"/>
          <w:color w:val="auto"/>
        </w:rPr>
      </w:pPr>
    </w:p>
    <w:p>
      <w:pPr>
        <w:ind w:left="980" w:hanging="486"/>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176" w:lineRule="exact"/>
        <w:rPr>
          <w:rFonts w:ascii="Times New Roman" w:cs="Times New Roman" w:eastAsia="Times New Roman" w:hAnsi="Times New Roman"/>
          <w:sz w:val="18"/>
          <w:szCs w:val="18"/>
          <w:color w:val="auto"/>
        </w:rPr>
      </w:pPr>
    </w:p>
    <w:p>
      <w:pPr>
        <w:ind w:left="980" w:right="80" w:hanging="486"/>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21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2"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2"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In June 2014, the Company issued 46,962 shares of common stock upon the net exercise of outstanding warrants by Horizon Technology Finance Corporation and its affiliates. The Company received no additional consideration in connection with this issuance. The warrants were initially exercisable into 161,958 shares of common stock with an exercise price of $6.17. The warrants were issued in March 2010 and March 2011 in connection with the execution of venture loan facilities in private placement transactions not involving a public offering pursuant to Section 4(a)(2) of the Securities Act of 1933, as amended. The conversion of these warrants into common stock was an exempt exchange under Section 3(a)(9) of the Securities Act.</w:t>
      </w:r>
    </w:p>
    <w:p>
      <w:pPr>
        <w:spacing w:after="0" w:line="369"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Exhibit Index which follows the signature page of this Quarterly Report on Form 10-Q, which is incorporated herein by reference.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August 6, 2014</w:t>
      </w: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89" w:lineRule="exact"/>
        <w:rPr>
          <w:sz w:val="20"/>
          <w:szCs w:val="20"/>
          <w:color w:val="auto"/>
        </w:rPr>
      </w:pPr>
    </w:p>
    <w:p>
      <w:pPr>
        <w:ind w:left="586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Kris Sennesael</w:t>
      </w:r>
    </w:p>
    <w:p>
      <w:pPr>
        <w:spacing w:after="0" w:line="6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121" w:right="2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80" w:type="dxa"/>
            <w:vAlign w:val="bottom"/>
            <w:gridSpan w:val="3"/>
          </w:tcPr>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5"/>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4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8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4740" w:type="dxa"/>
            <w:vAlign w:val="bottom"/>
          </w:tcPr>
          <w:p>
            <w:pPr>
              <w:spacing w:after="0"/>
              <w:rPr>
                <w:sz w:val="13"/>
                <w:szCs w:val="13"/>
                <w:color w:val="auto"/>
              </w:rPr>
            </w:pPr>
          </w:p>
        </w:tc>
        <w:tc>
          <w:tcPr>
            <w:tcW w:w="5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Amended and Restated Certificate of Incorporation of Enphase Energy, Inc.</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Amended and Restated Bylaws of Enphase Energy, Inc.</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Specimen Common Stock Certificate of Enphase Energy, Inc.</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3"/>
                <w:szCs w:val="23"/>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2010 Amended and Restated Investors’ Rights Agreement by and between Enphase Energy, Inc. and the investors listed on Exhibit A</w:t>
            </w:r>
          </w:p>
        </w:tc>
        <w:tc>
          <w:tcPr>
            <w:tcW w:w="0" w:type="dxa"/>
            <w:vAlign w:val="bottom"/>
          </w:tcPr>
          <w:p>
            <w:pPr>
              <w:spacing w:after="0"/>
              <w:rPr>
                <w:sz w:val="1"/>
                <w:szCs w:val="1"/>
                <w:color w:val="auto"/>
              </w:rPr>
            </w:pPr>
          </w:p>
        </w:tc>
      </w:tr>
      <w:tr>
        <w:trPr>
          <w:trHeight w:val="33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thereto, dated March 15, 2010, as amended.</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23"/>
                <w:szCs w:val="23"/>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Warrant to Purchase Shares of Series Preferred Stock, between the Company and Compass Horizon Funding Company LLC, dated</w:t>
            </w:r>
          </w:p>
        </w:tc>
        <w:tc>
          <w:tcPr>
            <w:tcW w:w="0" w:type="dxa"/>
            <w:vAlign w:val="bottom"/>
          </w:tcPr>
          <w:p>
            <w:pPr>
              <w:spacing w:after="0"/>
              <w:rPr>
                <w:sz w:val="1"/>
                <w:szCs w:val="1"/>
                <w:color w:val="auto"/>
              </w:rPr>
            </w:pPr>
          </w:p>
        </w:tc>
      </w:tr>
      <w:tr>
        <w:trPr>
          <w:trHeight w:val="33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 11, 2010.</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23"/>
                <w:szCs w:val="23"/>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Warrant to Purchase Shares of Series Preferred Stock, between the Company and Horizon Technology Finance Corporation, dated</w:t>
            </w:r>
          </w:p>
        </w:tc>
        <w:tc>
          <w:tcPr>
            <w:tcW w:w="0" w:type="dxa"/>
            <w:vAlign w:val="bottom"/>
          </w:tcPr>
          <w:p>
            <w:pPr>
              <w:spacing w:after="0"/>
              <w:rPr>
                <w:sz w:val="1"/>
                <w:szCs w:val="1"/>
                <w:color w:val="auto"/>
              </w:rPr>
            </w:pPr>
          </w:p>
        </w:tc>
      </w:tr>
      <w:tr>
        <w:trPr>
          <w:trHeight w:val="33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 25, 2011.</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23"/>
                <w:szCs w:val="23"/>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Warrant Agreement to Purchase Stock, between Enphase, Energy, Inc. and Hercules Technology Growth Capital, Inc., dated June 13,</w:t>
            </w:r>
          </w:p>
        </w:tc>
        <w:tc>
          <w:tcPr>
            <w:tcW w:w="0" w:type="dxa"/>
            <w:vAlign w:val="bottom"/>
          </w:tcPr>
          <w:p>
            <w:pPr>
              <w:spacing w:after="0"/>
              <w:rPr>
                <w:sz w:val="1"/>
                <w:szCs w:val="1"/>
                <w:color w:val="auto"/>
              </w:rPr>
            </w:pPr>
          </w:p>
        </w:tc>
      </w:tr>
      <w:tr>
        <w:trPr>
          <w:trHeight w:val="33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2011.</w:t>
            </w:r>
            <w:r>
              <w:rPr>
                <w:rFonts w:ascii="Times New Roman" w:cs="Times New Roman" w:eastAsia="Times New Roman" w:hAnsi="Times New Roman"/>
                <w:sz w:val="25"/>
                <w:szCs w:val="25"/>
                <w:color w:val="auto"/>
                <w:vertAlign w:val="superscript"/>
              </w:rPr>
              <w:t>(3)</w:t>
            </w:r>
          </w:p>
        </w:tc>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spacing w:after="0"/>
              <w:rPr>
                <w:sz w:val="23"/>
                <w:szCs w:val="23"/>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Form of June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3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Subordinated Convertible Loan Facility and Security Agreement.</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23"/>
                <w:szCs w:val="23"/>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Form of November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3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Subordinated Convertible Loan Facility and Security Agreement.</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9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13a-14(a)/15d-14(a).</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c>
          <w:tcPr>
            <w:tcW w:w="0" w:type="dxa"/>
            <w:vAlign w:val="bottom"/>
          </w:tcPr>
          <w:p>
            <w:pPr>
              <w:spacing w:after="0"/>
              <w:rPr>
                <w:sz w:val="1"/>
                <w:szCs w:val="1"/>
                <w:color w:val="auto"/>
              </w:rPr>
            </w:pPr>
          </w:p>
        </w:tc>
      </w:tr>
      <w:tr>
        <w:trPr>
          <w:trHeight w:val="37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06" w:lineRule="exact"/>
        <w:rPr>
          <w:sz w:val="20"/>
          <w:szCs w:val="20"/>
          <w:color w:val="auto"/>
        </w:rPr>
      </w:pPr>
    </w:p>
    <w:p>
      <w:pPr>
        <w:ind w:left="1300" w:hanging="482"/>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Exhibit 3.1 to the Current Report on Form 8-K (File No. 001-35480), filed with the Securities and Exchange Commission on April 6, 2012, and incorporated by reference herein.</w:t>
      </w:r>
    </w:p>
    <w:p>
      <w:pPr>
        <w:spacing w:after="0" w:line="26"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26"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the like-numbered exhibit to the Registration Statement on Form S-1/A (File No. 333-174925), and incorporated herein by reference.</w:t>
      </w:r>
    </w:p>
    <w:p>
      <w:pPr>
        <w:spacing w:after="0" w:line="27" w:lineRule="exact"/>
        <w:rPr>
          <w:sz w:val="20"/>
          <w:szCs w:val="20"/>
          <w:color w:val="auto"/>
        </w:rPr>
      </w:pPr>
    </w:p>
    <w:p>
      <w:pPr>
        <w:jc w:val="both"/>
        <w:ind w:left="1300" w:hanging="482"/>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B. Nahi, certify that:</w:t>
      </w:r>
    </w:p>
    <w:p>
      <w:pPr>
        <w:spacing w:after="0" w:line="198"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Enphase Energy, Inc.;</w:t>
      </w:r>
    </w:p>
    <w:p>
      <w:pPr>
        <w:spacing w:after="0" w:line="198"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4" w:lineRule="exact"/>
        <w:rPr>
          <w:rFonts w:ascii="Times New Roman" w:cs="Times New Roman" w:eastAsia="Times New Roman" w:hAnsi="Times New Roman"/>
          <w:sz w:val="18"/>
          <w:szCs w:val="18"/>
          <w:color w:val="auto"/>
        </w:rPr>
      </w:pPr>
    </w:p>
    <w:p>
      <w:pPr>
        <w:ind w:left="500" w:right="180" w:hanging="6"/>
        <w:spacing w:after="0" w:line="266" w:lineRule="auto"/>
        <w:tabs>
          <w:tab w:leader="none" w:pos="7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ind w:left="500" w:right="980" w:hanging="6"/>
        <w:spacing w:after="0" w:line="313" w:lineRule="auto"/>
        <w:tabs>
          <w:tab w:leader="none" w:pos="74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500" w:right="20" w:hanging="6"/>
        <w:spacing w:after="0" w:line="266" w:lineRule="auto"/>
        <w:tabs>
          <w:tab w:leader="none" w:pos="7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9"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500" w:right="360" w:hanging="6"/>
        <w:spacing w:after="0" w:line="282" w:lineRule="auto"/>
        <w:tabs>
          <w:tab w:leader="none" w:pos="7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500" w:right="320" w:hanging="6"/>
        <w:spacing w:after="0" w:line="282" w:lineRule="auto"/>
        <w:tabs>
          <w:tab w:leader="none" w:pos="7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2014</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Paul B. Nahi</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927"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198"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Enphase Energy, Inc.;</w:t>
      </w:r>
    </w:p>
    <w:p>
      <w:pPr>
        <w:spacing w:after="0" w:line="198"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4" w:lineRule="exact"/>
        <w:rPr>
          <w:rFonts w:ascii="Times New Roman" w:cs="Times New Roman" w:eastAsia="Times New Roman" w:hAnsi="Times New Roman"/>
          <w:sz w:val="18"/>
          <w:szCs w:val="18"/>
          <w:color w:val="auto"/>
        </w:rPr>
      </w:pPr>
    </w:p>
    <w:p>
      <w:pPr>
        <w:ind w:left="500" w:right="180" w:hanging="6"/>
        <w:spacing w:after="0" w:line="266" w:lineRule="auto"/>
        <w:tabs>
          <w:tab w:leader="none" w:pos="7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ind w:left="500" w:right="980" w:hanging="6"/>
        <w:spacing w:after="0" w:line="313" w:lineRule="auto"/>
        <w:tabs>
          <w:tab w:leader="none" w:pos="74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500" w:right="20" w:hanging="6"/>
        <w:spacing w:after="0" w:line="266" w:lineRule="auto"/>
        <w:tabs>
          <w:tab w:leader="none" w:pos="7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9"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500" w:right="360" w:hanging="6"/>
        <w:spacing w:after="0" w:line="282" w:lineRule="auto"/>
        <w:tabs>
          <w:tab w:leader="none" w:pos="7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500" w:right="320" w:hanging="6"/>
        <w:spacing w:after="0" w:line="282" w:lineRule="auto"/>
        <w:tabs>
          <w:tab w:leader="none" w:pos="7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2014</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Kris Sennesael</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92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31" w:lineRule="exact"/>
        <w:rPr>
          <w:sz w:val="20"/>
          <w:szCs w:val="20"/>
          <w:color w:val="auto"/>
        </w:rPr>
      </w:pPr>
    </w:p>
    <w:p>
      <w:pPr>
        <w:ind w:right="220" w:firstLine="8"/>
        <w:spacing w:after="0" w:line="282" w:lineRule="auto"/>
        <w:tabs>
          <w:tab w:leader="none" w:pos="1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June 30, 2014, to which this Certification is attached as Exhibit 32.1 (the “Periodic Report”), fully complies with the requirements of Section 13(a) or Section 15(d) of the Exchange Act; and</w:t>
      </w:r>
    </w:p>
    <w:p>
      <w:pPr>
        <w:spacing w:after="0" w:line="134"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set their hands hereto as of the 6 day of August,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Paul B. Nahi</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Kris Sennesael</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Paul B. Nahi</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r>
      <w:tr>
        <w:trPr>
          <w:trHeight w:val="297"/>
        </w:trPr>
        <w:tc>
          <w:tcPr>
            <w:tcW w:w="5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bl>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Roman"/>
      <w:start w:val="3"/>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2019-12-07T20:26:35Z</dcterms:created>
  <dcterms:modified xsi:type="dcterms:W3CDTF">2019-12-07T20:26:35Z</dcterms:modified>
</cp:coreProperties>
</file>