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3540"/>
        <w:spacing w:after="0"/>
        <w:rPr>
          <w:sz w:val="20"/>
          <w:szCs w:val="20"/>
          <w:color w:val="auto"/>
        </w:rPr>
      </w:pPr>
      <w:r>
        <w:rPr>
          <w:rFonts w:ascii="Arial" w:cs="Arial" w:eastAsia="Arial" w:hAnsi="Arial"/>
          <w:sz w:val="18"/>
          <w:szCs w:val="18"/>
          <w:color w:val="auto"/>
        </w:rPr>
        <w:t>____________________________________________</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52"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____________________________________________</w:t>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36" w:lineRule="exact"/>
        <w:rPr>
          <w:sz w:val="24"/>
          <w:szCs w:val="24"/>
          <w:color w:val="auto"/>
        </w:rPr>
      </w:pPr>
    </w:p>
    <w:p>
      <w:pPr>
        <w:ind w:left="720" w:right="80" w:hanging="685"/>
        <w:spacing w:after="0" w:line="259" w:lineRule="auto"/>
        <w:tabs>
          <w:tab w:leader="none" w:pos="720" w:val="left"/>
        </w:tabs>
        <w:numPr>
          <w:ilvl w:val="0"/>
          <w:numId w:val="1"/>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0" w:lineRule="exact"/>
        <w:rPr>
          <w:sz w:val="24"/>
          <w:szCs w:val="24"/>
          <w:color w:val="auto"/>
        </w:rPr>
      </w:pPr>
    </w:p>
    <w:p>
      <w:pPr>
        <w:ind w:left="720" w:right="80" w:hanging="685"/>
        <w:spacing w:after="0" w:line="260"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3" w:lineRule="exact"/>
        <w:rPr>
          <w:sz w:val="24"/>
          <w:szCs w:val="24"/>
          <w:color w:val="auto"/>
        </w:rPr>
      </w:pPr>
    </w:p>
    <w:tbl>
      <w:tblPr>
        <w:tblLayout w:type="fixed"/>
        <w:tblInd w:w="1400" w:type="dxa"/>
        <w:tblCellMar>
          <w:top w:w="0" w:type="dxa"/>
          <w:left w:w="0" w:type="dxa"/>
          <w:bottom w:w="0" w:type="dxa"/>
          <w:right w:w="0" w:type="dxa"/>
        </w:tblCellMar>
      </w:tblPr>
      <w:tr>
        <w:trPr>
          <w:trHeight w:val="207"/>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Commission File Number: 001-35480</w:t>
            </w:r>
          </w:p>
        </w:tc>
        <w:tc>
          <w:tcPr>
            <w:tcW w:w="1260" w:type="dxa"/>
            <w:vAlign w:val="bottom"/>
          </w:tcPr>
          <w:p>
            <w:pPr>
              <w:spacing w:after="0"/>
              <w:rPr>
                <w:sz w:val="17"/>
                <w:szCs w:val="17"/>
                <w:color w:val="auto"/>
              </w:rPr>
            </w:pPr>
          </w:p>
        </w:tc>
      </w:tr>
      <w:tr>
        <w:trPr>
          <w:trHeight w:val="148"/>
        </w:trPr>
        <w:tc>
          <w:tcPr>
            <w:tcW w:w="6580" w:type="dxa"/>
            <w:vAlign w:val="bottom"/>
          </w:tcPr>
          <w:p>
            <w:pPr>
              <w:jc w:val="center"/>
              <w:ind w:left="2010"/>
              <w:spacing w:after="0" w:line="149" w:lineRule="exact"/>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2"/>
                <w:szCs w:val="12"/>
                <w:color w:val="auto"/>
              </w:rPr>
            </w:pPr>
          </w:p>
        </w:tc>
      </w:tr>
      <w:tr>
        <w:trPr>
          <w:trHeight w:val="613"/>
        </w:trPr>
        <w:tc>
          <w:tcPr>
            <w:tcW w:w="6580" w:type="dxa"/>
            <w:vAlign w:val="bottom"/>
          </w:tcPr>
          <w:p>
            <w:pPr>
              <w:ind w:left="2160"/>
              <w:spacing w:after="0"/>
              <w:rPr>
                <w:sz w:val="20"/>
                <w:szCs w:val="20"/>
                <w:color w:val="auto"/>
              </w:rPr>
            </w:pPr>
            <w:r>
              <w:rPr>
                <w:rFonts w:ascii="Arial" w:cs="Arial" w:eastAsia="Arial" w:hAnsi="Arial"/>
                <w:sz w:val="43"/>
                <w:szCs w:val="43"/>
                <w:b w:val="1"/>
                <w:bCs w:val="1"/>
                <w:color w:val="auto"/>
              </w:rPr>
              <w:t>Enphase Energy, Inc.</w:t>
            </w:r>
          </w:p>
        </w:tc>
        <w:tc>
          <w:tcPr>
            <w:tcW w:w="1260" w:type="dxa"/>
            <w:vAlign w:val="bottom"/>
          </w:tcPr>
          <w:p>
            <w:pPr>
              <w:spacing w:after="0"/>
              <w:rPr>
                <w:sz w:val="24"/>
                <w:szCs w:val="24"/>
                <w:color w:val="auto"/>
              </w:rPr>
            </w:pPr>
          </w:p>
        </w:tc>
      </w:tr>
      <w:tr>
        <w:trPr>
          <w:trHeight w:val="224"/>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(Exact name of registrant as specified in its charter)</w:t>
            </w:r>
          </w:p>
        </w:tc>
        <w:tc>
          <w:tcPr>
            <w:tcW w:w="1260" w:type="dxa"/>
            <w:vAlign w:val="bottom"/>
          </w:tcPr>
          <w:p>
            <w:pPr>
              <w:spacing w:after="0"/>
              <w:rPr>
                <w:sz w:val="19"/>
                <w:szCs w:val="19"/>
                <w:color w:val="auto"/>
              </w:rPr>
            </w:pPr>
          </w:p>
        </w:tc>
      </w:tr>
      <w:tr>
        <w:trPr>
          <w:trHeight w:val="194"/>
        </w:trPr>
        <w:tc>
          <w:tcPr>
            <w:tcW w:w="6580" w:type="dxa"/>
            <w:vAlign w:val="bottom"/>
          </w:tcPr>
          <w:p>
            <w:pPr>
              <w:jc w:val="center"/>
              <w:ind w:left="2010"/>
              <w:spacing w:after="0"/>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6"/>
                <w:szCs w:val="16"/>
                <w:color w:val="auto"/>
              </w:rPr>
            </w:pPr>
          </w:p>
        </w:tc>
      </w:tr>
      <w:tr>
        <w:trPr>
          <w:trHeight w:val="317"/>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w w:val="98"/>
              </w:rPr>
              <w:t>Delaware</w:t>
            </w: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20-4645388</w:t>
            </w:r>
          </w:p>
        </w:tc>
      </w:tr>
      <w:tr>
        <w:trPr>
          <w:trHeight w:val="162"/>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(State or other jurisdiction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incorporation or organization)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Identification No.)</w:t>
            </w:r>
          </w:p>
        </w:tc>
      </w:tr>
      <w:tr>
        <w:trPr>
          <w:trHeight w:val="328"/>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rPr>
              <w:t>1420 N. McDowell Blvd.</w:t>
            </w:r>
          </w:p>
        </w:tc>
        <w:tc>
          <w:tcPr>
            <w:tcW w:w="1260" w:type="dxa"/>
            <w:vAlign w:val="bottom"/>
          </w:tcPr>
          <w:p>
            <w:pPr>
              <w:spacing w:after="0"/>
              <w:rPr>
                <w:sz w:val="24"/>
                <w:szCs w:val="24"/>
                <w:color w:val="auto"/>
              </w:rPr>
            </w:pPr>
          </w:p>
        </w:tc>
      </w:tr>
      <w:tr>
        <w:trPr>
          <w:trHeight w:val="253"/>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rPr>
              <w:t>Petaluma, California</w:t>
            </w:r>
          </w:p>
        </w:tc>
        <w:tc>
          <w:tcPr>
            <w:tcW w:w="1260" w:type="dxa"/>
            <w:vAlign w:val="bottom"/>
          </w:tcPr>
          <w:p>
            <w:pPr>
              <w:jc w:val="right"/>
              <w:ind w:right="281"/>
              <w:spacing w:after="0"/>
              <w:rPr>
                <w:sz w:val="20"/>
                <w:szCs w:val="20"/>
                <w:color w:val="auto"/>
              </w:rPr>
            </w:pPr>
            <w:r>
              <w:rPr>
                <w:rFonts w:ascii="Arial" w:cs="Arial" w:eastAsia="Arial" w:hAnsi="Arial"/>
                <w:sz w:val="18"/>
                <w:szCs w:val="18"/>
                <w:b w:val="1"/>
                <w:bCs w:val="1"/>
                <w:color w:val="auto"/>
              </w:rPr>
              <w:t>94954</w:t>
            </w:r>
          </w:p>
        </w:tc>
      </w:tr>
      <w:tr>
        <w:trPr>
          <w:trHeight w:val="216"/>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(Address of principal executive offices)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(Zip Code)</w:t>
            </w:r>
          </w:p>
        </w:tc>
      </w:tr>
      <w:tr>
        <w:trPr>
          <w:trHeight w:val="338"/>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(707) 774-7000</w:t>
            </w:r>
          </w:p>
        </w:tc>
        <w:tc>
          <w:tcPr>
            <w:tcW w:w="1260" w:type="dxa"/>
            <w:vAlign w:val="bottom"/>
          </w:tcPr>
          <w:p>
            <w:pPr>
              <w:spacing w:after="0"/>
              <w:rPr>
                <w:sz w:val="24"/>
                <w:szCs w:val="24"/>
                <w:color w:val="auto"/>
              </w:rPr>
            </w:pPr>
          </w:p>
        </w:tc>
      </w:tr>
      <w:tr>
        <w:trPr>
          <w:trHeight w:val="151"/>
        </w:trPr>
        <w:tc>
          <w:tcPr>
            <w:tcW w:w="6580" w:type="dxa"/>
            <w:vAlign w:val="bottom"/>
          </w:tcPr>
          <w:p>
            <w:pPr>
              <w:jc w:val="center"/>
              <w:ind w:left="1970"/>
              <w:spacing w:after="0" w:line="151" w:lineRule="exact"/>
              <w:rPr>
                <w:sz w:val="20"/>
                <w:szCs w:val="20"/>
                <w:color w:val="auto"/>
              </w:rPr>
            </w:pPr>
            <w:r>
              <w:rPr>
                <w:rFonts w:ascii="Arial" w:cs="Arial" w:eastAsia="Arial" w:hAnsi="Arial"/>
                <w:sz w:val="14"/>
                <w:szCs w:val="14"/>
                <w:b w:val="1"/>
                <w:bCs w:val="1"/>
                <w:color w:val="auto"/>
              </w:rPr>
              <w:t>(Registrant’s telephone number, including area code)</w:t>
            </w:r>
          </w:p>
        </w:tc>
        <w:tc>
          <w:tcPr>
            <w:tcW w:w="1260" w:type="dxa"/>
            <w:vAlign w:val="bottom"/>
          </w:tcPr>
          <w:p>
            <w:pPr>
              <w:spacing w:after="0"/>
              <w:rPr>
                <w:sz w:val="13"/>
                <w:szCs w:val="13"/>
                <w:color w:val="auto"/>
              </w:rPr>
            </w:pPr>
          </w:p>
        </w:tc>
      </w:tr>
      <w:tr>
        <w:trPr>
          <w:trHeight w:val="194"/>
        </w:trPr>
        <w:tc>
          <w:tcPr>
            <w:tcW w:w="6580" w:type="dxa"/>
            <w:vAlign w:val="bottom"/>
          </w:tcPr>
          <w:p>
            <w:pPr>
              <w:jc w:val="center"/>
              <w:ind w:left="2010"/>
              <w:spacing w:after="0"/>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6"/>
                <w:szCs w:val="16"/>
                <w:color w:val="auto"/>
              </w:rPr>
            </w:pPr>
          </w:p>
        </w:tc>
      </w:tr>
    </w:tbl>
    <w:p>
      <w:pPr>
        <w:spacing w:after="0" w:line="116" w:lineRule="exact"/>
        <w:rPr>
          <w:sz w:val="24"/>
          <w:szCs w:val="24"/>
          <w:color w:val="auto"/>
        </w:rPr>
      </w:pPr>
    </w:p>
    <w:p>
      <w:pPr>
        <w:ind w:right="200"/>
        <w:spacing w:after="0" w:line="18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4"/>
          <w:szCs w:val="14"/>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0" w:lineRule="exact"/>
        <w:rPr>
          <w:sz w:val="24"/>
          <w:szCs w:val="24"/>
          <w:color w:val="auto"/>
        </w:rPr>
      </w:pPr>
    </w:p>
    <w:p>
      <w:pPr>
        <w:spacing w:after="0" w:line="177"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Times New Roman" w:cs="Times New Roman" w:eastAsia="Times New Roman" w:hAnsi="Times New Roman"/>
          <w:sz w:val="14"/>
          <w:szCs w:val="14"/>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1" w:lineRule="exact"/>
        <w:rPr>
          <w:sz w:val="24"/>
          <w:szCs w:val="24"/>
          <w:color w:val="auto"/>
        </w:rPr>
      </w:pPr>
    </w:p>
    <w:p>
      <w:pPr>
        <w:ind w:right="280"/>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 “smaller reporting company,” and “emerging growth company” in Rule 12b-2 of the Exchange Act:</w:t>
      </w:r>
    </w:p>
    <w:p>
      <w:pPr>
        <w:sectPr>
          <w:pgSz w:w="11900" w:h="16838" w:orient="portrait"/>
          <w:cols w:equalWidth="0" w:num="1">
            <w:col w:w="11340"/>
          </w:cols>
          <w:pgMar w:left="240" w:top="225" w:right="319" w:bottom="1440" w:gutter="0" w:footer="0" w:header="0"/>
        </w:sectPr>
      </w:pPr>
    </w:p>
    <w:p>
      <w:pPr>
        <w:spacing w:after="0" w:line="76" w:lineRule="exact"/>
        <w:rPr>
          <w:sz w:val="24"/>
          <w:szCs w:val="24"/>
          <w:color w:val="auto"/>
        </w:rPr>
      </w:pPr>
    </w:p>
    <w:tbl>
      <w:tblPr>
        <w:tblLayout w:type="fixed"/>
        <w:tblInd w:w="40" w:type="dxa"/>
        <w:tblCellMar>
          <w:top w:w="0" w:type="dxa"/>
          <w:left w:w="0" w:type="dxa"/>
          <w:bottom w:w="0" w:type="dxa"/>
          <w:right w:w="0" w:type="dxa"/>
        </w:tblCellMar>
      </w:tblPr>
      <w:tr>
        <w:trPr>
          <w:trHeight w:val="227"/>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6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2800" w:type="dxa"/>
            <w:vAlign w:val="bottom"/>
          </w:tcPr>
          <w:p>
            <w:pPr>
              <w:ind w:left="1080"/>
              <w:spacing w:after="0"/>
              <w:rPr>
                <w:sz w:val="20"/>
                <w:szCs w:val="20"/>
                <w:color w:val="auto"/>
              </w:rPr>
            </w:pPr>
            <w:r>
              <w:rPr>
                <w:rFonts w:ascii="Arial" w:cs="Arial" w:eastAsia="Arial" w:hAnsi="Arial"/>
                <w:sz w:val="14"/>
                <w:szCs w:val="14"/>
                <w:color w:val="auto"/>
              </w:rPr>
              <w:t>Accelerated filer</w:t>
            </w:r>
          </w:p>
        </w:tc>
      </w:tr>
      <w:tr>
        <w:trPr>
          <w:trHeight w:val="351"/>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4600" w:type="dxa"/>
            <w:vAlign w:val="bottom"/>
          </w:tcPr>
          <w:p>
            <w:pPr>
              <w:ind w:left="4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800" w:type="dxa"/>
            <w:vAlign w:val="bottom"/>
          </w:tcPr>
          <w:p>
            <w:pPr>
              <w:ind w:left="1080"/>
              <w:spacing w:after="0"/>
              <w:rPr>
                <w:sz w:val="20"/>
                <w:szCs w:val="20"/>
                <w:color w:val="auto"/>
              </w:rPr>
            </w:pPr>
            <w:r>
              <w:rPr>
                <w:rFonts w:ascii="Arial" w:cs="Arial" w:eastAsia="Arial" w:hAnsi="Arial"/>
                <w:sz w:val="14"/>
                <w:szCs w:val="14"/>
                <w:color w:val="auto"/>
              </w:rPr>
              <w:t>Smaller reporting company</w:t>
            </w:r>
          </w:p>
        </w:tc>
      </w:tr>
      <w:tr>
        <w:trPr>
          <w:trHeight w:val="392"/>
        </w:trPr>
        <w:tc>
          <w:tcPr>
            <w:tcW w:w="22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6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x</w:t>
            </w:r>
          </w:p>
        </w:tc>
        <w:tc>
          <w:tcPr>
            <w:tcW w:w="2800" w:type="dxa"/>
            <w:vAlign w:val="bottom"/>
          </w:tcPr>
          <w:p>
            <w:pPr>
              <w:spacing w:after="0"/>
              <w:rPr>
                <w:sz w:val="24"/>
                <w:szCs w:val="24"/>
                <w:color w:val="auto"/>
              </w:rPr>
            </w:pPr>
          </w:p>
        </w:tc>
      </w:tr>
    </w:tbl>
    <w:p>
      <w:pPr>
        <w:spacing w:after="0" w:line="76" w:lineRule="exact"/>
        <w:rPr>
          <w:sz w:val="24"/>
          <w:szCs w:val="24"/>
          <w:color w:val="auto"/>
        </w:rPr>
      </w:pPr>
    </w:p>
    <w:p>
      <w:pPr>
        <w:spacing w:after="0" w:line="290" w:lineRule="auto"/>
        <w:rPr>
          <w:sz w:val="20"/>
          <w:szCs w:val="20"/>
          <w:color w:val="auto"/>
        </w:rPr>
      </w:pPr>
      <w:r>
        <w:rPr>
          <w:rFonts w:ascii="Arial" w:cs="Arial" w:eastAsia="Arial" w:hAnsi="Arial"/>
          <w:sz w:val="14"/>
          <w:szCs w:val="14"/>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4"/>
          <w:szCs w:val="14"/>
          <w:color w:val="auto"/>
        </w:rPr>
        <w:t>x</w:t>
      </w:r>
    </w:p>
    <w:p>
      <w:pPr>
        <w:spacing w:after="0" w:line="10" w:lineRule="exact"/>
        <w:rPr>
          <w:sz w:val="24"/>
          <w:szCs w:val="24"/>
          <w:color w:val="auto"/>
        </w:rPr>
      </w:pPr>
    </w:p>
    <w:p>
      <w:pPr>
        <w:ind w:right="2620"/>
        <w:spacing w:after="0" w:line="23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Times New Roman" w:cs="Times New Roman" w:eastAsia="Times New Roman" w:hAnsi="Times New Roman"/>
          <w:sz w:val="14"/>
          <w:szCs w:val="14"/>
          <w:color w:val="auto"/>
        </w:rPr>
        <w:t>x</w:t>
      </w:r>
      <w:r>
        <w:rPr>
          <w:rFonts w:ascii="Arial" w:cs="Arial" w:eastAsia="Arial" w:hAnsi="Arial"/>
          <w:sz w:val="14"/>
          <w:szCs w:val="14"/>
          <w:color w:val="auto"/>
        </w:rPr>
        <w:t xml:space="preserve"> As of May 5, 2017, there were 84,276,432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15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900" w:space="200"/>
            <w:col w:w="240"/>
          </w:cols>
          <w:pgMar w:left="240" w:top="225"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MARCH 31,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5"/>
        </w:trPr>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40" w:type="dxa"/>
            <w:vAlign w:val="bottom"/>
            <w:gridSpan w:val="13"/>
          </w:tcPr>
          <w:p>
            <w:pPr>
              <w:jc w:val="center"/>
              <w:ind w:right="2700"/>
              <w:spacing w:after="0" w:line="185"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 FINANCIAL INFORMATION</w:t>
              </w:r>
            </w:hyperlink>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30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2940" w:type="dxa"/>
            <w:vAlign w:val="bottom"/>
            <w:tcBorders>
              <w:top w:val="single" w:sz="8" w:color="0000EE"/>
            </w:tcBorders>
            <w:gridSpan w:val="10"/>
          </w:tcPr>
          <w:p>
            <w:pPr>
              <w:spacing w:after="0"/>
              <w:rPr>
                <w:sz w:val="24"/>
                <w:szCs w:val="24"/>
                <w:color w:val="auto"/>
              </w:rPr>
            </w:pPr>
          </w:p>
        </w:tc>
        <w:tc>
          <w:tcPr>
            <w:tcW w:w="310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492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Comprehensive Loss</w:t>
              </w:r>
            </w:hyperlink>
          </w:p>
        </w:tc>
        <w:tc>
          <w:tcPr>
            <w:tcW w:w="4180" w:type="dxa"/>
            <w:vAlign w:val="bottom"/>
            <w:gridSpan w:val="4"/>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00" w:type="dxa"/>
            <w:vAlign w:val="bottom"/>
            <w:gridSpan w:val="22"/>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9100" w:type="dxa"/>
            <w:vAlign w:val="bottom"/>
            <w:gridSpan w:val="22"/>
            <w:vMerge w:val="continue"/>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470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4400" w:type="dxa"/>
            <w:vAlign w:val="bottom"/>
            <w:gridSpan w:val="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660" w:type="dxa"/>
            <w:vAlign w:val="bottom"/>
            <w:gridSpan w:val="3"/>
            <w:shd w:val="clear" w:color="auto" w:fill="0000EE"/>
          </w:tcPr>
          <w:p>
            <w:pPr>
              <w:spacing w:after="0"/>
              <w:rPr>
                <w:sz w:val="2"/>
                <w:szCs w:val="2"/>
                <w:color w:val="auto"/>
              </w:rPr>
            </w:pPr>
          </w:p>
        </w:tc>
        <w:tc>
          <w:tcPr>
            <w:tcW w:w="1500" w:type="dxa"/>
            <w:vAlign w:val="bottom"/>
            <w:gridSpan w:val="5"/>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21"/>
          </w:tcPr>
          <w:p>
            <w:pP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Management’s Discussion and Analysis of Financial Condition and Results of Operations</w:t>
              </w:r>
            </w:hyperlink>
          </w:p>
        </w:tc>
        <w:tc>
          <w:tcPr>
            <w:tcW w:w="2020" w:type="dxa"/>
            <w:vAlign w:val="bottom"/>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2020" w:type="dxa"/>
            <w:vAlign w:val="bottom"/>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4400" w:type="dxa"/>
            <w:vAlign w:val="bottom"/>
            <w:gridSpan w:val="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358"/>
        </w:trPr>
        <w:tc>
          <w:tcPr>
            <w:tcW w:w="10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gridSpan w:val="11"/>
          </w:tcPr>
          <w:p>
            <w:pPr>
              <w:jc w:val="center"/>
              <w:ind w:right="3240"/>
              <w:spacing w:after="0"/>
              <w:rPr>
                <w:rFonts w:ascii="Arial" w:cs="Arial" w:eastAsia="Arial" w:hAnsi="Arial"/>
                <w:sz w:val="18"/>
                <w:szCs w:val="18"/>
                <w:b w:val="1"/>
                <w:bCs w:val="1"/>
                <w:color w:val="0000EE"/>
                <w:w w:val="98"/>
              </w:rPr>
            </w:pPr>
            <w:hyperlink w:anchor="page29">
              <w:r>
                <w:rPr>
                  <w:rFonts w:ascii="Arial" w:cs="Arial" w:eastAsia="Arial" w:hAnsi="Arial"/>
                  <w:sz w:val="18"/>
                  <w:szCs w:val="18"/>
                  <w:b w:val="1"/>
                  <w:bCs w:val="1"/>
                  <w:color w:val="0000EE"/>
                  <w:w w:val="98"/>
                </w:rPr>
                <w:t>PART II. OTHER INFORMATION</w:t>
              </w:r>
            </w:hyperlink>
          </w:p>
        </w:tc>
        <w:tc>
          <w:tcPr>
            <w:tcW w:w="10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3200" w:type="dxa"/>
            <w:vAlign w:val="bottom"/>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2660" w:type="dxa"/>
            <w:vAlign w:val="bottom"/>
            <w:tcBorders>
              <w:top w:val="single" w:sz="8" w:color="0000EE"/>
            </w:tcBorders>
            <w:gridSpan w:val="8"/>
          </w:tcPr>
          <w:p>
            <w:pPr>
              <w:spacing w:after="0"/>
              <w:rPr>
                <w:sz w:val="24"/>
                <w:szCs w:val="24"/>
                <w:color w:val="auto"/>
              </w:rPr>
            </w:pPr>
          </w:p>
        </w:tc>
        <w:tc>
          <w:tcPr>
            <w:tcW w:w="3240" w:type="dxa"/>
            <w:vAlign w:val="bottom"/>
            <w:gridSpan w:val="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0000EE"/>
                <w:w w:val="97"/>
              </w:rPr>
            </w:pPr>
            <w:hyperlink w:anchor="page29">
              <w:r>
                <w:rPr>
                  <w:rFonts w:ascii="Arial" w:cs="Arial" w:eastAsia="Arial" w:hAnsi="Arial"/>
                  <w:sz w:val="18"/>
                  <w:szCs w:val="18"/>
                  <w:color w:val="0000EE"/>
                  <w:w w:val="97"/>
                </w:rPr>
                <w:t>Risk Factors</w:t>
              </w:r>
            </w:hyperlink>
          </w:p>
        </w:tc>
        <w:tc>
          <w:tcPr>
            <w:tcW w:w="480" w:type="dxa"/>
            <w:vAlign w:val="bottom"/>
            <w:gridSpan w:val="2"/>
          </w:tcPr>
          <w:p>
            <w:pPr>
              <w:spacing w:after="0"/>
              <w:rPr>
                <w:sz w:val="20"/>
                <w:szCs w:val="20"/>
                <w:color w:val="auto"/>
              </w:rPr>
            </w:pPr>
          </w:p>
        </w:tc>
        <w:tc>
          <w:tcPr>
            <w:tcW w:w="7620" w:type="dxa"/>
            <w:vAlign w:val="bottom"/>
            <w:gridSpan w:val="17"/>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10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Defaults Upon Senior Securities</w:t>
              </w:r>
            </w:hyperlink>
          </w:p>
        </w:tc>
        <w:tc>
          <w:tcPr>
            <w:tcW w:w="4260" w:type="dxa"/>
            <w:vAlign w:val="bottom"/>
            <w:gridSpan w:val="5"/>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56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6560" w:type="dxa"/>
            <w:vAlign w:val="bottom"/>
            <w:gridSpan w:val="14"/>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180" w:type="dxa"/>
            <w:vAlign w:val="bottom"/>
            <w:gridSpan w:val="1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Other Information</w:t>
              </w:r>
            </w:hyperlink>
          </w:p>
        </w:tc>
        <w:tc>
          <w:tcPr>
            <w:tcW w:w="520" w:type="dxa"/>
            <w:vAlign w:val="bottom"/>
            <w:gridSpan w:val="2"/>
          </w:tcPr>
          <w:p>
            <w:pPr>
              <w:spacing w:after="0"/>
              <w:rPr>
                <w:sz w:val="20"/>
                <w:szCs w:val="20"/>
                <w:color w:val="auto"/>
              </w:rPr>
            </w:pPr>
          </w:p>
        </w:tc>
        <w:tc>
          <w:tcPr>
            <w:tcW w:w="7180" w:type="dxa"/>
            <w:vAlign w:val="bottom"/>
            <w:gridSpan w:val="1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700" w:type="dxa"/>
            <w:vAlign w:val="bottom"/>
            <w:gridSpan w:val="1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7700" w:type="dxa"/>
            <w:vAlign w:val="bottom"/>
            <w:gridSpan w:val="18"/>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40" w:type="dxa"/>
            <w:vAlign w:val="bottom"/>
            <w:gridSpan w:val="2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6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 (Unaudited)</w:t>
      </w:r>
    </w:p>
    <w:p>
      <w:pPr>
        <w:spacing w:after="0" w:line="23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right"/>
        <w:ind w:right="35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right"/>
        <w:ind w:right="300"/>
        <w:spacing w:after="0"/>
        <w:tabs>
          <w:tab w:leader="none" w:pos="92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4"/>
          <w:szCs w:val="14"/>
          <w:b w:val="1"/>
          <w:bCs w:val="1"/>
          <w:color w:val="auto"/>
        </w:rPr>
        <w:t>December 31,</w:t>
      </w:r>
    </w:p>
    <w:p>
      <w:pPr>
        <w:spacing w:after="0" w:line="21" w:lineRule="exact"/>
        <w:rPr>
          <w:sz w:val="20"/>
          <w:szCs w:val="20"/>
          <w:color w:val="auto"/>
        </w:rPr>
      </w:pPr>
    </w:p>
    <w:p>
      <w:pPr>
        <w:jc w:val="both"/>
        <w:ind w:left="8920"/>
        <w:spacing w:after="0"/>
        <w:tabs>
          <w:tab w:leader="none" w:pos="105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p>
      <w:pPr>
        <w:spacing w:after="0" w:line="3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ASSETS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tabs>
          <w:tab w:leader="none" w:pos="8340" w:val="left"/>
        </w:tabs>
        <w:rPr>
          <w:sz w:val="20"/>
          <w:szCs w:val="20"/>
          <w:color w:val="auto"/>
        </w:rPr>
      </w:pPr>
      <w:r>
        <w:rPr>
          <w:rFonts w:ascii="Arial" w:cs="Arial" w:eastAsia="Arial" w:hAnsi="Arial"/>
          <w:sz w:val="18"/>
          <w:szCs w:val="18"/>
          <w:color w:val="auto"/>
        </w:rPr>
        <w:t>Cash and cash equivalents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60" w:right="180" w:hanging="80"/>
        <w:spacing w:after="0" w:line="266" w:lineRule="auto"/>
        <w:rPr>
          <w:sz w:val="20"/>
          <w:szCs w:val="20"/>
          <w:color w:val="auto"/>
        </w:rPr>
      </w:pPr>
      <w:r>
        <w:rPr>
          <w:rFonts w:ascii="Arial" w:cs="Arial" w:eastAsia="Arial" w:hAnsi="Arial"/>
          <w:sz w:val="18"/>
          <w:szCs w:val="18"/>
          <w:color w:val="auto"/>
        </w:rPr>
        <w:t>Accounts receivable, net of allowances of $2,145 and $2,921 at March 31,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Inventory</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current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w:t>
      </w:r>
    </w:p>
    <w:p>
      <w:pPr>
        <w:spacing w:after="0" w:line="77" w:lineRule="exact"/>
        <w:rPr>
          <w:sz w:val="20"/>
          <w:szCs w:val="20"/>
          <w:color w:val="auto"/>
        </w:rPr>
      </w:pPr>
    </w:p>
    <w:p>
      <w:pPr>
        <w:ind w:left="40"/>
        <w:spacing w:after="0"/>
        <w:tabs>
          <w:tab w:leader="none" w:pos="8340" w:val="left"/>
        </w:tabs>
        <w:rPr>
          <w:sz w:val="20"/>
          <w:szCs w:val="20"/>
          <w:color w:val="auto"/>
        </w:rPr>
      </w:pPr>
      <w:r>
        <w:rPr>
          <w:rFonts w:ascii="Arial" w:cs="Arial" w:eastAsia="Arial" w:hAnsi="Arial"/>
          <w:sz w:val="18"/>
          <w:szCs w:val="18"/>
          <w:color w:val="auto"/>
        </w:rPr>
        <w:t>Total assets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LIABILITIES AND STOCKHOLDERS’ EQUITY</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tabs>
          <w:tab w:leader="none" w:pos="8340" w:val="left"/>
        </w:tabs>
        <w:rPr>
          <w:sz w:val="20"/>
          <w:szCs w:val="20"/>
          <w:color w:val="auto"/>
        </w:rPr>
      </w:pPr>
      <w:r>
        <w:rPr>
          <w:rFonts w:ascii="Arial" w:cs="Arial" w:eastAsia="Arial" w:hAnsi="Arial"/>
          <w:sz w:val="18"/>
          <w:szCs w:val="18"/>
          <w:color w:val="auto"/>
        </w:rPr>
        <w:t>Accounts payable</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revenues, current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Warranty obligations, current (includes $3,467 and $3,296 measured at fair value at March 31,</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Revolving credit facility</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Current portion of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current liabilities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revenues, noncurrent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Warranty obligations, noncurrent (includes $8,160 and $7,036 measured at fair value at March 31,</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liabilities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Term loan,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Stockholders’ equity:</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Preferred stock, $0.00001 par value, 10,000 shares authorized; none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Common stock, $0.00001 par value, 100,000 shares authorized; 84,276 and 62,269 shares issued</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outstanding at March 31, 2017 and December 31, 2016, respectively</w:t>
      </w:r>
    </w:p>
    <w:p>
      <w:pPr>
        <w:spacing w:after="0" w:line="2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Accumulated deficit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stockholders’ equity</w:t>
      </w:r>
    </w:p>
    <w:p>
      <w:pPr>
        <w:spacing w:after="0" w:line="77" w:lineRule="exact"/>
        <w:rPr>
          <w:sz w:val="20"/>
          <w:szCs w:val="20"/>
          <w:color w:val="auto"/>
        </w:rPr>
      </w:pPr>
    </w:p>
    <w:p>
      <w:pPr>
        <w:ind w:left="40"/>
        <w:spacing w:after="0"/>
        <w:tabs>
          <w:tab w:leader="none" w:pos="8340" w:val="left"/>
        </w:tabs>
        <w:rPr>
          <w:sz w:val="20"/>
          <w:szCs w:val="20"/>
          <w:color w:val="auto"/>
        </w:rPr>
      </w:pPr>
      <w:r>
        <w:rPr>
          <w:rFonts w:ascii="Arial" w:cs="Arial" w:eastAsia="Arial" w:hAnsi="Arial"/>
          <w:sz w:val="18"/>
          <w:szCs w:val="18"/>
          <w:color w:val="auto"/>
        </w:rPr>
        <w:t>Total liabilities and stockholders’ equity</w:t>
      </w:r>
      <w:r>
        <w:rPr>
          <w:sz w:val="20"/>
          <w:szCs w:val="20"/>
          <w:color w:val="auto"/>
        </w:rPr>
        <w:tab/>
      </w:r>
      <w:r>
        <w:rPr>
          <w:rFonts w:ascii="Arial" w:cs="Arial" w:eastAsia="Arial" w:hAnsi="Arial"/>
          <w:sz w:val="17"/>
          <w:szCs w:val="17"/>
          <w:color w:val="auto"/>
        </w:rPr>
        <w:t>$</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left="160"/>
        <w:spacing w:after="0"/>
        <w:tabs>
          <w:tab w:leader="none" w:pos="940" w:val="left"/>
          <w:tab w:leader="none" w:pos="1740" w:val="left"/>
        </w:tabs>
        <w:rPr>
          <w:sz w:val="20"/>
          <w:szCs w:val="20"/>
          <w:color w:val="auto"/>
        </w:rPr>
      </w:pPr>
      <w:r>
        <w:rPr>
          <w:rFonts w:ascii="Arial" w:cs="Arial" w:eastAsia="Arial" w:hAnsi="Arial"/>
          <w:sz w:val="18"/>
          <w:szCs w:val="18"/>
          <w:color w:val="auto"/>
        </w:rPr>
        <w:t>29,955</w:t>
        <w:tab/>
        <w:t>$</w:t>
      </w:r>
      <w:r>
        <w:rPr>
          <w:sz w:val="20"/>
          <w:szCs w:val="20"/>
          <w:color w:val="auto"/>
        </w:rPr>
        <w:tab/>
      </w:r>
      <w:r>
        <w:rPr>
          <w:rFonts w:ascii="Arial" w:cs="Arial" w:eastAsia="Arial" w:hAnsi="Arial"/>
          <w:sz w:val="18"/>
          <w:szCs w:val="18"/>
          <w:color w:val="auto"/>
        </w:rPr>
        <w:t>17,764</w:t>
      </w:r>
    </w:p>
    <w:p>
      <w:pPr>
        <w:spacing w:after="0" w:line="158" w:lineRule="exact"/>
        <w:rPr>
          <w:sz w:val="20"/>
          <w:szCs w:val="20"/>
          <w:color w:val="auto"/>
        </w:rPr>
      </w:pPr>
    </w:p>
    <w:p>
      <w:pPr>
        <w:ind w:left="160"/>
        <w:spacing w:after="0"/>
        <w:tabs>
          <w:tab w:leader="none" w:pos="1740" w:val="left"/>
        </w:tabs>
        <w:rPr>
          <w:sz w:val="20"/>
          <w:szCs w:val="20"/>
          <w:color w:val="auto"/>
        </w:rPr>
      </w:pPr>
      <w:r>
        <w:rPr>
          <w:rFonts w:ascii="Arial" w:cs="Arial" w:eastAsia="Arial" w:hAnsi="Arial"/>
          <w:sz w:val="18"/>
          <w:szCs w:val="18"/>
          <w:color w:val="auto"/>
        </w:rPr>
        <w:t>48,903</w:t>
      </w:r>
      <w:r>
        <w:rPr>
          <w:sz w:val="20"/>
          <w:szCs w:val="20"/>
          <w:color w:val="auto"/>
        </w:rPr>
        <w:tab/>
      </w:r>
      <w:r>
        <w:rPr>
          <w:rFonts w:ascii="Arial" w:cs="Arial" w:eastAsia="Arial" w:hAnsi="Arial"/>
          <w:sz w:val="18"/>
          <w:szCs w:val="18"/>
          <w:color w:val="auto"/>
        </w:rPr>
        <w:t>61,019</w:t>
      </w:r>
    </w:p>
    <w:p>
      <w:pPr>
        <w:spacing w:after="0" w:line="158" w:lineRule="exact"/>
        <w:rPr>
          <w:sz w:val="20"/>
          <w:szCs w:val="20"/>
          <w:color w:val="auto"/>
        </w:rPr>
      </w:pPr>
    </w:p>
    <w:p>
      <w:pPr>
        <w:ind w:left="160"/>
        <w:spacing w:after="0"/>
        <w:tabs>
          <w:tab w:leader="none" w:pos="1740" w:val="left"/>
        </w:tabs>
        <w:rPr>
          <w:sz w:val="20"/>
          <w:szCs w:val="20"/>
          <w:color w:val="auto"/>
        </w:rPr>
      </w:pPr>
      <w:r>
        <w:rPr>
          <w:rFonts w:ascii="Arial" w:cs="Arial" w:eastAsia="Arial" w:hAnsi="Arial"/>
          <w:sz w:val="18"/>
          <w:szCs w:val="18"/>
          <w:color w:val="auto"/>
        </w:rPr>
        <w:t>33,808</w:t>
      </w:r>
      <w:r>
        <w:rPr>
          <w:sz w:val="20"/>
          <w:szCs w:val="20"/>
          <w:color w:val="auto"/>
        </w:rPr>
        <w:tab/>
      </w:r>
      <w:r>
        <w:rPr>
          <w:rFonts w:ascii="Arial" w:cs="Arial" w:eastAsia="Arial" w:hAnsi="Arial"/>
          <w:sz w:val="18"/>
          <w:szCs w:val="18"/>
          <w:color w:val="auto"/>
        </w:rPr>
        <w:t>31,960</w:t>
      </w:r>
    </w:p>
    <w:p>
      <w:pPr>
        <w:spacing w:after="0" w:line="63" w:lineRule="exact"/>
        <w:rPr>
          <w:sz w:val="20"/>
          <w:szCs w:val="20"/>
          <w:color w:val="auto"/>
        </w:rPr>
      </w:pPr>
    </w:p>
    <w:p>
      <w:pPr>
        <w:ind w:left="160"/>
        <w:spacing w:after="0"/>
        <w:tabs>
          <w:tab w:leader="none" w:pos="1840" w:val="left"/>
        </w:tabs>
        <w:rPr>
          <w:sz w:val="20"/>
          <w:szCs w:val="20"/>
          <w:color w:val="auto"/>
        </w:rPr>
      </w:pPr>
      <w:r>
        <w:rPr>
          <w:rFonts w:ascii="Arial" w:cs="Arial" w:eastAsia="Arial" w:hAnsi="Arial"/>
          <w:sz w:val="18"/>
          <w:szCs w:val="18"/>
          <w:color w:val="auto"/>
        </w:rPr>
        <w:t>10,133</w:t>
      </w:r>
      <w:r>
        <w:rPr>
          <w:sz w:val="20"/>
          <w:szCs w:val="20"/>
          <w:color w:val="auto"/>
        </w:rPr>
        <w:tab/>
      </w:r>
      <w:r>
        <w:rPr>
          <w:rFonts w:ascii="Arial" w:cs="Arial" w:eastAsia="Arial" w:hAnsi="Arial"/>
          <w:sz w:val="18"/>
          <w:szCs w:val="18"/>
          <w:color w:val="auto"/>
        </w:rPr>
        <w:t>7,121</w:t>
      </w:r>
    </w:p>
    <w:p>
      <w:pPr>
        <w:spacing w:after="0" w:line="77" w:lineRule="exact"/>
        <w:rPr>
          <w:sz w:val="20"/>
          <w:szCs w:val="20"/>
          <w:color w:val="auto"/>
        </w:rPr>
      </w:pPr>
    </w:p>
    <w:p>
      <w:pPr>
        <w:ind w:left="60"/>
        <w:spacing w:after="0"/>
        <w:tabs>
          <w:tab w:leader="none" w:pos="1660" w:val="left"/>
        </w:tabs>
        <w:rPr>
          <w:sz w:val="20"/>
          <w:szCs w:val="20"/>
          <w:color w:val="auto"/>
        </w:rPr>
      </w:pPr>
      <w:r>
        <w:rPr>
          <w:rFonts w:ascii="Arial" w:cs="Arial" w:eastAsia="Arial" w:hAnsi="Arial"/>
          <w:sz w:val="18"/>
          <w:szCs w:val="18"/>
          <w:color w:val="auto"/>
        </w:rPr>
        <w:t>122,799</w:t>
      </w:r>
      <w:r>
        <w:rPr>
          <w:sz w:val="20"/>
          <w:szCs w:val="20"/>
          <w:color w:val="auto"/>
        </w:rPr>
        <w:tab/>
      </w:r>
      <w:r>
        <w:rPr>
          <w:rFonts w:ascii="Arial" w:cs="Arial" w:eastAsia="Arial" w:hAnsi="Arial"/>
          <w:sz w:val="18"/>
          <w:szCs w:val="18"/>
          <w:color w:val="auto"/>
        </w:rPr>
        <w:t>117,864</w:t>
      </w:r>
    </w:p>
    <w:p>
      <w:pPr>
        <w:spacing w:after="0" w:line="50" w:lineRule="exact"/>
        <w:rPr>
          <w:sz w:val="20"/>
          <w:szCs w:val="20"/>
          <w:color w:val="auto"/>
        </w:rPr>
      </w:pPr>
    </w:p>
    <w:p>
      <w:pPr>
        <w:ind w:left="160"/>
        <w:spacing w:after="0"/>
        <w:tabs>
          <w:tab w:leader="none" w:pos="1740" w:val="left"/>
        </w:tabs>
        <w:rPr>
          <w:sz w:val="20"/>
          <w:szCs w:val="20"/>
          <w:color w:val="auto"/>
        </w:rPr>
      </w:pPr>
      <w:r>
        <w:rPr>
          <w:rFonts w:ascii="Arial" w:cs="Arial" w:eastAsia="Arial" w:hAnsi="Arial"/>
          <w:sz w:val="18"/>
          <w:szCs w:val="18"/>
          <w:color w:val="auto"/>
        </w:rPr>
        <w:t>30,905</w:t>
      </w:r>
      <w:r>
        <w:rPr>
          <w:sz w:val="20"/>
          <w:szCs w:val="20"/>
          <w:color w:val="auto"/>
        </w:rPr>
        <w:tab/>
      </w:r>
      <w:r>
        <w:rPr>
          <w:rFonts w:ascii="Arial" w:cs="Arial" w:eastAsia="Arial" w:hAnsi="Arial"/>
          <w:sz w:val="18"/>
          <w:szCs w:val="18"/>
          <w:color w:val="auto"/>
        </w:rPr>
        <w:t>31,440</w:t>
      </w:r>
    </w:p>
    <w:p>
      <w:pPr>
        <w:spacing w:after="0" w:line="63" w:lineRule="exact"/>
        <w:rPr>
          <w:sz w:val="20"/>
          <w:szCs w:val="20"/>
          <w:color w:val="auto"/>
        </w:rPr>
      </w:pPr>
    </w:p>
    <w:p>
      <w:pPr>
        <w:ind w:left="260"/>
        <w:spacing w:after="0"/>
        <w:tabs>
          <w:tab w:leader="none" w:pos="1840" w:val="left"/>
        </w:tabs>
        <w:rPr>
          <w:sz w:val="20"/>
          <w:szCs w:val="20"/>
          <w:color w:val="auto"/>
        </w:rPr>
      </w:pPr>
      <w:r>
        <w:rPr>
          <w:rFonts w:ascii="Arial" w:cs="Arial" w:eastAsia="Arial" w:hAnsi="Arial"/>
          <w:sz w:val="18"/>
          <w:szCs w:val="18"/>
          <w:color w:val="auto"/>
        </w:rPr>
        <w:t>3,664</w:t>
      </w:r>
      <w:r>
        <w:rPr>
          <w:sz w:val="20"/>
          <w:szCs w:val="20"/>
          <w:color w:val="auto"/>
        </w:rPr>
        <w:tab/>
      </w:r>
      <w:r>
        <w:rPr>
          <w:rFonts w:ascii="Arial" w:cs="Arial" w:eastAsia="Arial" w:hAnsi="Arial"/>
          <w:sz w:val="18"/>
          <w:szCs w:val="18"/>
          <w:color w:val="auto"/>
        </w:rPr>
        <w:t>3,664</w:t>
      </w:r>
    </w:p>
    <w:p>
      <w:pPr>
        <w:spacing w:after="0" w:line="63" w:lineRule="exact"/>
        <w:rPr>
          <w:sz w:val="20"/>
          <w:szCs w:val="20"/>
          <w:color w:val="auto"/>
        </w:rPr>
      </w:pPr>
    </w:p>
    <w:p>
      <w:pPr>
        <w:ind w:left="2020" w:hanging="1602"/>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945</w:t>
      </w:r>
    </w:p>
    <w:p>
      <w:pPr>
        <w:spacing w:after="0" w:line="63"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9,3339,663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37465</wp:posOffset>
            </wp:positionV>
            <wp:extent cx="1955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tbl>
      <w:tblPr>
        <w:tblLayout w:type="fixed"/>
        <w:tblInd w:w="60" w:type="dxa"/>
        <w:tblCellMar>
          <w:top w:w="0" w:type="dxa"/>
          <w:left w:w="0" w:type="dxa"/>
          <w:bottom w:w="0" w:type="dxa"/>
          <w:right w:w="0" w:type="dxa"/>
        </w:tblCellMar>
      </w:tblPr>
      <w:tr>
        <w:trPr>
          <w:trHeight w:val="248"/>
        </w:trPr>
        <w:tc>
          <w:tcPr>
            <w:tcW w:w="880" w:type="dxa"/>
            <w:vAlign w:val="bottom"/>
          </w:tcPr>
          <w:p>
            <w:pPr>
              <w:jc w:val="right"/>
              <w:ind w:right="130"/>
              <w:spacing w:after="0"/>
              <w:rPr>
                <w:sz w:val="20"/>
                <w:szCs w:val="20"/>
                <w:color w:val="auto"/>
              </w:rPr>
            </w:pPr>
            <w:r>
              <w:rPr>
                <w:rFonts w:ascii="Arial" w:cs="Arial" w:eastAsia="Arial" w:hAnsi="Arial"/>
                <w:sz w:val="18"/>
                <w:szCs w:val="18"/>
                <w:color w:val="auto"/>
                <w:w w:val="98"/>
              </w:rPr>
              <w:t>167,507</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163,576</w:t>
            </w:r>
          </w:p>
        </w:tc>
      </w:tr>
      <w:tr>
        <w:trPr>
          <w:trHeight w:val="20"/>
        </w:trPr>
        <w:tc>
          <w:tcPr>
            <w:tcW w:w="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773"/>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15,858</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31,696</w:t>
            </w:r>
          </w:p>
        </w:tc>
      </w:tr>
      <w:tr>
        <w:trPr>
          <w:trHeight w:val="270"/>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21,698</w:t>
            </w: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22,937</w:t>
            </w:r>
          </w:p>
        </w:tc>
      </w:tr>
      <w:tr>
        <w:trPr>
          <w:trHeight w:val="270"/>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7,200</w:t>
            </w: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6,411</w:t>
            </w:r>
          </w:p>
        </w:tc>
      </w:tr>
      <w:tr>
        <w:trPr>
          <w:trHeight w:val="365"/>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8,376</w:t>
            </w:r>
          </w:p>
        </w:tc>
        <w:tc>
          <w:tcPr>
            <w:tcW w:w="4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-1099820</wp:posOffset>
            </wp:positionV>
            <wp:extent cx="9436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—10,100</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1,4973,032</w:t>
      </w:r>
    </w:p>
    <w:p>
      <w:pPr>
        <w:spacing w:after="0" w:line="77" w:lineRule="exact"/>
        <w:rPr>
          <w:sz w:val="20"/>
          <w:szCs w:val="20"/>
          <w:color w:val="auto"/>
        </w:rPr>
      </w:pPr>
    </w:p>
    <w:p>
      <w:pPr>
        <w:ind w:left="160"/>
        <w:spacing w:after="0"/>
        <w:tabs>
          <w:tab w:leader="none" w:pos="1740" w:val="left"/>
        </w:tabs>
        <w:rPr>
          <w:sz w:val="20"/>
          <w:szCs w:val="20"/>
          <w:color w:val="auto"/>
        </w:rPr>
      </w:pPr>
      <w:r>
        <w:rPr>
          <w:rFonts w:ascii="Arial" w:cs="Arial" w:eastAsia="Arial" w:hAnsi="Arial"/>
          <w:sz w:val="18"/>
          <w:szCs w:val="18"/>
          <w:color w:val="auto"/>
        </w:rPr>
        <w:t>54,629</w:t>
      </w:r>
      <w:r>
        <w:rPr>
          <w:sz w:val="20"/>
          <w:szCs w:val="20"/>
          <w:color w:val="auto"/>
        </w:rPr>
        <w:tab/>
      </w:r>
      <w:r>
        <w:rPr>
          <w:rFonts w:ascii="Arial" w:cs="Arial" w:eastAsia="Arial" w:hAnsi="Arial"/>
          <w:sz w:val="18"/>
          <w:szCs w:val="18"/>
          <w:color w:val="auto"/>
        </w:rPr>
        <w:t>82,772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28575</wp:posOffset>
            </wp:positionV>
            <wp:extent cx="1955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13" w:lineRule="exact"/>
        <w:rPr>
          <w:sz w:val="20"/>
          <w:szCs w:val="20"/>
          <w:color w:val="auto"/>
        </w:rPr>
      </w:pPr>
    </w:p>
    <w:p>
      <w:pPr>
        <w:ind w:left="160"/>
        <w:spacing w:after="0"/>
        <w:tabs>
          <w:tab w:leader="none" w:pos="1740" w:val="left"/>
        </w:tabs>
        <w:rPr>
          <w:sz w:val="20"/>
          <w:szCs w:val="20"/>
          <w:color w:val="auto"/>
        </w:rPr>
      </w:pPr>
      <w:r>
        <w:rPr>
          <w:rFonts w:ascii="Arial" w:cs="Arial" w:eastAsia="Arial" w:hAnsi="Arial"/>
          <w:sz w:val="18"/>
          <w:szCs w:val="18"/>
          <w:color w:val="auto"/>
        </w:rPr>
        <w:t>34,499</w:t>
      </w:r>
      <w:r>
        <w:rPr>
          <w:sz w:val="20"/>
          <w:szCs w:val="20"/>
          <w:color w:val="auto"/>
        </w:rPr>
        <w:tab/>
      </w:r>
      <w:r>
        <w:rPr>
          <w:rFonts w:ascii="Arial" w:cs="Arial" w:eastAsia="Arial" w:hAnsi="Arial"/>
          <w:sz w:val="18"/>
          <w:szCs w:val="18"/>
          <w:color w:val="auto"/>
        </w:rPr>
        <w:t>33,893</w:t>
      </w:r>
    </w:p>
    <w:p>
      <w:pPr>
        <w:spacing w:after="0" w:line="158" w:lineRule="exact"/>
        <w:rPr>
          <w:sz w:val="20"/>
          <w:szCs w:val="20"/>
          <w:color w:val="auto"/>
        </w:rPr>
      </w:pPr>
    </w:p>
    <w:p>
      <w:pPr>
        <w:ind w:left="160"/>
        <w:spacing w:after="0"/>
        <w:tabs>
          <w:tab w:leader="none" w:pos="1740" w:val="left"/>
        </w:tabs>
        <w:rPr>
          <w:sz w:val="20"/>
          <w:szCs w:val="20"/>
          <w:color w:val="auto"/>
        </w:rPr>
      </w:pPr>
      <w:r>
        <w:rPr>
          <w:rFonts w:ascii="Arial" w:cs="Arial" w:eastAsia="Arial" w:hAnsi="Arial"/>
          <w:sz w:val="18"/>
          <w:szCs w:val="18"/>
          <w:color w:val="auto"/>
        </w:rPr>
        <w:t>23,619</w:t>
      </w:r>
      <w:r>
        <w:rPr>
          <w:sz w:val="20"/>
          <w:szCs w:val="20"/>
          <w:color w:val="auto"/>
        </w:rPr>
        <w:tab/>
      </w:r>
      <w:r>
        <w:rPr>
          <w:rFonts w:ascii="Arial" w:cs="Arial" w:eastAsia="Arial" w:hAnsi="Arial"/>
          <w:sz w:val="18"/>
          <w:szCs w:val="18"/>
          <w:color w:val="auto"/>
        </w:rPr>
        <w:t>22,818</w:t>
      </w:r>
    </w:p>
    <w:p>
      <w:pPr>
        <w:spacing w:after="0" w:line="158" w:lineRule="exact"/>
        <w:rPr>
          <w:sz w:val="20"/>
          <w:szCs w:val="20"/>
          <w:color w:val="auto"/>
        </w:rPr>
      </w:pPr>
    </w:p>
    <w:p>
      <w:pPr>
        <w:ind w:left="260"/>
        <w:spacing w:after="0"/>
        <w:tabs>
          <w:tab w:leader="none" w:pos="1840" w:val="left"/>
        </w:tabs>
        <w:rPr>
          <w:sz w:val="20"/>
          <w:szCs w:val="20"/>
          <w:color w:val="auto"/>
        </w:rPr>
      </w:pPr>
      <w:r>
        <w:rPr>
          <w:rFonts w:ascii="Arial" w:cs="Arial" w:eastAsia="Arial" w:hAnsi="Arial"/>
          <w:sz w:val="18"/>
          <w:szCs w:val="18"/>
          <w:color w:val="auto"/>
        </w:rPr>
        <w:t>1,905</w:t>
      </w:r>
      <w:r>
        <w:rPr>
          <w:sz w:val="20"/>
          <w:szCs w:val="20"/>
          <w:color w:val="auto"/>
        </w:rPr>
        <w:tab/>
      </w:r>
      <w:r>
        <w:rPr>
          <w:rFonts w:ascii="Arial" w:cs="Arial" w:eastAsia="Arial" w:hAnsi="Arial"/>
          <w:sz w:val="18"/>
          <w:szCs w:val="18"/>
          <w:color w:val="auto"/>
        </w:rPr>
        <w:t>2,025</w:t>
      </w:r>
    </w:p>
    <w:p>
      <w:pPr>
        <w:spacing w:after="0" w:line="63" w:lineRule="exact"/>
        <w:rPr>
          <w:sz w:val="20"/>
          <w:szCs w:val="20"/>
          <w:color w:val="auto"/>
        </w:rPr>
      </w:pPr>
    </w:p>
    <w:p>
      <w:pPr>
        <w:ind w:left="160"/>
        <w:spacing w:after="0"/>
        <w:tabs>
          <w:tab w:leader="none" w:pos="1740" w:val="left"/>
        </w:tabs>
        <w:rPr>
          <w:sz w:val="20"/>
          <w:szCs w:val="20"/>
          <w:color w:val="auto"/>
        </w:rPr>
      </w:pPr>
      <w:r>
        <w:rPr>
          <w:rFonts w:ascii="Arial" w:cs="Arial" w:eastAsia="Arial" w:hAnsi="Arial"/>
          <w:sz w:val="18"/>
          <w:szCs w:val="18"/>
          <w:color w:val="auto"/>
        </w:rPr>
        <w:t>45,384</w:t>
      </w:r>
      <w:r>
        <w:rPr>
          <w:sz w:val="20"/>
          <w:szCs w:val="20"/>
          <w:color w:val="auto"/>
        </w:rPr>
        <w:tab/>
      </w:r>
      <w:r>
        <w:rPr>
          <w:rFonts w:ascii="Arial" w:cs="Arial" w:eastAsia="Arial" w:hAnsi="Arial"/>
          <w:sz w:val="18"/>
          <w:szCs w:val="18"/>
          <w:color w:val="auto"/>
        </w:rPr>
        <w:t>20,768</w:t>
      </w:r>
    </w:p>
    <w:p>
      <w:pPr>
        <w:spacing w:after="0" w:line="77" w:lineRule="exact"/>
        <w:rPr>
          <w:sz w:val="20"/>
          <w:szCs w:val="20"/>
          <w:color w:val="auto"/>
        </w:rPr>
      </w:pPr>
    </w:p>
    <w:p>
      <w:pPr>
        <w:ind w:left="60"/>
        <w:spacing w:after="0"/>
        <w:tabs>
          <w:tab w:leader="none" w:pos="1640" w:val="left"/>
        </w:tabs>
        <w:rPr>
          <w:sz w:val="20"/>
          <w:szCs w:val="20"/>
          <w:color w:val="auto"/>
        </w:rPr>
      </w:pPr>
      <w:r>
        <w:rPr>
          <w:rFonts w:ascii="Arial" w:cs="Arial" w:eastAsia="Arial" w:hAnsi="Arial"/>
          <w:sz w:val="18"/>
          <w:szCs w:val="18"/>
          <w:color w:val="auto"/>
        </w:rPr>
        <w:t>160,036</w:t>
      </w:r>
      <w:r>
        <w:rPr>
          <w:sz w:val="20"/>
          <w:szCs w:val="20"/>
          <w:color w:val="auto"/>
        </w:rPr>
        <w:tab/>
      </w:r>
      <w:r>
        <w:rPr>
          <w:rFonts w:ascii="Arial" w:cs="Arial" w:eastAsia="Arial" w:hAnsi="Arial"/>
          <w:sz w:val="18"/>
          <w:szCs w:val="18"/>
          <w:color w:val="auto"/>
        </w:rPr>
        <w:t>162,276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28575</wp:posOffset>
            </wp:positionV>
            <wp:extent cx="1955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40"/>
        <w:spacing w:after="0"/>
        <w:tabs>
          <w:tab w:leader="none" w:pos="2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1</w:t>
      </w:r>
    </w:p>
    <w:p>
      <w:pPr>
        <w:spacing w:after="0" w:line="158" w:lineRule="exact"/>
        <w:rPr>
          <w:sz w:val="20"/>
          <w:szCs w:val="20"/>
          <w:color w:val="auto"/>
        </w:rPr>
      </w:pPr>
    </w:p>
    <w:p>
      <w:pPr>
        <w:ind w:left="60"/>
        <w:spacing w:after="0"/>
        <w:tabs>
          <w:tab w:leader="none" w:pos="1640" w:val="left"/>
        </w:tabs>
        <w:rPr>
          <w:sz w:val="20"/>
          <w:szCs w:val="20"/>
          <w:color w:val="auto"/>
        </w:rPr>
      </w:pPr>
      <w:r>
        <w:rPr>
          <w:rFonts w:ascii="Arial" w:cs="Arial" w:eastAsia="Arial" w:hAnsi="Arial"/>
          <w:sz w:val="18"/>
          <w:szCs w:val="18"/>
          <w:color w:val="auto"/>
        </w:rPr>
        <w:t>281,941</w:t>
      </w:r>
      <w:r>
        <w:rPr>
          <w:sz w:val="20"/>
          <w:szCs w:val="20"/>
          <w:color w:val="auto"/>
        </w:rPr>
        <w:tab/>
      </w:r>
      <w:r>
        <w:rPr>
          <w:rFonts w:ascii="Arial" w:cs="Arial" w:eastAsia="Arial" w:hAnsi="Arial"/>
          <w:sz w:val="18"/>
          <w:szCs w:val="18"/>
          <w:color w:val="auto"/>
        </w:rPr>
        <w:t>252,126</w:t>
      </w:r>
    </w:p>
    <w:p>
      <w:pPr>
        <w:spacing w:after="0" w:line="63"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(273,840)</w:t>
      </w:r>
      <w:r>
        <w:rPr>
          <w:sz w:val="20"/>
          <w:szCs w:val="20"/>
          <w:color w:val="auto"/>
        </w:rPr>
        <w:tab/>
      </w:r>
      <w:r>
        <w:rPr>
          <w:rFonts w:ascii="Arial" w:cs="Arial" w:eastAsia="Arial" w:hAnsi="Arial"/>
          <w:sz w:val="18"/>
          <w:szCs w:val="18"/>
          <w:color w:val="auto"/>
        </w:rPr>
        <w:t>(250,535)</w:t>
      </w:r>
    </w:p>
    <w:p>
      <w:pPr>
        <w:spacing w:after="0" w:line="63" w:lineRule="exact"/>
        <w:rPr>
          <w:sz w:val="20"/>
          <w:szCs w:val="20"/>
          <w:color w:val="auto"/>
        </w:rPr>
      </w:pPr>
    </w:p>
    <w:p>
      <w:pPr>
        <w:ind w:left="1960" w:hanging="1602"/>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(292)</w:t>
      </w:r>
    </w:p>
    <w:p>
      <w:pPr>
        <w:spacing w:after="0" w:line="7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7,4711,300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28575</wp:posOffset>
            </wp:positionV>
            <wp:extent cx="19551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3" w:lineRule="exact"/>
        <w:rPr>
          <w:sz w:val="20"/>
          <w:szCs w:val="20"/>
          <w:color w:val="auto"/>
        </w:rPr>
      </w:pPr>
    </w:p>
    <w:p>
      <w:pPr>
        <w:ind w:left="60"/>
        <w:spacing w:after="0"/>
        <w:tabs>
          <w:tab w:leader="none" w:pos="940" w:val="left"/>
          <w:tab w:leader="none" w:pos="1640" w:val="left"/>
        </w:tabs>
        <w:rPr>
          <w:sz w:val="20"/>
          <w:szCs w:val="20"/>
          <w:color w:val="auto"/>
        </w:rPr>
      </w:pPr>
      <w:r>
        <w:rPr>
          <w:rFonts w:ascii="Arial" w:cs="Arial" w:eastAsia="Arial" w:hAnsi="Arial"/>
          <w:sz w:val="18"/>
          <w:szCs w:val="18"/>
          <w:color w:val="auto"/>
        </w:rPr>
        <w:t>167,507</w:t>
        <w:tab/>
        <w:t>$</w:t>
      </w:r>
      <w:r>
        <w:rPr>
          <w:sz w:val="20"/>
          <w:szCs w:val="20"/>
          <w:color w:val="auto"/>
        </w:rPr>
        <w:tab/>
      </w:r>
      <w:r>
        <w:rPr>
          <w:rFonts w:ascii="Arial" w:cs="Arial" w:eastAsia="Arial" w:hAnsi="Arial"/>
          <w:sz w:val="18"/>
          <w:szCs w:val="18"/>
          <w:color w:val="auto"/>
        </w:rPr>
        <w:t>163,576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28575</wp:posOffset>
            </wp:positionV>
            <wp:extent cx="19551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8460" w:space="540"/>
            <w:col w:w="2420"/>
          </w:cols>
          <w:pgMar w:left="240" w:top="115" w:right="2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14605</wp:posOffset>
            </wp:positionV>
            <wp:extent cx="15265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1"/>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54,751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64,121</w:t>
            </w:r>
          </w:p>
        </w:tc>
        <w:tc>
          <w:tcPr>
            <w:tcW w:w="0" w:type="dxa"/>
            <w:vAlign w:val="bottom"/>
          </w:tcPr>
          <w:p>
            <w:pPr>
              <w:spacing w:after="0"/>
              <w:rPr>
                <w:sz w:val="1"/>
                <w:szCs w:val="1"/>
                <w:color w:val="auto"/>
              </w:rPr>
            </w:pPr>
          </w:p>
        </w:tc>
      </w:tr>
      <w:tr>
        <w:trPr>
          <w:trHeight w:val="265"/>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47,703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52,361</w:t>
            </w:r>
          </w:p>
        </w:tc>
        <w:tc>
          <w:tcPr>
            <w:tcW w:w="0" w:type="dxa"/>
            <w:vAlign w:val="bottom"/>
          </w:tcPr>
          <w:p>
            <w:pPr>
              <w:spacing w:after="0"/>
              <w:rPr>
                <w:sz w:val="1"/>
                <w:szCs w:val="1"/>
                <w:color w:val="auto"/>
              </w:rPr>
            </w:pPr>
          </w:p>
        </w:tc>
      </w:tr>
      <w:tr>
        <w:trPr>
          <w:trHeight w:val="255"/>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7,048</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11,760</w:t>
            </w:r>
          </w:p>
        </w:tc>
        <w:tc>
          <w:tcPr>
            <w:tcW w:w="0" w:type="dxa"/>
            <w:vAlign w:val="bottom"/>
          </w:tcPr>
          <w:p>
            <w:pPr>
              <w:spacing w:after="0"/>
              <w:rPr>
                <w:sz w:val="1"/>
                <w:szCs w:val="1"/>
                <w:color w:val="auto"/>
              </w:rPr>
            </w:pPr>
          </w:p>
        </w:tc>
      </w:tr>
      <w:tr>
        <w:trPr>
          <w:trHeight w:val="259"/>
        </w:trPr>
        <w:tc>
          <w:tcPr>
            <w:tcW w:w="90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9,605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13,066</w:t>
            </w:r>
          </w:p>
        </w:tc>
        <w:tc>
          <w:tcPr>
            <w:tcW w:w="0" w:type="dxa"/>
            <w:vAlign w:val="bottom"/>
          </w:tcPr>
          <w:p>
            <w:pPr>
              <w:spacing w:after="0"/>
              <w:rPr>
                <w:sz w:val="1"/>
                <w:szCs w:val="1"/>
                <w:color w:val="auto"/>
              </w:rPr>
            </w:pPr>
          </w:p>
        </w:tc>
      </w:tr>
      <w:tr>
        <w:trPr>
          <w:trHeight w:val="265"/>
        </w:trPr>
        <w:tc>
          <w:tcPr>
            <w:tcW w:w="902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6,458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10,215</w:t>
            </w:r>
          </w:p>
        </w:tc>
        <w:tc>
          <w:tcPr>
            <w:tcW w:w="0" w:type="dxa"/>
            <w:vAlign w:val="bottom"/>
          </w:tcPr>
          <w:p>
            <w:pPr>
              <w:spacing w:after="0"/>
              <w:rPr>
                <w:sz w:val="1"/>
                <w:szCs w:val="1"/>
                <w:color w:val="auto"/>
              </w:rPr>
            </w:pPr>
          </w:p>
        </w:tc>
      </w:tr>
      <w:tr>
        <w:trPr>
          <w:trHeight w:val="275"/>
        </w:trPr>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5,833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7,567</w:t>
            </w:r>
          </w:p>
        </w:tc>
        <w:tc>
          <w:tcPr>
            <w:tcW w:w="0" w:type="dxa"/>
            <w:vAlign w:val="bottom"/>
          </w:tcPr>
          <w:p>
            <w:pPr>
              <w:spacing w:after="0"/>
              <w:rPr>
                <w:sz w:val="1"/>
                <w:szCs w:val="1"/>
                <w:color w:val="auto"/>
              </w:rPr>
            </w:pPr>
          </w:p>
        </w:tc>
      </w:tr>
      <w:tr>
        <w:trPr>
          <w:trHeight w:val="265"/>
        </w:trPr>
        <w:tc>
          <w:tcPr>
            <w:tcW w:w="9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7,247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29,143</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30,848</w:t>
            </w:r>
          </w:p>
        </w:tc>
        <w:tc>
          <w:tcPr>
            <w:tcW w:w="0" w:type="dxa"/>
            <w:vAlign w:val="bottom"/>
          </w:tcPr>
          <w:p>
            <w:pPr>
              <w:spacing w:after="0"/>
              <w:rPr>
                <w:sz w:val="1"/>
                <w:szCs w:val="1"/>
                <w:color w:val="auto"/>
              </w:rPr>
            </w:pPr>
          </w:p>
        </w:tc>
      </w:tr>
      <w:tr>
        <w:trPr>
          <w:trHeight w:val="245"/>
        </w:trPr>
        <w:tc>
          <w:tcPr>
            <w:tcW w:w="902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(19,088)</w:t>
            </w:r>
          </w:p>
        </w:tc>
        <w:tc>
          <w:tcPr>
            <w:tcW w:w="0" w:type="dxa"/>
            <w:vAlign w:val="bottom"/>
          </w:tcPr>
          <w:p>
            <w:pPr>
              <w:spacing w:after="0"/>
              <w:rPr>
                <w:sz w:val="1"/>
                <w:szCs w:val="1"/>
                <w:color w:val="auto"/>
              </w:rPr>
            </w:pPr>
          </w:p>
        </w:tc>
      </w:tr>
      <w:tr>
        <w:trPr>
          <w:trHeight w:val="275"/>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0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5"/>
        </w:trPr>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45"/>
        </w:trPr>
        <w:tc>
          <w:tcPr>
            <w:tcW w:w="90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55"/>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(18,559)</w:t>
            </w:r>
          </w:p>
        </w:tc>
        <w:tc>
          <w:tcPr>
            <w:tcW w:w="0" w:type="dxa"/>
            <w:vAlign w:val="bottom"/>
          </w:tcPr>
          <w:p>
            <w:pPr>
              <w:spacing w:after="0"/>
              <w:rPr>
                <w:sz w:val="1"/>
                <w:szCs w:val="1"/>
                <w:color w:val="auto"/>
              </w:rPr>
            </w:pPr>
          </w:p>
        </w:tc>
      </w:tr>
      <w:tr>
        <w:trPr>
          <w:trHeight w:val="265"/>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5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(18,795)</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8"/>
                <w:szCs w:val="18"/>
                <w:color w:val="auto"/>
              </w:rPr>
              <w:t>Net loss per share: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90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8"/>
                <w:szCs w:val="18"/>
                <w:color w:val="auto"/>
              </w:rPr>
              <w:t>Shares used in per share calculation:</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90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76,651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46,209</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6"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right"/>
        <w:ind w:right="250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380"/>
          </w:cols>
          <w:pgMar w:left="240" w:top="11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Foreign currency translation adjustments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Comprehensive loss</w:t>
      </w:r>
    </w:p>
    <w:p>
      <w:pPr>
        <w:spacing w:after="0" w:line="239" w:lineRule="exact"/>
        <w:rPr>
          <w:sz w:val="20"/>
          <w:szCs w:val="20"/>
          <w:color w:val="auto"/>
        </w:rPr>
      </w:pPr>
    </w:p>
    <w:p>
      <w:pPr>
        <w:jc w:val="right"/>
        <w:ind w:right="263"/>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jc w:val="center"/>
        <w:ind w:right="-56"/>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right="-56"/>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15265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83" w:lineRule="exact"/>
        <w:rPr>
          <w:sz w:val="20"/>
          <w:szCs w:val="20"/>
          <w:color w:val="auto"/>
        </w:rPr>
      </w:pPr>
    </w:p>
    <w:p>
      <w:pPr>
        <w:ind w:left="377"/>
        <w:spacing w:after="0"/>
        <w:tabs>
          <w:tab w:leader="none" w:pos="1617"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61" w:lineRule="exact"/>
        <w:rPr>
          <w:sz w:val="20"/>
          <w:szCs w:val="20"/>
          <w:color w:val="auto"/>
        </w:rPr>
      </w:pPr>
    </w:p>
    <w:p>
      <w:pPr>
        <w:ind w:left="397" w:hanging="397"/>
        <w:spacing w:after="0"/>
        <w:tabs>
          <w:tab w:leader="none" w:pos="397" w:val="left"/>
        </w:tabs>
        <w:numPr>
          <w:ilvl w:val="0"/>
          <w:numId w:val="6"/>
        </w:numPr>
        <w:rPr>
          <w:rFonts w:ascii="Arial" w:cs="Arial" w:eastAsia="Arial" w:hAnsi="Arial"/>
          <w:sz w:val="18"/>
          <w:szCs w:val="18"/>
          <w:color w:val="auto"/>
        </w:rPr>
      </w:pPr>
      <w:r>
        <w:rPr>
          <w:rFonts w:ascii="Arial" w:cs="Arial" w:eastAsia="Arial" w:hAnsi="Arial"/>
          <w:sz w:val="18"/>
          <w:szCs w:val="18"/>
          <w:color w:val="auto"/>
        </w:rPr>
        <w:t>(23,305)  $   (18,795)</w:t>
      </w:r>
    </w:p>
    <w:p>
      <w:pPr>
        <w:spacing w:after="0" w:line="333" w:lineRule="exact"/>
        <w:rPr>
          <w:rFonts w:ascii="Arial" w:cs="Arial" w:eastAsia="Arial" w:hAnsi="Arial"/>
          <w:sz w:val="18"/>
          <w:szCs w:val="18"/>
          <w:color w:val="auto"/>
        </w:rPr>
      </w:pPr>
    </w:p>
    <w:p>
      <w:pPr>
        <w:ind w:left="1917" w:hanging="1264"/>
        <w:spacing w:after="0"/>
        <w:tabs>
          <w:tab w:leader="none" w:pos="1917" w:val="left"/>
        </w:tabs>
        <w:numPr>
          <w:ilvl w:val="1"/>
          <w:numId w:val="6"/>
        </w:numPr>
        <w:rPr>
          <w:rFonts w:ascii="Arial" w:cs="Arial" w:eastAsia="Arial" w:hAnsi="Arial"/>
          <w:sz w:val="17"/>
          <w:szCs w:val="17"/>
          <w:color w:val="auto"/>
        </w:rPr>
      </w:pPr>
      <w:r>
        <w:rPr>
          <w:rFonts w:ascii="Arial" w:cs="Arial" w:eastAsia="Arial" w:hAnsi="Arial"/>
          <w:sz w:val="17"/>
          <w:szCs w:val="17"/>
          <w:color w:val="auto"/>
        </w:rPr>
        <w:t>(194)</w:t>
      </w:r>
    </w:p>
    <w:p>
      <w:pPr>
        <w:spacing w:after="0" w:line="74" w:lineRule="exact"/>
        <w:rPr>
          <w:rFonts w:ascii="Arial" w:cs="Arial" w:eastAsia="Arial" w:hAnsi="Arial"/>
          <w:sz w:val="17"/>
          <w:szCs w:val="17"/>
          <w:color w:val="auto"/>
        </w:rPr>
      </w:pPr>
    </w:p>
    <w:p>
      <w:pPr>
        <w:ind w:left="397" w:hanging="397"/>
        <w:spacing w:after="0"/>
        <w:tabs>
          <w:tab w:leader="none" w:pos="397" w:val="left"/>
        </w:tabs>
        <w:numPr>
          <w:ilvl w:val="0"/>
          <w:numId w:val="6"/>
        </w:numPr>
        <w:rPr>
          <w:rFonts w:ascii="Arial" w:cs="Arial" w:eastAsia="Arial" w:hAnsi="Arial"/>
          <w:sz w:val="18"/>
          <w:szCs w:val="18"/>
          <w:color w:val="auto"/>
        </w:rPr>
      </w:pPr>
      <w:r>
        <w:rPr>
          <w:rFonts w:ascii="Arial" w:cs="Arial" w:eastAsia="Arial" w:hAnsi="Arial"/>
          <w:sz w:val="18"/>
          <w:szCs w:val="18"/>
          <w:color w:val="auto"/>
        </w:rPr>
        <w:t>(23,644)  $   (18,989)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152654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26540" cy="2603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-142240</wp:posOffset>
            </wp:positionV>
            <wp:extent cx="15265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ectPr>
          <w:pgSz w:w="11900" w:h="16838" w:orient="portrait"/>
          <w:cols w:equalWidth="0" w:num="2">
            <w:col w:w="8323" w:space="720"/>
            <w:col w:w="2337"/>
          </w:cols>
          <w:pgMar w:left="240" w:top="116" w:right="27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097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5"/>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580" w:type="dxa"/>
            <w:vAlign w:val="bottom"/>
          </w:tcPr>
          <w:p>
            <w:pPr>
              <w:ind w:left="38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(23,305)</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(18,795)</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58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2,328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Provision for doubtful accounts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62"/>
        </w:trPr>
        <w:tc>
          <w:tcPr>
            <w:tcW w:w="8580" w:type="dxa"/>
            <w:vAlign w:val="bottom"/>
          </w:tcPr>
          <w:p>
            <w:pPr>
              <w:ind w:left="720"/>
              <w:spacing w:after="0"/>
              <w:rPr>
                <w:sz w:val="20"/>
                <w:szCs w:val="20"/>
                <w:color w:val="auto"/>
              </w:rPr>
            </w:pPr>
            <w:r>
              <w:rPr>
                <w:rFonts w:ascii="Arial" w:cs="Arial" w:eastAsia="Arial" w:hAnsi="Arial"/>
                <w:sz w:val="16"/>
                <w:szCs w:val="16"/>
                <w:color w:val="auto"/>
              </w:rPr>
              <w:t>Asset impairment and restructuring</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62"/>
        </w:trPr>
        <w:tc>
          <w:tcPr>
            <w:tcW w:w="8580" w:type="dxa"/>
            <w:vAlign w:val="bottom"/>
          </w:tcPr>
          <w:p>
            <w:pPr>
              <w:ind w:left="72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1,929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2,999</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580" w:type="dxa"/>
            <w:vAlign w:val="bottom"/>
          </w:tcPr>
          <w:p>
            <w:pPr>
              <w:ind w:left="11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11,975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(1,494)</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Inventory</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(4,776)</w:t>
            </w:r>
          </w:p>
        </w:tc>
        <w:tc>
          <w:tcPr>
            <w:tcW w:w="0" w:type="dxa"/>
            <w:vAlign w:val="bottom"/>
          </w:tcPr>
          <w:p>
            <w:pPr>
              <w:spacing w:after="0"/>
              <w:rPr>
                <w:sz w:val="1"/>
                <w:szCs w:val="1"/>
                <w:color w:val="auto"/>
              </w:rPr>
            </w:pPr>
          </w:p>
        </w:tc>
      </w:tr>
      <w:tr>
        <w:trPr>
          <w:trHeight w:val="262"/>
        </w:trPr>
        <w:tc>
          <w:tcPr>
            <w:tcW w:w="8580" w:type="dxa"/>
            <w:vAlign w:val="bottom"/>
          </w:tcPr>
          <w:p>
            <w:pPr>
              <w:ind w:left="114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(2,062)</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Accounts payable, accrued and other liabilities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2,229</w:t>
            </w:r>
          </w:p>
        </w:tc>
        <w:tc>
          <w:tcPr>
            <w:tcW w:w="0" w:type="dxa"/>
            <w:vAlign w:val="bottom"/>
          </w:tcPr>
          <w:p>
            <w:pPr>
              <w:spacing w:after="0"/>
              <w:rPr>
                <w:sz w:val="1"/>
                <w:szCs w:val="1"/>
                <w:color w:val="auto"/>
              </w:rPr>
            </w:pPr>
          </w:p>
        </w:tc>
      </w:tr>
      <w:tr>
        <w:trPr>
          <w:trHeight w:val="262"/>
        </w:trPr>
        <w:tc>
          <w:tcPr>
            <w:tcW w:w="8580" w:type="dxa"/>
            <w:vAlign w:val="bottom"/>
          </w:tcPr>
          <w:p>
            <w:pPr>
              <w:ind w:left="1140"/>
              <w:spacing w:after="0"/>
              <w:rPr>
                <w:sz w:val="20"/>
                <w:szCs w:val="20"/>
                <w:color w:val="auto"/>
              </w:rPr>
            </w:pPr>
            <w:r>
              <w:rPr>
                <w:rFonts w:ascii="Arial" w:cs="Arial" w:eastAsia="Arial" w:hAnsi="Arial"/>
                <w:sz w:val="16"/>
                <w:szCs w:val="16"/>
                <w:color w:val="auto"/>
              </w:rPr>
              <w:t>Warranty obligations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271"/>
        </w:trPr>
        <w:tc>
          <w:tcPr>
            <w:tcW w:w="85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Deferred revenues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4,268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146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(24,511)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(15,249)</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580" w:type="dxa"/>
            <w:vAlign w:val="bottom"/>
          </w:tcPr>
          <w:p>
            <w:pPr>
              <w:ind w:left="38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(3,348)</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(3,466)</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(3,348)</w:t>
            </w:r>
          </w:p>
        </w:tc>
        <w:tc>
          <w:tcPr>
            <w:tcW w:w="0" w:type="dxa"/>
            <w:vAlign w:val="bottom"/>
          </w:tcPr>
          <w:p>
            <w:pPr>
              <w:spacing w:after="0"/>
              <w:rPr>
                <w:sz w:val="1"/>
                <w:szCs w:val="1"/>
                <w:color w:val="auto"/>
              </w:rPr>
            </w:pP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26,522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term loan, net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24,162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Proceeds from borrowings under revolving credit facility</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62"/>
        </w:trPr>
        <w:tc>
          <w:tcPr>
            <w:tcW w:w="8580" w:type="dxa"/>
            <w:vAlign w:val="bottom"/>
          </w:tcPr>
          <w:p>
            <w:pPr>
              <w:ind w:left="380"/>
              <w:spacing w:after="0"/>
              <w:rPr>
                <w:sz w:val="20"/>
                <w:szCs w:val="20"/>
                <w:color w:val="auto"/>
              </w:rPr>
            </w:pPr>
            <w:r>
              <w:rPr>
                <w:rFonts w:ascii="Arial" w:cs="Arial" w:eastAsia="Arial" w:hAnsi="Arial"/>
                <w:sz w:val="16"/>
                <w:szCs w:val="16"/>
                <w:color w:val="auto"/>
              </w:rPr>
              <w:t>Payments under revolving credit facility</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Payments of deferred financing costs</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50"/>
        </w:trPr>
        <w:tc>
          <w:tcPr>
            <w:tcW w:w="858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40,586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3,046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146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12,191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(15,436)</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17,764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28,452</w:t>
            </w:r>
          </w:p>
        </w:tc>
        <w:tc>
          <w:tcPr>
            <w:tcW w:w="0" w:type="dxa"/>
            <w:vAlign w:val="bottom"/>
          </w:tcPr>
          <w:p>
            <w:pPr>
              <w:spacing w:after="0"/>
              <w:rPr>
                <w:sz w:val="1"/>
                <w:szCs w:val="1"/>
                <w:color w:val="auto"/>
              </w:rPr>
            </w:pPr>
          </w:p>
        </w:tc>
      </w:tr>
      <w:tr>
        <w:trPr>
          <w:trHeight w:val="242"/>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29,955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13,016</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Purchases of fixed and intangible assets included in accounts payable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1,691</w:t>
            </w:r>
          </w:p>
        </w:tc>
        <w:tc>
          <w:tcPr>
            <w:tcW w:w="0" w:type="dxa"/>
            <w:vAlign w:val="bottom"/>
          </w:tcPr>
          <w:p>
            <w:pPr>
              <w:spacing w:after="0"/>
              <w:rPr>
                <w:sz w:val="1"/>
                <w:szCs w:val="1"/>
                <w:color w:val="auto"/>
              </w:rPr>
            </w:pPr>
          </w:p>
        </w:tc>
      </w:tr>
      <w:tr>
        <w:trPr>
          <w:trHeight w:val="262"/>
        </w:trPr>
        <w:tc>
          <w:tcPr>
            <w:tcW w:w="8580" w:type="dxa"/>
            <w:vAlign w:val="bottom"/>
          </w:tcPr>
          <w:p>
            <w:pPr>
              <w:ind w:left="380"/>
              <w:spacing w:after="0"/>
              <w:rPr>
                <w:sz w:val="20"/>
                <w:szCs w:val="20"/>
                <w:color w:val="auto"/>
              </w:rPr>
            </w:pPr>
            <w:r>
              <w:rPr>
                <w:rFonts w:ascii="Arial" w:cs="Arial" w:eastAsia="Arial" w:hAnsi="Arial"/>
                <w:sz w:val="16"/>
                <w:szCs w:val="16"/>
                <w:color w:val="auto"/>
              </w:rPr>
              <w:t>Deferred debt and offering costs included in accounts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Warrants issued in connection with debt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40" w:firstLine="446"/>
        <w:spacing w:after="0" w:line="258" w:lineRule="auto"/>
        <w:rPr>
          <w:sz w:val="20"/>
          <w:szCs w:val="20"/>
          <w:color w:val="auto"/>
        </w:rPr>
      </w:pPr>
      <w:r>
        <w:rPr>
          <w:rFonts w:ascii="Arial" w:cs="Arial" w:eastAsia="Arial" w:hAnsi="Arial"/>
          <w:sz w:val="18"/>
          <w:szCs w:val="18"/>
          <w:color w:val="auto"/>
        </w:rPr>
        <w:t>Enphase Energy, Inc. and subsidiaries (the “Company”) delivers simple, innovative and reliable energy management solutions that advance the worldwide potential of renewable energy. Our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cloud-based software technologies. Since inception, the Company has shipped more than14 million microinverters, representing over 3 gigawatts of solar photovoltaic (PV) generating capacity, and more than 620,000 Enphase residential and commercial systems have been deployed in over 100 countries.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7" w:lineRule="exact"/>
        <w:rPr>
          <w:sz w:val="20"/>
          <w:szCs w:val="20"/>
          <w:color w:val="auto"/>
        </w:rPr>
      </w:pPr>
    </w:p>
    <w:p>
      <w:pPr>
        <w:ind w:right="280" w:firstLine="432"/>
        <w:spacing w:after="0" w:line="271" w:lineRule="auto"/>
        <w:rPr>
          <w:sz w:val="20"/>
          <w:szCs w:val="20"/>
          <w:color w:val="auto"/>
        </w:rPr>
      </w:pPr>
      <w:r>
        <w:rPr>
          <w:rFonts w:ascii="Arial" w:cs="Arial" w:eastAsia="Arial" w:hAnsi="Arial"/>
          <w:sz w:val="18"/>
          <w:szCs w:val="18"/>
          <w:color w:val="auto"/>
        </w:rPr>
        <w:t>The accompanying condensed consolidated financial statements are presented in accordance with accounting principles generally accepted in the U.S, or GAAP. The condensed consolidated financial statements include the accounts of the Company and its wholly-owned subsidiaries. All intercompany balances and transactions have been eliminated in consolidation.</w:t>
      </w:r>
    </w:p>
    <w:p>
      <w:pPr>
        <w:spacing w:after="0" w:line="55" w:lineRule="exact"/>
        <w:rPr>
          <w:sz w:val="20"/>
          <w:szCs w:val="20"/>
          <w:color w:val="auto"/>
        </w:rPr>
      </w:pPr>
    </w:p>
    <w:p>
      <w:pPr>
        <w:ind w:right="120" w:firstLine="432"/>
        <w:spacing w:after="0" w:line="260" w:lineRule="auto"/>
        <w:rPr>
          <w:sz w:val="20"/>
          <w:szCs w:val="20"/>
          <w:color w:val="auto"/>
        </w:rPr>
      </w:pPr>
      <w:r>
        <w:rPr>
          <w:rFonts w:ascii="Arial" w:cs="Arial" w:eastAsia="Arial" w:hAnsi="Arial"/>
          <w:sz w:val="18"/>
          <w:szCs w:val="18"/>
          <w:color w:val="auto"/>
        </w:rPr>
        <w:t>The Company disclosed in its Form 10-K for the year ended December 31, 2016 that certain conditions led it to conclude that substantial doubt existed as to the Company’s ability to continue as a going concern. The Company believes that the same or similar conditions continue to exist and that substantial doubt as to its ability to continue as a going concern within one year from the date of this filing also continues to exist. The accompanying consolidated financial statements for the three months ended March 31, 2017 are presented on a going concern basis and do not include any adjustments that might result from the outcome of this uncertainty.</w:t>
      </w:r>
    </w:p>
    <w:p>
      <w:pPr>
        <w:spacing w:after="0" w:line="67" w:lineRule="exact"/>
        <w:rPr>
          <w:sz w:val="20"/>
          <w:szCs w:val="20"/>
          <w:color w:val="auto"/>
        </w:rPr>
      </w:pPr>
    </w:p>
    <w:p>
      <w:pPr>
        <w:jc w:val="both"/>
        <w:ind w:right="200" w:firstLine="432"/>
        <w:spacing w:after="0" w:line="271" w:lineRule="auto"/>
        <w:rPr>
          <w:sz w:val="20"/>
          <w:szCs w:val="20"/>
          <w:color w:val="auto"/>
        </w:rPr>
      </w:pPr>
      <w:r>
        <w:rPr>
          <w:rFonts w:ascii="Arial" w:cs="Arial" w:eastAsia="Arial" w:hAnsi="Arial"/>
          <w:sz w:val="18"/>
          <w:szCs w:val="18"/>
          <w:color w:val="auto"/>
        </w:rPr>
        <w:t>The Company has taken actions and intends to take further actions to improve its liquidity, including raising funds in the capital markets. In 2016, the Company completed a public offering of its common stock. The Company sold approximately 15 million shares and realized net proceeds of approximately $16.2 million.</w:t>
      </w:r>
    </w:p>
    <w:p>
      <w:pPr>
        <w:spacing w:after="0" w:line="55" w:lineRule="exact"/>
        <w:rPr>
          <w:sz w:val="20"/>
          <w:szCs w:val="20"/>
          <w:color w:val="auto"/>
        </w:rPr>
      </w:pPr>
    </w:p>
    <w:p>
      <w:pPr>
        <w:ind w:right="300" w:firstLine="432"/>
        <w:spacing w:after="0" w:line="271" w:lineRule="auto"/>
        <w:rPr>
          <w:sz w:val="20"/>
          <w:szCs w:val="20"/>
          <w:color w:val="auto"/>
        </w:rPr>
      </w:pPr>
      <w:r>
        <w:rPr>
          <w:rFonts w:ascii="Arial" w:cs="Arial" w:eastAsia="Arial" w:hAnsi="Arial"/>
          <w:sz w:val="18"/>
          <w:szCs w:val="18"/>
          <w:color w:val="auto"/>
        </w:rPr>
        <w:t>In December of 2016, the Company entered into an At The Market Issuance Sales Agreement (ATM) under which it may sell shares of common stock up to a gross aggregate offering price of $17.0 million. The Company realized the full gross proceeds of $17.0 million from common stock sold under the ATM during the three months ended March 31, 2017.</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January 2017, the Company completed a private placement of securities that resulted in gross proceeds of $10.0 million.</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July 2016, the Company entered into a loan and security agreement (the “Term Loan Agreement”) with lenders that are affiliates of Tennenbaum Capital Partners, LLC (collectively “TCP”). Under the agreement, the lenders committed to advance a term loan in an aggregate principal amount of up to $ 25.0 million with a maturity date of July 1, 2020. The Company drew down the $ 25.0 million term loan commitment at closing. In February 2017, the Company amended its loan and security agreement with TCP to provide an additional $25 million in principal. The Company simultaneously terminated its revolving credit facility with Wells Fargo Bank, N.A., and the combined principal and interest balance of $10.3 million was fully repaid. The amended loan has the same July 1, 2020 maturity date as the original TCP loan, both of which are interest only until February 2018. See Note 7, “Debt” for further information.</w:t>
      </w:r>
    </w:p>
    <w:p>
      <w:pPr>
        <w:spacing w:after="0" w:line="69" w:lineRule="exact"/>
        <w:rPr>
          <w:sz w:val="20"/>
          <w:szCs w:val="20"/>
          <w:color w:val="auto"/>
        </w:rPr>
      </w:pPr>
    </w:p>
    <w:p>
      <w:pPr>
        <w:jc w:val="both"/>
        <w:ind w:right="120" w:firstLine="432"/>
        <w:spacing w:after="0" w:line="271" w:lineRule="auto"/>
        <w:rPr>
          <w:sz w:val="20"/>
          <w:szCs w:val="20"/>
          <w:color w:val="auto"/>
        </w:rPr>
      </w:pPr>
      <w:r>
        <w:rPr>
          <w:rFonts w:ascii="Arial" w:cs="Arial" w:eastAsia="Arial" w:hAnsi="Arial"/>
          <w:sz w:val="18"/>
          <w:szCs w:val="18"/>
          <w:color w:val="auto"/>
        </w:rPr>
        <w:t>The Company launched its next generation microinverter, the Enphase Home Energy Solution with IQ, in March 2017. This product is a major milestone in the Company’s product cost reduction initiative. The Company also introduced its AC Battery storage system in Australia in the third quarter of 2016 and in the U.S. and Europe in the fourth quarter of 2016.</w:t>
      </w:r>
    </w:p>
    <w:p>
      <w:pPr>
        <w:spacing w:after="0" w:line="5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Actions the Company has taken to reduce its operating expenses include a reduction in its global workforce in the third quarter of 2016 and a second reduction in January 2017. The Company has eliminated certain projects that did not have a near-term return on investment, consolidated office space at its headquarters, divested its services business and engaged a management consulting firm to help it improve operational efficiencies. The Company expects the cumulative impact of these actions to decrease its ongoing annualized operating expenses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by approximately $40 million as compared to pre-restructuring annualized operating expenses. For the three months ended March 31, 2017, the Company achieved a combined $9.0 million in savings for research and development, sales and marketing and general and administrative expenses over the same period in 2016, which was partially offset by increased restructuring charges of $7.2 million.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71"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These accompanying unaudited condensed consolidated financial statements have been prepared pursuant to the rules and regulations of the Securities and Exchange Commission (the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(loss) and cash flows for the interim periods indicated. The results of operations for the three months ended March 31, 2017 are not necessarily indicative of the operating results for the full year. Certain information and footnote disclosures typically included in annual consolidated financial statements have been condensed or omitted. Accordingly, these unaudited interim condensed consolidated financial statements should be read in conjunction with the consolidated financial statements and related notes included in the Company’s Annual Report on Form 10-K for the year ended December 31, 2016.</w:t>
      </w:r>
    </w:p>
    <w:p>
      <w:pPr>
        <w:spacing w:after="0" w:line="124" w:lineRule="exact"/>
        <w:rPr>
          <w:sz w:val="20"/>
          <w:szCs w:val="20"/>
          <w:color w:val="auto"/>
        </w:rPr>
      </w:pPr>
    </w:p>
    <w:p>
      <w:pPr>
        <w:jc w:val="both"/>
        <w:ind w:right="140" w:firstLine="432"/>
        <w:spacing w:after="0" w:line="271" w:lineRule="auto"/>
        <w:rPr>
          <w:sz w:val="20"/>
          <w:szCs w:val="20"/>
          <w:color w:val="auto"/>
        </w:rPr>
      </w:pPr>
      <w:r>
        <w:rPr>
          <w:rFonts w:ascii="Arial" w:cs="Arial" w:eastAsia="Arial" w:hAnsi="Arial"/>
          <w:sz w:val="18"/>
          <w:szCs w:val="18"/>
          <w:color w:val="auto"/>
        </w:rPr>
        <w:t>There have been no material changes in the Company’s significant accounting policies during the three months ended March 31, 2017, as compared to the significant accounting policies described in the Company’s Annual Report on Form 10-K for the year ended December 31, 2016. Reference is made to the disclosures therein for a summary of all of the Company’s significant accounting policies.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inventory valuation and accrued warranty obligations. These estimates are based on information available as of the date of the financial statements; therefore, actual results could differ materially from management’s estimates using different assumptions or under different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In July 2015, the FASB issued ASU 2015-11, “Simplifying the Measurement of Inventory,” which requires most entities to measure most inventories at the lower of cost or net realizable value ("NRV"). This simplifies the evaluation from the current method of lower of cost or market, where market is based on one of three measures (i.e. replacement cost, net realizable value, or net realizable value less a normal profit margin). ASU 2015-11 does not apply to inventories measured under the last-in, first-out method or the retail inventory method, and defines NRV as the “estimated selling price in the ordinary course of business, less reasonably predictable costs of completion, disposal, and transportation.” ASU 2015-11 is effective for fiscal years beginning after December 15, 2016, including interim periods within those fiscal years. The adoption of this standard did not have a material impact on the consolidated financial statements.</w:t>
      </w:r>
    </w:p>
    <w:p>
      <w:pPr>
        <w:spacing w:after="0" w:line="177"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In March 2016, the FASB issued ASU 2016-09, “Improvements to Employee Share-Based Payment Accounting,” which will simplify the income tax consequences, accounting for forfeitures and classification on the Statements of Consolidated Cash Flows. ASU 2016-09 is effective for fiscal years and interim periods beginning after December 15, 2016, with early adoption permitted. The adoption of this standard did not have a material impact on the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Effective</w:t>
      </w:r>
    </w:p>
    <w:p>
      <w:pPr>
        <w:spacing w:after="0" w:line="11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which will replace most existing revenue recognition guidance under U.S. GAAP. The updated standard’s core principle is that revenue is recognized when promised goods or services are transferred to customers in an amount that reflects the consideration to which an entity expects to be entitled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 obligations are satisfied. In addition, the updated standard requires additional disclosure about the nature, amount,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timing and uncertainty of revenue and cash flows arising from customer contracts. In 2015, the FASB issued guidance to defer the effective date to fiscal years beginning after December 15, 2017 with early adoption for fiscal years beginning December 15, 2016. The guidance permits the use of either a retrospective or cumulative effect transition method. In March 2016, the FASB issued ASU 2016-08, “Revenue from Contracts with Customers: Principal versus Agent Considerations (Reporting Revenue Gross versus Net),” which clarifies the guidance in ASU 2014-09 and has the same effective date as the original standard. During the three months ended June 30, 2016, the FASB issued ASU 2016-10, “Revenue from Contracts with Customers: Identifying Performance Obligations and Licensing”; ASU 2016-11, “Rescission of SEC Guidance Because of Accounting Standards Updates 2014-09 and 2014-16 Pursuant to Staff Announcements at the March 3, 2016 EITF Meeting”; and ASU 2016-12, “Revenue from Contracts with Customers: Narrow-Scope Improvements and Practical Expedients.” These amendments are intended to improve and clarify the implementation guidance of ASU 2014-09 and have the same effective date as the original standard. The Company has not yet selected a transition method and is currently evaluating the impact of adoption on the consolidated financial statements.</w:t>
      </w:r>
    </w:p>
    <w:p>
      <w:pPr>
        <w:spacing w:after="0" w:line="62" w:lineRule="exact"/>
        <w:rPr>
          <w:sz w:val="20"/>
          <w:szCs w:val="20"/>
          <w:color w:val="auto"/>
        </w:rPr>
      </w:pPr>
    </w:p>
    <w:p>
      <w:pPr>
        <w:ind w:right="40" w:firstLine="482"/>
        <w:spacing w:after="0" w:line="254"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which amends certain aspects of recognition, measurement, presentation, and disclosure of financial instruments. Changes to the current guidance include the accounting for equity investments, the presentation and disclosure requirements for financial instruments, and the assessment of valuation allowance on deferred tax assets related to available-for-sale securities. In addition, ASU 2016-01 establishes an incremental recognition and disclosure requirement related to the presentation of fair value changes of financial liabilities for which the fair value option has been elected. Under this guidance, an entity would be required to separately present in other comprehensive income the portion of the total fair value change attributable to instrument-specific credit risk as opposed to reflecting the entire amount in earnings. ASU 2016-01 is effective for fiscal years and interim periods beginning after December 15, 2017, and upon adoption, an entity should apply the amendments by means of a cumulative-effect adjustment to the balance sheet at the beginning of the first reporting period in which the guidance is effective. Early adoption is not permitted except for the provision to record fair value changes for financial liabilities under the fair value option resulting from instrument-specific credit risk in other comprehensive income. The Company is currently evaluating the impact of adoption on the consolidated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Inventory as of March 31, 2017 and December 31, 2016 consists of the following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30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1"/>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5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3,229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65"/>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48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30,579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26,865</w:t>
            </w:r>
          </w:p>
        </w:tc>
        <w:tc>
          <w:tcPr>
            <w:tcW w:w="0" w:type="dxa"/>
            <w:vAlign w:val="bottom"/>
          </w:tcPr>
          <w:p>
            <w:pPr>
              <w:spacing w:after="0"/>
              <w:rPr>
                <w:sz w:val="1"/>
                <w:szCs w:val="1"/>
                <w:color w:val="auto"/>
              </w:rPr>
            </w:pPr>
          </w:p>
        </w:tc>
      </w:tr>
      <w:tr>
        <w:trPr>
          <w:trHeight w:val="250"/>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5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33,808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31,960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350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WARRANTY OBLIGATIONS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warranty activities during the three months ended March 31, 2017 and 2016 were as follows (in thousands):</w:t>
      </w:r>
    </w:p>
    <w:p>
      <w:pPr>
        <w:spacing w:after="0" w:line="341"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14605</wp:posOffset>
            </wp:positionV>
            <wp:extent cx="15265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83" w:lineRule="exact"/>
        <w:rPr>
          <w:sz w:val="20"/>
          <w:szCs w:val="20"/>
          <w:color w:val="auto"/>
        </w:rPr>
      </w:pPr>
    </w:p>
    <w:p>
      <w:pPr>
        <w:jc w:val="both"/>
        <w:ind w:left="9420"/>
        <w:spacing w:after="0"/>
        <w:tabs>
          <w:tab w:leader="none" w:pos="106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Warranty obligations, beginning of period</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Accruals for warranties issued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Changes in estimates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Increase due to accretion expense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457" w:hanging="457"/>
        <w:spacing w:after="0"/>
        <w:tabs>
          <w:tab w:leader="none" w:pos="457" w:val="left"/>
        </w:tabs>
        <w:numPr>
          <w:ilvl w:val="0"/>
          <w:numId w:val="7"/>
        </w:numPr>
        <w:rPr>
          <w:rFonts w:ascii="Arial" w:cs="Arial" w:eastAsia="Arial" w:hAnsi="Arial"/>
          <w:sz w:val="18"/>
          <w:szCs w:val="18"/>
          <w:color w:val="auto"/>
        </w:rPr>
      </w:pPr>
      <w:r>
        <w:rPr>
          <w:rFonts w:ascii="Arial" w:cs="Arial" w:eastAsia="Arial" w:hAnsi="Arial"/>
          <w:sz w:val="18"/>
          <w:szCs w:val="18"/>
          <w:color w:val="auto"/>
        </w:rPr>
        <w:t>31,414  $   30,547</w:t>
      </w:r>
    </w:p>
    <w:p>
      <w:pPr>
        <w:spacing w:after="0" w:line="63" w:lineRule="exact"/>
        <w:rPr>
          <w:sz w:val="20"/>
          <w:szCs w:val="20"/>
          <w:color w:val="auto"/>
        </w:rPr>
      </w:pPr>
    </w:p>
    <w:p>
      <w:pPr>
        <w:ind w:left="1977" w:hanging="1264"/>
        <w:spacing w:after="0"/>
        <w:tabs>
          <w:tab w:leader="none" w:pos="1977" w:val="left"/>
        </w:tabs>
        <w:numPr>
          <w:ilvl w:val="0"/>
          <w:numId w:val="8"/>
        </w:numPr>
        <w:rPr>
          <w:rFonts w:ascii="Arial" w:cs="Arial" w:eastAsia="Arial" w:hAnsi="Arial"/>
          <w:sz w:val="18"/>
          <w:szCs w:val="18"/>
          <w:color w:val="auto"/>
        </w:rPr>
      </w:pPr>
      <w:r>
        <w:rPr>
          <w:rFonts w:ascii="Arial" w:cs="Arial" w:eastAsia="Arial" w:hAnsi="Arial"/>
          <w:sz w:val="18"/>
          <w:szCs w:val="18"/>
          <w:color w:val="auto"/>
        </w:rPr>
        <w:t>708</w:t>
      </w:r>
    </w:p>
    <w:p>
      <w:pPr>
        <w:spacing w:after="0" w:line="63" w:lineRule="exact"/>
        <w:rPr>
          <w:rFonts w:ascii="Arial" w:cs="Arial" w:eastAsia="Arial" w:hAnsi="Arial"/>
          <w:sz w:val="18"/>
          <w:szCs w:val="18"/>
          <w:color w:val="auto"/>
        </w:rPr>
      </w:pPr>
    </w:p>
    <w:p>
      <w:pPr>
        <w:ind w:left="1977" w:hanging="1264"/>
        <w:spacing w:after="0"/>
        <w:tabs>
          <w:tab w:leader="none" w:pos="1977" w:val="left"/>
        </w:tabs>
        <w:numPr>
          <w:ilvl w:val="0"/>
          <w:numId w:val="9"/>
        </w:numPr>
        <w:rPr>
          <w:rFonts w:ascii="Arial" w:cs="Arial" w:eastAsia="Arial" w:hAnsi="Arial"/>
          <w:sz w:val="18"/>
          <w:szCs w:val="18"/>
          <w:color w:val="auto"/>
        </w:rPr>
      </w:pPr>
      <w:r>
        <w:rPr>
          <w:rFonts w:ascii="Arial" w:cs="Arial" w:eastAsia="Arial" w:hAnsi="Arial"/>
          <w:sz w:val="18"/>
          <w:szCs w:val="18"/>
          <w:color w:val="auto"/>
        </w:rPr>
        <w:t>158</w:t>
      </w:r>
    </w:p>
    <w:p>
      <w:pPr>
        <w:spacing w:after="0" w:line="63" w:lineRule="exact"/>
        <w:rPr>
          <w:sz w:val="20"/>
          <w:szCs w:val="20"/>
          <w:color w:val="auto"/>
        </w:rPr>
      </w:pPr>
    </w:p>
    <w:p>
      <w:pPr>
        <w:jc w:val="both"/>
        <w:ind w:left="497"/>
        <w:spacing w:after="0"/>
        <w:tabs>
          <w:tab w:leader="none" w:pos="1737" w:val="left"/>
        </w:tabs>
        <w:rPr>
          <w:sz w:val="20"/>
          <w:szCs w:val="20"/>
          <w:color w:val="auto"/>
        </w:rPr>
      </w:pPr>
      <w:r>
        <w:rPr>
          <w:rFonts w:ascii="Arial" w:cs="Arial" w:eastAsia="Arial" w:hAnsi="Arial"/>
          <w:sz w:val="18"/>
          <w:szCs w:val="18"/>
          <w:color w:val="auto"/>
        </w:rPr>
        <w:t>(1,617)</w:t>
      </w:r>
      <w:r>
        <w:rPr>
          <w:sz w:val="20"/>
          <w:szCs w:val="20"/>
          <w:color w:val="auto"/>
        </w:rPr>
        <w:tab/>
      </w:r>
      <w:r>
        <w:rPr>
          <w:rFonts w:ascii="Arial" w:cs="Arial" w:eastAsia="Arial" w:hAnsi="Arial"/>
          <w:sz w:val="18"/>
          <w:szCs w:val="18"/>
          <w:color w:val="auto"/>
        </w:rPr>
        <w:t>(1,719)</w:t>
      </w:r>
    </w:p>
    <w:p>
      <w:pPr>
        <w:spacing w:after="0" w:line="63" w:lineRule="exact"/>
        <w:rPr>
          <w:sz w:val="20"/>
          <w:szCs w:val="20"/>
          <w:color w:val="auto"/>
        </w:rPr>
      </w:pPr>
    </w:p>
    <w:p>
      <w:pPr>
        <w:ind w:left="1977" w:hanging="1264"/>
        <w:spacing w:after="0"/>
        <w:tabs>
          <w:tab w:leader="none" w:pos="19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384</w:t>
      </w:r>
    </w:p>
    <w:p>
      <w:pPr>
        <w:spacing w:after="0" w:line="63" w:lineRule="exact"/>
        <w:rPr>
          <w:rFonts w:ascii="Arial" w:cs="Arial" w:eastAsia="Arial" w:hAnsi="Arial"/>
          <w:sz w:val="18"/>
          <w:szCs w:val="18"/>
          <w:color w:val="auto"/>
        </w:rPr>
      </w:pPr>
    </w:p>
    <w:p>
      <w:pPr>
        <w:ind w:left="1917" w:hanging="1204"/>
        <w:spacing w:after="0"/>
        <w:tabs>
          <w:tab w:leader="none" w:pos="1917" w:val="left"/>
        </w:tabs>
        <w:numPr>
          <w:ilvl w:val="0"/>
          <w:numId w:val="11"/>
        </w:numPr>
        <w:rPr>
          <w:rFonts w:ascii="Arial" w:cs="Arial" w:eastAsia="Arial" w:hAnsi="Arial"/>
          <w:sz w:val="17"/>
          <w:szCs w:val="17"/>
          <w:color w:val="auto"/>
        </w:rPr>
      </w:pPr>
      <w:r>
        <w:rPr>
          <w:rFonts w:ascii="Arial" w:cs="Arial" w:eastAsia="Arial" w:hAnsi="Arial"/>
          <w:sz w:val="17"/>
          <w:szCs w:val="17"/>
          <w:color w:val="auto"/>
        </w:rPr>
        <w:t>(419)</w:t>
      </w:r>
    </w:p>
    <w:p>
      <w:pPr>
        <w:spacing w:after="0" w:line="47" w:lineRule="exact"/>
        <w:rPr>
          <w:sz w:val="20"/>
          <w:szCs w:val="20"/>
          <w:color w:val="auto"/>
        </w:rPr>
      </w:pPr>
    </w:p>
    <w:p>
      <w:pPr>
        <w:sectPr>
          <w:pgSz w:w="11900" w:h="16838" w:orient="portrait"/>
          <w:cols w:equalWidth="0" w:num="2">
            <w:col w:w="8323" w:space="720"/>
            <w:col w:w="2377"/>
          </w:cols>
          <w:pgMar w:left="240" w:top="115" w:right="23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obligations, end of period</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31,995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29,659</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8"/>
                <w:szCs w:val="18"/>
                <w:color w:val="auto"/>
              </w:rPr>
              <w:t>Less current portion</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90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23,008</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220" w:firstLine="648"/>
        <w:spacing w:after="0" w:line="292" w:lineRule="auto"/>
        <w:rPr>
          <w:sz w:val="20"/>
          <w:szCs w:val="20"/>
          <w:color w:val="auto"/>
        </w:rPr>
      </w:pPr>
      <w:r>
        <w:rPr>
          <w:rFonts w:ascii="Arial" w:cs="Arial" w:eastAsia="Arial" w:hAnsi="Arial"/>
          <w:sz w:val="18"/>
          <w:szCs w:val="18"/>
          <w:color w:val="auto"/>
        </w:rPr>
        <w:t>As of March 31, 2017, the $32.0 million of warranty obligations included $11.6 million measured at fair value. See Note 4, “Fair Value Measurements”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73" w:lineRule="exact"/>
        <w:rPr>
          <w:sz w:val="20"/>
          <w:szCs w:val="20"/>
          <w:color w:val="auto"/>
        </w:rPr>
      </w:pPr>
    </w:p>
    <w:p>
      <w:pPr>
        <w:ind w:right="320" w:firstLine="446"/>
        <w:spacing w:after="0" w:line="260" w:lineRule="auto"/>
        <w:rPr>
          <w:sz w:val="20"/>
          <w:szCs w:val="20"/>
          <w:color w:val="auto"/>
        </w:rPr>
      </w:pPr>
      <w:r>
        <w:rPr>
          <w:rFonts w:ascii="Arial" w:cs="Arial" w:eastAsia="Arial" w:hAnsi="Arial"/>
          <w:sz w:val="18"/>
          <w:szCs w:val="18"/>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21" w:lineRule="exact"/>
        <w:rPr>
          <w:sz w:val="20"/>
          <w:szCs w:val="20"/>
          <w:color w:val="auto"/>
        </w:rPr>
      </w:pPr>
    </w:p>
    <w:p>
      <w:pPr>
        <w:ind w:right="260" w:firstLine="446"/>
        <w:spacing w:after="0" w:line="271"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28" w:lineRule="exact"/>
        <w:rPr>
          <w:sz w:val="20"/>
          <w:szCs w:val="20"/>
          <w:color w:val="auto"/>
        </w:rPr>
      </w:pPr>
    </w:p>
    <w:p>
      <w:pPr>
        <w:ind w:left="980" w:right="20" w:hanging="486"/>
        <w:spacing w:after="0" w:line="27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28" w:lineRule="exact"/>
        <w:rPr>
          <w:rFonts w:ascii="Arial" w:cs="Arial" w:eastAsia="Arial" w:hAnsi="Arial"/>
          <w:sz w:val="18"/>
          <w:szCs w:val="18"/>
          <w:color w:val="auto"/>
        </w:rPr>
      </w:pPr>
    </w:p>
    <w:p>
      <w:pPr>
        <w:ind w:left="980" w:right="640" w:hanging="486"/>
        <w:spacing w:after="0" w:line="29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85" w:lineRule="exact"/>
        <w:rPr>
          <w:sz w:val="20"/>
          <w:szCs w:val="20"/>
          <w:color w:val="auto"/>
        </w:rPr>
      </w:pPr>
    </w:p>
    <w:p>
      <w:pPr>
        <w:ind w:right="240" w:firstLine="446"/>
        <w:spacing w:after="0" w:line="292" w:lineRule="auto"/>
        <w:rPr>
          <w:sz w:val="20"/>
          <w:szCs w:val="20"/>
          <w:color w:val="auto"/>
        </w:rPr>
      </w:pPr>
      <w:r>
        <w:rPr>
          <w:rFonts w:ascii="Arial" w:cs="Arial" w:eastAsia="Arial" w:hAnsi="Arial"/>
          <w:sz w:val="18"/>
          <w:szCs w:val="18"/>
          <w:color w:val="auto"/>
        </w:rPr>
        <w:t>The following table presents the Company’s liabilities that were measured at fair value on a recurring basis and its categorization within the fair value hierarchy at March 31, 2017 and December 31, 2016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20" w:type="dxa"/>
            <w:vAlign w:val="bottom"/>
          </w:tcPr>
          <w:p>
            <w:pPr>
              <w:jc w:val="center"/>
              <w:ind w:right="122"/>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708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Hierarchy</w:t>
            </w:r>
          </w:p>
        </w:tc>
        <w:tc>
          <w:tcPr>
            <w:tcW w:w="220" w:type="dxa"/>
            <w:vAlign w:val="bottom"/>
          </w:tcPr>
          <w:p>
            <w:pPr>
              <w:spacing w:after="0"/>
              <w:rPr>
                <w:sz w:val="17"/>
                <w:szCs w:val="17"/>
                <w:color w:val="auto"/>
              </w:rPr>
            </w:pPr>
          </w:p>
        </w:tc>
        <w:tc>
          <w:tcPr>
            <w:tcW w:w="1160" w:type="dxa"/>
            <w:vAlign w:val="bottom"/>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42"/>
              <w:spacing w:after="0"/>
              <w:rPr>
                <w:sz w:val="20"/>
                <w:szCs w:val="20"/>
                <w:color w:val="auto"/>
              </w:rPr>
            </w:pPr>
            <w:r>
              <w:rPr>
                <w:rFonts w:ascii="Arial" w:cs="Arial" w:eastAsia="Arial" w:hAnsi="Arial"/>
                <w:sz w:val="14"/>
                <w:szCs w:val="14"/>
                <w:b w:val="1"/>
                <w:bCs w:val="1"/>
                <w:color w:val="auto"/>
              </w:rPr>
              <w:t>2016</w:t>
            </w:r>
          </w:p>
        </w:tc>
      </w:tr>
      <w:tr>
        <w:trPr>
          <w:trHeight w:val="265"/>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1"/>
        </w:trPr>
        <w:tc>
          <w:tcPr>
            <w:tcW w:w="7080" w:type="dxa"/>
            <w:vAlign w:val="bottom"/>
          </w:tcPr>
          <w:p>
            <w:pPr>
              <w:ind w:left="40"/>
              <w:spacing w:after="0"/>
              <w:rPr>
                <w:sz w:val="20"/>
                <w:szCs w:val="20"/>
                <w:color w:val="auto"/>
              </w:rPr>
            </w:pPr>
            <w:r>
              <w:rPr>
                <w:rFonts w:ascii="Arial" w:cs="Arial" w:eastAsia="Arial" w:hAnsi="Arial"/>
                <w:sz w:val="18"/>
                <w:szCs w:val="18"/>
                <w:color w:val="auto"/>
              </w:rPr>
              <w:t>Warranty obligations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Level 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42"/>
              <w:spacing w:after="0"/>
              <w:rPr>
                <w:sz w:val="20"/>
                <w:szCs w:val="20"/>
                <w:color w:val="auto"/>
              </w:rPr>
            </w:pPr>
            <w:r>
              <w:rPr>
                <w:rFonts w:ascii="Arial" w:cs="Arial" w:eastAsia="Arial" w:hAnsi="Arial"/>
                <w:sz w:val="18"/>
                <w:szCs w:val="18"/>
                <w:color w:val="auto"/>
              </w:rPr>
              <w:t>11,627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2"/>
              <w:spacing w:after="0"/>
              <w:rPr>
                <w:sz w:val="20"/>
                <w:szCs w:val="20"/>
                <w:color w:val="auto"/>
              </w:rPr>
            </w:pPr>
            <w:r>
              <w:rPr>
                <w:rFonts w:ascii="Arial" w:cs="Arial" w:eastAsia="Arial" w:hAnsi="Arial"/>
                <w:sz w:val="18"/>
                <w:szCs w:val="18"/>
                <w:color w:val="auto"/>
              </w:rPr>
              <w:t>10,332</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Warranty Obligations Related to Microinverters Sold Since January 1, 2014</w:t>
      </w:r>
    </w:p>
    <w:p>
      <w:pPr>
        <w:spacing w:after="0" w:line="173" w:lineRule="exact"/>
        <w:rPr>
          <w:sz w:val="20"/>
          <w:szCs w:val="20"/>
          <w:color w:val="auto"/>
        </w:rPr>
      </w:pPr>
    </w:p>
    <w:p>
      <w:pPr>
        <w:ind w:right="220" w:firstLine="446"/>
        <w:spacing w:after="0" w:line="271" w:lineRule="auto"/>
        <w:rPr>
          <w:sz w:val="20"/>
          <w:szCs w:val="20"/>
          <w:color w:val="auto"/>
        </w:rPr>
      </w:pPr>
      <w:r>
        <w:rPr>
          <w:rFonts w:ascii="Arial" w:cs="Arial" w:eastAsia="Arial" w:hAnsi="Arial"/>
          <w:sz w:val="18"/>
          <w:szCs w:val="18"/>
          <w:color w:val="auto"/>
        </w:rPr>
        <w:t>The Company’s warranty obligations related to microinverters sold since January 1, 2014 provide the Company the right, but not the requirement, to assign its warranty obligations to a third-party. Under Accounting Standards Codification (“ASC”) 825—Financial Instruments, (“fair value option”), an entity may choose to elect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fair value option for such warranties at the time it first recognizes the eligible item. The Company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109" w:lineRule="exact"/>
        <w:rPr>
          <w:sz w:val="20"/>
          <w:szCs w:val="20"/>
          <w:color w:val="auto"/>
        </w:rPr>
      </w:pPr>
    </w:p>
    <w:p>
      <w:pPr>
        <w:jc w:val="both"/>
        <w:ind w:right="320" w:firstLine="446"/>
        <w:spacing w:after="0" w:line="256"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w:t>
      </w:r>
    </w:p>
    <w:p>
      <w:pPr>
        <w:spacing w:after="0" w:line="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Such additional assumptions included a discount rate based on the Company’s credit-adjusted risk-free rate and compensation comprised of a profit element and risk premium required of a market participant to assume the obligation.</w:t>
      </w:r>
    </w:p>
    <w:p>
      <w:pPr>
        <w:spacing w:after="0" w:line="59" w:lineRule="exact"/>
        <w:rPr>
          <w:sz w:val="20"/>
          <w:szCs w:val="20"/>
          <w:color w:val="auto"/>
        </w:rPr>
      </w:pPr>
    </w:p>
    <w:p>
      <w:pPr>
        <w:ind w:right="620" w:firstLine="446"/>
        <w:spacing w:after="0" w:line="292" w:lineRule="auto"/>
        <w:rPr>
          <w:sz w:val="20"/>
          <w:szCs w:val="20"/>
          <w:color w:val="auto"/>
        </w:rPr>
      </w:pPr>
      <w:r>
        <w:rPr>
          <w:rFonts w:ascii="Arial" w:cs="Arial" w:eastAsia="Arial" w:hAnsi="Arial"/>
          <w:sz w:val="18"/>
          <w:szCs w:val="18"/>
          <w:color w:val="auto"/>
        </w:rPr>
        <w:t>The following table provides information regarding changes in nonfinancial liabilities related to the Company’s warranty obligations measured at fair value on a recurring basis using significant unobservable inputs (Level 3) for the periods indicated (in thousands):</w:t>
      </w:r>
    </w:p>
    <w:p>
      <w:pPr>
        <w:spacing w:after="0" w:line="206"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14605</wp:posOffset>
            </wp:positionV>
            <wp:extent cx="13893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r>
      <w:tr>
        <w:trPr>
          <w:trHeight w:val="247"/>
        </w:trPr>
        <w:tc>
          <w:tcPr>
            <w:tcW w:w="92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10,332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6,182</w:t>
            </w:r>
          </w:p>
        </w:tc>
      </w:tr>
      <w:tr>
        <w:trPr>
          <w:trHeight w:val="275"/>
        </w:trPr>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for warranties issued during period</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695</w:t>
            </w:r>
          </w:p>
        </w:tc>
      </w:tr>
      <w:tr>
        <w:trPr>
          <w:trHeight w:val="265"/>
        </w:trPr>
        <w:tc>
          <w:tcPr>
            <w:tcW w:w="9240" w:type="dxa"/>
            <w:vAlign w:val="bottom"/>
          </w:tcPr>
          <w:p>
            <w:pPr>
              <w:ind w:left="180"/>
              <w:spacing w:after="0"/>
              <w:rPr>
                <w:sz w:val="20"/>
                <w:szCs w:val="20"/>
                <w:color w:val="auto"/>
              </w:rPr>
            </w:pPr>
            <w:r>
              <w:rPr>
                <w:rFonts w:ascii="Arial" w:cs="Arial" w:eastAsia="Arial" w:hAnsi="Arial"/>
                <w:sz w:val="18"/>
                <w:szCs w:val="18"/>
                <w:color w:val="auto"/>
              </w:rPr>
              <w:t>Changes in estimates</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5"/>
        </w:trPr>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65"/>
        </w:trPr>
        <w:tc>
          <w:tcPr>
            <w:tcW w:w="9240" w:type="dxa"/>
            <w:vAlign w:val="bottom"/>
          </w:tcPr>
          <w:p>
            <w:pPr>
              <w:ind w:left="180"/>
              <w:spacing w:after="0"/>
              <w:rPr>
                <w:sz w:val="20"/>
                <w:szCs w:val="20"/>
                <w:color w:val="auto"/>
              </w:rPr>
            </w:pPr>
            <w:r>
              <w:rPr>
                <w:rFonts w:ascii="Arial" w:cs="Arial" w:eastAsia="Arial" w:hAnsi="Arial"/>
                <w:sz w:val="18"/>
                <w:szCs w:val="18"/>
                <w:color w:val="auto"/>
              </w:rPr>
              <w:t>Increase due to accretion expense</w:t>
            </w:r>
          </w:p>
        </w:tc>
        <w:tc>
          <w:tcPr>
            <w:tcW w:w="2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384</w:t>
            </w:r>
          </w:p>
        </w:tc>
      </w:tr>
      <w:tr>
        <w:trPr>
          <w:trHeight w:val="270"/>
        </w:trPr>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55"/>
        </w:trPr>
        <w:tc>
          <w:tcPr>
            <w:tcW w:w="92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11,627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6,489</w:t>
            </w:r>
          </w:p>
        </w:tc>
      </w:tr>
      <w:tr>
        <w:trPr>
          <w:trHeight w:val="20"/>
        </w:trPr>
        <w:tc>
          <w:tcPr>
            <w:tcW w:w="9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Information about Level 3 Fair Value Measurements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2017, the significant unobservable inputs used in the fair value measurement of the Company’s liabilities designated as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Level 3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203"/>
        </w:trPr>
        <w:tc>
          <w:tcPr>
            <w:tcW w:w="2640" w:type="dxa"/>
            <w:vAlign w:val="bottom"/>
            <w:tcBorders>
              <w:bottom w:val="single" w:sz="8" w:color="auto"/>
            </w:tcBorders>
          </w:tcPr>
          <w:p>
            <w:pPr>
              <w:jc w:val="center"/>
              <w:ind w:right="581"/>
              <w:spacing w:after="0"/>
              <w:rPr>
                <w:sz w:val="20"/>
                <w:szCs w:val="20"/>
                <w:color w:val="auto"/>
              </w:rPr>
            </w:pPr>
            <w:r>
              <w:rPr>
                <w:rFonts w:ascii="Arial" w:cs="Arial" w:eastAsia="Arial" w:hAnsi="Arial"/>
                <w:sz w:val="14"/>
                <w:szCs w:val="14"/>
                <w:b w:val="1"/>
                <w:bCs w:val="1"/>
                <w:color w:val="auto"/>
              </w:rPr>
              <w:t>Item Measured at Fair Value</w:t>
            </w:r>
          </w:p>
        </w:tc>
        <w:tc>
          <w:tcPr>
            <w:tcW w:w="12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 of Significant Unobservable Input</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7"/>
        </w:trPr>
        <w:tc>
          <w:tcPr>
            <w:tcW w:w="2760" w:type="dxa"/>
            <w:vAlign w:val="bottom"/>
            <w:gridSpan w:val="2"/>
            <w:shd w:val="clear" w:color="auto" w:fill="CCEEFF"/>
          </w:tcPr>
          <w:p>
            <w:pPr>
              <w:jc w:val="center"/>
              <w:ind w:right="820"/>
              <w:spacing w:after="0"/>
              <w:rPr>
                <w:sz w:val="20"/>
                <w:szCs w:val="20"/>
                <w:color w:val="auto"/>
              </w:rPr>
            </w:pPr>
            <w:r>
              <w:rPr>
                <w:rFonts w:ascii="Arial" w:cs="Arial" w:eastAsia="Arial" w:hAnsi="Arial"/>
                <w:sz w:val="16"/>
                <w:szCs w:val="16"/>
                <w:color w:val="auto"/>
              </w:rPr>
              <w:t>Warranty obligations for</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Profit element and risk premium</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4"/>
        </w:trPr>
        <w:tc>
          <w:tcPr>
            <w:tcW w:w="2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microinverters sold since January</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shd w:val="clear" w:color="auto" w:fill="CCEEFF"/>
          </w:tcPr>
          <w:p>
            <w:pPr>
              <w:spacing w:after="0"/>
              <w:rPr>
                <w:sz w:val="16"/>
                <w:szCs w:val="16"/>
                <w:color w:val="auto"/>
              </w:rPr>
            </w:pPr>
          </w:p>
        </w:tc>
        <w:tc>
          <w:tcPr>
            <w:tcW w:w="43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1, 2014</w:t>
            </w: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20" w:type="dxa"/>
            <w:vAlign w:val="bottom"/>
            <w:gridSpan w:val="2"/>
            <w:vMerge w:val="continue"/>
            <w:shd w:val="clear" w:color="auto" w:fill="CCEEFF"/>
          </w:tcPr>
          <w:p>
            <w:pPr>
              <w:spacing w:after="0"/>
              <w:rPr>
                <w:sz w:val="20"/>
                <w:szCs w:val="20"/>
                <w:color w:val="auto"/>
              </w:rPr>
            </w:pPr>
          </w:p>
        </w:tc>
        <w:tc>
          <w:tcPr>
            <w:tcW w:w="1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60" w:firstLine="486"/>
        <w:spacing w:after="0" w:line="292" w:lineRule="auto"/>
        <w:rPr>
          <w:sz w:val="20"/>
          <w:szCs w:val="20"/>
          <w:color w:val="auto"/>
        </w:rPr>
      </w:pPr>
      <w:r>
        <w:rPr>
          <w:rFonts w:ascii="Arial" w:cs="Arial" w:eastAsia="Arial" w:hAnsi="Arial"/>
          <w:sz w:val="18"/>
          <w:szCs w:val="18"/>
          <w:color w:val="auto"/>
        </w:rPr>
        <w:t>As of December 31, 2016, the significant unobservable inputs used in the fair value measurement of the Company’s liabilities designated as Level 3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203"/>
        </w:trPr>
        <w:tc>
          <w:tcPr>
            <w:tcW w:w="2640" w:type="dxa"/>
            <w:vAlign w:val="bottom"/>
            <w:tcBorders>
              <w:bottom w:val="single" w:sz="8" w:color="auto"/>
            </w:tcBorders>
          </w:tcPr>
          <w:p>
            <w:pPr>
              <w:jc w:val="center"/>
              <w:ind w:right="581"/>
              <w:spacing w:after="0"/>
              <w:rPr>
                <w:sz w:val="20"/>
                <w:szCs w:val="20"/>
                <w:color w:val="auto"/>
              </w:rPr>
            </w:pPr>
            <w:r>
              <w:rPr>
                <w:rFonts w:ascii="Arial" w:cs="Arial" w:eastAsia="Arial" w:hAnsi="Arial"/>
                <w:sz w:val="14"/>
                <w:szCs w:val="14"/>
                <w:b w:val="1"/>
                <w:bCs w:val="1"/>
                <w:color w:val="auto"/>
              </w:rPr>
              <w:t>Item Measured at Fair Value</w:t>
            </w:r>
          </w:p>
        </w:tc>
        <w:tc>
          <w:tcPr>
            <w:tcW w:w="12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 of Significant Unobservable Input</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7"/>
        </w:trPr>
        <w:tc>
          <w:tcPr>
            <w:tcW w:w="2760" w:type="dxa"/>
            <w:vAlign w:val="bottom"/>
            <w:gridSpan w:val="2"/>
            <w:shd w:val="clear" w:color="auto" w:fill="CCEEFF"/>
          </w:tcPr>
          <w:p>
            <w:pPr>
              <w:jc w:val="center"/>
              <w:ind w:right="820"/>
              <w:spacing w:after="0"/>
              <w:rPr>
                <w:sz w:val="20"/>
                <w:szCs w:val="20"/>
                <w:color w:val="auto"/>
              </w:rPr>
            </w:pPr>
            <w:r>
              <w:rPr>
                <w:rFonts w:ascii="Arial" w:cs="Arial" w:eastAsia="Arial" w:hAnsi="Arial"/>
                <w:sz w:val="16"/>
                <w:szCs w:val="16"/>
                <w:color w:val="auto"/>
              </w:rPr>
              <w:t>Warranty obligations for</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Profit element and risk premium</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4"/>
        </w:trPr>
        <w:tc>
          <w:tcPr>
            <w:tcW w:w="2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microinverters sold since January</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shd w:val="clear" w:color="auto" w:fill="CCEEFF"/>
          </w:tcPr>
          <w:p>
            <w:pPr>
              <w:spacing w:after="0"/>
              <w:rPr>
                <w:sz w:val="16"/>
                <w:szCs w:val="16"/>
                <w:color w:val="auto"/>
              </w:rPr>
            </w:pPr>
          </w:p>
        </w:tc>
        <w:tc>
          <w:tcPr>
            <w:tcW w:w="43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1, 2014</w:t>
            </w: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20" w:type="dxa"/>
            <w:vAlign w:val="bottom"/>
            <w:gridSpan w:val="2"/>
            <w:vMerge w:val="continue"/>
            <w:shd w:val="clear" w:color="auto" w:fill="CCEEFF"/>
          </w:tcPr>
          <w:p>
            <w:pPr>
              <w:spacing w:after="0"/>
              <w:rPr>
                <w:sz w:val="20"/>
                <w:szCs w:val="20"/>
                <w:color w:val="auto"/>
              </w:rPr>
            </w:pPr>
          </w:p>
        </w:tc>
        <w:tc>
          <w:tcPr>
            <w:tcW w:w="1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Inputs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Warranty Obligations</w:t>
      </w:r>
    </w:p>
    <w:p>
      <w:pPr>
        <w:spacing w:after="0" w:line="173"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Each of the significant unobservable inputs is independent of the other. The profit element and risk premium are estimated based on requirements of a third-party participant willing to assume the Company’s warranty obligations. The credit-adjusted risk free rate (“discount rate”) is determined by reference to the Company’s own credit standing at the fair value measurement date. Increasing or decreasing the profit element and risk premium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6"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input by 100 basis points would not have a material impact on the fair value measurement of the liability. Increasing the discount rate by 100 basis points would result in a $0.5 million reduction of the liability. Decreasing the discount rate by 100 basis points would result in a $0.5 million increase to the liability.</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details of the Company’s goodwill and purchased intangible assets as of March 31, 2017 and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March 31, 2017</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2016</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68"/>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3"/>
        </w:trPr>
        <w:tc>
          <w:tcPr>
            <w:tcW w:w="35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Net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Net</w:t>
            </w:r>
          </w:p>
        </w:tc>
      </w:tr>
      <w:tr>
        <w:trPr>
          <w:trHeight w:val="251"/>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r>
      <w:tr>
        <w:trPr>
          <w:trHeight w:val="324"/>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indefinite-lived intangibles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r>
      <w:tr>
        <w:trPr>
          <w:trHeight w:val="324"/>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with finite lives:</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5"/>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Patents and licensed technology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659</w:t>
            </w:r>
          </w:p>
        </w:tc>
      </w:tr>
      <w:tr>
        <w:trPr>
          <w:trHeight w:val="255"/>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659</w:t>
            </w: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right="240" w:firstLine="486"/>
        <w:spacing w:after="0" w:line="271" w:lineRule="auto"/>
        <w:rPr>
          <w:sz w:val="20"/>
          <w:szCs w:val="20"/>
          <w:color w:val="auto"/>
        </w:rPr>
      </w:pPr>
      <w:r>
        <w:rPr>
          <w:rFonts w:ascii="Arial" w:cs="Arial" w:eastAsia="Arial" w:hAnsi="Arial"/>
          <w:sz w:val="18"/>
          <w:szCs w:val="18"/>
          <w:color w:val="auto"/>
        </w:rPr>
        <w:t>In July 2014, the Company purchased certain patents related to system interconnection and photovoltaic AC module construction. The patents are being amortized over their legal life of 3 years. In October 2015, the Company licensed certain technology related to ASIC development for a 3 year term, which is also its estimated useful life.</w:t>
      </w:r>
    </w:p>
    <w:p>
      <w:pPr>
        <w:spacing w:after="0" w:line="55" w:lineRule="exact"/>
        <w:rPr>
          <w:sz w:val="20"/>
          <w:szCs w:val="20"/>
          <w:color w:val="auto"/>
        </w:rPr>
      </w:pPr>
    </w:p>
    <w:p>
      <w:pPr>
        <w:ind w:right="220" w:firstLine="486"/>
        <w:spacing w:after="0" w:line="292" w:lineRule="auto"/>
        <w:rPr>
          <w:sz w:val="20"/>
          <w:szCs w:val="20"/>
          <w:color w:val="auto"/>
        </w:rPr>
      </w:pPr>
      <w:r>
        <w:rPr>
          <w:rFonts w:ascii="Arial" w:cs="Arial" w:eastAsia="Arial" w:hAnsi="Arial"/>
          <w:sz w:val="18"/>
          <w:szCs w:val="18"/>
          <w:color w:val="auto"/>
        </w:rPr>
        <w:t>For the three months ended March 31, 2017, amortization expense related to intangible assets was $0.1 million. As of March 31, 2017, estimated future amortization expense related to finite-lived intangible assets was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360" w:type="dxa"/>
            <w:vAlign w:val="bottom"/>
          </w:tcPr>
          <w:p>
            <w:pPr>
              <w:spacing w:after="0"/>
              <w:rPr>
                <w:sz w:val="17"/>
                <w:szCs w:val="17"/>
                <w:color w:val="auto"/>
              </w:rPr>
            </w:pPr>
          </w:p>
        </w:tc>
        <w:tc>
          <w:tcPr>
            <w:tcW w:w="1820" w:type="dxa"/>
            <w:vAlign w:val="bottom"/>
          </w:tcPr>
          <w:p>
            <w:pPr>
              <w:jc w:val="right"/>
              <w:ind w:right="514"/>
              <w:spacing w:after="0"/>
              <w:rPr>
                <w:sz w:val="20"/>
                <w:szCs w:val="20"/>
                <w:color w:val="auto"/>
              </w:rPr>
            </w:pPr>
            <w:r>
              <w:rPr>
                <w:rFonts w:ascii="Arial" w:cs="Arial" w:eastAsia="Arial" w:hAnsi="Arial"/>
                <w:sz w:val="14"/>
                <w:szCs w:val="14"/>
                <w:b w:val="1"/>
                <w:bCs w:val="1"/>
                <w:color w:val="auto"/>
              </w:rPr>
              <w:t>(In thousands)</w:t>
            </w:r>
          </w:p>
        </w:tc>
      </w:tr>
      <w:tr>
        <w:trPr>
          <w:trHeight w:val="251"/>
        </w:trPr>
        <w:tc>
          <w:tcPr>
            <w:tcW w:w="9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416</w:t>
            </w:r>
          </w:p>
        </w:tc>
      </w:tr>
      <w:tr>
        <w:trPr>
          <w:trHeight w:val="265"/>
        </w:trPr>
        <w:tc>
          <w:tcPr>
            <w:tcW w:w="9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w:t>
            </w:r>
          </w:p>
        </w:tc>
      </w:tr>
      <w:tr>
        <w:trPr>
          <w:trHeight w:val="255"/>
        </w:trPr>
        <w:tc>
          <w:tcPr>
            <w:tcW w:w="9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520</w:t>
            </w:r>
          </w:p>
        </w:tc>
      </w:tr>
      <w:tr>
        <w:trPr>
          <w:trHeight w:val="20"/>
        </w:trPr>
        <w:tc>
          <w:tcPr>
            <w:tcW w:w="9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w:t>
      </w:r>
    </w:p>
    <w:p>
      <w:pPr>
        <w:spacing w:after="0" w:line="227"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In the third quarter of 2016, the Company began implementing restructuring actions to lower its operating expenses. The restructuring actions have included reductions in the Company’s global workforce, the elimination of certain non-core projects, consolidation of office space at the Company’s corporate headquarters and the engagement of management consultants to assist the Company in making organizational and structural changes to improve operational efficiencies and reduce expenses.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details of the Company’s restructuring charges for the periods indicated (in thousands):</w:t>
      </w:r>
    </w:p>
    <w:p>
      <w:pPr>
        <w:spacing w:after="0" w:line="179"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Borders>
              <w:bottom w:val="single" w:sz="8" w:color="CCEEFF"/>
            </w:tcBorders>
          </w:tcPr>
          <w:p>
            <w:pPr>
              <w:spacing w:after="0"/>
              <w:rPr>
                <w:sz w:val="17"/>
                <w:szCs w:val="17"/>
                <w:color w:val="auto"/>
              </w:rPr>
            </w:pPr>
          </w:p>
        </w:tc>
        <w:tc>
          <w:tcPr>
            <w:tcW w:w="29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1"/>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severance and benefit arrangements</w:t>
            </w:r>
          </w:p>
        </w:tc>
        <w:tc>
          <w:tcPr>
            <w:tcW w:w="406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90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29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Consultants engaged in restructuring activities</w:t>
            </w:r>
          </w:p>
        </w:tc>
        <w:tc>
          <w:tcPr>
            <w:tcW w:w="2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Lease loss reserves and contract termination costs</w:t>
            </w:r>
          </w:p>
        </w:tc>
        <w:tc>
          <w:tcPr>
            <w:tcW w:w="298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4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restructuring and asset impairment charges</w:t>
            </w:r>
          </w:p>
        </w:tc>
        <w:tc>
          <w:tcPr>
            <w:tcW w:w="406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7,247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jc w:val="right"/>
              <w:ind w:right="1970"/>
              <w:spacing w:after="0"/>
              <w:rPr>
                <w:sz w:val="20"/>
                <w:szCs w:val="20"/>
                <w:color w:val="auto"/>
              </w:rPr>
            </w:pPr>
            <w:r>
              <w:rPr>
                <w:rFonts w:ascii="Arial" w:cs="Arial" w:eastAsia="Arial" w:hAnsi="Arial"/>
                <w:sz w:val="18"/>
                <w:szCs w:val="18"/>
                <w:color w:val="auto"/>
              </w:rPr>
              <w:t>12</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490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right="140" w:firstLine="486"/>
        <w:spacing w:after="0" w:line="292" w:lineRule="auto"/>
        <w:rPr>
          <w:sz w:val="20"/>
          <w:szCs w:val="20"/>
          <w:color w:val="auto"/>
        </w:rPr>
      </w:pPr>
      <w:r>
        <w:rPr>
          <w:rFonts w:ascii="Arial" w:cs="Arial" w:eastAsia="Arial" w:hAnsi="Arial"/>
          <w:sz w:val="18"/>
          <w:szCs w:val="18"/>
          <w:color w:val="auto"/>
        </w:rPr>
        <w:t>The following table provides information regarding changes in the Company’s accrued restructuring balance for the periods indicated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Lease Loss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Employee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Reserves and</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Severance and</w:t>
            </w:r>
          </w:p>
        </w:tc>
        <w:tc>
          <w:tcPr>
            <w:tcW w:w="160" w:type="dxa"/>
            <w:vAlign w:val="bottom"/>
          </w:tcPr>
          <w:p>
            <w:pPr>
              <w:spacing w:after="0"/>
              <w:rPr>
                <w:sz w:val="14"/>
                <w:szCs w:val="14"/>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3"/>
        </w:trPr>
        <w:tc>
          <w:tcPr>
            <w:tcW w:w="60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Obligations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51"/>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beginning of period as of December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682</w:t>
            </w:r>
          </w:p>
        </w:tc>
      </w:tr>
      <w:tr>
        <w:trPr>
          <w:trHeight w:val="265"/>
        </w:trPr>
        <w:tc>
          <w:tcPr>
            <w:tcW w:w="6020" w:type="dxa"/>
            <w:vAlign w:val="bottom"/>
          </w:tcPr>
          <w:p>
            <w:pPr>
              <w:ind w:left="180"/>
              <w:spacing w:after="0"/>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23"/>
                <w:szCs w:val="23"/>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5,133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7,247</w:t>
            </w:r>
          </w:p>
        </w:tc>
      </w:tr>
      <w:tr>
        <w:trPr>
          <w:trHeight w:val="275"/>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w:t>
            </w:r>
          </w:p>
        </w:tc>
      </w:tr>
      <w:tr>
        <w:trPr>
          <w:trHeight w:val="265"/>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Non-cash settlement</w:t>
            </w: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r>
      <w:tr>
        <w:trPr>
          <w:trHeight w:val="25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period as of March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1,536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71" w:lineRule="exact"/>
        <w:rPr>
          <w:sz w:val="20"/>
          <w:szCs w:val="20"/>
          <w:color w:val="auto"/>
        </w:rPr>
      </w:pPr>
    </w:p>
    <w:p>
      <w:pPr>
        <w:ind w:right="40" w:firstLine="432"/>
        <w:spacing w:after="0" w:line="260" w:lineRule="auto"/>
        <w:rPr>
          <w:sz w:val="20"/>
          <w:szCs w:val="20"/>
          <w:color w:val="auto"/>
        </w:rPr>
      </w:pPr>
      <w:r>
        <w:rPr>
          <w:rFonts w:ascii="Arial" w:cs="Arial" w:eastAsia="Arial" w:hAnsi="Arial"/>
          <w:sz w:val="18"/>
          <w:szCs w:val="18"/>
          <w:color w:val="auto"/>
        </w:rPr>
        <w:t>The Company had a $50.0 million revolving credit facility with Wells Fargo Bank, N.A. (“Wells Fargo”) that was entered into in November 2012, as first amended on February 14, 2014. On December 18, 2015, the Company entered into an amended and restated revolving credit agreement with Wells Fargo (the “Revolver”) which extended the maturity date to November 7, 2019 and added an uncommitted accordion feature that could increase the size of the facility by $25.0 million, subject to the satisfaction of certain conditions. The Revolver was fully repaid and terminated in February 2017.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71"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In July 2016, the Company entered into a Term Loan Agreement (the “Original Term Loan”) with lenders that are affiliates of Tennenbaum Capital Partners, LLC. (the “Lenders”). Under the agreement, the Lenders committed to advance a term loan in an aggregate principal amount of up to $25.0 million with a maturity date of July 1, 2020. The Company borrowed the entire $25.0 million of term loan commitments on the loan closing date. Monthly payments due through June 30, 2017 were interest only, followed by consecutive equal monthly payments of principal plus accrued interest that were to begin on July 1, 2017 and continue through the maturity date. The term loan provides for an interest rate per annum equal to the higher of (i) 10.25% or (ii) LIBOR plus 9.5625%, subject to a 1.0% reduction if the Company achieves minimum levels of Revenue and EBITDA (each as defined in the Term Loan Agreement) for the twelve-consecutive month period ending June 30, 2017 as set forth in the Term Loan Agreement. In addition, the Company paid a commitment fee of 3.3% of the loan amount upon closing and a closing fee of 10.0% of the loan amount is payable in four equal installments at each anniversary of the closing date. The Company may elect to prepay the loan by incurring a prepayment fee between 1% and 3% of the principal amount of the term loan depending on the timing and circumstances of prepayment.</w:t>
      </w:r>
    </w:p>
    <w:p>
      <w:pPr>
        <w:spacing w:after="0" w:line="129"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In February 2017, the Company entered into an Amended and Restated Loan and Security Agreement (the “Loan Agreement”) that amended and restated the Original Term Loan. The Loan Agreement provides for a $25.0 million secured term loan to the Company (the “New Term Loan”), which is in addition to the $ 25.0 million secured term loan borrowed by the Company under the Original Term Loan (together with the “New Term Loan” the “Term Loans”). The New Term Loan has the same July 1, 2020 maturity date that was applicable to the Original Term Loan. The New Term Loan was fully drawn at closing, with approximately $10.3 million of the proceeds used to repay existing combined principal and interest due under the Company’s Revolver with Wells Fargo. Upon the repayment of loans under the Wells Fargo Revolver, the Wells Fargo Revolving Credit Agreement was terminated. The Company expects to use the remainder of the proceeds from the New Term Loan for general corporate purposes.</w:t>
      </w:r>
    </w:p>
    <w:p>
      <w:pPr>
        <w:spacing w:after="0" w:line="12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Monthly payments under the Term Loans through February 28, 2018 are interest only, followed by consecutive equal monthly payments of principal plus accrued interest beginning on March 1, 2018 and continuing through the maturity date; provided, however, that the Company may extend the interest only period on a month to month basis up to February 28, 2019 if no Event of Default (as defined in the Loan Agreement) has occurred and is continuing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6"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and the Company has Consolidated Operating Income (as defined in the Loan Agreement) for the calendar year 2017 and each month thereafter on a trailing twelve consecutive month basis of at least $15.0 million (collectively, the “Accommodation Conditions”). The Term Loans provide for an interest rate per annum equal to the greater of (i) 10.3125% and (ii) LIBOR plus 9.25%, subject to a 1.0% reduction if and for so long as the Accommodation Conditions have been met. In addition, the Company paid a commitment fee of 3.0% of the New Term Loan amount upon closing and a closing fee of 4.0% of the New Term Loan amount, which is payable with the closing fee under the Original Term Loan in four equal installments at each anniversary of the closing date of the Original Loan Agreement. The Company may elect to prepay the Term Loans by incurring a prepayment fee between 1% and 3% of the principal amount of the Term Loans depending on the timing and circumstances of prepayment.</w:t>
      </w:r>
    </w:p>
    <w:p>
      <w:pPr>
        <w:spacing w:after="0" w:line="12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Term Loans are secured by a first-priority security interest on substantially all assets of the Company; provided, however that the security interest in the Company’s intellectual property may be released if the Company satisfies certain requirements. The Company’s obligations under the Term Loans are not guaranteed by any of the Company’s existing subsidiaries, nor have any existing subsidiaries of the Company pledged any of their assets to secure the Term Loans.</w:t>
      </w:r>
    </w:p>
    <w:p>
      <w:pPr>
        <w:spacing w:after="0" w:line="116"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Loan Agreement requires that (i) at all times from the closing date to and including March 31, 2018, the Company, and any future guarantors, have Unrestricted Cash (as defined in the Loan Agreement) of at least $10.0 million; (ii) at all times from the closing date to and including March 31, 2018, that the aggregate amount of Consolidated Unrestricted Cash, plus the value of Consolidated Receivables, plus the value of Consolidated Inventory (each as defined in the Loan Agreement) divided by the outstanding principal amount of Term Loans, shall equal or exceed 1.5; and (iii) at all times from April 1, 2018 and thereafter, that the aggregate amount of Consolidated Unrestricted Cash, plus the value of Consolidated Receivables, plus the value of Consolidated Inventory divided by the outstanding principal amount of Term Loans, shall equal or exceed 1.75. In addition, the Loan Agreement is subject to customary affirmative and negative covenants including restrictions on creation of liens, dispositions of assets, mergers, changing the nature of its business and dividends and other distributions, in each case subject to certain exceptions. The Term Loan Agreement also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the Company’s business. The Term Loan Agreement offers TCP typical rights and remedies in any event of default, including the ability to declare all amounts outstanding immediately due and payable. The Company was in compliance with all financial covenants as of March 31, 2017.</w:t>
      </w:r>
    </w:p>
    <w:p>
      <w:pPr>
        <w:spacing w:after="0" w:line="132" w:lineRule="exact"/>
        <w:rPr>
          <w:sz w:val="20"/>
          <w:szCs w:val="20"/>
          <w:color w:val="auto"/>
        </w:rPr>
      </w:pPr>
    </w:p>
    <w:p>
      <w:pPr>
        <w:ind w:right="20" w:firstLine="432"/>
        <w:spacing w:after="0" w:line="271" w:lineRule="auto"/>
        <w:rPr>
          <w:sz w:val="20"/>
          <w:szCs w:val="20"/>
          <w:color w:val="auto"/>
        </w:rPr>
      </w:pPr>
      <w:r>
        <w:rPr>
          <w:rFonts w:ascii="Arial" w:cs="Arial" w:eastAsia="Arial" w:hAnsi="Arial"/>
          <w:sz w:val="18"/>
          <w:szCs w:val="18"/>
          <w:color w:val="auto"/>
        </w:rPr>
        <w:t>In connection with the New Term Loan, the Company issued to the Lenders warrants to purchase an aggregate 1,220,000 shares of the Company’s Common Stock at an exercise price of $1.05 per share. The warrants have a term of seven years and contain a “cashless exercise” feature that allows the holder to exercise the warrant without a cash payment upon the terms set forth therein.</w:t>
      </w:r>
    </w:p>
    <w:p>
      <w:pPr>
        <w:spacing w:after="0" w:line="109" w:lineRule="exact"/>
        <w:rPr>
          <w:sz w:val="20"/>
          <w:szCs w:val="20"/>
          <w:color w:val="auto"/>
        </w:rPr>
      </w:pPr>
    </w:p>
    <w:p>
      <w:pPr>
        <w:ind w:right="60" w:firstLine="432"/>
        <w:spacing w:after="0" w:line="271" w:lineRule="auto"/>
        <w:rPr>
          <w:sz w:val="20"/>
          <w:szCs w:val="20"/>
          <w:color w:val="auto"/>
        </w:rPr>
      </w:pPr>
      <w:r>
        <w:rPr>
          <w:rFonts w:ascii="Arial" w:cs="Arial" w:eastAsia="Arial" w:hAnsi="Arial"/>
          <w:sz w:val="18"/>
          <w:szCs w:val="18"/>
          <w:color w:val="auto"/>
        </w:rPr>
        <w:t>The Company estimated the fair value of the warrants by using the Black-Scholes approach and the following assumptions: stock price of $1.56; strike price of $1.05; volatility of 85.9%, risk-free rate of 2.23%; dividend yield of 0%; and a 7 year term. The resulting fair value was used to allocate the proceeds from the Term Loan between liability and equity components.</w:t>
      </w:r>
    </w:p>
    <w:p>
      <w:pPr>
        <w:spacing w:after="0" w:line="109" w:lineRule="exact"/>
        <w:rPr>
          <w:sz w:val="20"/>
          <w:szCs w:val="20"/>
          <w:color w:val="auto"/>
        </w:rPr>
      </w:pPr>
    </w:p>
    <w:p>
      <w:pPr>
        <w:ind w:right="140" w:firstLine="432"/>
        <w:spacing w:after="0" w:line="271" w:lineRule="auto"/>
        <w:rPr>
          <w:sz w:val="20"/>
          <w:szCs w:val="20"/>
          <w:color w:val="auto"/>
        </w:rPr>
      </w:pPr>
      <w:r>
        <w:rPr>
          <w:rFonts w:ascii="Arial" w:cs="Arial" w:eastAsia="Arial" w:hAnsi="Arial"/>
          <w:sz w:val="18"/>
          <w:szCs w:val="18"/>
          <w:color w:val="auto"/>
        </w:rPr>
        <w:t>The Company classified the warrants as equity and allocated the proceeds from the Term Loan and warrants using the relative fair value method. Using this method, the Company allocated $1.4 million to the warrants, which was recorded as equity. This amount represents debt discount that will be amortized to interest expense over the term of the loan.</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6"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was comprised of the following at March 31, 2017 and December 31, 2016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30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r>
      <w:tr>
        <w:trPr>
          <w:trHeight w:val="202"/>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2016</w:t>
            </w:r>
          </w:p>
        </w:tc>
      </w:tr>
      <w:tr>
        <w:trPr>
          <w:trHeight w:val="247"/>
        </w:trPr>
        <w:tc>
          <w:tcPr>
            <w:tcW w:w="8340" w:type="dxa"/>
            <w:vAlign w:val="bottom"/>
          </w:tcPr>
          <w:p>
            <w:pPr>
              <w:ind w:left="40"/>
              <w:spacing w:after="0"/>
              <w:rPr>
                <w:sz w:val="20"/>
                <w:szCs w:val="20"/>
                <w:color w:val="auto"/>
              </w:rPr>
            </w:pPr>
            <w:r>
              <w:rPr>
                <w:rFonts w:ascii="Arial" w:cs="Arial" w:eastAsia="Arial" w:hAnsi="Arial"/>
                <w:sz w:val="18"/>
                <w:szCs w:val="18"/>
                <w:color w:val="auto"/>
              </w:rPr>
              <w:t>Term loan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25,000</w:t>
            </w:r>
          </w:p>
        </w:tc>
      </w:tr>
      <w:tr>
        <w:trPr>
          <w:trHeight w:val="27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unamortized discount and issuance costs</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45"/>
        </w:trPr>
        <w:tc>
          <w:tcPr>
            <w:tcW w:w="8340" w:type="dxa"/>
            <w:vAlign w:val="bottom"/>
          </w:tcPr>
          <w:p>
            <w:pPr>
              <w:ind w:left="280"/>
              <w:spacing w:after="0"/>
              <w:rPr>
                <w:sz w:val="20"/>
                <w:szCs w:val="20"/>
                <w:color w:val="auto"/>
              </w:rPr>
            </w:pPr>
            <w:r>
              <w:rPr>
                <w:rFonts w:ascii="Arial" w:cs="Arial" w:eastAsia="Arial" w:hAnsi="Arial"/>
                <w:sz w:val="18"/>
                <w:szCs w:val="18"/>
                <w:color w:val="auto"/>
              </w:rPr>
              <w:t>Carrying amount of debt</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46,881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23,800</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r>
      <w:tr>
        <w:trPr>
          <w:trHeight w:val="255"/>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45,384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20,768</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2017, the amount of scheduled principal payments due on the term loan is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Year</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Amounts</w:t>
            </w: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95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r>
      <w:tr>
        <w:trPr>
          <w:trHeight w:val="252"/>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1"/>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15,229</w:t>
            </w:r>
          </w:p>
        </w:tc>
      </w:tr>
      <w:tr>
        <w:trPr>
          <w:trHeight w:val="252"/>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20,084</w:t>
            </w:r>
          </w:p>
        </w:tc>
      </w:tr>
      <w:tr>
        <w:trPr>
          <w:trHeight w:val="257"/>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14,687</w:t>
            </w:r>
          </w:p>
        </w:tc>
      </w:tr>
      <w:tr>
        <w:trPr>
          <w:trHeight w:val="255"/>
        </w:trPr>
        <w:tc>
          <w:tcPr>
            <w:tcW w:w="40" w:type="dxa"/>
            <w:vAlign w:val="bottom"/>
          </w:tcPr>
          <w:p>
            <w:pPr>
              <w:spacing w:after="0"/>
              <w:rPr>
                <w:sz w:val="22"/>
                <w:szCs w:val="22"/>
                <w:color w:val="auto"/>
              </w:rPr>
            </w:pPr>
          </w:p>
        </w:tc>
        <w:tc>
          <w:tcPr>
            <w:tcW w:w="99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50,000</w:t>
            </w: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73" w:lineRule="exact"/>
        <w:rPr>
          <w:sz w:val="20"/>
          <w:szCs w:val="20"/>
          <w:color w:val="auto"/>
        </w:rPr>
      </w:pPr>
    </w:p>
    <w:p>
      <w:pPr>
        <w:ind w:right="240" w:firstLine="446"/>
        <w:spacing w:after="0" w:line="271" w:lineRule="auto"/>
        <w:rPr>
          <w:sz w:val="20"/>
          <w:szCs w:val="20"/>
          <w:color w:val="auto"/>
        </w:rPr>
      </w:pPr>
      <w:r>
        <w:rPr>
          <w:rFonts w:ascii="Arial" w:cs="Arial" w:eastAsia="Arial" w:hAnsi="Arial"/>
          <w:sz w:val="18"/>
          <w:szCs w:val="18"/>
          <w:color w:val="auto"/>
        </w:rPr>
        <w:t>The Company is not currently involved in any material legal proceedings. The Company may become involved in various legal proceedings and claims that arise in the ordinary course of business. Such matters are subject to uncertainty and there can be no assurance that such legal proceedings will not have a material adverse effect on its business, results of operations, financial position or cash flows.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SALE OF COMMON STOCK</w:t>
      </w:r>
    </w:p>
    <w:p>
      <w:pPr>
        <w:spacing w:after="0" w:line="227" w:lineRule="exact"/>
        <w:rPr>
          <w:sz w:val="20"/>
          <w:szCs w:val="20"/>
          <w:color w:val="auto"/>
        </w:rPr>
      </w:pPr>
    </w:p>
    <w:p>
      <w:pPr>
        <w:ind w:right="240" w:firstLine="567"/>
        <w:spacing w:after="0" w:line="292" w:lineRule="auto"/>
        <w:rPr>
          <w:sz w:val="20"/>
          <w:szCs w:val="20"/>
          <w:color w:val="auto"/>
        </w:rPr>
      </w:pPr>
      <w:r>
        <w:rPr>
          <w:rFonts w:ascii="Arial" w:cs="Arial" w:eastAsia="Arial" w:hAnsi="Arial"/>
          <w:sz w:val="18"/>
          <w:szCs w:val="18"/>
          <w:color w:val="auto"/>
        </w:rPr>
        <w:t>In January 2017, the Company completed a private placement of securities that resulted in the issuance of approximately 10.8 million shares of common stock and gross proceeds of $10.0 million.</w:t>
      </w:r>
    </w:p>
    <w:p>
      <w:pPr>
        <w:spacing w:after="0" w:line="91" w:lineRule="exact"/>
        <w:rPr>
          <w:sz w:val="20"/>
          <w:szCs w:val="20"/>
          <w:color w:val="auto"/>
        </w:rPr>
      </w:pPr>
    </w:p>
    <w:p>
      <w:pPr>
        <w:ind w:right="360" w:firstLine="405"/>
        <w:spacing w:after="0" w:line="271" w:lineRule="auto"/>
        <w:rPr>
          <w:sz w:val="20"/>
          <w:szCs w:val="20"/>
          <w:color w:val="auto"/>
        </w:rPr>
      </w:pPr>
      <w:r>
        <w:rPr>
          <w:rFonts w:ascii="Arial" w:cs="Arial" w:eastAsia="Arial" w:hAnsi="Arial"/>
          <w:sz w:val="18"/>
          <w:szCs w:val="18"/>
          <w:color w:val="auto"/>
        </w:rPr>
        <w:t>In December of 2016, the Company entered into an At Market Issuance Sales Agreement (ATM) under which it could sell shares of its common stock up to a gross aggregate offering price of $17.0 million. During the three months ended March 31, 2017 the Company sold approximately 11.1 million shares of common stock under the ATM and received net proceeds of approximately $16.6 million.</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73" w:lineRule="exact"/>
        <w:rPr>
          <w:sz w:val="20"/>
          <w:szCs w:val="20"/>
          <w:color w:val="auto"/>
        </w:rPr>
      </w:pPr>
    </w:p>
    <w:p>
      <w:pPr>
        <w:ind w:right="260" w:firstLine="405"/>
        <w:spacing w:after="0" w:line="292" w:lineRule="auto"/>
        <w:rPr>
          <w:sz w:val="20"/>
          <w:szCs w:val="20"/>
          <w:color w:val="auto"/>
        </w:rPr>
      </w:pPr>
      <w:r>
        <w:rPr>
          <w:rFonts w:ascii="Arial" w:cs="Arial" w:eastAsia="Arial" w:hAnsi="Arial"/>
          <w:sz w:val="18"/>
          <w:szCs w:val="18"/>
          <w:color w:val="auto"/>
        </w:rPr>
        <w:t>The Company has adopted certain equity incentive and stock purchase plans as described in the consolidated financial statements and related notes included in the Company’s Annual Report on Form 10-K for the year ended December 31, 2016.</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Activity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stock option activity for the three months ended March 31, 2017 (in thousands, except per share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18"/>
              <w:spacing w:after="0"/>
              <w:rPr>
                <w:sz w:val="20"/>
                <w:szCs w:val="20"/>
                <w:color w:val="auto"/>
              </w:rPr>
            </w:pPr>
            <w:r>
              <w:rPr>
                <w:rFonts w:ascii="Arial" w:cs="Arial" w:eastAsia="Arial" w:hAnsi="Arial"/>
                <w:sz w:val="14"/>
                <w:szCs w:val="14"/>
                <w:b w:val="1"/>
                <w:bCs w:val="1"/>
                <w:color w:val="auto"/>
              </w:rPr>
              <w:t>Exercise Price</w:t>
            </w:r>
          </w:p>
        </w:tc>
      </w:tr>
      <w:tr>
        <w:trPr>
          <w:trHeight w:val="203"/>
        </w:trPr>
        <w:tc>
          <w:tcPr>
            <w:tcW w:w="83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per Share</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8,730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4.56</w:t>
            </w:r>
          </w:p>
        </w:tc>
      </w:tr>
      <w:tr>
        <w:trPr>
          <w:trHeight w:val="265"/>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1.15</w:t>
            </w:r>
          </w:p>
        </w:tc>
      </w:tr>
      <w:tr>
        <w:trPr>
          <w:trHeight w:val="275"/>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0.42</w:t>
            </w:r>
          </w:p>
        </w:tc>
      </w:tr>
      <w:tr>
        <w:trPr>
          <w:trHeight w:val="265"/>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6.50</w:t>
            </w: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2017</w:t>
            </w: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8,103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4.29</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right="100" w:firstLine="432"/>
        <w:spacing w:after="0" w:line="292" w:lineRule="auto"/>
        <w:rPr>
          <w:sz w:val="20"/>
          <w:szCs w:val="20"/>
          <w:color w:val="auto"/>
        </w:rPr>
      </w:pPr>
      <w:r>
        <w:rPr>
          <w:rFonts w:ascii="Arial" w:cs="Arial" w:eastAsia="Arial" w:hAnsi="Arial"/>
          <w:sz w:val="18"/>
          <w:szCs w:val="18"/>
          <w:color w:val="auto"/>
        </w:rPr>
        <w:t>The intrinsic value of options exercised in the three months ended March 31, 2017 was minimal. As of March 31, 2017, the intrinsic value of options outstanding was $1.3 million based on the closing price of the Company’s stock as of March 31,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69" w:lineRule="exact"/>
        <w:rPr>
          <w:sz w:val="20"/>
          <w:szCs w:val="20"/>
          <w:color w:val="auto"/>
        </w:rPr>
      </w:pPr>
    </w:p>
    <w:p>
      <w:pPr>
        <w:ind w:right="300" w:firstLine="446"/>
        <w:spacing w:after="0" w:line="292" w:lineRule="auto"/>
        <w:rPr>
          <w:sz w:val="20"/>
          <w:szCs w:val="20"/>
          <w:color w:val="auto"/>
        </w:rPr>
      </w:pPr>
      <w:r>
        <w:rPr>
          <w:rFonts w:ascii="Arial" w:cs="Arial" w:eastAsia="Arial" w:hAnsi="Arial"/>
          <w:sz w:val="18"/>
          <w:szCs w:val="18"/>
          <w:color w:val="auto"/>
        </w:rPr>
        <w:t>The following is a summary of restricted stock unit activity for the three months ended March 31, 2017 (in thousands, except per share data):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8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 per Share</w:t>
            </w:r>
          </w:p>
        </w:tc>
      </w:tr>
      <w:tr>
        <w:trPr>
          <w:trHeight w:val="162"/>
        </w:trPr>
        <w:tc>
          <w:tcPr>
            <w:tcW w:w="8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96"/>
              <w:spacing w:after="0"/>
              <w:rPr>
                <w:sz w:val="20"/>
                <w:szCs w:val="20"/>
                <w:color w:val="auto"/>
              </w:rPr>
            </w:pPr>
            <w:r>
              <w:rPr>
                <w:rFonts w:ascii="Arial" w:cs="Arial" w:eastAsia="Arial" w:hAnsi="Arial"/>
                <w:sz w:val="14"/>
                <w:szCs w:val="14"/>
                <w:b w:val="1"/>
                <w:bCs w:val="1"/>
                <w:color w:val="auto"/>
                <w:w w:val="96"/>
              </w:rPr>
              <w:t>at</w:t>
            </w:r>
          </w:p>
        </w:tc>
      </w:tr>
      <w:tr>
        <w:trPr>
          <w:trHeight w:val="203"/>
        </w:trPr>
        <w:tc>
          <w:tcPr>
            <w:tcW w:w="83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RSUs</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Grant Date</w:t>
            </w:r>
          </w:p>
        </w:tc>
      </w:tr>
      <w:tr>
        <w:trPr>
          <w:trHeight w:val="251"/>
        </w:trPr>
        <w:tc>
          <w:tcPr>
            <w:tcW w:w="9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9.33</w:t>
            </w:r>
          </w:p>
        </w:tc>
      </w:tr>
      <w:tr>
        <w:trPr>
          <w:trHeight w:val="265"/>
        </w:trPr>
        <w:tc>
          <w:tcPr>
            <w:tcW w:w="93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5"/>
        </w:trPr>
        <w:tc>
          <w:tcPr>
            <w:tcW w:w="9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9.21</w:t>
            </w:r>
          </w:p>
        </w:tc>
      </w:tr>
      <w:tr>
        <w:trPr>
          <w:trHeight w:val="265"/>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w:t>
            </w:r>
          </w:p>
        </w:tc>
        <w:tc>
          <w:tcPr>
            <w:tcW w:w="9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11.60</w:t>
            </w:r>
          </w:p>
        </w:tc>
      </w:tr>
      <w:tr>
        <w:trPr>
          <w:trHeight w:val="255"/>
        </w:trPr>
        <w:tc>
          <w:tcPr>
            <w:tcW w:w="9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31, 2017</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9.16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139" w:lineRule="exact"/>
        <w:rPr>
          <w:sz w:val="20"/>
          <w:szCs w:val="20"/>
          <w:color w:val="auto"/>
        </w:rPr>
      </w:pPr>
    </w:p>
    <w:p>
      <w:pPr>
        <w:ind w:right="160" w:firstLine="432"/>
        <w:spacing w:after="0" w:line="271" w:lineRule="auto"/>
        <w:rPr>
          <w:sz w:val="20"/>
          <w:szCs w:val="20"/>
          <w:color w:val="auto"/>
        </w:rPr>
      </w:pPr>
      <w:r>
        <w:rPr>
          <w:rFonts w:ascii="Arial" w:cs="Arial" w:eastAsia="Arial" w:hAnsi="Arial"/>
          <w:sz w:val="18"/>
          <w:szCs w:val="18"/>
          <w:color w:val="auto"/>
        </w:rPr>
        <w:t>The total intrinsic value of restricted stock units that were vested in the three months ended March 31, 2017 was $0.2 million. As of March 31, 2017, the intrinsic value of restricted stock units outstanding was $0.6 million based on the closing price of the Company’s stock as of March 31, 2017.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jc w:val="both"/>
        <w:ind w:right="100" w:firstLine="432"/>
        <w:spacing w:after="0" w:line="271" w:lineRule="auto"/>
        <w:rPr>
          <w:sz w:val="20"/>
          <w:szCs w:val="20"/>
          <w:color w:val="auto"/>
        </w:rPr>
      </w:pPr>
      <w:r>
        <w:rPr>
          <w:rFonts w:ascii="Arial" w:cs="Arial" w:eastAsia="Arial" w:hAnsi="Arial"/>
          <w:sz w:val="18"/>
          <w:szCs w:val="18"/>
          <w:color w:val="auto"/>
        </w:rPr>
        <w:t xml:space="preserve">Compensation expense for all stock-based awards expected to vest is measured at fair value on the date of grant and recognized ratably over the requisite service period. The following table summarizes the components of total stock-based compensation expense included </w:t>
      </w:r>
      <w:r>
        <w:rPr>
          <w:rFonts w:ascii="Arial" w:cs="Arial" w:eastAsia="Arial" w:hAnsi="Arial"/>
          <w:sz w:val="18"/>
          <w:szCs w:val="18"/>
          <w:color w:val="010202"/>
        </w:rPr>
        <w:t>in the</w:t>
      </w:r>
      <w:r>
        <w:rPr>
          <w:rFonts w:ascii="Arial" w:cs="Arial" w:eastAsia="Arial" w:hAnsi="Arial"/>
          <w:sz w:val="18"/>
          <w:szCs w:val="18"/>
          <w:color w:val="auto"/>
        </w:rPr>
        <w:t xml:space="preserve"> </w:t>
      </w:r>
      <w:r>
        <w:rPr>
          <w:rFonts w:ascii="Arial" w:cs="Arial" w:eastAsia="Arial" w:hAnsi="Arial"/>
          <w:sz w:val="18"/>
          <w:szCs w:val="18"/>
          <w:color w:val="010202"/>
        </w:rPr>
        <w:t xml:space="preserve">condensed consolidated statements of operations for the periods presented (in </w:t>
      </w:r>
      <w:r>
        <w:rPr>
          <w:rFonts w:ascii="Arial" w:cs="Arial" w:eastAsia="Arial" w:hAnsi="Arial"/>
          <w:sz w:val="18"/>
          <w:szCs w:val="18"/>
          <w:color w:val="000000"/>
        </w:rPr>
        <w:t>thousands):</w:t>
      </w:r>
    </w:p>
    <w:p>
      <w:pPr>
        <w:spacing w:after="0" w:line="27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Borders>
              <w:bottom w:val="single" w:sz="8" w:color="CCEEFF"/>
            </w:tcBorders>
          </w:tcPr>
          <w:p>
            <w:pPr>
              <w:spacing w:after="0"/>
              <w:rPr>
                <w:sz w:val="17"/>
                <w:szCs w:val="17"/>
                <w:color w:val="auto"/>
              </w:rPr>
            </w:pPr>
          </w:p>
        </w:tc>
        <w:tc>
          <w:tcPr>
            <w:tcW w:w="44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1"/>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534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65"/>
        </w:trPr>
        <w:tc>
          <w:tcPr>
            <w:tcW w:w="39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4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75"/>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44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65"/>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44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50"/>
        </w:trPr>
        <w:tc>
          <w:tcPr>
            <w:tcW w:w="3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34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1,929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16</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392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various types of stock-based compensation expense for the periods presented (in thousands):</w:t>
      </w:r>
    </w:p>
    <w:p>
      <w:pPr>
        <w:spacing w:after="0" w:line="34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1,599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2,484</w:t>
            </w:r>
          </w:p>
        </w:tc>
      </w:tr>
      <w:tr>
        <w:trPr>
          <w:trHeight w:val="265"/>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Employee stock purchase plan</w:t>
            </w:r>
          </w:p>
        </w:tc>
        <w:tc>
          <w:tcPr>
            <w:tcW w:w="9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515</w:t>
            </w: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1,929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2,999</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60" w:firstLine="432"/>
        <w:spacing w:after="0" w:line="292" w:lineRule="auto"/>
        <w:rPr>
          <w:sz w:val="20"/>
          <w:szCs w:val="20"/>
          <w:color w:val="auto"/>
        </w:rPr>
      </w:pPr>
      <w:r>
        <w:rPr>
          <w:rFonts w:ascii="Arial" w:cs="Arial" w:eastAsia="Arial" w:hAnsi="Arial"/>
          <w:sz w:val="18"/>
          <w:szCs w:val="18"/>
          <w:color w:val="auto"/>
        </w:rPr>
        <w:t>The following table presents the weighted-average grant date fair value of options granted for the periods presented and the assumptions used to estimate those values using a Black-Scholes option pricing model:</w:t>
      </w:r>
    </w:p>
    <w:p>
      <w:pPr>
        <w:spacing w:after="0" w:line="260"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14605</wp:posOffset>
            </wp:positionV>
            <wp:extent cx="21869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2016</w:t>
            </w:r>
          </w:p>
        </w:tc>
      </w:tr>
      <w:tr>
        <w:trPr>
          <w:trHeight w:val="251"/>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1.28</w:t>
            </w:r>
          </w:p>
        </w:tc>
      </w:tr>
      <w:tr>
        <w:trPr>
          <w:trHeight w:val="265"/>
        </w:trPr>
        <w:tc>
          <w:tcPr>
            <w:tcW w:w="79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400" w:type="dxa"/>
            <w:vAlign w:val="bottom"/>
          </w:tcPr>
          <w:p>
            <w:pPr>
              <w:spacing w:after="0"/>
              <w:rPr>
                <w:sz w:val="23"/>
                <w:szCs w:val="23"/>
                <w:color w:val="auto"/>
              </w:rPr>
            </w:pPr>
          </w:p>
        </w:tc>
        <w:tc>
          <w:tcPr>
            <w:tcW w:w="1260" w:type="dxa"/>
            <w:vAlign w:val="bottom"/>
          </w:tcPr>
          <w:p>
            <w:pPr>
              <w:jc w:val="right"/>
              <w:ind w:right="2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33"/>
              <w:spacing w:after="0"/>
              <w:rPr>
                <w:sz w:val="20"/>
                <w:szCs w:val="20"/>
                <w:color w:val="auto"/>
              </w:rPr>
            </w:pPr>
            <w:r>
              <w:rPr>
                <w:rFonts w:ascii="Arial" w:cs="Arial" w:eastAsia="Arial" w:hAnsi="Arial"/>
                <w:sz w:val="18"/>
                <w:szCs w:val="18"/>
                <w:color w:val="auto"/>
              </w:rPr>
              <w:t>4.6</w:t>
            </w:r>
          </w:p>
        </w:tc>
      </w:tr>
      <w:tr>
        <w:trPr>
          <w:trHeight w:val="275"/>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77.4%</w:t>
            </w:r>
          </w:p>
        </w:tc>
      </w:tr>
      <w:tr>
        <w:trPr>
          <w:trHeight w:val="265"/>
        </w:trPr>
        <w:tc>
          <w:tcPr>
            <w:tcW w:w="7980" w:type="dxa"/>
            <w:vAlign w:val="bottom"/>
          </w:tcPr>
          <w:p>
            <w:pPr>
              <w:ind w:left="40"/>
              <w:spacing w:after="0"/>
              <w:rPr>
                <w:sz w:val="20"/>
                <w:szCs w:val="20"/>
                <w:color w:val="auto"/>
              </w:rPr>
            </w:pPr>
            <w:r>
              <w:rPr>
                <w:rFonts w:ascii="Arial" w:cs="Arial" w:eastAsia="Arial" w:hAnsi="Arial"/>
                <w:sz w:val="18"/>
                <w:szCs w:val="18"/>
                <w:color w:val="auto"/>
              </w:rPr>
              <w:t>Annual risk-free rate of return</w:t>
            </w:r>
          </w:p>
        </w:tc>
        <w:tc>
          <w:tcPr>
            <w:tcW w:w="40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1.2%</w:t>
            </w:r>
          </w:p>
        </w:tc>
      </w:tr>
      <w:tr>
        <w:trPr>
          <w:trHeight w:val="275"/>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r>
    </w:tbl>
    <w:p>
      <w:pPr>
        <w:spacing w:after="0" w:line="139" w:lineRule="exact"/>
        <w:rPr>
          <w:sz w:val="20"/>
          <w:szCs w:val="20"/>
          <w:color w:val="auto"/>
        </w:rPr>
      </w:pPr>
    </w:p>
    <w:p>
      <w:pPr>
        <w:ind w:right="520" w:firstLine="432"/>
        <w:spacing w:after="0" w:line="292" w:lineRule="auto"/>
        <w:rPr>
          <w:sz w:val="20"/>
          <w:szCs w:val="20"/>
          <w:color w:val="auto"/>
        </w:rPr>
      </w:pPr>
      <w:r>
        <w:rPr>
          <w:rFonts w:ascii="Arial" w:cs="Arial" w:eastAsia="Arial" w:hAnsi="Arial"/>
          <w:sz w:val="18"/>
          <w:szCs w:val="18"/>
          <w:color w:val="auto"/>
        </w:rPr>
        <w:t>As of March 31, 2017, there was approximately $7.5 million of total unrecognized compensation expense related to unvested equity awards expected to be recognized over a weighted-average period of 2.4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3"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Company used the discrete tax approach in calculating the tax expense for the three months ended March 31, 2017 and 2016 due to the fact that a relatively small change in the Company’s projected pre-tax net income (loss) could result in a volatile effective tax rate. Under the discrete method, the Company determines its tax (expense) benefit based upon actual results as if the interim period was an annual period. The tax provision recorded was primarily related to income taxes attributable to its foreign operations.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73"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color w:val="auto"/>
        </w:rPr>
        <w:t>Basic net loss per share is computed by dividing net loss by the weighted average number of shares of common stock outstanding during the period. Diluted loss per share is computed in a similar manner, but it also includes the effect of potential common shares outstanding during the period, when dilutive. Potential common shares include outstanding in-the-money stock options, restricted stock units, shares to be purchased under the Company’s employee stock purchase plan and warrants to purchase common stock. The dilutive effect of potentially dilutive common shares is reflected in diluted earnings per share by application of the treasury stock method. To the extent these potential common shares are antidilutive, they are excluded from the calculation of diluted net loss per share.</w:t>
      </w:r>
    </w:p>
    <w:p>
      <w:pPr>
        <w:spacing w:after="0" w:line="124" w:lineRule="exact"/>
        <w:rPr>
          <w:sz w:val="20"/>
          <w:szCs w:val="20"/>
          <w:color w:val="auto"/>
        </w:rPr>
      </w:pPr>
    </w:p>
    <w:p>
      <w:pPr>
        <w:ind w:right="200" w:firstLine="432"/>
        <w:spacing w:after="0" w:line="292" w:lineRule="auto"/>
        <w:rPr>
          <w:sz w:val="20"/>
          <w:szCs w:val="20"/>
          <w:color w:val="auto"/>
        </w:rPr>
      </w:pPr>
      <w:r>
        <w:rPr>
          <w:rFonts w:ascii="Arial" w:cs="Arial" w:eastAsia="Arial" w:hAnsi="Arial"/>
          <w:sz w:val="18"/>
          <w:szCs w:val="18"/>
          <w:color w:val="auto"/>
        </w:rPr>
        <w:t>The following table presents the computation of basic and diluted net loss per share for the periods presented (in thousands, except per share data):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6"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61"/>
        </w:trPr>
        <w:tc>
          <w:tcPr>
            <w:tcW w:w="834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61"/>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(18,795)</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0"/>
        </w:trPr>
        <w:tc>
          <w:tcPr>
            <w:tcW w:w="8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97"/>
        </w:trPr>
        <w:tc>
          <w:tcPr>
            <w:tcW w:w="8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76,651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46,209</w:t>
            </w:r>
          </w:p>
        </w:tc>
      </w:tr>
      <w:tr>
        <w:trPr>
          <w:trHeight w:val="170"/>
        </w:trPr>
        <w:tc>
          <w:tcPr>
            <w:tcW w:w="8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As the Company incurred a net loss for all periods presented, potential dilutive securities from employee stock options, restricted stock units and warrants have been excluded from the diluted net loss per share computations because the effect of including such shares would have been anti-dilutive. The following table sets forth the potentially dilutive securities excluded from the computation of the diluted net loss per share (in thousands):</w:t>
      </w:r>
    </w:p>
    <w:p>
      <w:pPr>
        <w:spacing w:after="0" w:line="28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gridSpan w:val="2"/>
          </w:tcPr>
          <w:p>
            <w:pPr>
              <w:ind w:left="8940"/>
              <w:spacing w:after="0"/>
              <w:rPr>
                <w:sz w:val="20"/>
                <w:szCs w:val="20"/>
                <w:color w:val="auto"/>
              </w:rPr>
            </w:pPr>
            <w:r>
              <w:rPr>
                <w:rFonts w:ascii="Arial" w:cs="Arial" w:eastAsia="Arial" w:hAnsi="Arial"/>
                <w:sz w:val="14"/>
                <w:szCs w:val="14"/>
                <w:b w:val="1"/>
                <w:bCs w:val="1"/>
                <w:color w:val="auto"/>
                <w:w w:val="96"/>
              </w:rPr>
              <w:t>2017</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1"/>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options</w:t>
            </w:r>
          </w:p>
        </w:tc>
        <w:tc>
          <w:tcPr>
            <w:tcW w:w="9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8,458</w:t>
            </w: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8,160</w:t>
            </w:r>
          </w:p>
        </w:tc>
        <w:tc>
          <w:tcPr>
            <w:tcW w:w="0" w:type="dxa"/>
            <w:vAlign w:val="bottom"/>
          </w:tcPr>
          <w:p>
            <w:pPr>
              <w:spacing w:after="0"/>
              <w:rPr>
                <w:sz w:val="1"/>
                <w:szCs w:val="1"/>
                <w:color w:val="auto"/>
              </w:rPr>
            </w:pPr>
          </w:p>
        </w:tc>
      </w:tr>
      <w:tr>
        <w:trPr>
          <w:trHeight w:val="265"/>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Restricted stock units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3"/>
                <w:szCs w:val="23"/>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75"/>
        </w:trPr>
        <w:tc>
          <w:tcPr>
            <w:tcW w:w="9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4"/>
        </w:trPr>
        <w:tc>
          <w:tcPr>
            <w:tcW w:w="8340" w:type="dxa"/>
            <w:vAlign w:val="bottom"/>
          </w:tcPr>
          <w:p>
            <w:pPr>
              <w:ind w:left="38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9,648</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9,435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5620"/>
              <w:spacing w:after="0"/>
              <w:rPr>
                <w:sz w:val="20"/>
                <w:szCs w:val="20"/>
                <w:color w:val="auto"/>
              </w:rPr>
            </w:pPr>
            <w:r>
              <w:rPr>
                <w:rFonts w:ascii="Arial" w:cs="Arial" w:eastAsia="Arial" w:hAnsi="Arial"/>
                <w:sz w:val="18"/>
                <w:szCs w:val="18"/>
                <w:color w:val="auto"/>
              </w:rPr>
              <w:t>18</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83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year ended December 31, 2016.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right="20" w:firstLine="446"/>
        <w:spacing w:after="0" w:line="260" w:lineRule="auto"/>
        <w:rPr>
          <w:sz w:val="20"/>
          <w:szCs w:val="20"/>
          <w:color w:val="auto"/>
        </w:rPr>
      </w:pPr>
      <w:r>
        <w:rPr>
          <w:rFonts w:ascii="Arial" w:cs="Arial" w:eastAsia="Arial" w:hAnsi="Arial"/>
          <w:sz w:val="18"/>
          <w:szCs w:val="18"/>
          <w:color w:val="auto"/>
        </w:rPr>
        <w:t>We deliver simple, innovative and reliable energy management solutions that advance the worldwide potential of renewable energy. We were founded in March 2006 and have grown rapidly to become the market leader in the microinverter category. Our technology was designed to increase energy production, simplify design and installation, improve system uptime and reliability, reduce fire risk, and provide a platform for intelligent energy management. Since inception, we have shipped over 14 million microinverters representing over 3 gigawatts of solar PV generating capacity, and more than 620,000 Enphase residential and commercial systems have been deployed in over 100 countries.</w:t>
      </w:r>
    </w:p>
    <w:p>
      <w:pPr>
        <w:spacing w:after="0" w:line="67" w:lineRule="exact"/>
        <w:rPr>
          <w:sz w:val="20"/>
          <w:szCs w:val="20"/>
          <w:color w:val="auto"/>
        </w:rPr>
      </w:pPr>
    </w:p>
    <w:p>
      <w:pPr>
        <w:ind w:right="220" w:firstLine="446"/>
        <w:spacing w:after="0" w:line="271" w:lineRule="auto"/>
        <w:rPr>
          <w:sz w:val="20"/>
          <w:szCs w:val="20"/>
          <w:color w:val="auto"/>
        </w:rPr>
      </w:pPr>
      <w:r>
        <w:rPr>
          <w:rFonts w:ascii="Arial" w:cs="Arial" w:eastAsia="Arial" w:hAnsi="Arial"/>
          <w:sz w:val="18"/>
          <w:szCs w:val="18"/>
          <w:color w:val="auto"/>
        </w:rPr>
        <w:t>We sell our microinverter systems primarily to distributors who resell them to solar installers. We also sell directly to large installers and through original equipment manufacturers (“OEMs”) and strategic partners. Historically, revenue generated from the U.S. market has represented more than 80% of our total revenue.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Enphase IQ Microinverter System</w:t>
      </w:r>
    </w:p>
    <w:p>
      <w:pPr>
        <w:spacing w:after="0" w:line="115"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In September 2016, we announced our Enphase Home Energy Solution with IQ™, our next-generation integrated solar, storage and energy management system. The solution features our sixth-generation microinverter system, which supports high-powered 60 and 72-cell solar modules, integrates with upcoming AC modules from LG and Jinko Solar, and we believe offers installers faster and simpler installations, saving on soft costs. We began shipping the Enphase IQ 6 Microinverter System in North America in the first quarter of 2017.</w:t>
      </w:r>
    </w:p>
    <w:p>
      <w:pPr>
        <w:spacing w:after="0" w:line="62" w:lineRule="exact"/>
        <w:rPr>
          <w:sz w:val="20"/>
          <w:szCs w:val="20"/>
          <w:color w:val="auto"/>
        </w:rPr>
      </w:pPr>
    </w:p>
    <w:p>
      <w:pPr>
        <w:ind w:right="180" w:firstLine="446"/>
        <w:spacing w:after="0" w:line="271" w:lineRule="auto"/>
        <w:rPr>
          <w:sz w:val="20"/>
          <w:szCs w:val="20"/>
          <w:color w:val="auto"/>
        </w:rPr>
      </w:pPr>
      <w:r>
        <w:rPr>
          <w:rFonts w:ascii="Arial" w:cs="Arial" w:eastAsia="Arial" w:hAnsi="Arial"/>
          <w:sz w:val="18"/>
          <w:szCs w:val="18"/>
          <w:color w:val="auto"/>
        </w:rPr>
        <w:t>The Enphase IQ microinverter is a key component of the Enphase Home Energy Solution, which can also include our Envoy™ Communications Gateway, Enphase Enlighten™, a cloud-based energy management platform, and our Enphase AC Battery™. System owners can use Enphase Enlighten to monitor their home’s solar generation, energy storage and consumption from any web-enabled device.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Enphase Energized AC Modules</w:t>
      </w:r>
    </w:p>
    <w:p>
      <w:pPr>
        <w:spacing w:after="0" w:line="115" w:lineRule="exact"/>
        <w:rPr>
          <w:sz w:val="20"/>
          <w:szCs w:val="20"/>
          <w:color w:val="auto"/>
        </w:rPr>
      </w:pPr>
    </w:p>
    <w:p>
      <w:pPr>
        <w:ind w:right="200" w:firstLine="446"/>
        <w:spacing w:after="0" w:line="271" w:lineRule="auto"/>
        <w:rPr>
          <w:sz w:val="20"/>
          <w:szCs w:val="20"/>
          <w:color w:val="auto"/>
        </w:rPr>
      </w:pPr>
      <w:r>
        <w:rPr>
          <w:rFonts w:ascii="Arial" w:cs="Arial" w:eastAsia="Arial" w:hAnsi="Arial"/>
          <w:sz w:val="18"/>
          <w:szCs w:val="18"/>
          <w:color w:val="auto"/>
        </w:rPr>
        <w:t>We have also recently announced Enphase Energized AC Modules with IQ, which utilize our sixth generation microinverters and will be produced through our AC module partnerships with LG and Jinko Solar, among others. We expect Enphase Energized AC Modules to be available in the U.S. in the second quarter of 2017.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Enphase AC Battery™</w:t>
      </w:r>
    </w:p>
    <w:p>
      <w:pPr>
        <w:spacing w:after="0" w:line="115" w:lineRule="exact"/>
        <w:rPr>
          <w:sz w:val="20"/>
          <w:szCs w:val="20"/>
          <w:color w:val="auto"/>
        </w:rPr>
      </w:pPr>
    </w:p>
    <w:p>
      <w:pPr>
        <w:ind w:firstLine="446"/>
        <w:spacing w:after="0" w:line="271" w:lineRule="auto"/>
        <w:rPr>
          <w:sz w:val="20"/>
          <w:szCs w:val="20"/>
          <w:color w:val="auto"/>
        </w:rPr>
      </w:pPr>
      <w:r>
        <w:rPr>
          <w:rFonts w:ascii="Arial" w:cs="Arial" w:eastAsia="Arial" w:hAnsi="Arial"/>
          <w:sz w:val="18"/>
          <w:szCs w:val="18"/>
          <w:color w:val="auto"/>
        </w:rPr>
        <w:t>In the third quarter of 2016, we began shipments of our Enphase AC Battery™ to distributors in Australia and New Zealand. The Enphase AC Battery is a scalable, modular energy storage system with a 1.2kWh energy capacity. We began shipments to customers in the United States, France, the United Kingdom and the Netherlands in the fourth quarter of 2016.</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 Reduction Initiatives</w:t>
      </w:r>
    </w:p>
    <w:p>
      <w:pPr>
        <w:spacing w:after="0" w:line="119" w:lineRule="exact"/>
        <w:rPr>
          <w:sz w:val="20"/>
          <w:szCs w:val="20"/>
          <w:color w:val="auto"/>
        </w:rPr>
      </w:pPr>
    </w:p>
    <w:p>
      <w:pPr>
        <w:ind w:right="340" w:firstLine="446"/>
        <w:spacing w:after="0" w:line="292" w:lineRule="auto"/>
        <w:rPr>
          <w:sz w:val="20"/>
          <w:szCs w:val="20"/>
          <w:color w:val="auto"/>
        </w:rPr>
      </w:pPr>
      <w:r>
        <w:rPr>
          <w:rFonts w:ascii="Arial" w:cs="Arial" w:eastAsia="Arial" w:hAnsi="Arial"/>
          <w:sz w:val="18"/>
          <w:szCs w:val="18"/>
          <w:color w:val="auto"/>
        </w:rPr>
        <w:t>In the third quarter of 2016, we began implementing restructuring actions to lower operating expenses. The restructuring actions have included reductions in our global workforce, the elimination of certain non-core projects,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16"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980"/>
        <w:spacing w:after="0" w:line="292" w:lineRule="auto"/>
        <w:rPr>
          <w:sz w:val="20"/>
          <w:szCs w:val="20"/>
          <w:color w:val="auto"/>
        </w:rPr>
      </w:pPr>
      <w:r>
        <w:rPr>
          <w:rFonts w:ascii="Arial" w:cs="Arial" w:eastAsia="Arial" w:hAnsi="Arial"/>
          <w:sz w:val="18"/>
          <w:szCs w:val="18"/>
          <w:color w:val="auto"/>
        </w:rPr>
        <w:t>consolidation of office space at our corporate headquarters and the engagement of management consultants to assist us in making organizational and structural changes to improve operational efficiencies and reduce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Condensed Consolidated Statements of Operations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220" w:firstLine="446"/>
        <w:spacing w:after="0" w:line="292" w:lineRule="auto"/>
        <w:rPr>
          <w:sz w:val="20"/>
          <w:szCs w:val="20"/>
          <w:color w:val="auto"/>
        </w:rPr>
      </w:pPr>
      <w:r>
        <w:rPr>
          <w:rFonts w:ascii="Arial" w:cs="Arial" w:eastAsia="Arial" w:hAnsi="Arial"/>
          <w:sz w:val="18"/>
          <w:szCs w:val="18"/>
          <w:color w:val="auto"/>
        </w:rPr>
        <w:t>We generate net revenues from sales of our microinverter systems and related accessories, which in addition to microinverter units can also include the Envoy communications gateway, our Enlighten cloud-based monitoring service, and our AC Battery storage systems.</w:t>
      </w:r>
    </w:p>
    <w:p>
      <w:pPr>
        <w:spacing w:after="0" w:line="37" w:lineRule="exact"/>
        <w:rPr>
          <w:sz w:val="20"/>
          <w:szCs w:val="20"/>
          <w:color w:val="auto"/>
        </w:rPr>
      </w:pPr>
    </w:p>
    <w:p>
      <w:pPr>
        <w:ind w:right="100" w:firstLine="446"/>
        <w:spacing w:after="0" w:line="260" w:lineRule="auto"/>
        <w:rPr>
          <w:sz w:val="20"/>
          <w:szCs w:val="20"/>
          <w:color w:val="auto"/>
        </w:rPr>
      </w:pPr>
      <w:r>
        <w:rPr>
          <w:rFonts w:ascii="Arial" w:cs="Arial" w:eastAsia="Arial" w:hAnsi="Arial"/>
          <w:sz w:val="18"/>
          <w:szCs w:val="18"/>
          <w:color w:val="auto"/>
        </w:rPr>
        <w:t>Our revenue is affected by changes in the volume and average selling prices of our microinverter systems and related accessories, supply and demand, sales incentives, and competitive product offerings. Our revenue growth is dependent on our ability to compete effectively in the marketplace by remaining cost competitive, developing and introducing new products that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17" w:lineRule="exact"/>
        <w:rPr>
          <w:sz w:val="20"/>
          <w:szCs w:val="20"/>
          <w:color w:val="auto"/>
        </w:rPr>
      </w:pPr>
    </w:p>
    <w:p>
      <w:pPr>
        <w:ind w:right="140" w:firstLine="446"/>
        <w:spacing w:after="0" w:line="260" w:lineRule="auto"/>
        <w:rPr>
          <w:sz w:val="20"/>
          <w:szCs w:val="20"/>
          <w:color w:val="auto"/>
        </w:rPr>
      </w:pPr>
      <w:r>
        <w:rPr>
          <w:rFonts w:ascii="Arial" w:cs="Arial" w:eastAsia="Arial" w:hAnsi="Arial"/>
          <w:sz w:val="18"/>
          <w:szCs w:val="18"/>
          <w:color w:val="auto"/>
        </w:rPr>
        <w:t>Cost of revenues is comprised primarily of product costs, warranty, manufacturing personnel and logistics costs, freight costs, depreciation of test equipment and hosting service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of test equipment, are not directly affected by sales volume.</w:t>
      </w:r>
    </w:p>
    <w:p>
      <w:pPr>
        <w:spacing w:after="0" w:line="67" w:lineRule="exact"/>
        <w:rPr>
          <w:sz w:val="20"/>
          <w:szCs w:val="20"/>
          <w:color w:val="auto"/>
        </w:rPr>
      </w:pPr>
    </w:p>
    <w:p>
      <w:pPr>
        <w:ind w:right="160" w:firstLine="446"/>
        <w:spacing w:after="0" w:line="260" w:lineRule="auto"/>
        <w:rPr>
          <w:sz w:val="20"/>
          <w:szCs w:val="20"/>
          <w:color w:val="auto"/>
        </w:rPr>
      </w:pPr>
      <w:r>
        <w:rPr>
          <w:rFonts w:ascii="Arial" w:cs="Arial" w:eastAsia="Arial" w:hAnsi="Arial"/>
          <w:sz w:val="18"/>
          <w:szCs w:val="18"/>
          <w:color w:val="auto"/>
        </w:rPr>
        <w:t>We outsource our manufacturing to third-party contract manufacturers and generally negotiate product pricing with them on a quarterly basis. We believe our contract manufacturing partners have sufficient production capacity to meet the anticipated demand for our products for the foreseeable future. However, shortages in the supply of certain key raw materials could adversely affect our ability to meet customer demand for our products. We contract with third parties, including one of our contract manufacturers, to serve as our logistics providers by warehousing and delivering our products in the United States, Europe and Asia.</w:t>
      </w:r>
    </w:p>
    <w:p>
      <w:pPr>
        <w:spacing w:after="0" w:line="67" w:lineRule="exact"/>
        <w:rPr>
          <w:sz w:val="20"/>
          <w:szCs w:val="20"/>
          <w:color w:val="auto"/>
        </w:rPr>
      </w:pPr>
    </w:p>
    <w:p>
      <w:pPr>
        <w:ind w:right="220" w:firstLine="446"/>
        <w:spacing w:after="0" w:line="292"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and sales volume fluctuations resulting from seasonality.</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right="120" w:firstLine="446"/>
        <w:spacing w:after="0" w:line="271" w:lineRule="auto"/>
        <w:rPr>
          <w:sz w:val="20"/>
          <w:szCs w:val="20"/>
          <w:color w:val="auto"/>
        </w:rPr>
      </w:pPr>
      <w:r>
        <w:rPr>
          <w:rFonts w:ascii="Arial" w:cs="Arial" w:eastAsia="Arial" w:hAnsi="Arial"/>
          <w:sz w:val="18"/>
          <w:szCs w:val="18"/>
          <w:color w:val="auto"/>
        </w:rPr>
        <w:t>Operating expenses consist of research and development, sales and marketing, general and administrative and restructuring expenses. Personnel-related costs are the most significant component of each of these expense categories other than restructuring expense and include salaries, benefits, payroll taxes, sales commissions, incentive compensation and stock-based compensation.</w:t>
      </w:r>
    </w:p>
    <w:p>
      <w:pPr>
        <w:spacing w:after="0" w:line="55"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Research and development expense includes personnel-related expenses, third-party design and development costs, testing and evaluation costs, depreciation expense and other indirect costs. Research and development employees are primarily engaged in the design and development of power electronics, semiconductors, powerline communications, networking and software functionality, and storage. We devote substantial resources to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appropriate resources in our research and development efforts because we believe they are critical to maintaining our competitive position.</w:t>
      </w:r>
    </w:p>
    <w:p>
      <w:pPr>
        <w:spacing w:after="0" w:line="69" w:lineRule="exact"/>
        <w:rPr>
          <w:sz w:val="20"/>
          <w:szCs w:val="20"/>
          <w:color w:val="auto"/>
        </w:rPr>
      </w:pPr>
    </w:p>
    <w:p>
      <w:pPr>
        <w:ind w:firstLine="446"/>
        <w:spacing w:after="0" w:line="256" w:lineRule="auto"/>
        <w:rPr>
          <w:sz w:val="20"/>
          <w:szCs w:val="20"/>
          <w:color w:val="auto"/>
        </w:rPr>
      </w:pPr>
      <w:r>
        <w:rPr>
          <w:rFonts w:ascii="Arial" w:cs="Arial" w:eastAsia="Arial" w:hAnsi="Arial"/>
          <w:sz w:val="18"/>
          <w:szCs w:val="18"/>
          <w:color w:val="auto"/>
        </w:rPr>
        <w:t>Sales and marketing expense consists primarily of personnel -related expenses such as salaries, commissions, stock-based compensation, employee benefits and travel. It also includes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currently offer microinverter systems targeting the residential and commercial markets in the United States, Canada, Mexico and certain Central American markets, the United Kingdom, France, the Benelux region, certain other European markets, Australia, New Zealand and certain other Asian markets. We expect to continue to expand the geographic reach of our product offerings and explore new sales channels in addressable markets in the future.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General and administrative expense consists primarily of salaries, incentive compensation, stock-based compensation and employee benefits for personnel related to our executive, finance, human resources, information technology and legal organizations. General and administrative expense also includes facilities costs and fees for professional services, which consist primarily of outside legal, accounting and information technology consulting costs.</w:t>
      </w:r>
    </w:p>
    <w:p>
      <w:pPr>
        <w:spacing w:after="0" w:line="62" w:lineRule="exact"/>
        <w:rPr>
          <w:sz w:val="20"/>
          <w:szCs w:val="20"/>
          <w:color w:val="auto"/>
        </w:rPr>
      </w:pPr>
    </w:p>
    <w:p>
      <w:pPr>
        <w:ind w:firstLine="446"/>
        <w:spacing w:after="0" w:line="260" w:lineRule="auto"/>
        <w:rPr>
          <w:sz w:val="20"/>
          <w:szCs w:val="20"/>
          <w:color w:val="auto"/>
        </w:rPr>
      </w:pPr>
      <w:r>
        <w:rPr>
          <w:rFonts w:ascii="Arial" w:cs="Arial" w:eastAsia="Arial" w:hAnsi="Arial"/>
          <w:sz w:val="18"/>
          <w:szCs w:val="18"/>
          <w:color w:val="auto"/>
        </w:rPr>
        <w:t>Restructuring expense is the net of charges and adjustments resulting from restructuring initiatives that we began implementing in the third quarter of 2016 to improve operational performance and reduce overall operating expense. Costs included in restructuring expense primarily consist of fees paid to management consultants engaged to assist us in making organizational and structural changes to improve operational efficiencies and reduce expenses, severance for workforce reduction actions, non-cash charges related to the disposition of assets and impairment of property and equipment, and the establishment of lease loss reserves. See Note 6, “Restructuring” for additional information.</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280" w:firstLine="446"/>
        <w:spacing w:after="0" w:line="271" w:lineRule="auto"/>
        <w:rPr>
          <w:sz w:val="20"/>
          <w:szCs w:val="20"/>
          <w:color w:val="auto"/>
        </w:rPr>
      </w:pPr>
      <w:r>
        <w:rPr>
          <w:rFonts w:ascii="Arial" w:cs="Arial" w:eastAsia="Arial" w:hAnsi="Arial"/>
          <w:sz w:val="18"/>
          <w:szCs w:val="18"/>
          <w:color w:val="auto"/>
        </w:rPr>
        <w:t>Other expense, net primarily consists of interest expense and commitment fees under our term loans and non-cash interest expense related to the amortization of deferred financing costs. Other expense, net also includes gains or losses upon conversion of foreign currency transactions into U.S. dollars.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80" w:firstLine="446"/>
        <w:spacing w:after="0" w:line="258"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United States because we have sold the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Due to the history of losses we have generated in the United States since inception, we believe that it is more-likely-than-not that all of our U.S. and state deferred tax assets will not be realized as of March 31,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2017 and 2016</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3"/>
        </w:trPr>
        <w:tc>
          <w:tcPr>
            <w:tcW w:w="68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68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6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8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1"/>
        </w:trPr>
        <w:tc>
          <w:tcPr>
            <w:tcW w:w="6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54,751</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64,121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(9,370)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bl>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2017 and 2016</w:t>
      </w:r>
    </w:p>
    <w:p>
      <w:pPr>
        <w:spacing w:after="0" w:line="169" w:lineRule="exact"/>
        <w:rPr>
          <w:sz w:val="20"/>
          <w:szCs w:val="20"/>
          <w:color w:val="auto"/>
        </w:rPr>
      </w:pPr>
    </w:p>
    <w:p>
      <w:pPr>
        <w:ind w:right="140" w:firstLine="432"/>
        <w:spacing w:after="0" w:line="258" w:lineRule="auto"/>
        <w:rPr>
          <w:sz w:val="20"/>
          <w:szCs w:val="20"/>
          <w:color w:val="auto"/>
        </w:rPr>
      </w:pPr>
      <w:r>
        <w:rPr>
          <w:rFonts w:ascii="Arial" w:cs="Arial" w:eastAsia="Arial" w:hAnsi="Arial"/>
          <w:sz w:val="18"/>
          <w:szCs w:val="18"/>
          <w:color w:val="auto"/>
        </w:rPr>
        <w:t>Net revenues decreased by 15% for the three months ended March 31, 2017 compared to the same period in 2016 due to a decrease in microinverter systems sold and lower average selling prices. We sold 573,000 microinverter units in the three months ended March 31, 2017 versus 611,000 units in the same period in 2016. Volumes were negatively affected by the unusually wet weather in California, which is a significant market for us. The average revenue per watt of microinverter systems sold declined by approximately 11% for the three months ended March 31, 2017, as compared to the same period in 2016. We expect average selling prices for microinverter systems to continue to decline in the future, which may negatively affect net revenues.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3"/>
        </w:trPr>
        <w:tc>
          <w:tcPr>
            <w:tcW w:w="6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6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r>
      <w:tr>
        <w:trPr>
          <w:trHeight w:val="250"/>
        </w:trPr>
        <w:tc>
          <w:tcPr>
            <w:tcW w:w="6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20" w:type="dxa"/>
            <w:vAlign w:val="bottom"/>
            <w:gridSpan w:val="4"/>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1"/>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47,703</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52,361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(4,658)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62"/>
        </w:trPr>
        <w:tc>
          <w:tcPr>
            <w:tcW w:w="67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22"/>
                <w:szCs w:val="22"/>
                <w:color w:val="auto"/>
              </w:rPr>
            </w:pPr>
          </w:p>
        </w:tc>
        <w:tc>
          <w:tcPr>
            <w:tcW w:w="880" w:type="dxa"/>
            <w:vAlign w:val="bottom"/>
          </w:tcPr>
          <w:p>
            <w:pPr>
              <w:jc w:val="right"/>
              <w:ind w:right="143"/>
              <w:spacing w:after="0"/>
              <w:rPr>
                <w:sz w:val="20"/>
                <w:szCs w:val="20"/>
                <w:color w:val="auto"/>
              </w:rPr>
            </w:pPr>
            <w:r>
              <w:rPr>
                <w:rFonts w:ascii="Arial" w:cs="Arial" w:eastAsia="Arial" w:hAnsi="Arial"/>
                <w:sz w:val="16"/>
                <w:szCs w:val="16"/>
                <w:color w:val="auto"/>
              </w:rPr>
              <w:t>7,048</w:t>
            </w:r>
          </w:p>
        </w:tc>
        <w:tc>
          <w:tcPr>
            <w:tcW w:w="400" w:type="dxa"/>
            <w:vAlign w:val="bottom"/>
          </w:tcPr>
          <w:p>
            <w:pPr>
              <w:spacing w:after="0"/>
              <w:rPr>
                <w:sz w:val="22"/>
                <w:szCs w:val="22"/>
                <w:color w:val="auto"/>
              </w:rPr>
            </w:pPr>
          </w:p>
        </w:tc>
        <w:tc>
          <w:tcPr>
            <w:tcW w:w="760" w:type="dxa"/>
            <w:vAlign w:val="bottom"/>
          </w:tcPr>
          <w:p>
            <w:pPr>
              <w:jc w:val="right"/>
              <w:ind w:right="103"/>
              <w:spacing w:after="0"/>
              <w:rPr>
                <w:sz w:val="20"/>
                <w:szCs w:val="20"/>
                <w:color w:val="auto"/>
              </w:rPr>
            </w:pPr>
            <w:r>
              <w:rPr>
                <w:rFonts w:ascii="Arial" w:cs="Arial" w:eastAsia="Arial" w:hAnsi="Arial"/>
                <w:sz w:val="16"/>
                <w:szCs w:val="16"/>
                <w:color w:val="auto"/>
              </w:rPr>
              <w:t>11,760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ind w:left="160"/>
              <w:spacing w:after="0"/>
              <w:rPr>
                <w:sz w:val="20"/>
                <w:szCs w:val="20"/>
                <w:color w:val="auto"/>
              </w:rPr>
            </w:pPr>
            <w:r>
              <w:rPr>
                <w:rFonts w:ascii="Arial" w:cs="Arial" w:eastAsia="Arial" w:hAnsi="Arial"/>
                <w:sz w:val="16"/>
                <w:szCs w:val="16"/>
                <w:color w:val="auto"/>
              </w:rPr>
              <w:t>(4,712)</w:t>
            </w:r>
          </w:p>
        </w:tc>
        <w:tc>
          <w:tcPr>
            <w:tcW w:w="7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78"/>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12.9%</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bl>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2017 and 2016</w:t>
      </w:r>
    </w:p>
    <w:p>
      <w:pPr>
        <w:spacing w:after="0" w:line="169"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Cost of revenues decreased by 9% for the three months ended March 31, 2017 compared to the same period in 2016. The decrease in cost of revenues was primarily attributable to a decrease in the average cost per watt of microinverter systems and slightly lower volume partially offset by the impact of a decrease in the discount factor used in our mark-to-market method of accounting for eligible warranties. Gross margin decreased by 5.4 percentage points for the three months ended March 31, 2017 compared to the same period in 2016. The primary drivers of the decrease in gross margin were average revenue per watt of our microinverter systems decreasing more than the average cost per watt, the impact of a decrease in the discount factor used in valuing eligible warranties, and the absorption of fixed overhead costs and specialty warranty charges on a lower revenue base. Our ability to reduce product costs and the timing of product cost reductions relative to declines in average selling prices can have a significant impact on our gross margin.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3"/>
        </w:trPr>
        <w:tc>
          <w:tcPr>
            <w:tcW w:w="68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68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6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8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1"/>
        </w:trPr>
        <w:tc>
          <w:tcPr>
            <w:tcW w:w="6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9,605</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13,066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(3,461)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bl>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2017 and 2016</w:t>
      </w:r>
    </w:p>
    <w:p>
      <w:pPr>
        <w:spacing w:after="0" w:line="169" w:lineRule="exact"/>
        <w:rPr>
          <w:sz w:val="20"/>
          <w:szCs w:val="20"/>
          <w:color w:val="auto"/>
        </w:rPr>
      </w:pPr>
    </w:p>
    <w:p>
      <w:pPr>
        <w:ind w:right="60" w:firstLine="432"/>
        <w:spacing w:after="0" w:line="260" w:lineRule="auto"/>
        <w:rPr>
          <w:sz w:val="20"/>
          <w:szCs w:val="20"/>
          <w:color w:val="auto"/>
        </w:rPr>
      </w:pPr>
      <w:r>
        <w:rPr>
          <w:rFonts w:ascii="Arial" w:cs="Arial" w:eastAsia="Arial" w:hAnsi="Arial"/>
          <w:sz w:val="18"/>
          <w:szCs w:val="18"/>
          <w:color w:val="auto"/>
        </w:rPr>
        <w:t>Research and development expense decreased by 26% for the three months ended March 31, 2017 compared to the same period in 2016. The decrease is due to the implementation our restructuring initiative that eliminated non-core projects resulting in a $2.3 million reduction in research and development personnel related expenses and a $1.2 million reduction in lab parts, product prototypes and professional fees. The amount of research and development expense may fluctuate from period to period due to the differing levels and stages of research and development activity.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3"/>
        </w:trPr>
        <w:tc>
          <w:tcPr>
            <w:tcW w:w="68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68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6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8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1"/>
        </w:trPr>
        <w:tc>
          <w:tcPr>
            <w:tcW w:w="6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6,458</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10,215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(3,757)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bl>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2017 and 2016</w:t>
      </w:r>
    </w:p>
    <w:p>
      <w:pPr>
        <w:spacing w:after="0" w:line="169" w:lineRule="exact"/>
        <w:rPr>
          <w:sz w:val="20"/>
          <w:szCs w:val="20"/>
          <w:color w:val="auto"/>
        </w:rPr>
      </w:pPr>
    </w:p>
    <w:p>
      <w:pPr>
        <w:jc w:val="both"/>
        <w:ind w:right="120" w:firstLine="432"/>
        <w:spacing w:after="0" w:line="260" w:lineRule="auto"/>
        <w:rPr>
          <w:sz w:val="20"/>
          <w:szCs w:val="20"/>
          <w:color w:val="auto"/>
        </w:rPr>
      </w:pPr>
      <w:r>
        <w:rPr>
          <w:rFonts w:ascii="Arial" w:cs="Arial" w:eastAsia="Arial" w:hAnsi="Arial"/>
          <w:sz w:val="18"/>
          <w:szCs w:val="18"/>
          <w:color w:val="auto"/>
        </w:rPr>
        <w:t>Sales and marketing expense decreased by 37% for the three months ended March 31, 2017 compared to the same period in 2016. The decrease is due to the implementation our restructuring initiative that eliminated non-core projects resulting in a $2.6 million reduction in sales and marketing personnel related expenses. Spending on advertising activities and professional services decreased by $0.7 million in the first quarter of 2017 as compared to the first quarter of 2016, and bad debt expense was $0.4 million higher in the three months ended March 31, 2016 than in the current period.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3"/>
        </w:trPr>
        <w:tc>
          <w:tcPr>
            <w:tcW w:w="68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68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6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8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1"/>
        </w:trPr>
        <w:tc>
          <w:tcPr>
            <w:tcW w:w="6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5,833</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7,567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(1,734)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bl>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2017 and 2016</w:t>
      </w:r>
    </w:p>
    <w:p>
      <w:pPr>
        <w:spacing w:after="0" w:line="169"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General and administrative expense decreased by 23% for the three months ended March 31, 2017 compared to the same period in 2016. The decrease is due to the implementation of our restructuring initiative that eliminated non-core projects resulting in a $1.3 million reduction in general and administrative personnel related expenses, a $0.3 million reduction in professional services and a $0.2 million reduction in depreciation expense as a result of a lower fixed asset base.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3"/>
        </w:trPr>
        <w:tc>
          <w:tcPr>
            <w:tcW w:w="6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March 31,</w:t>
            </w:r>
          </w:p>
        </w:tc>
        <w:tc>
          <w:tcPr>
            <w:tcW w:w="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Change in</w:t>
            </w:r>
          </w:p>
        </w:tc>
        <w:tc>
          <w:tcPr>
            <w:tcW w:w="640" w:type="dxa"/>
            <w:vAlign w:val="bottom"/>
            <w:tcBorders>
              <w:bottom w:val="single" w:sz="8" w:color="auto"/>
            </w:tcBorders>
          </w:tcPr>
          <w:p>
            <w:pPr>
              <w:spacing w:after="0"/>
              <w:rPr>
                <w:sz w:val="17"/>
                <w:szCs w:val="17"/>
                <w:color w:val="auto"/>
              </w:rPr>
            </w:pPr>
          </w:p>
        </w:tc>
      </w:tr>
      <w:tr>
        <w:trPr>
          <w:trHeight w:val="264"/>
        </w:trPr>
        <w:tc>
          <w:tcPr>
            <w:tcW w:w="66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r>
      <w:tr>
        <w:trPr>
          <w:trHeight w:val="250"/>
        </w:trPr>
        <w:tc>
          <w:tcPr>
            <w:tcW w:w="6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20" w:type="dxa"/>
            <w:vAlign w:val="bottom"/>
            <w:gridSpan w:val="5"/>
          </w:tcPr>
          <w:p>
            <w:pPr>
              <w:ind w:left="400"/>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21"/>
                <w:szCs w:val="21"/>
                <w:color w:val="auto"/>
              </w:rPr>
            </w:pPr>
          </w:p>
        </w:tc>
      </w:tr>
      <w:tr>
        <w:trPr>
          <w:trHeight w:val="271"/>
        </w:trPr>
        <w:tc>
          <w:tcPr>
            <w:tcW w:w="6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7,247</w:t>
            </w:r>
          </w:p>
        </w:tc>
        <w:tc>
          <w:tcPr>
            <w:tcW w:w="80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1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7,247</w:t>
            </w:r>
          </w:p>
        </w:tc>
        <w:tc>
          <w:tcPr>
            <w:tcW w:w="640" w:type="dxa"/>
            <w:vAlign w:val="bottom"/>
            <w:shd w:val="clear" w:color="auto" w:fill="CCEEFF"/>
          </w:tcPr>
          <w:p>
            <w:pPr>
              <w:jc w:val="center"/>
              <w:ind w:right="263"/>
              <w:spacing w:after="0"/>
              <w:rPr>
                <w:sz w:val="20"/>
                <w:szCs w:val="20"/>
                <w:color w:val="auto"/>
              </w:rPr>
            </w:pPr>
            <w:r>
              <w:rPr>
                <w:rFonts w:ascii="Arial" w:cs="Arial" w:eastAsia="Arial" w:hAnsi="Arial"/>
                <w:sz w:val="16"/>
                <w:szCs w:val="16"/>
                <w:color w:val="auto"/>
                <w:w w:val="97"/>
              </w:rPr>
              <w:t>N/A</w:t>
            </w:r>
          </w:p>
        </w:tc>
      </w:tr>
    </w:tbl>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2017 and 2016</w:t>
      </w:r>
    </w:p>
    <w:p>
      <w:pPr>
        <w:spacing w:after="0" w:line="169" w:lineRule="exact"/>
        <w:rPr>
          <w:sz w:val="20"/>
          <w:szCs w:val="20"/>
          <w:color w:val="auto"/>
        </w:rPr>
      </w:pPr>
    </w:p>
    <w:p>
      <w:pPr>
        <w:ind w:right="40" w:firstLine="432"/>
        <w:spacing w:after="0" w:line="260" w:lineRule="auto"/>
        <w:rPr>
          <w:sz w:val="20"/>
          <w:szCs w:val="20"/>
          <w:color w:val="auto"/>
        </w:rPr>
      </w:pPr>
      <w:r>
        <w:rPr>
          <w:rFonts w:ascii="Arial" w:cs="Arial" w:eastAsia="Arial" w:hAnsi="Arial"/>
          <w:sz w:val="18"/>
          <w:szCs w:val="18"/>
          <w:color w:val="auto"/>
        </w:rPr>
        <w:t>We implemented a restructuring plan in 2016 to lower operating expenses that included reductions in our global workforce and the elimination of certain non-core projects. In 2017 we engaged a management consulting firm to assist us in making organizational and structural changes to improve operational efficiencies and reduce expenses. Restructuring charges includes $4.0 million of consulting services, $1.6 million in cash-based severance and related benefits and $1.7 million in charges for asset impairments and lease loss reserves. We expect to incur additional fees for management consulting services in the near-term.</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3"/>
        </w:trPr>
        <w:tc>
          <w:tcPr>
            <w:tcW w:w="68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68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6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1"/>
        </w:trPr>
        <w:tc>
          <w:tcPr>
            <w:tcW w:w="6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(1,079)</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529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(1,608)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r>
    </w:tbl>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March 31, 2017 and 2016</w:t>
      </w:r>
    </w:p>
    <w:p>
      <w:pPr>
        <w:spacing w:after="0" w:line="169" w:lineRule="exact"/>
        <w:rPr>
          <w:sz w:val="20"/>
          <w:szCs w:val="20"/>
          <w:color w:val="auto"/>
        </w:rPr>
      </w:pPr>
    </w:p>
    <w:p>
      <w:pPr>
        <w:ind w:right="220" w:firstLine="432"/>
        <w:spacing w:after="0" w:line="271" w:lineRule="auto"/>
        <w:rPr>
          <w:sz w:val="20"/>
          <w:szCs w:val="20"/>
          <w:color w:val="auto"/>
        </w:rPr>
      </w:pPr>
      <w:r>
        <w:rPr>
          <w:rFonts w:ascii="Arial" w:cs="Arial" w:eastAsia="Arial" w:hAnsi="Arial"/>
          <w:sz w:val="18"/>
          <w:szCs w:val="18"/>
          <w:color w:val="auto"/>
        </w:rPr>
        <w:t>Other (expense), net was $ 1.1 million for three months ended March 31, 2017 versus $0.5 million of other income, net, for the same period in 2016. Interest expense increased by $ 2.0 million due to our term loan, and other income increased by $0.4 million due to higher net gains related to foreign currency exchange and remeasurement.</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As of March 31, 2017, we had $30.0 million in cash and cash equivalents and working capital of $68.2 million. Cash and cash equivalents held in the United States were $ 24.2 million and consisted primarily of non-interest bearing checking deposits, with the remainder held in various foreign subsidiaries. We consider amounts held outside the U.S. to be accessible and have provided for the estimated U.S. income tax liability associated with our foreign earnings.</w:t>
      </w:r>
    </w:p>
    <w:p>
      <w:pPr>
        <w:spacing w:after="0" w:line="62" w:lineRule="exact"/>
        <w:rPr>
          <w:sz w:val="20"/>
          <w:szCs w:val="20"/>
          <w:color w:val="auto"/>
        </w:rPr>
      </w:pPr>
    </w:p>
    <w:p>
      <w:pPr>
        <w:ind w:right="40" w:firstLine="432"/>
        <w:spacing w:after="0" w:line="271" w:lineRule="auto"/>
        <w:rPr>
          <w:sz w:val="20"/>
          <w:szCs w:val="20"/>
          <w:color w:val="auto"/>
        </w:rPr>
      </w:pPr>
      <w:r>
        <w:rPr>
          <w:rFonts w:ascii="Arial" w:cs="Arial" w:eastAsia="Arial" w:hAnsi="Arial"/>
          <w:sz w:val="18"/>
          <w:szCs w:val="18"/>
          <w:color w:val="auto"/>
        </w:rPr>
        <w:t>Although we have taken actions to improve our liquidity and help us achieve profitability, the solar market is volatile, and we are subject to market dynamics that are beyond our control. As disclosed in our Form 10-K for the year ended December 31, 2016, we concluded that substantial doubt exists as to our ability to continue as a going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concern within the next year. The accompanying consolidated financial statements for the three months ended March 31, 2017 are presented on a going concern basis and do not include any adjustments that might result from the outcome of this uncertainty. Information about the actions we have taken and are taking to mitigate our liquidity constraints is presented below.</w:t>
      </w:r>
    </w:p>
    <w:p>
      <w:pPr>
        <w:spacing w:after="0" w:line="5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Actions we have taken to reduce our operating expenses include a reduction in our global workforce in the third quarter of 2016 and a second reduction in January 2017. We have eliminated certain projects that did not have a near-term return on investment, consolidated office space at our headquarters, divested our services business and engaged a management consulting firm to help us improve operational efficiencies. We expect the cumulative impact of these actions to decrease our ongoing annual operating expenses by approximately 35%. For the three months ended March 31, 2017, we achieved a combined $9.0 million in savings for research and development, sales and marketing and general and administrative expenses over the same period in 2016, which was partially offset by increased restructuring charges of $7.2 million.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taken and are taking actions to improve our liquidity, including raising funds in the capital markets. In 2016, we completed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 public offering of 13,000,000 shares of our common stock. Including the subsequent over-allotment, we sold approximately 15 million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realized net proceeds of approximately $16.2 million.</w:t>
      </w:r>
    </w:p>
    <w:p>
      <w:pPr>
        <w:spacing w:after="0" w:line="95" w:lineRule="exact"/>
        <w:rPr>
          <w:sz w:val="20"/>
          <w:szCs w:val="20"/>
          <w:color w:val="auto"/>
        </w:rPr>
      </w:pPr>
    </w:p>
    <w:p>
      <w:pPr>
        <w:ind w:right="220" w:firstLine="648"/>
        <w:spacing w:after="0" w:line="271" w:lineRule="auto"/>
        <w:rPr>
          <w:sz w:val="20"/>
          <w:szCs w:val="20"/>
          <w:color w:val="auto"/>
        </w:rPr>
      </w:pPr>
      <w:r>
        <w:rPr>
          <w:rFonts w:ascii="Arial" w:cs="Arial" w:eastAsia="Arial" w:hAnsi="Arial"/>
          <w:sz w:val="18"/>
          <w:szCs w:val="18"/>
          <w:color w:val="auto"/>
        </w:rPr>
        <w:t>In December 2016, we entered into an At The Market Issuance Sales Agreement (ATM) under which we could sell shares of our common stock up to a gross aggregate offering price of $17.0 million. We realized the full $17.0 million of gross proceeds available under the ATM during the three months ended March 31, 2017.</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January 2017, we completed a private placement of common stock that resulted in gross proceeds of $10.0 million.</w:t>
      </w:r>
    </w:p>
    <w:p>
      <w:pPr>
        <w:spacing w:after="0" w:line="11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July 2016, we entered into a loan and security agreement (the “Original Term Loan Agreement”) with lenders that are affiliates of Tennenbaum Capital Partners, LLC (“TCP”), which has subsequently been amended and modified as discussed below and in Note 7, “Debt.” Under the agreement, the lenders committed to advance a term loan in an aggregate principal amount of up to $25.0 million with a maturity date of July 1, 2020. We drew down the $25.0 million term loan commitment at closing.</w:t>
      </w:r>
    </w:p>
    <w:p>
      <w:pPr>
        <w:spacing w:after="0" w:line="6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Payments under the original agreement were interest only through June 30, 2017, followed by consecutive equal monthly payments of principal plus accrued interest that were to begin on July 1, 2017 and continue through the maturity date. The Original Term Loan Agreement provides for an interest rate per annum equal to the higher of (i) 10.25% or (ii) LIBOR plus 9.5625%, subject to a 1.0% reduction if we achieve minimum levels of Revenue and EBITDA (each as defined in the Original Term Loan Agreement) for the twelve-consecutive month period ending June 30, 2017. In addition, we paid a commitment fee of 3.3% of the loan amount upon closing and a closing fee of 10.0% of the loan amount is payable in four equal installments at each anniversary of the closing date. We may elect to prepay the loan by incurring a prepayment fee between 1% and 3% of the principal amount of the term loan depending on the timing and circumstances of prepayment.</w:t>
      </w:r>
    </w:p>
    <w:p>
      <w:pPr>
        <w:spacing w:after="0" w:line="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term loan was secured by a second-priority security interest on substantially all our assets except intellectual property. The Original Term Loan Agreement does not contain any financial covenants, but is subject to customary affirmative and negative covenants including restrictions on creation of liens, dispositions of assets, dividends, mergers, or changing the nature of its business, in each case, subject to certain customary exceptions. In addition, the Term Loan Agreement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our business. The Original Term Loan Agreement offers TCP typical rights and remedies in any event of default, including the ability to declare all amounts outstanding immediately due and payable. We do not expect the lender to declare default under any event, including the material adverse change clause.</w:t>
      </w:r>
    </w:p>
    <w:p>
      <w:pPr>
        <w:spacing w:after="0" w:line="74"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In 2016 we had a $50.0 million revolving credit facility with Wells Fargo Bank, N.A. (“Wells Fargo”) that was entered into on November 7, 2012, as first amended on February 14, 2014. On December 18, 2015, we entered into an amended and restated revolving credit agreement with Wells Fargo (the “Revolver”) which extended the maturity date from November 7, 2016 to November 7, 2019 and added an uncommitted accordion feature that could increase the size of the facility by $25.0 million, subject to certain approvals and meeting certain criteria.</w:t>
      </w:r>
    </w:p>
    <w:p>
      <w:pPr>
        <w:spacing w:after="0" w:line="62" w:lineRule="exact"/>
        <w:rPr>
          <w:sz w:val="20"/>
          <w:szCs w:val="20"/>
          <w:color w:val="auto"/>
        </w:rPr>
      </w:pPr>
    </w:p>
    <w:p>
      <w:pPr>
        <w:ind w:right="60" w:firstLine="432"/>
        <w:spacing w:after="0" w:line="292" w:lineRule="auto"/>
        <w:rPr>
          <w:sz w:val="20"/>
          <w:szCs w:val="20"/>
          <w:color w:val="auto"/>
        </w:rPr>
      </w:pPr>
      <w:r>
        <w:rPr>
          <w:rFonts w:ascii="Arial" w:cs="Arial" w:eastAsia="Arial" w:hAnsi="Arial"/>
          <w:sz w:val="18"/>
          <w:szCs w:val="18"/>
          <w:color w:val="auto"/>
        </w:rPr>
        <w:t>In February 2017, we amended our loan and security agreement with TCP to provide an additional $25 million in principal (the “New Term Loan Agreement”). We simultaneously terminated our revolving credit facility with Wells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Fargo Bank, N.A., and the combined principal and interest balance of $10.3 million was fully repaid. The new term loan is secured by a first-priority security interest on substantially all our assets except intellectual property and has the same July 1, 2020 maturity date as the original TCP loan, both of which are now interest only until February 2018.</w:t>
      </w:r>
    </w:p>
    <w:p>
      <w:pPr>
        <w:spacing w:after="0" w:line="109"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The New Term Loan Agreement requires that (i) at all times from the closing date to and including March 31, 2018, we have Unrestricted Cash (as defined in the New Term Loan Agreement) of at least $10.0 million; (ii) at all times from the closing date to and including March 31, 2018, that the aggregate amount of Consolidated Unrestricted Cash, plus the value of Consolidated Receivables, plus the value of Consolidated Inventory (each as defined in the New Term Loan Agreement) divided by the outstanding principal amount of both term loans, shall equal or exceed 1.5; and (iii) at all times from April 1, 2018 and thereafter, that the aggregate amount of Consolidated Unrestricted Cash, plus the value of Consolidated Receivables, plus the value of Consolidated Inventory divided by the outstanding principal amount of both term loans, shall equal or exceed 1.75. In addition, the New Term Loan Agreement is subject to customary affirmative and negative covenants including restrictions on creation of liens, dispositions of assets, mergers, changing the nature of its business and dividends and other distributions, in each case subject to certain exceptions. The New Term Loan Agreement also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our business. The New Term Loan Agreement offers TCP typical rights and remedies in any event of default, including the ability to declare all amounts outstanding immediately due and payable. We expect to be in compliance with the financial covenants noted above, and we do not expect the lender to declare default under any event, including the material adverse change clause. See Note 7. “Debt.”</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4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2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(24,511)</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(15,249)</w:t>
            </w:r>
          </w:p>
        </w:tc>
      </w:tr>
      <w:tr>
        <w:trPr>
          <w:trHeight w:val="24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(3,466)</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(3,348)</w:t>
            </w:r>
          </w:p>
        </w:tc>
      </w:tr>
      <w:tr>
        <w:trPr>
          <w:trHeight w:val="2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40,586</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3,046</w:t>
            </w:r>
          </w:p>
        </w:tc>
      </w:tr>
      <w:tr>
        <w:trPr>
          <w:trHeight w:val="247"/>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(418)</w:t>
            </w:r>
          </w:p>
        </w:tc>
        <w:tc>
          <w:tcPr>
            <w:tcW w:w="6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115</w:t>
            </w:r>
          </w:p>
        </w:tc>
      </w:tr>
      <w:tr>
        <w:trPr>
          <w:trHeight w:val="2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12,191</w:t>
            </w: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(15,436)</w:t>
            </w:r>
          </w:p>
        </w:tc>
      </w:tr>
      <w:tr>
        <w:trPr>
          <w:trHeight w:val="23"/>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For the three months ended March 31, 2017, net cash used in operating activities of $24.5 million was primarily attributable to a net loss of $23.3 million offset by non-cash charges of $7.3 million and net cash outflows from changes in operating assets and liabilities of $8.5 million. Non-cash charges included $1.9 million of stock-based compensation, $ 2.3 million of depreciation and amortization, $0.1 million provision for doubtful accounts and $1.9 million in asset impairment and restructuring charges.</w:t>
      </w:r>
    </w:p>
    <w:p>
      <w:pPr>
        <w:spacing w:after="0" w:line="116" w:lineRule="exact"/>
        <w:rPr>
          <w:sz w:val="20"/>
          <w:szCs w:val="20"/>
          <w:color w:val="auto"/>
        </w:rPr>
      </w:pPr>
    </w:p>
    <w:p>
      <w:pPr>
        <w:ind w:right="180" w:firstLine="432"/>
        <w:spacing w:after="0" w:line="260" w:lineRule="auto"/>
        <w:rPr>
          <w:sz w:val="20"/>
          <w:szCs w:val="20"/>
          <w:color w:val="auto"/>
        </w:rPr>
      </w:pPr>
      <w:r>
        <w:rPr>
          <w:rFonts w:ascii="Arial" w:cs="Arial" w:eastAsia="Arial" w:hAnsi="Arial"/>
          <w:sz w:val="18"/>
          <w:szCs w:val="18"/>
          <w:color w:val="auto"/>
        </w:rPr>
        <w:t>The primary driver of cash outflows from changes in operating assets and liabilities was a $15.8 million decrease in accounts payable resulting from timing of vendor payments that led to a decrease in average days payable outstanding of approximately 33%. Also contributing to cash outflows was an increase in prepaid expenses and other assets of $3.1 million and an increase in inventory of $1.8 million. Cash outflows from changes in operating assets and liabilities was partially offset by a $12.0 million decrease in accounts receivable and a $1.4 million increase in deferred revenue.</w:t>
      </w:r>
    </w:p>
    <w:p>
      <w:pPr>
        <w:spacing w:after="0" w:line="121" w:lineRule="exact"/>
        <w:rPr>
          <w:sz w:val="20"/>
          <w:szCs w:val="20"/>
          <w:color w:val="auto"/>
        </w:rPr>
      </w:pPr>
    </w:p>
    <w:p>
      <w:pPr>
        <w:jc w:val="both"/>
        <w:ind w:right="180" w:firstLine="432"/>
        <w:spacing w:after="0" w:line="260" w:lineRule="auto"/>
        <w:rPr>
          <w:sz w:val="20"/>
          <w:szCs w:val="20"/>
          <w:color w:val="auto"/>
        </w:rPr>
      </w:pPr>
      <w:r>
        <w:rPr>
          <w:rFonts w:ascii="Arial" w:cs="Arial" w:eastAsia="Arial" w:hAnsi="Arial"/>
          <w:sz w:val="18"/>
          <w:szCs w:val="18"/>
          <w:color w:val="auto"/>
        </w:rPr>
        <w:t>For the three months ended March 31, 2016, net cash used in operating activities of $15.2 million was primarily attributable to a net loss of $18.8 million and net changes in our operating assets and liabilities of $ 2.7 million, which was partially offset by non-cash charges of $6.3 million primarily consisting of stock-based compensation and depreciation and amortization. Cash outflows from changes in operating assets and liabilities primarily resulted from a $4.8 million increase in inventory, a $2.1 million increase in prepaid expenses and other assets, a $1.5 million increase in accounts receivable and a $0.9 million decrease in warranty obligations. Cash</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inflows from changes in operating assets and liabilities included a $4.3 million increase in deferred revenue and a $2.2 million increase in accounts payable, accrued and other liabilities.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100" w:firstLine="432"/>
        <w:spacing w:after="0" w:line="292" w:lineRule="auto"/>
        <w:rPr>
          <w:sz w:val="20"/>
          <w:szCs w:val="20"/>
          <w:color w:val="auto"/>
        </w:rPr>
      </w:pPr>
      <w:r>
        <w:rPr>
          <w:rFonts w:ascii="Arial" w:cs="Arial" w:eastAsia="Arial" w:hAnsi="Arial"/>
          <w:sz w:val="18"/>
          <w:szCs w:val="18"/>
          <w:color w:val="auto"/>
        </w:rPr>
        <w:t>For the three months ended March 31, 2017, net cash used in investing activities of $3.5 million primarily resulted from purchases of test and assembly equipment and capitalized costs related to internal-use software.</w:t>
      </w:r>
    </w:p>
    <w:p>
      <w:pPr>
        <w:spacing w:after="0" w:line="91" w:lineRule="exact"/>
        <w:rPr>
          <w:sz w:val="20"/>
          <w:szCs w:val="20"/>
          <w:color w:val="auto"/>
        </w:rPr>
      </w:pPr>
    </w:p>
    <w:p>
      <w:pPr>
        <w:ind w:right="100" w:firstLine="432"/>
        <w:spacing w:after="0" w:line="292" w:lineRule="auto"/>
        <w:rPr>
          <w:sz w:val="20"/>
          <w:szCs w:val="20"/>
          <w:color w:val="auto"/>
        </w:rPr>
      </w:pPr>
      <w:r>
        <w:rPr>
          <w:rFonts w:ascii="Arial" w:cs="Arial" w:eastAsia="Arial" w:hAnsi="Arial"/>
          <w:sz w:val="18"/>
          <w:szCs w:val="18"/>
          <w:color w:val="auto"/>
        </w:rPr>
        <w:t>For the three months ended March 31, 2016, net cash used in investing activities of $3.3 million primarily resulted from purchases of test and assembly equipment and capitalized costs related to internal-use software.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380" w:firstLine="432"/>
        <w:spacing w:after="0" w:line="271" w:lineRule="auto"/>
        <w:rPr>
          <w:sz w:val="20"/>
          <w:szCs w:val="20"/>
          <w:color w:val="auto"/>
        </w:rPr>
      </w:pPr>
      <w:r>
        <w:rPr>
          <w:rFonts w:ascii="Arial" w:cs="Arial" w:eastAsia="Arial" w:hAnsi="Arial"/>
          <w:sz w:val="18"/>
          <w:szCs w:val="18"/>
          <w:color w:val="auto"/>
        </w:rPr>
        <w:t>For the three months ended March 31, 2017, net cash provided by financing activities of $40.6 million consisted of net proceeds from sales of common stock of $26.5 million, which included proceeds from the private placement and ATM offering described above and net proceeds from the term loan of $24.1 million, offset by the repayment of principal on our revolving credit facility of $10.1 million.</w:t>
      </w:r>
    </w:p>
    <w:p>
      <w:pPr>
        <w:spacing w:after="0" w:line="109" w:lineRule="exact"/>
        <w:rPr>
          <w:sz w:val="20"/>
          <w:szCs w:val="20"/>
          <w:color w:val="auto"/>
        </w:rPr>
      </w:pPr>
    </w:p>
    <w:p>
      <w:pPr>
        <w:ind w:right="740" w:firstLine="432"/>
        <w:spacing w:after="0" w:line="292" w:lineRule="auto"/>
        <w:rPr>
          <w:sz w:val="20"/>
          <w:szCs w:val="20"/>
          <w:color w:val="auto"/>
        </w:rPr>
      </w:pPr>
      <w:r>
        <w:rPr>
          <w:rFonts w:ascii="Arial" w:cs="Arial" w:eastAsia="Arial" w:hAnsi="Arial"/>
          <w:sz w:val="18"/>
          <w:szCs w:val="18"/>
          <w:color w:val="auto"/>
        </w:rPr>
        <w:t>For the three months ended March 31, 2016, net cash provided by financing activities of $3.0 million was primarily attributable to proceeds from net borrowings under our revolver.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3" w:lineRule="exact"/>
        <w:rPr>
          <w:sz w:val="20"/>
          <w:szCs w:val="20"/>
          <w:color w:val="auto"/>
        </w:rPr>
      </w:pPr>
    </w:p>
    <w:p>
      <w:pPr>
        <w:ind w:firstLine="432"/>
        <w:spacing w:after="0" w:line="271" w:lineRule="auto"/>
        <w:rPr>
          <w:sz w:val="20"/>
          <w:szCs w:val="20"/>
          <w:color w:val="auto"/>
        </w:rPr>
      </w:pPr>
      <w:r>
        <w:rPr>
          <w:rFonts w:ascii="Arial" w:cs="Arial" w:eastAsia="Arial" w:hAnsi="Arial"/>
          <w:sz w:val="18"/>
          <w:szCs w:val="18"/>
          <w:color w:val="auto"/>
        </w:rPr>
        <w:t>There were no material changes during the three months ended March 31, 2017 to our contractual commitments as presented in “Management’s Discussion and Analysis of Financial Condition and Results of Operations” of our 2016 Form 10-K other than the termination of our revolving credit facility and additional term debt as described in Note 7.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2017, we did not have any off-balance sheet arrangements, as defined in Item 303(a)(4)(ii) of SEC Regulation S-K.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28" w:lineRule="exact"/>
        <w:rPr>
          <w:sz w:val="20"/>
          <w:szCs w:val="20"/>
          <w:color w:val="auto"/>
        </w:rPr>
      </w:pPr>
    </w:p>
    <w:p>
      <w:pPr>
        <w:ind w:right="60" w:firstLine="432"/>
        <w:spacing w:after="0" w:line="271" w:lineRule="auto"/>
        <w:rPr>
          <w:sz w:val="20"/>
          <w:szCs w:val="20"/>
          <w:color w:val="auto"/>
        </w:rPr>
      </w:pPr>
      <w:r>
        <w:rPr>
          <w:rFonts w:ascii="Arial" w:cs="Arial" w:eastAsia="Arial" w:hAnsi="Arial"/>
          <w:sz w:val="18"/>
          <w:szCs w:val="18"/>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w:t>
      </w:r>
    </w:p>
    <w:p>
      <w:pPr>
        <w:spacing w:after="0" w:line="109" w:lineRule="exact"/>
        <w:rPr>
          <w:sz w:val="20"/>
          <w:szCs w:val="20"/>
          <w:color w:val="auto"/>
        </w:rPr>
      </w:pPr>
    </w:p>
    <w:p>
      <w:pPr>
        <w:ind w:right="240" w:firstLine="432"/>
        <w:spacing w:after="0" w:line="271" w:lineRule="auto"/>
        <w:rPr>
          <w:sz w:val="20"/>
          <w:szCs w:val="20"/>
          <w:color w:val="auto"/>
        </w:rPr>
      </w:pPr>
      <w:r>
        <w:rPr>
          <w:rFonts w:ascii="Arial" w:cs="Arial" w:eastAsia="Arial" w:hAnsi="Arial"/>
          <w:sz w:val="18"/>
          <w:szCs w:val="18"/>
          <w:color w:val="auto"/>
        </w:rPr>
        <w:t>There have been no significant changes during the three months ended March 31, 2017 to the items that we disclosed as our critical accounting policies and estimates in Management’s Discussion and Analysis of Financial Condition and Results of Operations in our Annual Report on Form 10-K for the year ended December 31, 2016.</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1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173" w:lineRule="exact"/>
        <w:rPr>
          <w:sz w:val="20"/>
          <w:szCs w:val="20"/>
          <w:color w:val="auto"/>
        </w:rPr>
      </w:pPr>
    </w:p>
    <w:p>
      <w:pPr>
        <w:ind w:firstLine="432"/>
        <w:spacing w:after="0" w:line="292" w:lineRule="auto"/>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of the Notes to Condensed Consolidated Financial Statements under Item 1 for recently issued accounting pronouncements not yet effective.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1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33" w:lineRule="exact"/>
        <w:rPr>
          <w:sz w:val="20"/>
          <w:szCs w:val="20"/>
          <w:color w:val="auto"/>
        </w:rPr>
      </w:pPr>
    </w:p>
    <w:p>
      <w:pPr>
        <w:ind w:right="100" w:firstLine="432"/>
        <w:spacing w:after="0" w:line="271" w:lineRule="auto"/>
        <w:rPr>
          <w:sz w:val="20"/>
          <w:szCs w:val="20"/>
          <w:color w:val="auto"/>
        </w:rPr>
      </w:pPr>
      <w:r>
        <w:rPr>
          <w:rFonts w:ascii="Arial" w:cs="Arial" w:eastAsia="Arial" w:hAnsi="Arial"/>
          <w:sz w:val="18"/>
          <w:szCs w:val="18"/>
          <w:color w:val="auto"/>
        </w:rPr>
        <w:t>For quantitative and qualitative disclosures about market risk, see Item 7A, “Quantitative and Qualitative Disclosures About Market Risk” of our annual report on Form 10-K for the year ended December 31, 2016. Our exposures to market risk have not changed materially since December 31, 2016.</w:t>
      </w:r>
    </w:p>
    <w:p>
      <w:pPr>
        <w:spacing w:after="0" w:line="26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March 31, 2017.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March 31, 2017, our chief executive officer and chief financial officer concluded that, as of such date, our disclosure controls and procedures were effective at the reasonable assurance level.</w:t>
      </w:r>
    </w:p>
    <w:p>
      <w:pPr>
        <w:spacing w:after="0" w:line="124" w:lineRule="exact"/>
        <w:rPr>
          <w:sz w:val="20"/>
          <w:szCs w:val="20"/>
          <w:color w:val="auto"/>
        </w:rPr>
      </w:pPr>
    </w:p>
    <w:p>
      <w:pPr>
        <w:ind w:firstLine="432"/>
        <w:spacing w:after="0" w:line="271"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71" w:lineRule="exact"/>
        <w:rPr>
          <w:sz w:val="20"/>
          <w:szCs w:val="20"/>
          <w:color w:val="auto"/>
        </w:rPr>
      </w:pPr>
    </w:p>
    <w:p>
      <w:pPr>
        <w:ind w:right="80" w:firstLine="432"/>
        <w:spacing w:after="0" w:line="271"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15"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87" w:lineRule="exact"/>
        <w:rPr>
          <w:sz w:val="20"/>
          <w:szCs w:val="20"/>
          <w:color w:val="auto"/>
        </w:rPr>
      </w:pPr>
    </w:p>
    <w:p>
      <w:pPr>
        <w:ind w:right="100" w:firstLine="446"/>
        <w:spacing w:after="0" w:line="260" w:lineRule="auto"/>
        <w:rPr>
          <w:sz w:val="20"/>
          <w:szCs w:val="20"/>
          <w:color w:val="auto"/>
        </w:rPr>
      </w:pPr>
      <w:r>
        <w:rPr>
          <w:rFonts w:ascii="Arial" w:cs="Arial" w:eastAsia="Arial" w:hAnsi="Arial"/>
          <w:sz w:val="18"/>
          <w:szCs w:val="18"/>
          <w:color w:val="auto"/>
        </w:rPr>
        <w:t>From time to time, we may be involved in litigation relating to claims arising out of our operations. We are not currently involved in any material legal proceedings, and our management believes there are currently no claims or actions pending against us, the ultimate disposition of which could have a material adverse effect on our operations, financial condition, or cash flows.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119"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24" w:lineRule="exact"/>
        <w:rPr>
          <w:sz w:val="20"/>
          <w:szCs w:val="20"/>
          <w:color w:val="auto"/>
        </w:rPr>
      </w:pPr>
    </w:p>
    <w:p>
      <w:pPr>
        <w:ind w:right="60" w:firstLine="405"/>
        <w:spacing w:after="0" w:line="289" w:lineRule="auto"/>
        <w:rPr>
          <w:sz w:val="20"/>
          <w:szCs w:val="20"/>
          <w:color w:val="auto"/>
        </w:rPr>
      </w:pPr>
      <w:r>
        <w:rPr>
          <w:rFonts w:ascii="Arial" w:cs="Arial" w:eastAsia="Arial" w:hAnsi="Arial"/>
          <w:sz w:val="18"/>
          <w:szCs w:val="18"/>
          <w:i w:val="1"/>
          <w:iCs w:val="1"/>
          <w:color w:val="auto"/>
        </w:rPr>
        <w:t>There have been no substantive changes from, or additions to, the risks described in our Annual Report on Form 10-K for the year ended December 31, 2016.</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1"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have incurred significant net losses since we began doing business, including a net loss of $23.3 million during the three months ended March 31, 2017. As of March 31, 2017, we had an accumulated deficit of $273.8 million. Our revenue may increase or decrease for a number of possible reasons, many of which are outside our control, including a decline in demand for our offerings, increased competition, a decrease in the growth of the solar industry or our market share, or our failure to capitalize on growth opportunities. If we fail to generate sufficient revenue to support our operations, we may not be able to achieve or sustain profitability. In connection with the issuance of our consolidated financial statements for the year ended December 31, 2016, we concluded that there is substantial doubt regarding our ability to continue as a going concern. While we have taken and continue to take steps to improve our financial position since December 31, 2016 (including raising additional capital and further reducing expenses), there can be no assurance that these steps will be sufficient and we could fail to continue as a going concern. Furthermore, if we require additional capital to finance our operations, this determination could impair our ability to finance our operations through the sale of equity, incurring debt, or other financing alternatives.</w:t>
      </w:r>
    </w:p>
    <w:p>
      <w:pPr>
        <w:spacing w:after="0" w:line="124"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21" w:lineRule="exact"/>
        <w:rPr>
          <w:sz w:val="20"/>
          <w:szCs w:val="20"/>
          <w:color w:val="auto"/>
        </w:rPr>
      </w:pPr>
    </w:p>
    <w:p>
      <w:pPr>
        <w:jc w:val="both"/>
        <w:ind w:right="140" w:firstLine="432"/>
        <w:spacing w:after="0" w:line="271" w:lineRule="auto"/>
        <w:rPr>
          <w:sz w:val="20"/>
          <w:szCs w:val="20"/>
          <w:color w:val="auto"/>
        </w:rPr>
      </w:pPr>
      <w:r>
        <w:rPr>
          <w:rFonts w:ascii="Arial" w:cs="Arial" w:eastAsia="Arial" w:hAnsi="Arial"/>
          <w:sz w:val="18"/>
          <w:szCs w:val="18"/>
          <w:color w:val="auto"/>
        </w:rPr>
        <w:t>We have disclosed our conclusion under ASU 2014-15, “Presentation of Financial Statements - Going Concern” that there is substantial doubt about our ability to continue as a going concern and our plans to mitigate the conditions that led to that conclusion. Therefore, we may need to raise additional capital to execute on our current or future business strategies, including to:</w:t>
      </w:r>
    </w:p>
    <w:p>
      <w:pPr>
        <w:spacing w:after="0" w:line="1"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fund our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 in our research and development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do not know what forms of financing, if any, will be available to us, and the determination that there is substantial doubt about our ability to continue as a going concern could impair our ability to raise financing, if needed. If financing is not available on acceptable terms, if and when needed, our ability to fund our operations, enhance our research and development and sales and marketing functions, develop and enhance our products, respond to unanticipated events, including unanticipated opportunities, or otherwise respond to competitive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15"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 If we fail to raise sufficient additional capital if needed, we may not be able to completely execute our business plan and may not be able to continue as a going concern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rapidly changing solar industry makes it difficult to evaluate our current business and future prospects.</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rapidly changing solar industry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1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grow or grows at a slower rate than we anticipate, our business will suffer.</w:t>
      </w:r>
    </w:p>
    <w:p>
      <w:pPr>
        <w:spacing w:after="0" w:line="117"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Our microinverter and AC Battery storage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8"/>
          <w:szCs w:val="18"/>
          <w:i w:val="1"/>
          <w:iCs w:val="1"/>
          <w:color w:val="auto"/>
        </w:rPr>
        <w:t>,</w:t>
      </w:r>
      <w:r>
        <w:rPr>
          <w:rFonts w:ascii="Arial" w:cs="Arial" w:eastAsia="Arial" w:hAnsi="Arial"/>
          <w:sz w:val="18"/>
          <w:szCs w:val="18"/>
          <w:color w:val="auto"/>
        </w:rPr>
        <w:t xml:space="preserve"> and we cannot be certain that consumers and businesses will adopt solar PV systems as an alternative energy source at levels sufficient to continue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16"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117" w:lineRule="exact"/>
        <w:rPr>
          <w:rFonts w:ascii="Arial" w:cs="Arial" w:eastAsia="Arial" w:hAnsi="Arial"/>
          <w:sz w:val="18"/>
          <w:szCs w:val="18"/>
          <w:color w:val="auto"/>
        </w:rPr>
      </w:pPr>
    </w:p>
    <w:p>
      <w:pPr>
        <w:ind w:left="980" w:right="140" w:hanging="486"/>
        <w:spacing w:after="0" w:line="29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36" w:lineRule="exact"/>
        <w:rPr>
          <w:rFonts w:ascii="Arial" w:cs="Arial" w:eastAsia="Arial" w:hAnsi="Arial"/>
          <w:sz w:val="18"/>
          <w:szCs w:val="18"/>
          <w:color w:val="auto"/>
        </w:rPr>
      </w:pPr>
    </w:p>
    <w:p>
      <w:pPr>
        <w:ind w:left="980" w:right="560" w:hanging="486"/>
        <w:spacing w:after="0" w:line="29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and amount of government subsidies and incentives to support the development and deployment of solar energy solutions;</w:t>
      </w:r>
    </w:p>
    <w:p>
      <w:pPr>
        <w:spacing w:after="0" w:line="36" w:lineRule="exact"/>
        <w:rPr>
          <w:rFonts w:ascii="Arial" w:cs="Arial" w:eastAsia="Arial" w:hAnsi="Arial"/>
          <w:sz w:val="18"/>
          <w:szCs w:val="18"/>
          <w:color w:val="auto"/>
        </w:rPr>
      </w:pPr>
    </w:p>
    <w:p>
      <w:pPr>
        <w:ind w:left="980" w:right="200" w:hanging="486"/>
        <w:spacing w:after="0" w:line="29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prices of traditional utility-provided energy sources;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117" w:lineRule="exact"/>
        <w:rPr>
          <w:rFonts w:ascii="Arial" w:cs="Arial" w:eastAsia="Arial" w:hAnsi="Arial"/>
          <w:sz w:val="18"/>
          <w:szCs w:val="18"/>
          <w:color w:val="auto"/>
        </w:rPr>
      </w:pPr>
    </w:p>
    <w:p>
      <w:pPr>
        <w:ind w:left="980" w:right="80" w:hanging="486"/>
        <w:spacing w:after="0" w:line="29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emergence, continuance or success of, or increased government support for, other alternative energy generation technologies and products.</w:t>
      </w:r>
    </w:p>
    <w:p>
      <w:pPr>
        <w:spacing w:after="0" w:line="145" w:lineRule="exact"/>
        <w:rPr>
          <w:sz w:val="20"/>
          <w:szCs w:val="20"/>
          <w:color w:val="auto"/>
        </w:rPr>
      </w:pPr>
    </w:p>
    <w:p>
      <w:pPr>
        <w:ind w:right="780" w:firstLine="432"/>
        <w:spacing w:after="0" w:line="292" w:lineRule="auto"/>
        <w:rPr>
          <w:sz w:val="20"/>
          <w:szCs w:val="20"/>
          <w:color w:val="auto"/>
        </w:rPr>
      </w:pPr>
      <w:r>
        <w:rPr>
          <w:rFonts w:ascii="Arial" w:cs="Arial" w:eastAsia="Arial" w:hAnsi="Arial"/>
          <w:sz w:val="18"/>
          <w:szCs w:val="18"/>
          <w:color w:val="auto"/>
        </w:rPr>
        <w:t>If demand for solar energy solutions does not grow, demand for our customers' products as well as demand for our products will decrease, which would have an adverse impact on our ability to increase our revenue and grow our business.</w:t>
      </w:r>
    </w:p>
    <w:p>
      <w:pPr>
        <w:spacing w:after="0" w:line="91" w:lineRule="exact"/>
        <w:rPr>
          <w:sz w:val="20"/>
          <w:szCs w:val="20"/>
          <w:color w:val="auto"/>
        </w:rPr>
      </w:pPr>
    </w:p>
    <w:p>
      <w:pPr>
        <w:ind w:right="200" w:firstLine="432"/>
        <w:spacing w:after="0" w:line="260" w:lineRule="auto"/>
        <w:rPr>
          <w:sz w:val="20"/>
          <w:szCs w:val="20"/>
          <w:color w:val="auto"/>
        </w:rPr>
      </w:pPr>
      <w:r>
        <w:rPr>
          <w:rFonts w:ascii="Arial" w:cs="Arial" w:eastAsia="Arial" w:hAnsi="Arial"/>
          <w:sz w:val="18"/>
          <w:szCs w:val="18"/>
          <w:color w:val="auto"/>
        </w:rPr>
        <w:t>Short-term demand and supply imbalances, especially for solar module technology, have recently caused prices for solar technology solutions to decline rapidly. Furthermore, competition in the solar industry has increased due to the emergence of lower-cost manufacturers along the entire solar value chain causing further price declines, excess inventory and oversupply. These market disruptions may continue to occur and may increase pressure to reduce prices, which could adversely affect our business and financial results, including impairing the recorded value of our inventory.</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1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640"/>
        <w:spacing w:after="0" w:line="301" w:lineRule="auto"/>
        <w:rPr>
          <w:sz w:val="20"/>
          <w:szCs w:val="20"/>
          <w:color w:val="auto"/>
        </w:rPr>
      </w:pPr>
      <w:r>
        <w:rPr>
          <w:rFonts w:ascii="Arial" w:cs="Arial" w:eastAsia="Arial" w:hAnsi="Arial"/>
          <w:sz w:val="18"/>
          <w:szCs w:val="18"/>
          <w:b w:val="1"/>
          <w:bCs w:val="1"/>
          <w:i w:val="1"/>
          <w:iCs w:val="1"/>
          <w:color w:val="auto"/>
        </w:rPr>
        <w:t>The loss of, or events affecting, one of our major customers could reduce our sales and have a material adverse effect on our business, financial condition and results of operations.</w:t>
      </w:r>
    </w:p>
    <w:p>
      <w:pPr>
        <w:spacing w:after="0" w:line="7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 2016, CED Greentech accounted for approximately 18% of total net revenues. In 2015, CED Greentech and Vivint Solar, Inc. accounted for approximately 17% and 12% of total net revenues, respectively. 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that may be out of our control. For example, beginning in 2015, Vivint Solar, Inc. implemented a multi-sourcing strategy, and therefore, is not sole-sourcing our microinverters, which has resulted in and may continue to result in a reduction in our revenue generated from sales to Vivint. In addition, adverse events affecting our customers could also adversely affect our revenue and results of operations (for instance, the recent filing of a voluntary petition for bankruptcy protection by one of our customers prevented us from timely collection of our accounts receivable from that customer). The loss of, or events affecting, Vivint or one or more of our other large customers have had, could have and could continue to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117" w:lineRule="exact"/>
        <w:rPr>
          <w:sz w:val="20"/>
          <w:szCs w:val="20"/>
          <w:color w:val="auto"/>
        </w:rPr>
      </w:pPr>
    </w:p>
    <w:p>
      <w:pPr>
        <w:ind w:right="760" w:firstLine="432"/>
        <w:spacing w:after="0" w:line="281"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2"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and competitor discounts and rebates;</w:t>
      </w:r>
    </w:p>
    <w:p>
      <w:pPr>
        <w:spacing w:after="0" w:line="117" w:lineRule="exact"/>
        <w:rPr>
          <w:rFonts w:ascii="Arial" w:cs="Arial" w:eastAsia="Arial" w:hAnsi="Arial"/>
          <w:sz w:val="18"/>
          <w:szCs w:val="18"/>
          <w:color w:val="auto"/>
        </w:rPr>
      </w:pPr>
    </w:p>
    <w:p>
      <w:pPr>
        <w:ind w:left="980" w:right="320" w:hanging="486"/>
        <w:spacing w:after="0" w:line="29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reduce and control product costs, including our ability to make product cost reductions in a timely manner to offset declines in our product prices;</w:t>
      </w:r>
    </w:p>
    <w:p>
      <w:pPr>
        <w:spacing w:after="0" w:line="36" w:lineRule="exact"/>
        <w:rPr>
          <w:rFonts w:ascii="Arial" w:cs="Arial" w:eastAsia="Arial" w:hAnsi="Arial"/>
          <w:sz w:val="18"/>
          <w:szCs w:val="18"/>
          <w:color w:val="auto"/>
        </w:rPr>
      </w:pPr>
    </w:p>
    <w:p>
      <w:pPr>
        <w:ind w:left="980" w:right="240" w:hanging="486"/>
        <w:spacing w:after="0" w:line="29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warranty costs and reserves, including changes resulting from changes in estimates related to the long-term performance of our products, product replacement costs and warranty claim rates;</w:t>
      </w:r>
    </w:p>
    <w:p>
      <w:pPr>
        <w:spacing w:after="0" w:line="36" w:lineRule="exact"/>
        <w:rPr>
          <w:rFonts w:ascii="Arial" w:cs="Arial" w:eastAsia="Arial" w:hAnsi="Arial"/>
          <w:sz w:val="18"/>
          <w:szCs w:val="18"/>
          <w:color w:val="auto"/>
        </w:rPr>
      </w:pPr>
    </w:p>
    <w:p>
      <w:pPr>
        <w:ind w:left="980" w:right="260" w:hanging="486"/>
        <w:spacing w:after="0" w:line="29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ordering patterns from our distributors;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reductions on older products to sell remaining inventory;</w:t>
      </w:r>
    </w:p>
    <w:p>
      <w:pPr>
        <w:spacing w:after="0" w:line="117" w:lineRule="exact"/>
        <w:rPr>
          <w:rFonts w:ascii="Arial" w:cs="Arial" w:eastAsia="Arial" w:hAnsi="Arial"/>
          <w:sz w:val="18"/>
          <w:szCs w:val="18"/>
          <w:color w:val="auto"/>
        </w:rPr>
      </w:pPr>
    </w:p>
    <w:p>
      <w:pPr>
        <w:ind w:left="980" w:right="20" w:hanging="486"/>
        <w:spacing w:after="0" w:line="29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reduce production costs, such as through technology innovations, in order to offset price declines in our products over time;</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171" w:lineRule="exact"/>
        <w:rPr>
          <w:sz w:val="20"/>
          <w:szCs w:val="20"/>
          <w:color w:val="auto"/>
        </w:rPr>
      </w:pPr>
    </w:p>
    <w:p>
      <w:pPr>
        <w:ind w:right="820"/>
        <w:spacing w:after="0" w:line="301" w:lineRule="auto"/>
        <w:rPr>
          <w:sz w:val="20"/>
          <w:szCs w:val="20"/>
          <w:color w:val="auto"/>
        </w:rPr>
      </w:pPr>
      <w:r>
        <w:rPr>
          <w:rFonts w:ascii="Arial" w:cs="Arial" w:eastAsia="Arial" w:hAnsi="Arial"/>
          <w:sz w:val="18"/>
          <w:szCs w:val="18"/>
          <w:b w:val="1"/>
          <w:bCs w:val="1"/>
          <w:i w:val="1"/>
          <w:iCs w:val="1"/>
          <w:color w:val="auto"/>
        </w:rPr>
        <w:t>We are under continuous pressure to reduce the prices of our products, which has adversely affected, and may continue to adversely affect, our gross margins.</w:t>
      </w:r>
    </w:p>
    <w:p>
      <w:pPr>
        <w:spacing w:after="0" w:line="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solar power industry has been characterized by declining product prices over time. We have reduced the prices of our products in the past, and we expect to continue to experience pricing pressure for our products in the future, including from our major customers. In addition, we have reduced our prices ahead of planned cost reductions of our products, which has adversely affected our gross margins.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average selling prices by increasing our sales volume, reducing our costs and expenses or introducing new products, our gross margins would continue to be adversely affected.</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1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40" w:firstLine="432"/>
        <w:spacing w:after="0" w:line="258" w:lineRule="auto"/>
        <w:rPr>
          <w:sz w:val="20"/>
          <w:szCs w:val="20"/>
          <w:color w:val="auto"/>
        </w:rPr>
      </w:pPr>
      <w:r>
        <w:rPr>
          <w:rFonts w:ascii="Arial" w:cs="Arial" w:eastAsia="Arial" w:hAnsi="Arial"/>
          <w:sz w:val="18"/>
          <w:szCs w:val="18"/>
          <w:color w:val="auto"/>
        </w:rPr>
        <w:t>Given the general downward pressure on prices for our products driven by competitive pressure and technological change, a principal component of our business strategy is reducing the costs to manufacture our products to remain competitive. If our competitors are able to drive down their manufacturing costs faster than we can or increase the efficiency of their products, our products may become less competitive even when adjusted for efficiency, and we may be forced to sell our products at a price lower than our cost. Further, if raw materials costs and other third-party component costs were to increase, we may not meet our cost reduction targets. If we cannot effectively execute our cost reduction roadmap, we may not be able to remain price competitive, which would result in lost market share and lower gross margins.</w:t>
      </w:r>
    </w:p>
    <w:p>
      <w:pPr>
        <w:spacing w:after="0" w:line="124"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products, which could negatively impact our results of operations and market share.</w:t>
      </w:r>
    </w:p>
    <w:p>
      <w:pPr>
        <w:spacing w:after="0" w:line="75" w:lineRule="exact"/>
        <w:rPr>
          <w:sz w:val="20"/>
          <w:szCs w:val="20"/>
          <w:color w:val="auto"/>
        </w:rPr>
      </w:pPr>
    </w:p>
    <w:p>
      <w:pPr>
        <w:ind w:right="200" w:firstLine="432"/>
        <w:spacing w:after="0" w:line="260" w:lineRule="auto"/>
        <w:rPr>
          <w:sz w:val="20"/>
          <w:szCs w:val="20"/>
          <w:color w:val="auto"/>
        </w:rPr>
      </w:pPr>
      <w:r>
        <w:rPr>
          <w:rFonts w:ascii="Arial" w:cs="Arial" w:eastAsia="Arial" w:hAnsi="Arial"/>
          <w:sz w:val="18"/>
          <w:szCs w:val="18"/>
          <w:color w:val="auto"/>
        </w:rPr>
        <w:t>The market for PV inverter solutions is highly competitive. To date, we have competed primarily against central and string inverter manufacturers, but as the solar industry rapidly grows, new solutions and technologies are emerging that will directly compete with our business. Competitors in the inverter market include, amongst others, SMA Solar Technology AG, Fronius International GmbH, ABB Ltd. and SolarEdge Technologies, Inc.. Other existing or emerging companies, such as Huawei Technologies Co. Ltd., may also begin offering alternative microinverter, DC to DC optimizer and other power electronic solutions.</w:t>
      </w:r>
    </w:p>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Competition has intensified, and we expect the trend to continue as new and existing competitors enter the microinverter market, or market and sell related products, such as DC to DC optimizers that can be used in conjunction with central or string inverters. SMA Solar Technology AG and ABB Ltd. market and sell microinverter products, and several new entrants to the microinverter market have recently announced plans to ship or have already shipped products. We believe that a number of companies have developed or are developing microinverters and other products that will compete directly with our microinverter systems in the module-level power electronics, or MLPE market, including low-cost manufacturers such as Huawei Technologies Co. Ltd.. In addition, central and string inverter manufacturers continue to reduce their prices, putting additional pressure on us and other alternative technologies.</w:t>
      </w:r>
    </w:p>
    <w:p>
      <w:pPr>
        <w:spacing w:after="0" w:line="12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Several of our existing and potential competitors are significantly larger than we are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creating market awareness for these offerings.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of our products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 or if we are unable to offset any future reductions in our average selling prices by increasing our sales volume, reducing our costs and expenses or introducing new products, our revenues and gross profit would suffer.</w:t>
      </w:r>
    </w:p>
    <w:p>
      <w:pPr>
        <w:spacing w:after="0" w:line="12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also may face competition from some of our customers or potential customers who evaluate our capabilities against the merits of manufacturing products internally. For instance, SunPower Corporation acquired a microinverter company SolarBridge Technologies, Inc. in November of 2014. Other solar module manufacturers could also develop or acquire competing inverter technology or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or potential customers may purchase fewer of our microinverter systems or sell products that compete with our microinverters systems, which would negatively impact our revenue and gross profit.</w:t>
      </w:r>
    </w:p>
    <w:p>
      <w:pPr>
        <w:spacing w:after="0" w:line="177"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b w:val="1"/>
          <w:bCs w:val="1"/>
          <w:i w:val="1"/>
          <w:iCs w:val="1"/>
          <w:color w:val="auto"/>
        </w:rPr>
        <w:t>Developments in alternative technologies or improvements in distributed solar energy generation may have a material adverse effect on demand for our offerings.</w:t>
      </w:r>
    </w:p>
    <w:p>
      <w:pPr>
        <w:spacing w:after="0" w:line="75" w:lineRule="exact"/>
        <w:rPr>
          <w:sz w:val="20"/>
          <w:szCs w:val="20"/>
          <w:color w:val="auto"/>
        </w:rPr>
      </w:pPr>
    </w:p>
    <w:p>
      <w:pPr>
        <w:ind w:firstLine="432"/>
        <w:spacing w:after="0" w:line="271" w:lineRule="auto"/>
        <w:rPr>
          <w:sz w:val="20"/>
          <w:szCs w:val="20"/>
          <w:color w:val="auto"/>
        </w:rPr>
      </w:pPr>
      <w:r>
        <w:rPr>
          <w:rFonts w:ascii="Arial" w:cs="Arial" w:eastAsia="Arial" w:hAnsi="Arial"/>
          <w:sz w:val="18"/>
          <w:szCs w:val="18"/>
          <w:color w:val="auto"/>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1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109" w:lineRule="exact"/>
        <w:rPr>
          <w:sz w:val="20"/>
          <w:szCs w:val="20"/>
          <w:color w:val="auto"/>
        </w:rPr>
      </w:pPr>
    </w:p>
    <w:p>
      <w:pPr>
        <w:ind w:right="620"/>
        <w:spacing w:after="0" w:line="301" w:lineRule="auto"/>
        <w:rPr>
          <w:sz w:val="20"/>
          <w:szCs w:val="20"/>
          <w:color w:val="auto"/>
        </w:rPr>
      </w:pPr>
      <w:r>
        <w:rPr>
          <w:rFonts w:ascii="Arial" w:cs="Arial" w:eastAsia="Arial" w:hAnsi="Arial"/>
          <w:sz w:val="18"/>
          <w:szCs w:val="18"/>
          <w:b w:val="1"/>
          <w:bCs w:val="1"/>
          <w:i w:val="1"/>
          <w:iCs w:val="1"/>
          <w:color w:val="auto"/>
        </w:rPr>
        <w:t>Our microinverter systems, including our AC Battery storage solution and recently announced integrated AC Module, may not achieve broader market acceptance, which would prevent us from increasing our revenue and market share.</w:t>
      </w:r>
    </w:p>
    <w:p>
      <w:pPr>
        <w:spacing w:after="0" w:line="21"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8"/>
          <w:szCs w:val="18"/>
          <w:color w:val="auto"/>
        </w:rPr>
        <w:t>If we fail to achieve broader market acceptance of our products,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1" w:lineRule="exact"/>
        <w:rPr>
          <w:sz w:val="20"/>
          <w:szCs w:val="20"/>
          <w:color w:val="auto"/>
        </w:rPr>
      </w:pPr>
    </w:p>
    <w:p>
      <w:pPr>
        <w:ind w:left="980" w:right="40" w:hanging="486"/>
        <w:spacing w:after="0" w:line="29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produce microinverter systems and AC Battery storage products that compete favorably against other solutions on the basis of price, quality, reliability and performance;</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117" w:lineRule="exact"/>
        <w:rPr>
          <w:rFonts w:ascii="Arial" w:cs="Arial" w:eastAsia="Arial" w:hAnsi="Arial"/>
          <w:sz w:val="18"/>
          <w:szCs w:val="18"/>
          <w:color w:val="auto"/>
        </w:rPr>
      </w:pPr>
    </w:p>
    <w:p>
      <w:pPr>
        <w:ind w:left="980" w:right="400" w:hanging="486"/>
        <w:spacing w:after="0" w:line="29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microinverter systems, which have a relatively limited history with respect to reliability and performance;</w:t>
      </w:r>
    </w:p>
    <w:p>
      <w:pPr>
        <w:spacing w:after="0" w:line="36" w:lineRule="exact"/>
        <w:rPr>
          <w:rFonts w:ascii="Arial" w:cs="Arial" w:eastAsia="Arial" w:hAnsi="Arial"/>
          <w:sz w:val="18"/>
          <w:szCs w:val="18"/>
          <w:color w:val="auto"/>
        </w:rPr>
      </w:pPr>
    </w:p>
    <w:p>
      <w:pPr>
        <w:ind w:left="980" w:right="760" w:hanging="486"/>
        <w:spacing w:after="0" w:line="29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adopt our AC Battery storage solution, which is a new technology with a limited history with respect to reliability and performance;</w:t>
      </w:r>
    </w:p>
    <w:p>
      <w:pPr>
        <w:spacing w:after="0" w:line="36" w:lineRule="exact"/>
        <w:rPr>
          <w:rFonts w:ascii="Arial" w:cs="Arial" w:eastAsia="Arial" w:hAnsi="Arial"/>
          <w:sz w:val="18"/>
          <w:szCs w:val="18"/>
          <w:color w:val="auto"/>
        </w:rPr>
      </w:pPr>
    </w:p>
    <w:p>
      <w:pPr>
        <w:ind w:left="980" w:right="260" w:hanging="486"/>
        <w:spacing w:after="0" w:line="29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36" w:lineRule="exact"/>
        <w:rPr>
          <w:rFonts w:ascii="Arial" w:cs="Arial" w:eastAsia="Arial" w:hAnsi="Arial"/>
          <w:sz w:val="18"/>
          <w:szCs w:val="18"/>
          <w:color w:val="auto"/>
        </w:rPr>
      </w:pPr>
    </w:p>
    <w:p>
      <w:pPr>
        <w:ind w:left="980" w:right="680" w:hanging="486"/>
        <w:spacing w:after="0" w:line="29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or string inverters. These installers often have made substantial investments in design, installation resources and training in traditional central or string inverter systems, which may create challenges for us to achieve their adoption of our microinverter systems.</w:t>
      </w:r>
    </w:p>
    <w:p>
      <w:pPr>
        <w:spacing w:after="0" w:line="116"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75" w:lineRule="exact"/>
        <w:rPr>
          <w:sz w:val="20"/>
          <w:szCs w:val="20"/>
          <w:color w:val="auto"/>
        </w:rPr>
      </w:pPr>
    </w:p>
    <w:p>
      <w:pPr>
        <w:ind w:firstLine="432"/>
        <w:spacing w:after="0" w:line="260" w:lineRule="auto"/>
        <w:rPr>
          <w:sz w:val="20"/>
          <w:szCs w:val="20"/>
          <w:color w:val="auto"/>
        </w:rPr>
      </w:pPr>
      <w:r>
        <w:rPr>
          <w:rFonts w:ascii="Arial" w:cs="Arial" w:eastAsia="Arial" w:hAnsi="Arial"/>
          <w:sz w:val="18"/>
          <w:szCs w:val="18"/>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most notably Australia, Canada, France, Belgium, Germany, Italy, Japan, the People’s Republic of China,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12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680"/>
        <w:spacing w:after="0" w:line="301" w:lineRule="auto"/>
        <w:rPr>
          <w:sz w:val="20"/>
          <w:szCs w:val="20"/>
          <w:color w:val="auto"/>
        </w:rPr>
      </w:pPr>
      <w:r>
        <w:rPr>
          <w:rFonts w:ascii="Arial" w:cs="Arial" w:eastAsia="Arial" w:hAnsi="Arial"/>
          <w:sz w:val="18"/>
          <w:szCs w:val="18"/>
          <w:b w:val="1"/>
          <w:bCs w:val="1"/>
          <w:i w:val="1"/>
          <w:iCs w:val="1"/>
          <w:color w:val="auto"/>
        </w:rPr>
        <w:t>Actions by the new presidential administration with regard to the solar energy sector or international trade agreements could materially harm our business, financial condition and results of operations.</w:t>
      </w:r>
    </w:p>
    <w:p>
      <w:pPr>
        <w:spacing w:after="0" w:line="200" w:lineRule="exact"/>
        <w:rPr>
          <w:sz w:val="20"/>
          <w:szCs w:val="20"/>
          <w:color w:val="auto"/>
        </w:rPr>
      </w:pPr>
    </w:p>
    <w:p>
      <w:pPr>
        <w:spacing w:after="0" w:line="25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recent change in the U.S. presidential administration may create regulatory uncertainty in the clean energy sector generally and the solar energy sector in particular. If the new administration and/or the U.S. Congress take action to eliminate or reduce legislation, regulations and incentives supporting solar energy, such actions may result in a decrease in demand for solar energy in the United States and other geographical markets, which could materially harm our business, financial condition and results of operations.</w:t>
      </w:r>
    </w:p>
    <w:p>
      <w:pPr>
        <w:spacing w:after="0" w:line="116" w:lineRule="exact"/>
        <w:rPr>
          <w:sz w:val="20"/>
          <w:szCs w:val="20"/>
          <w:color w:val="auto"/>
        </w:rPr>
      </w:pPr>
    </w:p>
    <w:p>
      <w:pPr>
        <w:ind w:right="40" w:firstLine="432"/>
        <w:spacing w:after="0" w:line="258" w:lineRule="auto"/>
        <w:rPr>
          <w:sz w:val="20"/>
          <w:szCs w:val="20"/>
          <w:color w:val="auto"/>
        </w:rPr>
      </w:pPr>
      <w:r>
        <w:rPr>
          <w:rFonts w:ascii="Arial" w:cs="Arial" w:eastAsia="Arial" w:hAnsi="Arial"/>
          <w:sz w:val="18"/>
          <w:szCs w:val="18"/>
          <w:color w:val="auto"/>
        </w:rPr>
        <w:t>Furthermore, a significant portion of our business activities are conducted in foreign countries, including Mexico, Canada and China. During the 2016 election campaign, the new president made comments suggesting that he was not supportive of certain existing international trade agreements, including the North American Free Trade Agreement (“NAFTA”). At this time, it remains unclear what the new administration or the U.S. Congress may or may not do with respect to these international trade agreements. If the new administration takes action to impose any border tariff or to withdraw from or materially modify NAFTA or certain other international trade agreements, our business, financial condition and results of operations could be adversely affected.</w:t>
      </w:r>
    </w:p>
    <w:p>
      <w:pPr>
        <w:spacing w:after="0" w:line="124"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or difficulties in planning expenses, any of which will adversely affect our business and financial condition.</w:t>
      </w:r>
    </w:p>
    <w:p>
      <w:pPr>
        <w:spacing w:after="0" w:line="21"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7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116" w:lineRule="exact"/>
        <w:rPr>
          <w:sz w:val="20"/>
          <w:szCs w:val="20"/>
          <w:color w:val="auto"/>
        </w:rPr>
      </w:pPr>
    </w:p>
    <w:p>
      <w:pPr>
        <w:ind w:right="500"/>
        <w:spacing w:after="0" w:line="301" w:lineRule="auto"/>
        <w:rPr>
          <w:sz w:val="20"/>
          <w:szCs w:val="20"/>
          <w:color w:val="auto"/>
        </w:rPr>
      </w:pPr>
      <w:r>
        <w:rPr>
          <w:rFonts w:ascii="Arial" w:cs="Arial" w:eastAsia="Arial" w:hAnsi="Arial"/>
          <w:sz w:val="18"/>
          <w:szCs w:val="18"/>
          <w:b w:val="1"/>
          <w:bCs w:val="1"/>
          <w:i w:val="1"/>
          <w:iCs w:val="1"/>
          <w:color w:val="auto"/>
        </w:rPr>
        <w:t>Our focus on a limited number of specific markets increases risks associated with the modification, elimination or expiration of governmental subsidies and economic incentives for on-grid solar electricity applications.</w:t>
      </w:r>
    </w:p>
    <w:p>
      <w:pPr>
        <w:spacing w:after="0" w:line="75" w:lineRule="exact"/>
        <w:rPr>
          <w:sz w:val="20"/>
          <w:szCs w:val="20"/>
          <w:color w:val="auto"/>
        </w:rPr>
      </w:pPr>
    </w:p>
    <w:p>
      <w:pPr>
        <w:ind w:right="120" w:firstLine="432"/>
        <w:spacing w:after="0" w:line="258" w:lineRule="auto"/>
        <w:rPr>
          <w:sz w:val="20"/>
          <w:szCs w:val="20"/>
          <w:color w:val="auto"/>
        </w:rPr>
      </w:pPr>
      <w:r>
        <w:rPr>
          <w:rFonts w:ascii="Arial" w:cs="Arial" w:eastAsia="Arial" w:hAnsi="Arial"/>
          <w:sz w:val="18"/>
          <w:szCs w:val="18"/>
          <w:color w:val="auto"/>
        </w:rPr>
        <w:t>To date, we have generated the majority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For instance, the Renewable Energy and Job Creation Act of 2008 currently provides a 30% federal tax credit for residential and commercial solar installations through December 31, 2019 and reduced tax credits of 26% and 22% through December 31, 2020 and 2021 respectively, before being reduced to 10% for commercial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1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680"/>
        <w:spacing w:after="0" w:line="292" w:lineRule="auto"/>
        <w:rPr>
          <w:sz w:val="20"/>
          <w:szCs w:val="20"/>
          <w:color w:val="auto"/>
        </w:rPr>
      </w:pPr>
      <w:r>
        <w:rPr>
          <w:rFonts w:ascii="Arial" w:cs="Arial" w:eastAsia="Arial" w:hAnsi="Arial"/>
          <w:sz w:val="18"/>
          <w:szCs w:val="18"/>
          <w:color w:val="auto"/>
        </w:rPr>
        <w:t>installations and 0% for residential installations beginning in 2022. These tax credits could be reduced or eliminated as part of tax code changes or regulatory reform initiatives by the new Congress and presidential administration.</w:t>
      </w:r>
    </w:p>
    <w:p>
      <w:pPr>
        <w:spacing w:after="0" w:line="91"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In addition, net energy metering tariffs are being evaluated and in some instances modified which may have a negative impact on future inverter sales. We derive a significant portion of our revenues from California’s residential solar market and the existing California net energy metering tariff has been very successful in incentivizing the installation of residential solar systems. California, however, is re-evaluating existing incentives, tariffs and rates for residential systems in order to accommodate a sustainable growth trajectory for residential solar and to also encourage the adoption of other distributed energy resources, such as energy storage, that provide additional benefits to the consumer and the electricity grid. There is a risk that future regulatory changes do not adequately stimulate future growth in the residential solar market. We also sell our products in Europe. A number of European countries, including Germany, Belgium, Spain, Italy and the United Kingdom have adopted reductions or concluded their FiT programs. Certain countries, notably Greece and Spain, have proposed or enacted taxes levied on renewable energy. These and related developments have significantly impacted the solar industry in Europe and may adversely affect the future demand for the solar energy solutions in Europe.</w:t>
      </w:r>
    </w:p>
    <w:p>
      <w:pPr>
        <w:spacing w:after="0" w:line="12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also sell our products in Australia. In 2012 Australia enacted a Renewable Energy Target (RET) that is intended to ensure that 33,000 Gigawatt-hours of Australia's electricity comes from renewable sources by 2020. In 2013, Australia elected a new national government. The new leadership pledged to revise national energy policy, including potentially reducing Australia’s renewable energy target and revising certain renewable energy financing mechanisms. In July 2014, the new leadership successfully repealed the tax on carbon emissions. This has been replaced with the Direct Action Plan, which primarily provides funding to corporations to reduce emissions. States and territories in Australia have different feed in tariffs, and the gradual reduction of feed in tariffs in some states may reduce the incentive for homeowners to export unused solar energy produced back to the grid.</w:t>
      </w:r>
    </w:p>
    <w:p>
      <w:pPr>
        <w:spacing w:after="0" w:line="123"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also sell our products in Ontario, Canada.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believe the Federal and State tax credits, applicable federal and state grants, applicable tariffs and other incentive programs have had a positive effect on our sales since inception. However, unless these programs are further extended or modified to allow for continued growth in the residential solar market, the phase-out of such programs could adversely affect sales of our products in the future. The 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123" w:lineRule="exact"/>
        <w:rPr>
          <w:sz w:val="20"/>
          <w:szCs w:val="20"/>
          <w:color w:val="auto"/>
        </w:rPr>
      </w:pPr>
    </w:p>
    <w:p>
      <w:pPr>
        <w:ind w:right="420"/>
        <w:spacing w:after="0" w:line="301" w:lineRule="auto"/>
        <w:rPr>
          <w:sz w:val="20"/>
          <w:szCs w:val="20"/>
          <w:color w:val="auto"/>
        </w:rPr>
      </w:pPr>
      <w:r>
        <w:rPr>
          <w:rFonts w:ascii="Arial" w:cs="Arial" w:eastAsia="Arial" w:hAnsi="Arial"/>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75" w:lineRule="exact"/>
        <w:rPr>
          <w:sz w:val="20"/>
          <w:szCs w:val="20"/>
          <w:color w:val="auto"/>
        </w:rPr>
      </w:pPr>
    </w:p>
    <w:p>
      <w:pPr>
        <w:ind w:right="240" w:firstLine="432"/>
        <w:spacing w:after="0" w:line="258" w:lineRule="auto"/>
        <w:rPr>
          <w:sz w:val="20"/>
          <w:szCs w:val="20"/>
          <w:color w:val="auto"/>
        </w:rPr>
      </w:pPr>
      <w:r>
        <w:rPr>
          <w:rFonts w:ascii="Arial" w:cs="Arial" w:eastAsia="Arial" w:hAnsi="Arial"/>
          <w:sz w:val="18"/>
          <w:szCs w:val="18"/>
          <w:color w:val="auto"/>
        </w:rPr>
        <w:t>Changes in current laws or regulations applicable to us or the imposition of new laws and regulations in the United States, Canada, Mexico and certain Central American markets, France, the Benelux region, certain other European markets, Australia, New Zealand and certain other Asian markets,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24" w:lineRule="exact"/>
        <w:rPr>
          <w:sz w:val="20"/>
          <w:szCs w:val="20"/>
          <w:color w:val="auto"/>
        </w:rPr>
      </w:pPr>
    </w:p>
    <w:p>
      <w:pPr>
        <w:jc w:val="both"/>
        <w:ind w:right="560" w:firstLine="432"/>
        <w:spacing w:after="0" w:line="264" w:lineRule="auto"/>
        <w:rPr>
          <w:sz w:val="20"/>
          <w:szCs w:val="20"/>
          <w:color w:val="auto"/>
        </w:rPr>
      </w:pPr>
      <w:r>
        <w:rPr>
          <w:rFonts w:ascii="Arial" w:cs="Arial" w:eastAsia="Arial" w:hAnsi="Arial"/>
          <w:sz w:val="18"/>
          <w:szCs w:val="18"/>
          <w:color w:val="auto"/>
        </w:rPr>
        <w:t>For example, the Italian energy authority (AEEG) enacted a new set of interconnection standards for solar energy installations that became effective in July 2012, which has negatively impacted our sales in Italy. We continue to explore potential solutions to meet these requirements. However, in the event that we cannot implement a solution in the near term the total market available for our microinverter products in Italy, and our business as a result, may continue to be adversely impacted.</w:t>
      </w:r>
    </w:p>
    <w:p>
      <w:pPr>
        <w:spacing w:after="0" w:line="116" w:lineRule="exact"/>
        <w:rPr>
          <w:sz w:val="20"/>
          <w:szCs w:val="20"/>
          <w:color w:val="auto"/>
        </w:rPr>
      </w:pPr>
    </w:p>
    <w:p>
      <w:pPr>
        <w:ind w:right="880" w:firstLine="432"/>
        <w:spacing w:after="0" w:line="292" w:lineRule="auto"/>
        <w:rPr>
          <w:sz w:val="20"/>
          <w:szCs w:val="20"/>
          <w:color w:val="auto"/>
        </w:rPr>
      </w:pPr>
      <w:r>
        <w:rPr>
          <w:rFonts w:ascii="Arial" w:cs="Arial" w:eastAsia="Arial" w:hAnsi="Arial"/>
          <w:sz w:val="18"/>
          <w:szCs w:val="18"/>
          <w:color w:val="auto"/>
        </w:rPr>
        <w:t>In addition, several states or territories, including California, Hawaii and Queensland, Australia, have either implemented or are considering implementing new restrictions on incentives or rules regulating the installation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16"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both"/>
        <w:ind w:right="440"/>
        <w:spacing w:after="0" w:line="271" w:lineRule="auto"/>
        <w:rPr>
          <w:sz w:val="20"/>
          <w:szCs w:val="20"/>
          <w:color w:val="auto"/>
        </w:rPr>
      </w:pPr>
      <w:r>
        <w:rPr>
          <w:rFonts w:ascii="Arial" w:cs="Arial" w:eastAsia="Arial" w:hAnsi="Arial"/>
          <w:sz w:val="18"/>
          <w:szCs w:val="18"/>
          <w:color w:val="auto"/>
        </w:rPr>
        <w:t>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109" w:lineRule="exact"/>
        <w:rPr>
          <w:sz w:val="20"/>
          <w:szCs w:val="20"/>
          <w:color w:val="auto"/>
        </w:rPr>
      </w:pPr>
    </w:p>
    <w:p>
      <w:pPr>
        <w:ind w:firstLine="432"/>
        <w:spacing w:after="0" w:line="260" w:lineRule="auto"/>
        <w:rPr>
          <w:sz w:val="20"/>
          <w:szCs w:val="20"/>
          <w:color w:val="auto"/>
        </w:rPr>
      </w:pPr>
      <w:r>
        <w:rPr>
          <w:rFonts w:ascii="Arial" w:cs="Arial" w:eastAsia="Arial" w:hAnsi="Arial"/>
          <w:sz w:val="18"/>
          <w:szCs w:val="18"/>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i w:val="1"/>
          <w:iCs w:val="1"/>
          <w:color w:val="auto"/>
        </w:rPr>
        <w:t>The threat of continuing global economic, capital markets and credit disruptions, including sovereign debt issues, pose risks for our business.</w:t>
      </w:r>
    </w:p>
    <w:p>
      <w:pPr>
        <w:spacing w:after="0" w:line="75"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 Europe.</w:t>
      </w:r>
    </w:p>
    <w:p>
      <w:pPr>
        <w:spacing w:after="0" w:line="124" w:lineRule="exact"/>
        <w:rPr>
          <w:sz w:val="20"/>
          <w:szCs w:val="20"/>
          <w:color w:val="auto"/>
        </w:rPr>
      </w:pPr>
    </w:p>
    <w:p>
      <w:pPr>
        <w:ind w:right="340"/>
        <w:spacing w:after="0" w:line="301"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75"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products.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and DC to 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 incorporating our microinverter systems is high relative to the cost of electricity from other sources, our business, financial condition and results of operations may be harmed.</w:t>
      </w:r>
    </w:p>
    <w:p>
      <w:pPr>
        <w:spacing w:after="0" w:line="128" w:lineRule="exact"/>
        <w:rPr>
          <w:sz w:val="20"/>
          <w:szCs w:val="20"/>
          <w:color w:val="auto"/>
        </w:rPr>
      </w:pPr>
    </w:p>
    <w:p>
      <w:pPr>
        <w:ind w:right="420"/>
        <w:spacing w:after="0" w:line="301"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75" w:lineRule="exact"/>
        <w:rPr>
          <w:sz w:val="20"/>
          <w:szCs w:val="20"/>
          <w:color w:val="auto"/>
        </w:rPr>
      </w:pPr>
    </w:p>
    <w:p>
      <w:pPr>
        <w:ind w:right="120" w:firstLine="432"/>
        <w:spacing w:after="0" w:line="260" w:lineRule="auto"/>
        <w:rPr>
          <w:sz w:val="20"/>
          <w:szCs w:val="20"/>
          <w:color w:val="auto"/>
        </w:rPr>
      </w:pPr>
      <w:r>
        <w:rPr>
          <w:rFonts w:ascii="Arial" w:cs="Arial" w:eastAsia="Arial" w:hAnsi="Arial"/>
          <w:sz w:val="18"/>
          <w:szCs w:val="18"/>
          <w:color w:val="auto"/>
        </w:rPr>
        <w:t>We have offered 15-year limited warranties for our first and second generation microinverters and offer a limited warranty of up to 25 years on each subsequent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2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proved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12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116" w:lineRule="exact"/>
        <w:rPr>
          <w:sz w:val="20"/>
          <w:szCs w:val="20"/>
          <w:color w:val="auto"/>
        </w:rPr>
      </w:pPr>
    </w:p>
    <w:p>
      <w:pPr>
        <w:ind w:right="120"/>
        <w:spacing w:after="0" w:line="301"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7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2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23" w:lineRule="exact"/>
        <w:rPr>
          <w:sz w:val="20"/>
          <w:szCs w:val="20"/>
          <w:color w:val="auto"/>
        </w:rPr>
      </w:pPr>
    </w:p>
    <w:p>
      <w:pPr>
        <w:ind w:right="80" w:firstLine="432"/>
        <w:spacing w:after="0" w:line="260" w:lineRule="auto"/>
        <w:rPr>
          <w:sz w:val="20"/>
          <w:szCs w:val="20"/>
          <w:color w:val="auto"/>
        </w:rPr>
      </w:pPr>
      <w:r>
        <w:rPr>
          <w:rFonts w:ascii="Arial" w:cs="Arial" w:eastAsia="Arial" w:hAnsi="Arial"/>
          <w:sz w:val="18"/>
          <w:szCs w:val="18"/>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workforce, our business and operating results may suffer.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jc w:val="both"/>
        <w:ind w:right="280" w:firstLine="432"/>
        <w:spacing w:after="0" w:line="271" w:lineRule="auto"/>
        <w:rPr>
          <w:sz w:val="20"/>
          <w:szCs w:val="20"/>
          <w:color w:val="auto"/>
        </w:rPr>
      </w:pPr>
      <w:r>
        <w:rPr>
          <w:rFonts w:ascii="Arial" w:cs="Arial" w:eastAsia="Arial" w:hAnsi="Arial"/>
          <w:sz w:val="18"/>
          <w:szCs w:val="18"/>
          <w:color w:val="auto"/>
        </w:rPr>
        <w:t>We have experienced, and expect to experience in the future, volatility in our sales and operations. Our historical growth and our more recent cost reduction initiatives have placed, and are expected to continue to place, significant demands on our management as well as our financial and operational resources, to:</w:t>
      </w:r>
    </w:p>
    <w:p>
      <w:pPr>
        <w:spacing w:after="0" w:line="1"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a dynamic organization;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execute on our cost reduction efforts and product initiatives with reduced headcount;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train and manage a dynamic employee base;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broaden our customer support capabilities;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cannot assure you that our current and planned operations, personnel, systems, internal procedures and controls will be adequate to support our future operations. If we cannot manage our sales and operations effectively, we may be unable to take advantage of market opportunities, execute our business strategies or respond to competitive pressures, any of which could have a material adverse effect on our financial condition, results of operations, business or prospects.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117" w:lineRule="exact"/>
        <w:rPr>
          <w:sz w:val="20"/>
          <w:szCs w:val="20"/>
          <w:color w:val="auto"/>
        </w:rPr>
      </w:pPr>
    </w:p>
    <w:p>
      <w:pPr>
        <w:ind w:right="200" w:firstLine="446"/>
        <w:spacing w:after="0" w:line="260" w:lineRule="auto"/>
        <w:rPr>
          <w:sz w:val="20"/>
          <w:szCs w:val="20"/>
          <w:color w:val="auto"/>
        </w:rPr>
      </w:pPr>
      <w:r>
        <w:rPr>
          <w:rFonts w:ascii="Arial" w:cs="Arial" w:eastAsia="Arial" w:hAnsi="Arial"/>
          <w:sz w:val="18"/>
          <w:szCs w:val="18"/>
          <w:color w:val="auto"/>
        </w:rPr>
        <w:t>We currently offer microinverter systems targeting the residential and commercial markets in the United States, Canada, Mexico and certain Central American markets, the United Kingdom, France, the Benelux region, certain other European markets, Australia, New Zealand and certain other Asian markets. We recently introduced our AC Battery storage solution in Australia, the United States, and the United Kingdom. We intend to expand into other international markets. Our success in these new geographic and product markets will depend on a number of factors, such as:</w:t>
      </w:r>
    </w:p>
    <w:p>
      <w:pPr>
        <w:spacing w:after="0" w:line="13"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manage manufacturing capacity and production;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171" w:lineRule="exact"/>
        <w:rPr>
          <w:sz w:val="20"/>
          <w:szCs w:val="20"/>
          <w:color w:val="auto"/>
        </w:rPr>
      </w:pPr>
    </w:p>
    <w:p>
      <w:pPr>
        <w:ind w:firstLine="432"/>
        <w:spacing w:after="0" w:line="271" w:lineRule="auto"/>
        <w:rPr>
          <w:sz w:val="20"/>
          <w:szCs w:val="20"/>
          <w:color w:val="auto"/>
        </w:rPr>
      </w:pPr>
      <w:r>
        <w:rPr>
          <w:rFonts w:ascii="Arial" w:cs="Arial" w:eastAsia="Arial" w:hAnsi="Arial"/>
          <w:sz w:val="18"/>
          <w:szCs w:val="18"/>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1" w:lineRule="exact"/>
        <w:rPr>
          <w:sz w:val="20"/>
          <w:szCs w:val="20"/>
          <w:color w:val="auto"/>
        </w:rPr>
      </w:pPr>
    </w:p>
    <w:p>
      <w:pPr>
        <w:ind w:left="980" w:right="400" w:hanging="486"/>
        <w:spacing w:after="0" w:line="292"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recycling and consumer protection regulations, tariffs, export quotas, customs duties or other trade restrictions;</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117" w:lineRule="exact"/>
        <w:rPr>
          <w:rFonts w:ascii="Arial" w:cs="Arial" w:eastAsia="Arial" w:hAnsi="Arial"/>
          <w:sz w:val="18"/>
          <w:szCs w:val="18"/>
          <w:color w:val="auto"/>
        </w:rPr>
      </w:pPr>
    </w:p>
    <w:p>
      <w:pPr>
        <w:ind w:left="980" w:right="80" w:hanging="486"/>
        <w:spacing w:after="0" w:line="292"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 UK Bribery Act;</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volume requirements;</w:t>
      </w:r>
    </w:p>
    <w:p>
      <w:pPr>
        <w:sectPr>
          <w:pgSz w:w="11900" w:h="16838" w:orient="portrait"/>
          <w:cols w:equalWidth="0" w:num="1">
            <w:col w:w="11400"/>
          </w:cols>
          <w:pgMar w:left="240" w:top="116" w:right="259" w:bottom="1440" w:gutter="0" w:footer="0" w:header="0"/>
        </w:sect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00"/>
          </w:cols>
          <w:pgMar w:left="240" w:top="116" w:right="25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7"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23" w:lineRule="exact"/>
        <w:rPr>
          <w:sz w:val="20"/>
          <w:szCs w:val="20"/>
          <w:color w:val="auto"/>
        </w:rPr>
      </w:pPr>
    </w:p>
    <w:p>
      <w:pPr>
        <w:ind w:right="340"/>
        <w:spacing w:after="0" w:line="301"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75"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24" w:lineRule="exact"/>
        <w:rPr>
          <w:sz w:val="20"/>
          <w:szCs w:val="20"/>
          <w:color w:val="auto"/>
        </w:rPr>
      </w:pPr>
    </w:p>
    <w:p>
      <w:pPr>
        <w:ind w:right="100" w:firstLine="432"/>
        <w:spacing w:after="0" w:line="260" w:lineRule="auto"/>
        <w:rPr>
          <w:sz w:val="20"/>
          <w:szCs w:val="20"/>
          <w:color w:val="auto"/>
        </w:rPr>
      </w:pPr>
      <w:r>
        <w:rPr>
          <w:rFonts w:ascii="Arial" w:cs="Arial" w:eastAsia="Arial" w:hAnsi="Arial"/>
          <w:sz w:val="18"/>
          <w:szCs w:val="18"/>
          <w:color w:val="auto"/>
        </w:rPr>
        <w:t>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most of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21" w:lineRule="exact"/>
        <w:rPr>
          <w:sz w:val="20"/>
          <w:szCs w:val="20"/>
          <w:color w:val="auto"/>
        </w:rPr>
      </w:pPr>
    </w:p>
    <w:p>
      <w:pPr>
        <w:ind w:firstLine="432"/>
        <w:spacing w:after="0" w:line="258"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forgo potential revenue opportunities.</w:t>
      </w:r>
    </w:p>
    <w:p>
      <w:pPr>
        <w:spacing w:after="0" w:line="124" w:lineRule="exact"/>
        <w:rPr>
          <w:sz w:val="20"/>
          <w:szCs w:val="20"/>
          <w:color w:val="auto"/>
        </w:rPr>
      </w:pPr>
    </w:p>
    <w:p>
      <w:pPr>
        <w:ind w:right="920"/>
        <w:spacing w:after="0" w:line="301"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75" w:lineRule="exact"/>
        <w:rPr>
          <w:sz w:val="20"/>
          <w:szCs w:val="20"/>
          <w:color w:val="auto"/>
        </w:rPr>
      </w:pPr>
    </w:p>
    <w:p>
      <w:pPr>
        <w:ind w:right="440" w:firstLine="432"/>
        <w:spacing w:after="0" w:line="258" w:lineRule="auto"/>
        <w:rPr>
          <w:sz w:val="20"/>
          <w:szCs w:val="20"/>
          <w:color w:val="auto"/>
        </w:rPr>
      </w:pPr>
      <w:r>
        <w:rPr>
          <w:rFonts w:ascii="Arial" w:cs="Arial" w:eastAsia="Arial" w:hAnsi="Arial"/>
          <w:sz w:val="18"/>
          <w:szCs w:val="18"/>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6"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product failures, loss of customers, increased production costs and delays. Any of these developments could have a material adverse effect on our business, financial condition, and results of operations.</w:t>
      </w:r>
    </w:p>
    <w:p>
      <w:pPr>
        <w:spacing w:after="0" w:line="91"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16"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2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16" w:lineRule="exact"/>
        <w:rPr>
          <w:sz w:val="20"/>
          <w:szCs w:val="20"/>
          <w:color w:val="auto"/>
        </w:rPr>
      </w:pPr>
    </w:p>
    <w:p>
      <w:pPr>
        <w:ind w:right="860"/>
        <w:spacing w:after="0" w:line="301" w:lineRule="auto"/>
        <w:rPr>
          <w:sz w:val="20"/>
          <w:szCs w:val="20"/>
          <w:color w:val="auto"/>
        </w:rPr>
      </w:pPr>
      <w:r>
        <w:rPr>
          <w:rFonts w:ascii="Arial" w:cs="Arial" w:eastAsia="Arial" w:hAnsi="Arial"/>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7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depend on sole source and limited source suppliers for key components of our products. For example, our ASICs are purchased from a sole source supplier or developed for us by sole source suppliers. Similarly, the battery cells for our AC Battery storage products are also currently sole sourced.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and could result in lost revenue or higher expenses and would harm our business.</w:t>
      </w:r>
    </w:p>
    <w:p>
      <w:pPr>
        <w:spacing w:after="0" w:line="126" w:lineRule="exact"/>
        <w:rPr>
          <w:sz w:val="20"/>
          <w:szCs w:val="20"/>
          <w:color w:val="auto"/>
        </w:rPr>
      </w:pPr>
    </w:p>
    <w:p>
      <w:pPr>
        <w:ind w:right="300"/>
        <w:spacing w:after="0" w:line="301"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7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6"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both"/>
        <w:ind w:right="300"/>
        <w:spacing w:after="0" w:line="292" w:lineRule="auto"/>
        <w:rPr>
          <w:sz w:val="20"/>
          <w:szCs w:val="20"/>
          <w:color w:val="auto"/>
        </w:rPr>
      </w:pPr>
      <w:r>
        <w:rPr>
          <w:rFonts w:ascii="Arial" w:cs="Arial" w:eastAsia="Arial" w:hAnsi="Arial"/>
          <w:sz w:val="18"/>
          <w:szCs w:val="18"/>
          <w:color w:val="auto"/>
        </w:rPr>
        <w:t>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91"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75"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Many owners of solar PV systems depend on financing to purchase their systems. The limited use of microinverters to date, coupled with our relatively smaller size and capitalization compared to some of our competitors,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systems on favorable terms, or increases in interest rates or changes in tax incentives, could lower an investor’s return on investment in a solar PV system,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 significant share of residential solar installations has been provided through third party financing structures, such as power purchase or lease agreements. Our sales growth may depend on sales to developers of third party solar finance offerings who provide solar as a service via power purchase agreements or leasing structures. The third party finance market for residential solar in the United States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could be constrained.</w:t>
      </w:r>
    </w:p>
    <w:p>
      <w:pPr>
        <w:spacing w:after="0" w:line="130"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b w:val="1"/>
          <w:bCs w:val="1"/>
          <w:i w:val="1"/>
          <w:iCs w:val="1"/>
          <w:color w:val="auto"/>
        </w:rPr>
        <w:t>We rely primarily on distributors, large installers and providers of solar financing to assist in selling our products, and the failure of these customers to perform as expected could reduce our future revenue.</w:t>
      </w:r>
    </w:p>
    <w:p>
      <w:pPr>
        <w:spacing w:after="0" w:line="7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sell our microinverter systems primarily through distributors, as well as through direct sales to solar equipment installers and sales to developers of third party solar finance offerings. We do not have exclusive arrangements with these third parties and, as a result, many of our customers also use or market and sell products from our competitors, which may reduce our sales. Our customers may generally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12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these customers to perform as expected, or failure by us to cultivate new customer relationships, could hinder our ability to expand our operations and harm our revenue and operating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capture customers in the new product and geographic markets that we are pursuing.</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fail to translate into revenue in the quantities or timeline projected, thus, having a materially adverse impact on our revenue, operating results and financial stability. In addition, we are pursuing new geographic markets. The inability to capture new customers in the high-growth geographic markets could have a material adverse effect on our business, financial condition or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6"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currently working on variants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changes faced by many of these manufacturers due to declining prices and revenues from sales of solar modules.</w:t>
      </w:r>
    </w:p>
    <w:p>
      <w:pPr>
        <w:spacing w:after="0" w:line="123" w:lineRule="exact"/>
        <w:rPr>
          <w:sz w:val="20"/>
          <w:szCs w:val="20"/>
          <w:color w:val="auto"/>
        </w:rPr>
      </w:pPr>
    </w:p>
    <w:p>
      <w:pPr>
        <w:ind w:right="900"/>
        <w:spacing w:after="0" w:line="301"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21" w:lineRule="exact"/>
        <w:rPr>
          <w:sz w:val="20"/>
          <w:szCs w:val="20"/>
          <w:color w:val="auto"/>
        </w:rPr>
      </w:pPr>
    </w:p>
    <w:p>
      <w:pPr>
        <w:ind w:right="100" w:firstLine="432"/>
        <w:spacing w:after="0" w:line="258"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24" w:lineRule="exact"/>
        <w:rPr>
          <w:sz w:val="20"/>
          <w:szCs w:val="20"/>
          <w:color w:val="auto"/>
        </w:rPr>
      </w:pPr>
    </w:p>
    <w:p>
      <w:pPr>
        <w:ind w:right="300"/>
        <w:spacing w:after="0" w:line="301"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7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28"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28" w:lineRule="exact"/>
        <w:rPr>
          <w:sz w:val="20"/>
          <w:szCs w:val="20"/>
          <w:color w:val="auto"/>
        </w:rPr>
      </w:pPr>
    </w:p>
    <w:p>
      <w:pPr>
        <w:ind w:right="100" w:firstLine="432"/>
        <w:spacing w:after="0" w:line="260"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6"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340"/>
        <w:spacing w:after="0" w:line="301"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75"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An adverse outcome with respect to any intellectual property claim could invalidate our proprietary rights and force us to do one or more of the following:</w:t>
      </w:r>
    </w:p>
    <w:p>
      <w:pPr>
        <w:spacing w:after="0" w:line="19" w:lineRule="exact"/>
        <w:rPr>
          <w:sz w:val="20"/>
          <w:szCs w:val="20"/>
          <w:color w:val="auto"/>
        </w:rPr>
      </w:pPr>
    </w:p>
    <w:p>
      <w:pPr>
        <w:ind w:left="980" w:right="520" w:hanging="486"/>
        <w:spacing w:after="0" w:line="292"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indemnify our customers pursuant to indemnification obligations under some of our customer contracts; or</w:t>
      </w:r>
    </w:p>
    <w:p>
      <w:pPr>
        <w:spacing w:after="0" w:line="117" w:lineRule="exact"/>
        <w:rPr>
          <w:rFonts w:ascii="Arial" w:cs="Arial" w:eastAsia="Arial" w:hAnsi="Arial"/>
          <w:sz w:val="18"/>
          <w:szCs w:val="18"/>
          <w:color w:val="auto"/>
        </w:rPr>
      </w:pPr>
    </w:p>
    <w:p>
      <w:pPr>
        <w:ind w:left="980" w:right="240" w:hanging="486"/>
        <w:spacing w:after="0" w:line="292"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infringing technology and to develop or acquire non-infringing technology.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75"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71" w:lineRule="exact"/>
        <w:rPr>
          <w:sz w:val="20"/>
          <w:szCs w:val="20"/>
          <w:color w:val="auto"/>
        </w:rPr>
      </w:pPr>
    </w:p>
    <w:p>
      <w:pPr>
        <w:ind w:right="60" w:firstLine="432"/>
        <w:spacing w:after="0" w:line="258" w:lineRule="auto"/>
        <w:rPr>
          <w:sz w:val="20"/>
          <w:szCs w:val="20"/>
          <w:color w:val="auto"/>
        </w:rPr>
      </w:pPr>
      <w:r>
        <w:rPr>
          <w:rFonts w:ascii="Arial" w:cs="Arial" w:eastAsia="Arial" w:hAnsi="Arial"/>
          <w:sz w:val="18"/>
          <w:szCs w:val="18"/>
          <w:color w:val="auto"/>
        </w:rPr>
        <w:t>We have been and could continue to be subject to industry-specific seasonal fluctuations, particularly in climates that experience colder weather during the winter months, such as northern Europe, Canada, and the United States. In general, we expect our products in the second, third, and fourth quarters will be positively affected by seasonal customer demand trends, including solar economic incentives, weather patterns and construction cycles, preceded by a seasonally softer first quarter. In the United States, customers will sometimes make purchasing decisions towards the end of the year in order to take advantage of tax credits or for budgetary reasons. In addition, construction levels are typically slower in colder months. In European countries with FiTs,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16"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09" w:lineRule="exact"/>
        <w:rPr>
          <w:sz w:val="20"/>
          <w:szCs w:val="20"/>
          <w:color w:val="auto"/>
        </w:rPr>
      </w:pPr>
    </w:p>
    <w:p>
      <w:pPr>
        <w:ind w:right="600"/>
        <w:spacing w:after="0" w:line="301" w:lineRule="auto"/>
        <w:rPr>
          <w:sz w:val="20"/>
          <w:szCs w:val="20"/>
          <w:color w:val="auto"/>
        </w:rPr>
      </w:pPr>
      <w:r>
        <w:rPr>
          <w:rFonts w:ascii="Arial" w:cs="Arial" w:eastAsia="Arial" w:hAnsi="Arial"/>
          <w:sz w:val="18"/>
          <w:szCs w:val="18"/>
          <w:b w:val="1"/>
          <w:bCs w:val="1"/>
          <w:i w:val="1"/>
          <w:iCs w:val="1"/>
          <w:color w:val="auto"/>
        </w:rPr>
        <w:t>Covenants in our credit facility and term loan may limit our flexibility in responding to business opportunities and competitive developments and increase our vulnerability to adverse economic or industry conditions.</w:t>
      </w:r>
    </w:p>
    <w:p>
      <w:pPr>
        <w:spacing w:after="0" w:line="75"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We are a party to a term loan agreement with affiliates of Tennenbaum Capital Partners, LLC (“TCP”). This agreement restricts our ability to take certain actions such as incurring additional debt, encumbering our tangible or intangible property, paying dividends, or engaging in certain transactions, such as mergers and acquisitions, investments and asset sales. These restrictions may limit our flexibility in responding to business opportunities, competitive developments and adverse economic or industry conditions. In addition, our obligations under these agreements are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24"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auto"/>
        </w:rPr>
        <w:t>We are an “emerging growth company,” and have elected to comply with reduced public company reporting requirements applicable to emerging growth companies, which could make our common stock less attractive to investors.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an “emerging growth company,” as defined in the Jumpstart Our Business Startups Act enacted in April 2012, or the JOBS 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 have chosen to take advantage of exemptions from various reporting requirements applicable to other public companies but not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“emerging growth companies,” including, but not limited to, not being required to comply with the auditor attestation requirements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404 of the Sarbanes-Oxley Act of 2002, or Sarbanes-Oxley Act, reduced disclosure obligations regarding executive compensation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periodic reports and proxy statements, and exemptions from the requirements of holding a nonbinding advisory vote on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stockholder approval of any golden parachute payments not previously approved. We can continue to be an “emerging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growth company” until December 31, 2017 (the last day of the fiscal year following the fifth anniversary of our initial public offering), although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could cease to be an “emerging growth company” earlier if certain events occur as specified in the JOBS Act, such as our achieving annual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revenue of at least $1 billion or our becoming a “large accelerated filer” as defined in Rule 12b-2 of the Exchange Act. We cannot predict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 will find our common stock less attractive because we have chosen to take advantage of these exemptions. If some investors find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less attractive as a result of any choices to reduce future disclosure, there may be a less active trading market for our common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and our stock price may be more volatile.</w:t>
      </w:r>
    </w:p>
    <w:p>
      <w:pPr>
        <w:spacing w:after="0" w:line="149" w:lineRule="exact"/>
        <w:rPr>
          <w:sz w:val="20"/>
          <w:szCs w:val="20"/>
          <w:color w:val="auto"/>
        </w:rPr>
      </w:pPr>
    </w:p>
    <w:p>
      <w:pPr>
        <w:jc w:val="both"/>
        <w:ind w:right="140"/>
        <w:spacing w:after="0" w:line="276"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96"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Although we are currently not required to provide an auditor’s attestation report on management’s assessment of the effectiveness of our internal control over financial reporting, otherwise required by Section 404(b) of the Sarbanes-Oxley Act, this exemption will no longer be available to us beginning with our first Annual Report on 10-K for the year in which we cease to be an “emerging growth company,” as defined in the JOBS Act. If we or our independent registered public accounting firm discover a material weakness in the future, the disclosure of that fact, even if quickly remedied, could reduce the market’s confidence in our financial statements and harm our stock price. In addition, a delay in compliance with Section 404 of the Sarbanes-Oxley Act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 To the extent any material weaknesses in our internal control over financial reporting are identified in the</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16"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future, we could be required to expend significant management time and financial resources to correct such material weaknesses or to respond to any resulting regulatory investigations or proceedings.</w:t>
      </w:r>
    </w:p>
    <w:p>
      <w:pPr>
        <w:spacing w:after="0" w:line="91"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75"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Sections 382 and 383 of the Internal Revenue Code of 1986, as amended (the “Code”), contain rules that limit the ability of a company that undergoes an “ownership change,” generally defined as a more than 50 percentage point increase in the percentage of its stock owned by certain stockholders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If these limitations apply, we may be unable to offset our taxable income with net operating losses, or our tax liability with credits, before these losses and credits expire. We recently completed a study to assess whether an ownership change has occurred or whether there have been multiple ownership changes since we became a loss corporation under the Code. However, we do not anticipate these limitations will significantly impact our ability to utilize the net operating losses and tax credit carryforwards.</w:t>
      </w:r>
    </w:p>
    <w:p>
      <w:pPr>
        <w:spacing w:after="0" w:line="129" w:lineRule="exact"/>
        <w:rPr>
          <w:sz w:val="20"/>
          <w:szCs w:val="20"/>
          <w:color w:val="auto"/>
        </w:rPr>
      </w:pPr>
    </w:p>
    <w:p>
      <w:pPr>
        <w:ind w:right="60" w:firstLine="432"/>
        <w:spacing w:after="0" w:line="260" w:lineRule="auto"/>
        <w:rPr>
          <w:sz w:val="20"/>
          <w:szCs w:val="20"/>
          <w:color w:val="auto"/>
        </w:rPr>
      </w:pPr>
      <w:r>
        <w:rPr>
          <w:rFonts w:ascii="Arial" w:cs="Arial" w:eastAsia="Arial" w:hAnsi="Arial"/>
          <w:sz w:val="18"/>
          <w:szCs w:val="18"/>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 attacks, or other catastrophic events could harm our operations.</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cloud-based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123"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7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receive, store and use certain personal information of our customers, and the end-users of our customers’ solar PV systems, including names, addresses, e-mail addresses, credit information and energy production 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12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were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1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91" w:lineRule="exact"/>
        <w:rPr>
          <w:sz w:val="20"/>
          <w:szCs w:val="20"/>
          <w:color w:val="auto"/>
        </w:rPr>
      </w:pPr>
    </w:p>
    <w:p>
      <w:pPr>
        <w:ind w:right="620"/>
        <w:spacing w:after="0" w:line="301"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7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cyber-attacks, 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 and partner, customer and employee personal data. We have been and may in the future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of these events could harm our competitive position, result in a loss of customer confidence, cause us to incur significant costs to remedy any damages and ultimately materially adversely affect our business and financial condition.</w:t>
      </w:r>
    </w:p>
    <w:p>
      <w:pPr>
        <w:spacing w:after="0" w:line="128" w:lineRule="exact"/>
        <w:rPr>
          <w:sz w:val="20"/>
          <w:szCs w:val="20"/>
          <w:color w:val="auto"/>
        </w:rPr>
      </w:pPr>
    </w:p>
    <w:p>
      <w:pPr>
        <w:ind w:right="920"/>
        <w:spacing w:after="0" w:line="333" w:lineRule="auto"/>
        <w:rPr>
          <w:sz w:val="20"/>
          <w:szCs w:val="20"/>
          <w:color w:val="auto"/>
        </w:rPr>
      </w:pPr>
      <w:r>
        <w:rPr>
          <w:rFonts w:ascii="Arial" w:cs="Arial" w:eastAsia="Arial" w:hAnsi="Arial"/>
          <w:sz w:val="17"/>
          <w:szCs w:val="17"/>
          <w:b w:val="1"/>
          <w:bCs w:val="1"/>
          <w:i w:val="1"/>
          <w:iCs w:val="1"/>
          <w:color w:val="auto"/>
        </w:rPr>
        <w:t>We are dependent on ocean transportation to deliver our products in a cost efficient manner. If we are unable to use ocean transportation to deliver our products, our business and financial condition could be materially and adversely impacted.</w:t>
      </w:r>
    </w:p>
    <w:p>
      <w:pPr>
        <w:spacing w:after="0" w:line="52"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rely on commercial ocean transportation for the delivery of a large percentage of our products to our customers in North America, Europe, Australia and other markets. We also rely on more expensive air transportation when ocean transportation is not available or compatible with the delivery time requirements of our customers.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and other factors, such as labor strikes and work stoppages, not within our control. If we are unable to use ocean transportation and are required to substitute more expensive air transportation, our financial condition and results of operations could be materially and adversely impacted. Material interruptions in service or stoppages in transportation, whether caused by strike, work stoppage, lock-out, slowdown or otherwise, could materially and adversely impact our business, results of operations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market price of our common stock has been and could be subject to wide fluctuations in response to, among other things, the risk factors described in this Quarterly Report on Form 10-Q,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28" w:lineRule="exact"/>
        <w:rPr>
          <w:sz w:val="20"/>
          <w:szCs w:val="20"/>
          <w:color w:val="auto"/>
        </w:rPr>
      </w:pPr>
    </w:p>
    <w:p>
      <w:pPr>
        <w:ind w:right="400"/>
        <w:spacing w:after="0" w:line="301" w:lineRule="auto"/>
        <w:rPr>
          <w:sz w:val="20"/>
          <w:szCs w:val="20"/>
          <w:color w:val="auto"/>
        </w:rPr>
      </w:pPr>
      <w:r>
        <w:rPr>
          <w:rFonts w:ascii="Arial" w:cs="Arial" w:eastAsia="Arial" w:hAnsi="Arial"/>
          <w:sz w:val="18"/>
          <w:szCs w:val="18"/>
          <w:b w:val="1"/>
          <w:bCs w:val="1"/>
          <w:i w:val="1"/>
          <w:iCs w:val="1"/>
          <w:color w:val="auto"/>
        </w:rPr>
        <w:t>Our financial results may vary significantly from quarter to quarter due to a number of factors, which may lead to volatility in our stock price.</w:t>
      </w:r>
    </w:p>
    <w:p>
      <w:pPr>
        <w:spacing w:after="0" w:line="2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demand for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16"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7"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117" w:lineRule="exact"/>
        <w:rPr>
          <w:rFonts w:ascii="Arial" w:cs="Arial" w:eastAsia="Arial" w:hAnsi="Arial"/>
          <w:sz w:val="18"/>
          <w:szCs w:val="18"/>
          <w:color w:val="auto"/>
        </w:rPr>
      </w:pPr>
    </w:p>
    <w:p>
      <w:pPr>
        <w:ind w:left="980" w:right="600" w:hanging="486"/>
        <w:spacing w:after="0" w:line="29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117" w:lineRule="exact"/>
        <w:rPr>
          <w:rFonts w:ascii="Arial" w:cs="Arial" w:eastAsia="Arial" w:hAnsi="Arial"/>
          <w:sz w:val="18"/>
          <w:szCs w:val="18"/>
          <w:color w:val="auto"/>
        </w:rPr>
      </w:pPr>
    </w:p>
    <w:p>
      <w:pPr>
        <w:ind w:left="980" w:right="660" w:hanging="486"/>
        <w:spacing w:after="0" w:line="29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117" w:lineRule="exact"/>
        <w:rPr>
          <w:rFonts w:ascii="Arial" w:cs="Arial" w:eastAsia="Arial" w:hAnsi="Arial"/>
          <w:sz w:val="18"/>
          <w:szCs w:val="18"/>
          <w:color w:val="auto"/>
        </w:rPr>
      </w:pPr>
    </w:p>
    <w:p>
      <w:pPr>
        <w:ind w:left="980" w:right="520" w:hanging="486"/>
        <w:spacing w:after="0" w:line="29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maintenance and expansion of our business operations;</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117" w:lineRule="exact"/>
        <w:rPr>
          <w:rFonts w:ascii="Arial" w:cs="Arial" w:eastAsia="Arial" w:hAnsi="Arial"/>
          <w:sz w:val="18"/>
          <w:szCs w:val="18"/>
          <w:color w:val="auto"/>
        </w:rPr>
      </w:pPr>
    </w:p>
    <w:p>
      <w:pPr>
        <w:ind w:left="980" w:right="520" w:hanging="486"/>
        <w:spacing w:after="0" w:line="29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forecast our customer demand and manufacturing requirements, and manage our inventory;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sz w:val="20"/>
          <w:szCs w:val="20"/>
          <w:color w:val="auto"/>
        </w:rPr>
      </w:pPr>
    </w:p>
    <w:p>
      <w:pPr>
        <w:ind w:right="180" w:firstLine="432"/>
        <w:spacing w:after="0" w:line="260"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21" w:lineRule="exact"/>
        <w:rPr>
          <w:sz w:val="20"/>
          <w:szCs w:val="20"/>
          <w:color w:val="auto"/>
        </w:rPr>
      </w:pPr>
    </w:p>
    <w:p>
      <w:pPr>
        <w:jc w:val="both"/>
        <w:ind w:right="40"/>
        <w:spacing w:after="0" w:line="301"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75" w:lineRule="exact"/>
        <w:rPr>
          <w:sz w:val="20"/>
          <w:szCs w:val="20"/>
          <w:color w:val="auto"/>
        </w:rPr>
      </w:pPr>
    </w:p>
    <w:p>
      <w:pPr>
        <w:jc w:val="both"/>
        <w:ind w:right="40" w:firstLine="432"/>
        <w:spacing w:after="0" w:line="260" w:lineRule="auto"/>
        <w:rPr>
          <w:sz w:val="20"/>
          <w:szCs w:val="20"/>
          <w:color w:val="auto"/>
        </w:rPr>
      </w:pPr>
      <w:r>
        <w:rPr>
          <w:rFonts w:ascii="Arial" w:cs="Arial" w:eastAsia="Arial" w:hAnsi="Arial"/>
          <w:sz w:val="18"/>
          <w:szCs w:val="18"/>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auto"/>
        </w:rPr>
        <w:t>Our affiliated stockholders, executive officers and directors own a significant percentage of our stock, and they may take actions that our other stockholders may not view as beneficial.</w:t>
      </w:r>
    </w:p>
    <w:p>
      <w:pPr>
        <w:spacing w:after="0" w:line="75"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Our affiliated stockholders, executive officers and directors collectively own a significant percentage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6"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440"/>
        <w:spacing w:after="0" w:line="301"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75" w:lineRule="exact"/>
        <w:rPr>
          <w:sz w:val="20"/>
          <w:szCs w:val="20"/>
          <w:color w:val="auto"/>
        </w:rPr>
      </w:pPr>
    </w:p>
    <w:p>
      <w:pPr>
        <w:ind w:right="80" w:firstLine="432"/>
        <w:spacing w:after="0" w:line="260"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outstanding shares of our common stock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21" w:lineRule="exact"/>
        <w:rPr>
          <w:sz w:val="20"/>
          <w:szCs w:val="20"/>
          <w:color w:val="auto"/>
        </w:rPr>
      </w:pPr>
    </w:p>
    <w:p>
      <w:pPr>
        <w:ind w:right="140" w:firstLine="432"/>
        <w:spacing w:after="0" w:line="271"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109" w:lineRule="exact"/>
        <w:rPr>
          <w:sz w:val="20"/>
          <w:szCs w:val="20"/>
          <w:color w:val="auto"/>
        </w:rPr>
      </w:pPr>
    </w:p>
    <w:p>
      <w:pPr>
        <w:ind w:right="240"/>
        <w:spacing w:after="0" w:line="301"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75" w:lineRule="exact"/>
        <w:rPr>
          <w:sz w:val="20"/>
          <w:szCs w:val="20"/>
          <w:color w:val="auto"/>
        </w:rPr>
      </w:pPr>
    </w:p>
    <w:p>
      <w:pPr>
        <w:jc w:val="both"/>
        <w:ind w:right="640" w:firstLine="432"/>
        <w:spacing w:after="0" w:line="271"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our term loan agreement restricts our ability to pay dividends. Consequently, an investor’s only opportunity to achieve a return on its investment in our company will be if the market price of our common stock appreciates and the investor sells its shares at a profit.</w:t>
      </w:r>
    </w:p>
    <w:p>
      <w:pPr>
        <w:spacing w:after="0" w:line="109"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21" w:lineRule="exact"/>
        <w:rPr>
          <w:sz w:val="20"/>
          <w:szCs w:val="20"/>
          <w:color w:val="auto"/>
        </w:rPr>
      </w:pPr>
    </w:p>
    <w:p>
      <w:pPr>
        <w:jc w:val="both"/>
        <w:ind w:right="200" w:firstLine="432"/>
        <w:spacing w:after="0" w:line="271"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1" w:lineRule="exact"/>
        <w:rPr>
          <w:sz w:val="20"/>
          <w:szCs w:val="20"/>
          <w:color w:val="auto"/>
        </w:rPr>
      </w:pPr>
    </w:p>
    <w:p>
      <w:pPr>
        <w:ind w:left="980" w:right="620" w:hanging="486"/>
        <w:spacing w:after="0" w:line="292"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36" w:lineRule="exact"/>
        <w:rPr>
          <w:rFonts w:ascii="Arial" w:cs="Arial" w:eastAsia="Arial" w:hAnsi="Arial"/>
          <w:sz w:val="18"/>
          <w:szCs w:val="18"/>
          <w:color w:val="auto"/>
        </w:rPr>
      </w:pPr>
    </w:p>
    <w:p>
      <w:pPr>
        <w:ind w:left="980" w:right="560" w:hanging="486"/>
        <w:spacing w:after="0" w:line="292"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 which limits the ability of minority stockholders to elect director candidates;</w:t>
      </w:r>
    </w:p>
    <w:p>
      <w:pPr>
        <w:spacing w:after="0" w:line="36" w:lineRule="exact"/>
        <w:rPr>
          <w:rFonts w:ascii="Arial" w:cs="Arial" w:eastAsia="Arial" w:hAnsi="Arial"/>
          <w:sz w:val="18"/>
          <w:szCs w:val="18"/>
          <w:color w:val="auto"/>
        </w:rPr>
      </w:pPr>
    </w:p>
    <w:p>
      <w:pPr>
        <w:ind w:left="980" w:right="260" w:hanging="486"/>
        <w:spacing w:after="0" w:line="292"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36" w:lineRule="exact"/>
        <w:rPr>
          <w:rFonts w:ascii="Arial" w:cs="Arial" w:eastAsia="Arial" w:hAnsi="Arial"/>
          <w:sz w:val="18"/>
          <w:szCs w:val="18"/>
          <w:color w:val="auto"/>
        </w:rPr>
      </w:pPr>
    </w:p>
    <w:p>
      <w:pPr>
        <w:ind w:left="980" w:hanging="486"/>
        <w:spacing w:after="0" w:line="292"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36" w:lineRule="exact"/>
        <w:rPr>
          <w:rFonts w:ascii="Arial" w:cs="Arial" w:eastAsia="Arial" w:hAnsi="Arial"/>
          <w:sz w:val="18"/>
          <w:szCs w:val="18"/>
          <w:color w:val="auto"/>
        </w:rPr>
      </w:pPr>
    </w:p>
    <w:p>
      <w:pPr>
        <w:ind w:left="980" w:right="60" w:hanging="486"/>
        <w:spacing w:after="0" w:line="26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67" w:lineRule="exact"/>
        <w:rPr>
          <w:rFonts w:ascii="Arial" w:cs="Arial" w:eastAsia="Arial" w:hAnsi="Arial"/>
          <w:sz w:val="18"/>
          <w:szCs w:val="18"/>
          <w:color w:val="auto"/>
        </w:rPr>
      </w:pPr>
    </w:p>
    <w:p>
      <w:pPr>
        <w:ind w:left="980" w:right="200" w:hanging="486"/>
        <w:spacing w:after="0" w:line="271"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55" w:lineRule="exact"/>
        <w:rPr>
          <w:rFonts w:ascii="Arial" w:cs="Arial" w:eastAsia="Arial" w:hAnsi="Arial"/>
          <w:sz w:val="18"/>
          <w:szCs w:val="18"/>
          <w:color w:val="auto"/>
        </w:rPr>
      </w:pPr>
    </w:p>
    <w:p>
      <w:pPr>
        <w:ind w:left="980" w:right="180" w:hanging="486"/>
        <w:spacing w:after="0" w:line="292"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45" w:lineRule="exact"/>
        <w:rPr>
          <w:sz w:val="20"/>
          <w:szCs w:val="20"/>
          <w:color w:val="auto"/>
        </w:rPr>
      </w:pPr>
    </w:p>
    <w:p>
      <w:pPr>
        <w:ind w:right="80" w:firstLine="432"/>
        <w:spacing w:after="0" w:line="271"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6"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9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60"/>
          </w:cols>
          <w:pgMar w:left="240" w:top="116" w:right="4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87" w:lineRule="exact"/>
        <w:rPr>
          <w:sz w:val="20"/>
          <w:szCs w:val="20"/>
          <w:color w:val="auto"/>
        </w:rPr>
      </w:pPr>
    </w:p>
    <w:p>
      <w:pPr>
        <w:ind w:right="280" w:firstLine="446"/>
        <w:spacing w:after="0" w:line="292" w:lineRule="auto"/>
        <w:rPr>
          <w:sz w:val="20"/>
          <w:szCs w:val="20"/>
          <w:color w:val="auto"/>
        </w:rPr>
      </w:pPr>
      <w:r>
        <w:rPr>
          <w:rFonts w:ascii="Arial" w:cs="Arial" w:eastAsia="Arial" w:hAnsi="Arial"/>
          <w:sz w:val="18"/>
          <w:szCs w:val="18"/>
          <w:color w:val="auto"/>
        </w:rPr>
        <w:t>Except as previously disclosed on Forms 8-K, there were no unregistered sales of common stock or other equity securities during the quarter ended March 31, 2017. See Note 9. “Sale of Common Stock.”</w:t>
      </w:r>
    </w:p>
    <w:p>
      <w:pPr>
        <w:spacing w:after="0" w:line="33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8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the Exhibit Index which follows the signature page of this Quarterly Report on Form 10-Q, which is incorporated herein by reference.</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116"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173" w:lineRule="exact"/>
        <w:rPr>
          <w:sz w:val="20"/>
          <w:szCs w:val="20"/>
          <w:color w:val="auto"/>
        </w:rPr>
      </w:pPr>
    </w:p>
    <w:p>
      <w:pPr>
        <w:ind w:firstLine="432"/>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May 10, 2017</w:t>
      </w:r>
    </w:p>
    <w:p>
      <w:pPr>
        <w:spacing w:after="0" w:line="358"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ENPHASE ENERGY, INC.</w:t>
      </w:r>
    </w:p>
    <w:p>
      <w:pPr>
        <w:spacing w:after="0" w:line="187" w:lineRule="exact"/>
        <w:rPr>
          <w:sz w:val="20"/>
          <w:szCs w:val="20"/>
          <w:color w:val="auto"/>
        </w:rPr>
      </w:pPr>
    </w:p>
    <w:p>
      <w:pPr>
        <w:ind w:left="58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Humberto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37465</wp:posOffset>
            </wp:positionV>
            <wp:extent cx="2752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Humberto Garcia</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and Chief Financial Officer</w:t>
      </w: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0"/>
          </w:cols>
          <w:pgMar w:left="240" w:top="116"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40" w:type="dxa"/>
            <w:vAlign w:val="bottom"/>
          </w:tcPr>
          <w:p>
            <w:pPr>
              <w:spacing w:after="0"/>
              <w:rPr>
                <w:sz w:val="21"/>
                <w:szCs w:val="21"/>
                <w:color w:val="auto"/>
              </w:rPr>
            </w:pPr>
          </w:p>
        </w:tc>
        <w:tc>
          <w:tcPr>
            <w:tcW w:w="6280" w:type="dxa"/>
            <w:vAlign w:val="bottom"/>
            <w:gridSpan w:val="2"/>
          </w:tcPr>
          <w:p>
            <w:pPr>
              <w:ind w:left="4480"/>
              <w:spacing w:after="0"/>
              <w:rPr>
                <w:sz w:val="20"/>
                <w:szCs w:val="20"/>
                <w:color w:val="auto"/>
              </w:rPr>
            </w:pPr>
            <w:r>
              <w:rPr>
                <w:rFonts w:ascii="Arial" w:cs="Arial" w:eastAsia="Arial" w:hAnsi="Arial"/>
                <w:sz w:val="18"/>
                <w:szCs w:val="18"/>
                <w:b w:val="1"/>
                <w:bCs w:val="1"/>
                <w:color w:val="auto"/>
              </w:rPr>
              <w:t>EXHIBIT INDEX</w:t>
            </w:r>
          </w:p>
        </w:tc>
      </w:tr>
      <w:tr>
        <w:trPr>
          <w:trHeight w:val="486"/>
        </w:trPr>
        <w:tc>
          <w:tcPr>
            <w:tcW w:w="5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4"/>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5480" w:type="dxa"/>
            <w:vAlign w:val="bottom"/>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bl>
    <w:p>
      <w:pPr>
        <w:spacing w:after="0" w:line="153" w:lineRule="exact"/>
        <w:rPr>
          <w:sz w:val="20"/>
          <w:szCs w:val="20"/>
          <w:color w:val="auto"/>
        </w:rPr>
      </w:pPr>
    </w:p>
    <w:p>
      <w:pPr>
        <w:sectPr>
          <w:pgSz w:w="11900" w:h="16838" w:orient="portrait"/>
          <w:cols w:equalWidth="0" w:num="1">
            <w:col w:w="11420"/>
          </w:cols>
          <w:pgMar w:left="240" w:top="116" w:right="239" w:bottom="1440" w:gutter="0" w:footer="0" w:header="0"/>
        </w:sectPr>
      </w:pPr>
    </w:p>
    <w:p>
      <w:pPr>
        <w:ind w:left="40"/>
        <w:spacing w:after="0"/>
        <w:rPr>
          <w:sz w:val="20"/>
          <w:szCs w:val="20"/>
          <w:color w:val="auto"/>
        </w:rPr>
      </w:pPr>
      <w:r>
        <w:rPr>
          <w:rFonts w:ascii="Arial" w:cs="Arial" w:eastAsia="Arial" w:hAnsi="Arial"/>
          <w:sz w:val="18"/>
          <w:szCs w:val="18"/>
          <w:color w:val="auto"/>
        </w:rPr>
        <w:t>3.1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4.1</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4.2</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101.INS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101.SCH</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101.CAL</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101.DEF</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101.LAB</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Amended and Restated Certificate of Incorporation of Enphase Energy, Inc.</w:t>
      </w:r>
      <w:r>
        <w:rPr>
          <w:rFonts w:ascii="Arial" w:cs="Arial" w:eastAsia="Arial" w:hAnsi="Arial"/>
          <w:sz w:val="21"/>
          <w:szCs w:val="21"/>
          <w:color w:val="auto"/>
          <w:vertAlign w:val="superscript"/>
        </w:rPr>
        <w:t>(1)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Bylaws of Enphase Energy, Inc.</w:t>
      </w:r>
      <w:r>
        <w:rPr>
          <w:rFonts w:ascii="Arial" w:cs="Arial" w:eastAsia="Arial" w:hAnsi="Arial"/>
          <w:sz w:val="21"/>
          <w:szCs w:val="21"/>
          <w:color w:val="auto"/>
          <w:vertAlign w:val="superscript"/>
        </w:rPr>
        <w:t>(2)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Specimen Common Stock Certificate of Enphase Energy, Inc.</w:t>
      </w:r>
      <w:r>
        <w:rPr>
          <w:rFonts w:ascii="Arial" w:cs="Arial" w:eastAsia="Arial" w:hAnsi="Arial"/>
          <w:sz w:val="21"/>
          <w:szCs w:val="21"/>
          <w:color w:val="auto"/>
          <w:vertAlign w:val="superscript"/>
        </w:rPr>
        <w:t>(3)</w:t>
      </w:r>
    </w:p>
    <w:p>
      <w:pPr>
        <w:spacing w:after="0" w:line="150"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2010 Amended and Restated Investors’ Rights Agreement by and between Enphase Energy, Inc. and the investors listed on Exhibit A thereto, dated March 15, 2010, as amended.</w:t>
      </w:r>
      <w:r>
        <w:rPr>
          <w:rFonts w:ascii="Arial" w:cs="Arial" w:eastAsia="Arial" w:hAnsi="Arial"/>
          <w:sz w:val="21"/>
          <w:szCs w:val="21"/>
          <w:color w:val="auto"/>
          <w:vertAlign w:val="superscript"/>
        </w:rPr>
        <w:t>(3)</w:t>
      </w:r>
    </w:p>
    <w:p>
      <w:pPr>
        <w:spacing w:after="0" w:line="37" w:lineRule="exact"/>
        <w:rPr>
          <w:sz w:val="20"/>
          <w:szCs w:val="20"/>
          <w:color w:val="auto"/>
        </w:rPr>
      </w:pPr>
    </w:p>
    <w:p>
      <w:pPr>
        <w:ind w:right="340"/>
        <w:spacing w:after="0" w:line="291" w:lineRule="auto"/>
        <w:rPr>
          <w:sz w:val="20"/>
          <w:szCs w:val="20"/>
          <w:color w:val="auto"/>
        </w:rPr>
      </w:pPr>
      <w:r>
        <w:rPr>
          <w:rFonts w:ascii="Arial" w:cs="Arial" w:eastAsia="Arial" w:hAnsi="Arial"/>
          <w:sz w:val="18"/>
          <w:szCs w:val="18"/>
          <w:color w:val="auto"/>
        </w:rPr>
        <w:t>Securities Purchase Agreement, by and among Enphase Energy, Inc. and the purchasers identified on Exhibit A thereto, dated January 9, 2017.</w:t>
      </w:r>
      <w:r>
        <w:rPr>
          <w:rFonts w:ascii="Arial" w:cs="Arial" w:eastAsia="Arial" w:hAnsi="Arial"/>
          <w:sz w:val="21"/>
          <w:szCs w:val="21"/>
          <w:color w:val="auto"/>
          <w:vertAlign w:val="superscript"/>
        </w:rPr>
        <w:t>(4)</w:t>
      </w:r>
    </w:p>
    <w:p>
      <w:pPr>
        <w:spacing w:after="0" w:line="64" w:lineRule="exact"/>
        <w:rPr>
          <w:sz w:val="20"/>
          <w:szCs w:val="20"/>
          <w:color w:val="auto"/>
        </w:rPr>
      </w:pPr>
    </w:p>
    <w:p>
      <w:pPr>
        <w:jc w:val="both"/>
        <w:ind w:right="380"/>
        <w:spacing w:after="0" w:line="265" w:lineRule="auto"/>
        <w:rPr>
          <w:sz w:val="20"/>
          <w:szCs w:val="20"/>
          <w:color w:val="auto"/>
        </w:rPr>
      </w:pPr>
      <w:r>
        <w:rPr>
          <w:rFonts w:ascii="Arial" w:cs="Arial" w:eastAsia="Arial" w:hAnsi="Arial"/>
          <w:sz w:val="18"/>
          <w:szCs w:val="18"/>
          <w:color w:val="auto"/>
        </w:rPr>
        <w:t>Amended and Restated Loan and Security Agreement, by and among Enphase Energy, Inc., the lenders party thereto, Cortland Capital Market Services LLC, as administrative agent, and Obsidian Agency Services, Inc., as collateral agent, dated February 10, 2017.</w:t>
      </w:r>
      <w:r>
        <w:rPr>
          <w:rFonts w:ascii="Arial" w:cs="Arial" w:eastAsia="Arial" w:hAnsi="Arial"/>
          <w:sz w:val="21"/>
          <w:szCs w:val="21"/>
          <w:color w:val="auto"/>
          <w:vertAlign w:val="superscript"/>
        </w:rPr>
        <w:t>(5)</w:t>
      </w:r>
    </w:p>
    <w:p>
      <w:pPr>
        <w:spacing w:after="0" w:line="114"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Form of Warrant under Amended and Restated Loan and Security Agreement, by and among Enphase Energy, Inc., the lenders party thereto, Cortland Capital Market Services LLC, as administrative agent, and Obsidian Agency Services, Inc., as collateral agent, dated February 10, 2017.</w:t>
      </w:r>
      <w:r>
        <w:rPr>
          <w:rFonts w:ascii="Arial" w:cs="Arial" w:eastAsia="Arial" w:hAnsi="Arial"/>
          <w:sz w:val="21"/>
          <w:szCs w:val="21"/>
          <w:color w:val="auto"/>
          <w:vertAlign w:val="superscript"/>
        </w:rPr>
        <w:t>(6)</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pursuant to Rule 13a-14(a)/15d-14(a).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 pursuant to Rule 13a-14(a)/15d-14(a).</w:t>
      </w:r>
    </w:p>
    <w:p>
      <w:pPr>
        <w:spacing w:after="0" w:line="185"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Document.</w:t>
      </w:r>
    </w:p>
    <w:p>
      <w:pPr>
        <w:spacing w:after="0" w:line="36" w:lineRule="exact"/>
        <w:rPr>
          <w:sz w:val="20"/>
          <w:szCs w:val="20"/>
          <w:color w:val="auto"/>
        </w:rPr>
      </w:pPr>
    </w:p>
    <w:p>
      <w:pPr>
        <w:sectPr>
          <w:pgSz w:w="11900" w:h="16838" w:orient="portrait"/>
          <w:cols w:equalWidth="0" w:num="2">
            <w:col w:w="800" w:space="720"/>
            <w:col w:w="9900"/>
          </w:cols>
          <w:pgMar w:left="240" w:top="116"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________________________</w:t>
      </w:r>
    </w:p>
    <w:p>
      <w:pPr>
        <w:spacing w:after="0" w:line="306" w:lineRule="exact"/>
        <w:rPr>
          <w:sz w:val="20"/>
          <w:szCs w:val="20"/>
          <w:color w:val="auto"/>
        </w:rPr>
      </w:pPr>
    </w:p>
    <w:p>
      <w:pPr>
        <w:ind w:left="1300" w:hanging="482"/>
        <w:spacing w:after="0" w:line="292"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as Exhibit 3.1 to the Current Report on Form 8-K (File No. 001-35480), filed with the Securities and Exchange Commission on April 6, 2012, and incorporated by reference herein.</w:t>
      </w:r>
    </w:p>
    <w:p>
      <w:pPr>
        <w:spacing w:after="0" w:line="9" w:lineRule="exact"/>
        <w:rPr>
          <w:rFonts w:ascii="Arial" w:cs="Arial" w:eastAsia="Arial" w:hAnsi="Arial"/>
          <w:sz w:val="18"/>
          <w:szCs w:val="18"/>
          <w:color w:val="auto"/>
        </w:rPr>
      </w:pPr>
    </w:p>
    <w:p>
      <w:pPr>
        <w:ind w:left="1300" w:right="20" w:hanging="482"/>
        <w:spacing w:after="0" w:line="292"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as Exhibit 3.5 to Amendment No. 7 to the Registration Statement on Form S-1/A (File No. 333-174925), filed with the Securities and Exchange Commission on March 12, 2012, and incorporated by reference herein.</w:t>
      </w:r>
    </w:p>
    <w:p>
      <w:pPr>
        <w:spacing w:after="0" w:line="9" w:lineRule="exact"/>
        <w:rPr>
          <w:rFonts w:ascii="Arial" w:cs="Arial" w:eastAsia="Arial" w:hAnsi="Arial"/>
          <w:sz w:val="18"/>
          <w:szCs w:val="18"/>
          <w:color w:val="auto"/>
        </w:rPr>
      </w:pPr>
    </w:p>
    <w:p>
      <w:pPr>
        <w:ind w:left="1300" w:hanging="482"/>
        <w:spacing w:after="0" w:line="292"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as Exhibit 4.8 to the Registration Statement on Form S-1/A (File No. 333-174925), and incorporated herein by reference.</w:t>
      </w:r>
    </w:p>
    <w:p>
      <w:pPr>
        <w:spacing w:after="0" w:line="9" w:lineRule="exact"/>
        <w:rPr>
          <w:rFonts w:ascii="Arial" w:cs="Arial" w:eastAsia="Arial" w:hAnsi="Arial"/>
          <w:sz w:val="18"/>
          <w:szCs w:val="18"/>
          <w:color w:val="auto"/>
        </w:rPr>
      </w:pPr>
    </w:p>
    <w:p>
      <w:pPr>
        <w:ind w:left="1300" w:hanging="482"/>
        <w:spacing w:after="0" w:line="292"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as Exhibit 10.40 to the Annual Report on Form 10-K (File No. 001-35480), filed with the Securities and Exchange Commission on March 16, 2017, and incorporated by reference herein.</w:t>
      </w:r>
    </w:p>
    <w:p>
      <w:pPr>
        <w:spacing w:after="0" w:line="9" w:lineRule="exact"/>
        <w:rPr>
          <w:rFonts w:ascii="Arial" w:cs="Arial" w:eastAsia="Arial" w:hAnsi="Arial"/>
          <w:sz w:val="18"/>
          <w:szCs w:val="18"/>
          <w:color w:val="auto"/>
        </w:rPr>
      </w:pPr>
    </w:p>
    <w:p>
      <w:pPr>
        <w:ind w:left="1300" w:hanging="482"/>
        <w:spacing w:after="0" w:line="292"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as Exhibit 10.38 to the Annual Report on Form 10-K (File No. 001-35480), filed with the Securities and Exchange Commission on March 16, 2017, and incorporated by reference herein.</w:t>
      </w:r>
    </w:p>
    <w:p>
      <w:pPr>
        <w:spacing w:after="0" w:line="9" w:lineRule="exact"/>
        <w:rPr>
          <w:rFonts w:ascii="Arial" w:cs="Arial" w:eastAsia="Arial" w:hAnsi="Arial"/>
          <w:sz w:val="18"/>
          <w:szCs w:val="18"/>
          <w:color w:val="auto"/>
        </w:rPr>
      </w:pPr>
    </w:p>
    <w:p>
      <w:pPr>
        <w:ind w:left="1300" w:hanging="482"/>
        <w:spacing w:after="0" w:line="292"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as Exhibit 10.39 to the Annual Report on Form 10-K (File No. 001-35480), filed with the Securities and Exchange Commission on March 16, 2017, and incorporated by reference herein.</w:t>
      </w:r>
    </w:p>
    <w:p>
      <w:pPr>
        <w:spacing w:after="0" w:line="10" w:lineRule="exact"/>
        <w:rPr>
          <w:sz w:val="20"/>
          <w:szCs w:val="20"/>
          <w:color w:val="auto"/>
        </w:rPr>
      </w:pPr>
    </w:p>
    <w:p>
      <w:pPr>
        <w:jc w:val="both"/>
        <w:ind w:left="1300" w:hanging="482"/>
        <w:spacing w:after="0" w:line="271"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ectPr>
          <w:pgSz w:w="11900" w:h="16838" w:orient="portrait"/>
          <w:cols w:equalWidth="0" w:num="1">
            <w:col w:w="11420"/>
          </w:cols>
          <w:pgMar w:left="240" w:top="116" w:right="239" w:bottom="1440" w:gutter="0" w:footer="0" w:header="0"/>
          <w:type w:val="continuous"/>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116" w:right="23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 Paul B. Nahi, certify that:</w:t>
      </w:r>
    </w:p>
    <w:p>
      <w:pPr>
        <w:spacing w:after="0" w:line="198"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240" w:hanging="332"/>
        <w:spacing w:after="0" w:line="27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340" w:right="340" w:hanging="332"/>
        <w:spacing w:after="0" w:line="323"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7"/>
          <w:szCs w:val="17"/>
          <w:color w:val="auto"/>
        </w:rPr>
      </w:pPr>
    </w:p>
    <w:p>
      <w:pPr>
        <w:ind w:left="340" w:right="320" w:hanging="332"/>
        <w:spacing w:after="0" w:line="27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ind w:left="1140" w:right="60" w:hanging="322"/>
        <w:spacing w:after="0" w:line="271"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Arial" w:cs="Arial" w:eastAsia="Arial" w:hAnsi="Arial"/>
          <w:sz w:val="18"/>
          <w:szCs w:val="18"/>
          <w:color w:val="auto"/>
        </w:rPr>
      </w:pPr>
    </w:p>
    <w:p>
      <w:pPr>
        <w:ind w:left="1140" w:right="360" w:hanging="322"/>
        <w:spacing w:after="0" w:line="271"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Arial" w:cs="Arial" w:eastAsia="Arial" w:hAnsi="Arial"/>
          <w:sz w:val="18"/>
          <w:szCs w:val="18"/>
          <w:color w:val="auto"/>
        </w:rPr>
      </w:pPr>
    </w:p>
    <w:p>
      <w:pPr>
        <w:jc w:val="both"/>
        <w:ind w:left="1140" w:right="300" w:hanging="322"/>
        <w:spacing w:after="0" w:line="271"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8"/>
          <w:szCs w:val="18"/>
          <w:color w:val="auto"/>
        </w:rPr>
      </w:pPr>
    </w:p>
    <w:p>
      <w:pPr>
        <w:ind w:left="1140" w:right="120" w:hanging="322"/>
        <w:spacing w:after="0" w:line="271"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ind w:left="340" w:right="320" w:hanging="332"/>
        <w:spacing w:after="0" w:line="27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8"/>
          <w:szCs w:val="18"/>
          <w:color w:val="auto"/>
        </w:rPr>
      </w:pPr>
    </w:p>
    <w:p>
      <w:pPr>
        <w:ind w:left="1140" w:right="260" w:hanging="322"/>
        <w:spacing w:after="0" w:line="271"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8"/>
          <w:szCs w:val="18"/>
          <w:color w:val="auto"/>
        </w:rPr>
      </w:pPr>
    </w:p>
    <w:p>
      <w:pPr>
        <w:ind w:left="1140" w:right="180" w:hanging="322"/>
        <w:spacing w:after="0" w:line="292" w:lineRule="auto"/>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2017</w:t>
      </w:r>
    </w:p>
    <w:p>
      <w:pPr>
        <w:spacing w:after="0" w:line="200" w:lineRule="exact"/>
        <w:rPr>
          <w:sz w:val="20"/>
          <w:szCs w:val="20"/>
          <w:color w:val="auto"/>
        </w:rPr>
      </w:pPr>
    </w:p>
    <w:p>
      <w:pPr>
        <w:spacing w:after="0" w:line="24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28575</wp:posOffset>
            </wp:positionV>
            <wp:extent cx="26670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Paul B. Nahi</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 Humberto Garcia, certify that:</w:t>
      </w:r>
    </w:p>
    <w:p>
      <w:pPr>
        <w:spacing w:after="0" w:line="19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240" w:hanging="332"/>
        <w:spacing w:after="0" w:line="27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340" w:right="340" w:hanging="332"/>
        <w:spacing w:after="0" w:line="323"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7"/>
          <w:szCs w:val="17"/>
          <w:color w:val="auto"/>
        </w:rPr>
      </w:pPr>
    </w:p>
    <w:p>
      <w:pPr>
        <w:ind w:left="340" w:right="320" w:hanging="332"/>
        <w:spacing w:after="0" w:line="27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ind w:left="1140" w:right="60" w:hanging="322"/>
        <w:spacing w:after="0" w:line="271"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Arial" w:cs="Arial" w:eastAsia="Arial" w:hAnsi="Arial"/>
          <w:sz w:val="18"/>
          <w:szCs w:val="18"/>
          <w:color w:val="auto"/>
        </w:rPr>
      </w:pPr>
    </w:p>
    <w:p>
      <w:pPr>
        <w:ind w:left="1140" w:right="360" w:hanging="322"/>
        <w:spacing w:after="0" w:line="271"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Arial" w:cs="Arial" w:eastAsia="Arial" w:hAnsi="Arial"/>
          <w:sz w:val="18"/>
          <w:szCs w:val="18"/>
          <w:color w:val="auto"/>
        </w:rPr>
      </w:pPr>
    </w:p>
    <w:p>
      <w:pPr>
        <w:jc w:val="both"/>
        <w:ind w:left="1140" w:right="300" w:hanging="322"/>
        <w:spacing w:after="0" w:line="271"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8"/>
          <w:szCs w:val="18"/>
          <w:color w:val="auto"/>
        </w:rPr>
      </w:pPr>
    </w:p>
    <w:p>
      <w:pPr>
        <w:ind w:left="1140" w:right="120" w:hanging="322"/>
        <w:spacing w:after="0" w:line="271"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ind w:left="340" w:right="320" w:hanging="332"/>
        <w:spacing w:after="0" w:line="27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8"/>
          <w:szCs w:val="18"/>
          <w:color w:val="auto"/>
        </w:rPr>
      </w:pPr>
    </w:p>
    <w:p>
      <w:pPr>
        <w:ind w:left="1140" w:right="260" w:hanging="322"/>
        <w:spacing w:after="0" w:line="271"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8"/>
          <w:szCs w:val="18"/>
          <w:color w:val="auto"/>
        </w:rPr>
      </w:pPr>
    </w:p>
    <w:p>
      <w:pPr>
        <w:ind w:left="1140" w:right="180" w:hanging="322"/>
        <w:spacing w:after="0" w:line="292"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2017</w:t>
      </w:r>
    </w:p>
    <w:p>
      <w:pPr>
        <w:spacing w:after="0" w:line="200" w:lineRule="exact"/>
        <w:rPr>
          <w:sz w:val="20"/>
          <w:szCs w:val="20"/>
          <w:color w:val="auto"/>
        </w:rPr>
      </w:pPr>
    </w:p>
    <w:p>
      <w:pPr>
        <w:spacing w:after="0" w:line="22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Humberto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37465</wp:posOffset>
            </wp:positionV>
            <wp:extent cx="26670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Humberto Garcia</w:t>
      </w:r>
    </w:p>
    <w:p>
      <w:pPr>
        <w:spacing w:after="0" w:line="7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Humberto Garcia, Vice President and Chief Financial Officer of the Company, each hereby certifies that, to the best of his or her knowledge:</w:t>
      </w:r>
    </w:p>
    <w:p>
      <w:pPr>
        <w:spacing w:after="0" w:line="143" w:lineRule="exact"/>
        <w:rPr>
          <w:sz w:val="20"/>
          <w:szCs w:val="20"/>
          <w:color w:val="auto"/>
        </w:rPr>
      </w:pPr>
    </w:p>
    <w:p>
      <w:pPr>
        <w:ind w:right="200" w:firstLine="8"/>
        <w:spacing w:after="0" w:line="292" w:lineRule="auto"/>
        <w:tabs>
          <w:tab w:leader="none" w:pos="20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March 31, 2017, to which this Certification is attached as Exhibit 32.1 (the “Periodic Report”), fully complies with the requirements of Section 13(a) or Section 15(d) of the Exchange Act; and</w:t>
      </w:r>
    </w:p>
    <w:p>
      <w:pPr>
        <w:spacing w:after="0" w:line="117" w:lineRule="exact"/>
        <w:rPr>
          <w:rFonts w:ascii="Arial" w:cs="Arial" w:eastAsia="Arial" w:hAnsi="Arial"/>
          <w:sz w:val="18"/>
          <w:szCs w:val="18"/>
          <w:b w:val="1"/>
          <w:bCs w:val="1"/>
          <w:color w:val="auto"/>
        </w:rPr>
      </w:pPr>
    </w:p>
    <w:p>
      <w:pPr>
        <w:ind w:right="240" w:firstLine="8"/>
        <w:spacing w:after="0" w:line="292" w:lineRule="auto"/>
        <w:tabs>
          <w:tab w:leader="none" w:pos="20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10th day of May,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Paul B. Nahi</w:t>
            </w:r>
          </w:p>
        </w:tc>
        <w:tc>
          <w:tcPr>
            <w:tcW w:w="100" w:type="dxa"/>
            <w:vAlign w:val="bottom"/>
          </w:tcPr>
          <w:p>
            <w:pPr>
              <w:spacing w:after="0"/>
              <w:rPr>
                <w:sz w:val="22"/>
                <w:szCs w:val="22"/>
                <w:color w:val="auto"/>
              </w:rPr>
            </w:pP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Humberto Garcia</w:t>
            </w:r>
          </w:p>
        </w:tc>
      </w:tr>
      <w:tr>
        <w:trPr>
          <w:trHeight w:val="245"/>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Paul B. Nahi</w:t>
            </w:r>
          </w:p>
        </w:tc>
        <w:tc>
          <w:tcPr>
            <w:tcW w:w="5680" w:type="dxa"/>
            <w:vAlign w:val="bottom"/>
          </w:tcPr>
          <w:p>
            <w:pPr>
              <w:ind w:left="20"/>
              <w:spacing w:after="0"/>
              <w:rPr>
                <w:sz w:val="20"/>
                <w:szCs w:val="20"/>
                <w:color w:val="auto"/>
              </w:rPr>
            </w:pPr>
            <w:r>
              <w:rPr>
                <w:rFonts w:ascii="Arial" w:cs="Arial" w:eastAsia="Arial" w:hAnsi="Arial"/>
                <w:sz w:val="18"/>
                <w:szCs w:val="18"/>
                <w:color w:val="auto"/>
              </w:rPr>
              <w:t>Humberto Garcia</w:t>
            </w:r>
          </w:p>
        </w:tc>
      </w:tr>
      <w:tr>
        <w:trPr>
          <w:trHeight w:val="284"/>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568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14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9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806"/>
    </w:lvl>
  </w:abstractNum>
  <w:abstractNum w:abstractNumId="3">
    <w:nsid w:val="4E6AFB66"/>
    <w:multiLevelType w:val="hybridMultilevel"/>
    <w:lvl w:ilvl="0">
      <w:lvlJc w:val="left"/>
      <w:lvlText w:val="\emdash "/>
      <w:numFmt w:val="bullet"/>
      <w:start w:val="1"/>
    </w:lvl>
  </w:abstractNum>
  <w:abstractNum w:abstractNumId="4">
    <w:nsid w:val="25E45D32"/>
    <w:multiLevelType w:val="hybridMultilevel"/>
    <w:lvl w:ilvl="0">
      <w:lvlJc w:val="left"/>
      <w:lvlText w:val="(%1)"/>
      <w:numFmt w:val="decimal"/>
      <w:start w:val="631"/>
    </w:lvl>
  </w:abstractNum>
  <w:abstractNum w:abstractNumId="5">
    <w:nsid w:val="519B500D"/>
    <w:multiLevelType w:val="hybridMultilevel"/>
    <w:lvl w:ilvl="0">
      <w:lvlJc w:val="left"/>
      <w:lvlText w:val="$"/>
      <w:numFmt w:val="bullet"/>
      <w:start w:val="1"/>
    </w:lvl>
    <w:lvl w:ilvl="1">
      <w:lvlJc w:val="left"/>
      <w:lvlText w:val="(%2)"/>
      <w:numFmt w:val="decimal"/>
      <w:start w:val="339"/>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834"/>
    </w:lvl>
  </w:abstractNum>
  <w:abstractNum w:abstractNumId="8">
    <w:nsid w:val="7C83E458"/>
    <w:multiLevelType w:val="hybridMultilevel"/>
    <w:lvl w:ilvl="0">
      <w:lvlJc w:val="left"/>
      <w:lvlText w:val="%1"/>
      <w:numFmt w:val="decimal"/>
      <w:start w:val="291"/>
    </w:lvl>
  </w:abstractNum>
  <w:abstractNum w:abstractNumId="9">
    <w:nsid w:val="257130A3"/>
    <w:multiLevelType w:val="hybridMultilevel"/>
    <w:lvl w:ilvl="0">
      <w:lvlJc w:val="left"/>
      <w:lvlText w:val="%1"/>
      <w:numFmt w:val="decimal"/>
      <w:start w:val="495"/>
    </w:lvl>
  </w:abstractNum>
  <w:abstractNum w:abstractNumId="10">
    <w:nsid w:val="62BBD95A"/>
    <w:multiLevelType w:val="hybridMultilevel"/>
    <w:lvl w:ilvl="0">
      <w:lvlJc w:val="left"/>
      <w:lvlText w:val="%1"/>
      <w:numFmt w:val="decimal"/>
      <w:start w:val="578"/>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2019-12-29T06:04:38Z</dcterms:created>
  <dcterms:modified xsi:type="dcterms:W3CDTF">2019-12-29T06:04:38Z</dcterms:modified>
</cp:coreProperties>
</file>