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760"/>
        <w:spacing w:after="0"/>
        <w:rPr>
          <w:sz w:val="20"/>
          <w:szCs w:val="20"/>
          <w:color w:val="auto"/>
        </w:rPr>
      </w:pPr>
      <w:r>
        <w:rPr>
          <w:rFonts w:ascii="Arial" w:cs="Arial" w:eastAsia="Arial" w:hAnsi="Arial"/>
          <w:sz w:val="18"/>
          <w:szCs w:val="18"/>
          <w:color w:val="auto"/>
        </w:rPr>
        <w:t>____________________________________________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9" w:lineRule="exact"/>
        <w:rPr>
          <w:sz w:val="24"/>
          <w:szCs w:val="24"/>
          <w:color w:val="auto"/>
        </w:rPr>
      </w:pPr>
    </w:p>
    <w:p>
      <w:pPr>
        <w:ind w:left="720" w:right="200" w:hanging="685"/>
        <w:spacing w:after="0" w:line="254"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 w:lineRule="exact"/>
        <w:rPr>
          <w:sz w:val="24"/>
          <w:szCs w:val="24"/>
          <w:color w:val="auto"/>
        </w:rPr>
      </w:pPr>
    </w:p>
    <w:tbl>
      <w:tblPr>
        <w:tblLayout w:type="fixed"/>
        <w:tblInd w:w="1560" w:type="dxa"/>
        <w:tblCellMar>
          <w:top w:w="0" w:type="dxa"/>
          <w:left w:w="0" w:type="dxa"/>
          <w:bottom w:w="0" w:type="dxa"/>
          <w:right w:w="0" w:type="dxa"/>
        </w:tblCellMar>
      </w:tblPr>
      <w:tr>
        <w:trPr>
          <w:trHeight w:val="207"/>
        </w:trPr>
        <w:tc>
          <w:tcPr>
            <w:tcW w:w="6320" w:type="dxa"/>
            <w:vAlign w:val="bottom"/>
          </w:tcPr>
          <w:p>
            <w:pPr>
              <w:jc w:val="center"/>
              <w:ind w:left="1886"/>
              <w:spacing w:after="0"/>
              <w:rPr>
                <w:sz w:val="20"/>
                <w:szCs w:val="20"/>
                <w:color w:val="auto"/>
              </w:rPr>
            </w:pPr>
            <w:r>
              <w:rPr>
                <w:rFonts w:ascii="Arial" w:cs="Arial" w:eastAsia="Arial" w:hAnsi="Arial"/>
                <w:sz w:val="18"/>
                <w:szCs w:val="18"/>
                <w:b w:val="1"/>
                <w:bCs w:val="1"/>
                <w:color w:val="auto"/>
                <w:w w:val="91"/>
              </w:rPr>
              <w:t>Commission File Number: 001-35480</w:t>
            </w:r>
          </w:p>
        </w:tc>
        <w:tc>
          <w:tcPr>
            <w:tcW w:w="1300" w:type="dxa"/>
            <w:vAlign w:val="bottom"/>
          </w:tcPr>
          <w:p>
            <w:pPr>
              <w:spacing w:after="0"/>
              <w:rPr>
                <w:sz w:val="17"/>
                <w:szCs w:val="17"/>
                <w:color w:val="auto"/>
              </w:rPr>
            </w:pPr>
          </w:p>
        </w:tc>
      </w:tr>
      <w:tr>
        <w:trPr>
          <w:trHeight w:val="187"/>
        </w:trPr>
        <w:tc>
          <w:tcPr>
            <w:tcW w:w="6320" w:type="dxa"/>
            <w:vAlign w:val="bottom"/>
          </w:tcPr>
          <w:p>
            <w:pPr>
              <w:jc w:val="center"/>
              <w:ind w:left="1946"/>
              <w:spacing w:after="0" w:line="187" w:lineRule="exact"/>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16"/>
                <w:szCs w:val="16"/>
                <w:color w:val="auto"/>
              </w:rPr>
            </w:pPr>
          </w:p>
        </w:tc>
      </w:tr>
      <w:tr>
        <w:trPr>
          <w:trHeight w:val="565"/>
        </w:trPr>
        <w:tc>
          <w:tcPr>
            <w:tcW w:w="6320" w:type="dxa"/>
            <w:vAlign w:val="bottom"/>
          </w:tcPr>
          <w:p>
            <w:pPr>
              <w:jc w:val="center"/>
              <w:ind w:left="1926"/>
              <w:spacing w:after="0"/>
              <w:rPr>
                <w:sz w:val="20"/>
                <w:szCs w:val="20"/>
                <w:color w:val="auto"/>
              </w:rPr>
            </w:pPr>
            <w:r>
              <w:rPr>
                <w:rFonts w:ascii="Arial" w:cs="Arial" w:eastAsia="Arial" w:hAnsi="Arial"/>
                <w:sz w:val="43"/>
                <w:szCs w:val="43"/>
                <w:b w:val="1"/>
                <w:bCs w:val="1"/>
                <w:color w:val="auto"/>
                <w:w w:val="90"/>
              </w:rPr>
              <w:t>Enphase Energy, Inc.</w:t>
            </w:r>
          </w:p>
        </w:tc>
        <w:tc>
          <w:tcPr>
            <w:tcW w:w="1300" w:type="dxa"/>
            <w:vAlign w:val="bottom"/>
          </w:tcPr>
          <w:p>
            <w:pPr>
              <w:spacing w:after="0"/>
              <w:rPr>
                <w:sz w:val="24"/>
                <w:szCs w:val="24"/>
                <w:color w:val="auto"/>
              </w:rPr>
            </w:pPr>
          </w:p>
        </w:tc>
      </w:tr>
      <w:tr>
        <w:trPr>
          <w:trHeight w:val="274"/>
        </w:trPr>
        <w:tc>
          <w:tcPr>
            <w:tcW w:w="6320" w:type="dxa"/>
            <w:vAlign w:val="bottom"/>
          </w:tcPr>
          <w:p>
            <w:pPr>
              <w:jc w:val="center"/>
              <w:ind w:left="188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00" w:type="dxa"/>
            <w:vAlign w:val="bottom"/>
          </w:tcPr>
          <w:p>
            <w:pPr>
              <w:spacing w:after="0"/>
              <w:rPr>
                <w:sz w:val="23"/>
                <w:szCs w:val="23"/>
                <w:color w:val="auto"/>
              </w:rPr>
            </w:pPr>
          </w:p>
        </w:tc>
      </w:tr>
      <w:tr>
        <w:trPr>
          <w:trHeight w:val="230"/>
        </w:trPr>
        <w:tc>
          <w:tcPr>
            <w:tcW w:w="6320" w:type="dxa"/>
            <w:vAlign w:val="bottom"/>
          </w:tcPr>
          <w:p>
            <w:pPr>
              <w:jc w:val="center"/>
              <w:ind w:left="1946"/>
              <w:spacing w:after="0"/>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20"/>
                <w:szCs w:val="20"/>
                <w:color w:val="auto"/>
              </w:rPr>
            </w:pPr>
          </w:p>
        </w:tc>
      </w:tr>
      <w:tr>
        <w:trPr>
          <w:trHeight w:val="328"/>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jc w:val="right"/>
              <w:ind w:right="41"/>
              <w:spacing w:after="0"/>
              <w:rPr>
                <w:sz w:val="20"/>
                <w:szCs w:val="20"/>
                <w:color w:val="auto"/>
              </w:rPr>
            </w:pPr>
            <w:r>
              <w:rPr>
                <w:rFonts w:ascii="Arial" w:cs="Arial" w:eastAsia="Arial" w:hAnsi="Arial"/>
                <w:sz w:val="18"/>
                <w:szCs w:val="18"/>
                <w:b w:val="1"/>
                <w:bCs w:val="1"/>
                <w:color w:val="auto"/>
              </w:rPr>
              <w:t>20-4645388</w:t>
            </w:r>
          </w:p>
        </w:tc>
      </w:tr>
      <w:tr>
        <w:trPr>
          <w:trHeight w:val="149"/>
        </w:trPr>
        <w:tc>
          <w:tcPr>
            <w:tcW w:w="6320" w:type="dxa"/>
            <w:vAlign w:val="bottom"/>
          </w:tcPr>
          <w:p>
            <w:pPr>
              <w:jc w:val="center"/>
              <w:ind w:right="3846"/>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300" w:type="dxa"/>
            <w:vAlign w:val="bottom"/>
          </w:tcPr>
          <w:p>
            <w:pPr>
              <w:jc w:val="center"/>
              <w:ind w:left="1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46"/>
              <w:spacing w:after="0"/>
              <w:rPr>
                <w:sz w:val="20"/>
                <w:szCs w:val="20"/>
                <w:color w:val="auto"/>
              </w:rPr>
            </w:pPr>
            <w:r>
              <w:rPr>
                <w:rFonts w:ascii="Arial" w:cs="Arial" w:eastAsia="Arial" w:hAnsi="Arial"/>
                <w:sz w:val="14"/>
                <w:szCs w:val="14"/>
                <w:b w:val="1"/>
                <w:bCs w:val="1"/>
                <w:color w:val="auto"/>
                <w:w w:val="93"/>
              </w:rPr>
              <w:t>incorporation or organization)</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2"/>
              </w:rPr>
              <w:t>1420 N. McDowell Blvd.</w:t>
            </w:r>
          </w:p>
        </w:tc>
        <w:tc>
          <w:tcPr>
            <w:tcW w:w="1300" w:type="dxa"/>
            <w:vAlign w:val="bottom"/>
          </w:tcPr>
          <w:p>
            <w:pPr>
              <w:spacing w:after="0"/>
              <w:rPr>
                <w:sz w:val="24"/>
                <w:szCs w:val="24"/>
                <w:color w:val="auto"/>
              </w:rPr>
            </w:pPr>
          </w:p>
        </w:tc>
      </w:tr>
      <w:tr>
        <w:trPr>
          <w:trHeight w:val="234"/>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3"/>
              </w:rPr>
              <w:t>Petaluma, California</w:t>
            </w:r>
          </w:p>
        </w:tc>
        <w:tc>
          <w:tcPr>
            <w:tcW w:w="13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94954</w:t>
            </w:r>
          </w:p>
        </w:tc>
      </w:tr>
      <w:tr>
        <w:trPr>
          <w:trHeight w:val="218"/>
        </w:trPr>
        <w:tc>
          <w:tcPr>
            <w:tcW w:w="6320" w:type="dxa"/>
            <w:vAlign w:val="bottom"/>
          </w:tcPr>
          <w:p>
            <w:pPr>
              <w:jc w:val="center"/>
              <w:ind w:right="38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6320" w:type="dxa"/>
            <w:vAlign w:val="bottom"/>
          </w:tcPr>
          <w:p>
            <w:pPr>
              <w:jc w:val="center"/>
              <w:ind w:left="1906"/>
              <w:spacing w:after="0"/>
              <w:rPr>
                <w:sz w:val="20"/>
                <w:szCs w:val="20"/>
                <w:color w:val="auto"/>
              </w:rPr>
            </w:pPr>
            <w:r>
              <w:rPr>
                <w:rFonts w:ascii="Arial" w:cs="Arial" w:eastAsia="Arial" w:hAnsi="Arial"/>
                <w:sz w:val="18"/>
                <w:szCs w:val="18"/>
                <w:b w:val="1"/>
                <w:bCs w:val="1"/>
                <w:color w:val="auto"/>
                <w:w w:val="90"/>
              </w:rPr>
              <w:t>(707) 774-7000</w:t>
            </w:r>
          </w:p>
        </w:tc>
        <w:tc>
          <w:tcPr>
            <w:tcW w:w="1300" w:type="dxa"/>
            <w:vAlign w:val="bottom"/>
          </w:tcPr>
          <w:p>
            <w:pPr>
              <w:spacing w:after="0"/>
              <w:rPr>
                <w:sz w:val="24"/>
                <w:szCs w:val="24"/>
                <w:color w:val="auto"/>
              </w:rPr>
            </w:pPr>
          </w:p>
        </w:tc>
      </w:tr>
      <w:tr>
        <w:trPr>
          <w:trHeight w:val="157"/>
        </w:trPr>
        <w:tc>
          <w:tcPr>
            <w:tcW w:w="6320" w:type="dxa"/>
            <w:vAlign w:val="bottom"/>
          </w:tcPr>
          <w:p>
            <w:pPr>
              <w:jc w:val="center"/>
              <w:ind w:left="1886"/>
              <w:spacing w:after="0" w:line="157" w:lineRule="exact"/>
              <w:rPr>
                <w:sz w:val="20"/>
                <w:szCs w:val="20"/>
                <w:color w:val="auto"/>
              </w:rPr>
            </w:pPr>
            <w:r>
              <w:rPr>
                <w:rFonts w:ascii="Arial" w:cs="Arial" w:eastAsia="Arial" w:hAnsi="Arial"/>
                <w:sz w:val="14"/>
                <w:szCs w:val="14"/>
                <w:b w:val="1"/>
                <w:bCs w:val="1"/>
                <w:color w:val="auto"/>
                <w:w w:val="91"/>
              </w:rPr>
              <w:t>(Registrant’s telephone number, including area code)</w:t>
            </w:r>
          </w:p>
        </w:tc>
        <w:tc>
          <w:tcPr>
            <w:tcW w:w="1300" w:type="dxa"/>
            <w:vAlign w:val="bottom"/>
          </w:tcPr>
          <w:p>
            <w:pPr>
              <w:spacing w:after="0"/>
              <w:rPr>
                <w:sz w:val="13"/>
                <w:szCs w:val="13"/>
                <w:color w:val="auto"/>
              </w:rPr>
            </w:pPr>
          </w:p>
        </w:tc>
      </w:tr>
      <w:tr>
        <w:trPr>
          <w:trHeight w:val="230"/>
        </w:trPr>
        <w:tc>
          <w:tcPr>
            <w:tcW w:w="6320" w:type="dxa"/>
            <w:vAlign w:val="bottom"/>
          </w:tcPr>
          <w:p>
            <w:pPr>
              <w:jc w:val="center"/>
              <w:ind w:left="1946"/>
              <w:spacing w:after="0"/>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20"/>
                <w:szCs w:val="20"/>
                <w:color w:val="auto"/>
              </w:rPr>
            </w:pPr>
          </w:p>
        </w:tc>
      </w:tr>
    </w:tbl>
    <w:p>
      <w:pPr>
        <w:spacing w:after="0" w:line="18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52" w:lineRule="exact"/>
        <w:rPr>
          <w:sz w:val="24"/>
          <w:szCs w:val="24"/>
          <w:color w:val="auto"/>
        </w:rPr>
      </w:pPr>
    </w:p>
    <w:p>
      <w:pPr>
        <w:sectPr>
          <w:pgSz w:w="11900" w:h="16838" w:orient="portrait"/>
          <w:cols w:equalWidth="0" w:num="4">
            <w:col w:w="2180" w:space="720"/>
            <w:col w:w="4300" w:space="720"/>
            <w:col w:w="2460" w:space="720"/>
            <w:col w:w="320"/>
          </w:cols>
          <w:pgMar w:left="240" w:top="233"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43" w:lineRule="exact"/>
        <w:rPr>
          <w:sz w:val="24"/>
          <w:szCs w:val="24"/>
          <w:color w:val="auto"/>
        </w:rPr>
      </w:pPr>
    </w:p>
    <w:p>
      <w:pPr>
        <w:sectPr>
          <w:pgSz w:w="11900" w:h="16838" w:orient="portrait"/>
          <w:cols w:equalWidth="0" w:num="5">
            <w:col w:w="2180" w:space="720"/>
            <w:col w:w="160" w:space="40"/>
            <w:col w:w="4100" w:space="720"/>
            <w:col w:w="2460" w:space="720"/>
            <w:col w:w="320"/>
          </w:cols>
          <w:pgMar w:left="240" w:top="233"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4">
            <w:col w:w="8180" w:space="180"/>
            <w:col w:w="260" w:space="100"/>
            <w:col w:w="160" w:space="180"/>
            <w:col w:w="236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April 30, 2014, there were 42,613,014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MARCH 31, 2014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tcBorders>
              <w:bottom w:val="single" w:sz="8" w:color="0000EE"/>
            </w:tcBorders>
            <w:gridSpan w:val="9"/>
          </w:tcPr>
          <w:p>
            <w:pPr>
              <w:jc w:val="center"/>
              <w:spacing w:after="0" w:line="189"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680" w:type="dxa"/>
            <w:vAlign w:val="bottom"/>
            <w:gridSpan w:val="2"/>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000" w:type="dxa"/>
            <w:vAlign w:val="bottom"/>
            <w:gridSpan w:val="1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250"/>
        </w:trPr>
        <w:tc>
          <w:tcPr>
            <w:tcW w:w="1480" w:type="dxa"/>
            <w:vAlign w:val="bottom"/>
          </w:tcPr>
          <w:p>
            <w:pPr>
              <w:spacing w:after="0"/>
              <w:rPr>
                <w:sz w:val="21"/>
                <w:szCs w:val="21"/>
                <w:color w:val="auto"/>
              </w:rPr>
            </w:pPr>
          </w:p>
        </w:tc>
        <w:tc>
          <w:tcPr>
            <w:tcW w:w="29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5480" w:type="dxa"/>
            <w:vAlign w:val="bottom"/>
            <w:gridSpan w:val="9"/>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36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w:t>
              </w:r>
            </w:hyperlink>
          </w:p>
        </w:tc>
        <w:tc>
          <w:tcPr>
            <w:tcW w:w="4760" w:type="dxa"/>
            <w:vAlign w:val="bottom"/>
            <w:gridSpan w:val="8"/>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84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Loss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50"/>
        </w:trPr>
        <w:tc>
          <w:tcPr>
            <w:tcW w:w="1480" w:type="dxa"/>
            <w:vAlign w:val="bottom"/>
          </w:tcPr>
          <w:p>
            <w:pPr>
              <w:spacing w:after="0"/>
              <w:rPr>
                <w:sz w:val="21"/>
                <w:szCs w:val="21"/>
                <w:color w:val="auto"/>
              </w:rPr>
            </w:pPr>
          </w:p>
        </w:tc>
        <w:tc>
          <w:tcPr>
            <w:tcW w:w="37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660" w:type="dxa"/>
            <w:vAlign w:val="bottom"/>
            <w:tcBorders>
              <w:top w:val="single" w:sz="8" w:color="0000EE"/>
            </w:tcBorders>
            <w:gridSpan w:val="3"/>
          </w:tcPr>
          <w:p>
            <w:pPr>
              <w:spacing w:after="0"/>
              <w:rPr>
                <w:sz w:val="21"/>
                <w:szCs w:val="21"/>
                <w:color w:val="auto"/>
              </w:rPr>
            </w:pPr>
          </w:p>
        </w:tc>
        <w:tc>
          <w:tcPr>
            <w:tcW w:w="4040" w:type="dxa"/>
            <w:vAlign w:val="bottom"/>
            <w:gridSpan w:val="4"/>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442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8"/>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Management’s Discussion and Analysis of Financial Condition and Results of Operations</w:t>
              </w:r>
            </w:hyperlink>
          </w:p>
        </w:tc>
        <w:tc>
          <w:tcPr>
            <w:tcW w:w="19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14</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24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Quantitative and Qualitative Disclosures About Market Risk</w:t>
              </w:r>
            </w:hyperlink>
          </w:p>
        </w:tc>
        <w:tc>
          <w:tcPr>
            <w:tcW w:w="2120" w:type="dxa"/>
            <w:vAlign w:val="bottom"/>
            <w:gridSpan w:val="4"/>
          </w:tcPr>
          <w:p>
            <w:pPr>
              <w:spacing w:after="0"/>
              <w:rPr>
                <w:sz w:val="21"/>
                <w:szCs w:val="21"/>
                <w:color w:val="auto"/>
              </w:rPr>
            </w:pPr>
          </w:p>
        </w:tc>
        <w:tc>
          <w:tcPr>
            <w:tcW w:w="19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20</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240" w:type="dxa"/>
            <w:vAlign w:val="bottom"/>
            <w:tcBorders>
              <w:left w:val="single" w:sz="8" w:color="0000EE"/>
            </w:tcBorders>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40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372"/>
        </w:trPr>
        <w:tc>
          <w:tcPr>
            <w:tcW w:w="14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60" w:type="dxa"/>
            <w:vAlign w:val="bottom"/>
            <w:gridSpan w:val="11"/>
          </w:tcPr>
          <w:p>
            <w:pPr>
              <w:jc w:val="center"/>
              <w:ind w:right="2680"/>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Legal Proceedings</w:t>
              </w:r>
            </w:hyperlink>
          </w:p>
        </w:tc>
        <w:tc>
          <w:tcPr>
            <w:tcW w:w="1500" w:type="dxa"/>
            <w:vAlign w:val="bottom"/>
            <w:gridSpan w:val="5"/>
          </w:tcPr>
          <w:p>
            <w:pPr>
              <w:spacing w:after="0"/>
              <w:rPr>
                <w:sz w:val="24"/>
                <w:szCs w:val="24"/>
                <w:color w:val="auto"/>
              </w:rPr>
            </w:pPr>
          </w:p>
        </w:tc>
        <w:tc>
          <w:tcPr>
            <w:tcW w:w="2760" w:type="dxa"/>
            <w:vAlign w:val="bottom"/>
            <w:tcBorders>
              <w:top w:val="single" w:sz="8" w:color="0000EE"/>
            </w:tcBorders>
            <w:gridSpan w:val="7"/>
          </w:tcPr>
          <w:p>
            <w:pPr>
              <w:spacing w:after="0"/>
              <w:rPr>
                <w:sz w:val="24"/>
                <w:szCs w:val="24"/>
                <w:color w:val="auto"/>
              </w:rPr>
            </w:pPr>
          </w:p>
        </w:tc>
        <w:tc>
          <w:tcPr>
            <w:tcW w:w="284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710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2.</w:t>
            </w:r>
          </w:p>
        </w:tc>
        <w:tc>
          <w:tcPr>
            <w:tcW w:w="842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39</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40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610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Mine Safety Disclosures</w:t>
              </w:r>
            </w:hyperlink>
          </w:p>
        </w:tc>
        <w:tc>
          <w:tcPr>
            <w:tcW w:w="540" w:type="dxa"/>
            <w:vAlign w:val="bottom"/>
          </w:tcPr>
          <w:p>
            <w:pPr>
              <w:spacing w:after="0"/>
              <w:rPr>
                <w:sz w:val="21"/>
                <w:szCs w:val="21"/>
                <w:color w:val="auto"/>
              </w:rPr>
            </w:pPr>
          </w:p>
        </w:tc>
        <w:tc>
          <w:tcPr>
            <w:tcW w:w="6100" w:type="dxa"/>
            <w:vAlign w:val="bottom"/>
            <w:gridSpan w:val="1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64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Other Information</w:t>
              </w:r>
            </w:hyperlink>
          </w:p>
        </w:tc>
        <w:tc>
          <w:tcPr>
            <w:tcW w:w="460" w:type="dxa"/>
            <w:vAlign w:val="bottom"/>
          </w:tcPr>
          <w:p>
            <w:pPr>
              <w:spacing w:after="0"/>
              <w:rPr>
                <w:sz w:val="21"/>
                <w:szCs w:val="21"/>
                <w:color w:val="auto"/>
              </w:rPr>
            </w:pPr>
          </w:p>
        </w:tc>
        <w:tc>
          <w:tcPr>
            <w:tcW w:w="6640" w:type="dxa"/>
            <w:vAlign w:val="bottom"/>
            <w:gridSpan w:val="14"/>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10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710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2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1"/>
                <w:szCs w:val="21"/>
                <w:color w:val="auto"/>
              </w:rPr>
            </w:pPr>
          </w:p>
        </w:tc>
        <w:tc>
          <w:tcPr>
            <w:tcW w:w="700" w:type="dxa"/>
            <w:vAlign w:val="bottom"/>
            <w:gridSpan w:val="2"/>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Signature</w:t>
              </w:r>
            </w:hyperlink>
          </w:p>
        </w:tc>
        <w:tc>
          <w:tcPr>
            <w:tcW w:w="7720" w:type="dxa"/>
            <w:vAlign w:val="bottom"/>
            <w:gridSpan w:val="17"/>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40</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7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 (Unaudited)</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0" w:type="dxa"/>
            <w:vAlign w:val="bottom"/>
          </w:tcPr>
          <w:p>
            <w:pPr>
              <w:spacing w:after="0"/>
              <w:rPr>
                <w:sz w:val="24"/>
                <w:szCs w:val="24"/>
                <w:color w:val="auto"/>
              </w:rPr>
            </w:pPr>
          </w:p>
        </w:tc>
        <w:tc>
          <w:tcPr>
            <w:tcW w:w="7700" w:type="dxa"/>
            <w:vAlign w:val="bottom"/>
          </w:tcPr>
          <w:p>
            <w:pPr>
              <w:jc w:val="center"/>
              <w:ind w:left="2370"/>
              <w:spacing w:after="0"/>
              <w:rPr>
                <w:sz w:val="20"/>
                <w:szCs w:val="20"/>
                <w:color w:val="auto"/>
              </w:rPr>
            </w:pPr>
            <w:r>
              <w:rPr>
                <w:rFonts w:ascii="Arial" w:cs="Arial" w:eastAsia="Arial" w:hAnsi="Arial"/>
                <w:sz w:val="18"/>
                <w:szCs w:val="18"/>
                <w:b w:val="1"/>
                <w:bCs w:val="1"/>
                <w:color w:val="auto"/>
                <w:w w:val="99"/>
              </w:rPr>
              <w:t>ENPHASE ENERGY, INC.</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40" w:type="dxa"/>
            <w:vAlign w:val="bottom"/>
          </w:tcPr>
          <w:p>
            <w:pPr>
              <w:spacing w:after="0"/>
              <w:rPr>
                <w:sz w:val="24"/>
                <w:szCs w:val="24"/>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89"/>
              </w:rPr>
              <w:t>(In thousands, except par value)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6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640" w:type="dxa"/>
            <w:vAlign w:val="bottom"/>
            <w:tcBorders>
              <w:bottom w:val="single" w:sz="8" w:color="CCEEFF"/>
            </w:tcBorders>
          </w:tcPr>
          <w:p>
            <w:pPr>
              <w:spacing w:after="0"/>
              <w:rPr>
                <w:sz w:val="16"/>
                <w:szCs w:val="16"/>
                <w:color w:val="auto"/>
              </w:rPr>
            </w:pPr>
          </w:p>
        </w:tc>
        <w:tc>
          <w:tcPr>
            <w:tcW w:w="7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4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ind w:left="320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38,190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allowances of $2,026 and $2,000</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32,084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16,580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90,509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24,809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24,853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113,160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116,669</w:t>
            </w:r>
          </w:p>
        </w:tc>
        <w:tc>
          <w:tcPr>
            <w:tcW w:w="0" w:type="dxa"/>
            <w:vAlign w:val="bottom"/>
          </w:tcPr>
          <w:p>
            <w:pPr>
              <w:spacing w:after="0"/>
              <w:rPr>
                <w:sz w:val="1"/>
                <w:szCs w:val="1"/>
                <w:color w:val="auto"/>
              </w:rPr>
            </w:pPr>
          </w:p>
        </w:tc>
      </w:tr>
      <w:tr>
        <w:trPr>
          <w:trHeight w:val="67"/>
        </w:trPr>
        <w:tc>
          <w:tcPr>
            <w:tcW w:w="640" w:type="dxa"/>
            <w:vAlign w:val="bottom"/>
            <w:tcBorders>
              <w:bottom w:val="single" w:sz="8" w:color="CCEEFF"/>
            </w:tcBorders>
          </w:tcPr>
          <w:p>
            <w:pPr>
              <w:spacing w:after="0"/>
              <w:rPr>
                <w:sz w:val="5"/>
                <w:szCs w:val="5"/>
                <w:color w:val="auto"/>
              </w:rPr>
            </w:pPr>
          </w:p>
        </w:tc>
        <w:tc>
          <w:tcPr>
            <w:tcW w:w="7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5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13,578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14,780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4"/>
              </w:rPr>
              <w:t>Warranty obligations, current portion (includes $126 and $0 measured at fair value at March 31, 2014 and</w:t>
            </w:r>
          </w:p>
        </w:tc>
        <w:tc>
          <w:tcPr>
            <w:tcW w:w="260" w:type="dxa"/>
            <w:vAlign w:val="bottom"/>
          </w:tcPr>
          <w:p>
            <w:pPr>
              <w:spacing w:after="0"/>
              <w:rPr>
                <w:sz w:val="19"/>
                <w:szCs w:val="19"/>
                <w:color w:val="auto"/>
              </w:rPr>
            </w:pPr>
          </w:p>
        </w:tc>
        <w:tc>
          <w:tcPr>
            <w:tcW w:w="1240" w:type="dxa"/>
            <w:vAlign w:val="bottom"/>
            <w:vMerge w:val="restart"/>
          </w:tcPr>
          <w:p>
            <w:pPr>
              <w:jc w:val="right"/>
              <w:ind w:right="11"/>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restart"/>
          </w:tcPr>
          <w:p>
            <w:pPr>
              <w:jc w:val="right"/>
              <w:ind w:right="11"/>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122"/>
        </w:trPr>
        <w:tc>
          <w:tcPr>
            <w:tcW w:w="8340" w:type="dxa"/>
            <w:vAlign w:val="bottom"/>
            <w:gridSpan w:val="2"/>
            <w:vMerge w:val="restart"/>
          </w:tcPr>
          <w:p>
            <w:pPr>
              <w:ind w:left="460"/>
              <w:spacing w:after="0"/>
              <w:rPr>
                <w:sz w:val="20"/>
                <w:szCs w:val="20"/>
                <w:color w:val="auto"/>
              </w:rPr>
            </w:pPr>
            <w:r>
              <w:rPr>
                <w:rFonts w:ascii="Arial" w:cs="Arial" w:eastAsia="Arial" w:hAnsi="Arial"/>
                <w:sz w:val="18"/>
                <w:szCs w:val="18"/>
                <w:color w:val="auto"/>
              </w:rPr>
              <w:t>December 31, 2013, respectively)</w:t>
            </w:r>
          </w:p>
        </w:tc>
        <w:tc>
          <w:tcPr>
            <w:tcW w:w="2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Term loans,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7700" w:type="dxa"/>
            <w:vAlign w:val="bottom"/>
          </w:tcPr>
          <w:p>
            <w:pPr>
              <w:ind w:left="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33,365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Deferred revenues, noncurrent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12,064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11,284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Warranty obligations, noncurrent (includes $461 and $0 measured at fair value at March 31, 2014 and</w:t>
            </w:r>
          </w:p>
        </w:tc>
        <w:tc>
          <w:tcPr>
            <w:tcW w:w="26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24,834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25,490</w:t>
            </w:r>
          </w:p>
        </w:tc>
        <w:tc>
          <w:tcPr>
            <w:tcW w:w="0" w:type="dxa"/>
            <w:vAlign w:val="bottom"/>
          </w:tcPr>
          <w:p>
            <w:pPr>
              <w:spacing w:after="0"/>
              <w:rPr>
                <w:sz w:val="1"/>
                <w:szCs w:val="1"/>
                <w:color w:val="auto"/>
              </w:rPr>
            </w:pPr>
          </w:p>
        </w:tc>
      </w:tr>
      <w:tr>
        <w:trPr>
          <w:trHeight w:val="122"/>
        </w:trPr>
        <w:tc>
          <w:tcPr>
            <w:tcW w:w="8340" w:type="dxa"/>
            <w:vAlign w:val="bottom"/>
            <w:gridSpan w:val="2"/>
            <w:vMerge w:val="restart"/>
            <w:shd w:val="clear" w:color="auto" w:fill="CCEEFF"/>
          </w:tcPr>
          <w:p>
            <w:pPr>
              <w:ind w:left="460"/>
              <w:spacing w:after="0"/>
              <w:rPr>
                <w:sz w:val="20"/>
                <w:szCs w:val="20"/>
                <w:color w:val="auto"/>
              </w:rPr>
            </w:pPr>
            <w:r>
              <w:rPr>
                <w:rFonts w:ascii="Arial" w:cs="Arial" w:eastAsia="Arial" w:hAnsi="Arial"/>
                <w:sz w:val="18"/>
                <w:szCs w:val="18"/>
                <w:color w:val="auto"/>
              </w:rPr>
              <w:t>December 31, 2013, respectively)</w:t>
            </w:r>
          </w:p>
        </w:tc>
        <w:tc>
          <w:tcPr>
            <w:tcW w:w="26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340" w:type="dxa"/>
            <w:vAlign w:val="bottom"/>
            <w:tcBorders>
              <w:bottom w:val="single" w:sz="8" w:color="CCEEFF"/>
            </w:tcBorders>
            <w:gridSpan w:val="2"/>
            <w:vMerge w:val="continue"/>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Term loans, noncurrent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7700" w:type="dxa"/>
            <w:vAlign w:val="bottom"/>
          </w:tcPr>
          <w:p>
            <w:pPr>
              <w:ind w:left="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76,722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76,463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Preferred stock, $0.00001 par value, 10,000 shares authorized; none issued and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7"/>
              </w:rPr>
              <w:t>Common stock, $0.00001 par value, 100,000 shares authorized; 42,354 and 42,123 shares issued and</w:t>
            </w:r>
          </w:p>
        </w:tc>
        <w:tc>
          <w:tcPr>
            <w:tcW w:w="260" w:type="dxa"/>
            <w:vAlign w:val="bottom"/>
          </w:tcPr>
          <w:p>
            <w:pPr>
              <w:spacing w:after="0"/>
              <w:rPr>
                <w:sz w:val="19"/>
                <w:szCs w:val="19"/>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8340" w:type="dxa"/>
            <w:vAlign w:val="bottom"/>
            <w:gridSpan w:val="2"/>
            <w:vMerge w:val="restart"/>
          </w:tcPr>
          <w:p>
            <w:pPr>
              <w:ind w:left="460"/>
              <w:spacing w:after="0"/>
              <w:rPr>
                <w:sz w:val="20"/>
                <w:szCs w:val="20"/>
                <w:color w:val="auto"/>
              </w:rPr>
            </w:pPr>
            <w:r>
              <w:rPr>
                <w:rFonts w:ascii="Arial" w:cs="Arial" w:eastAsia="Arial" w:hAnsi="Arial"/>
                <w:sz w:val="18"/>
                <w:szCs w:val="18"/>
                <w:color w:val="auto"/>
              </w:rPr>
              <w:t>outstanding as of March 31, 2014 and December 31, 2013, respectively</w:t>
            </w:r>
          </w:p>
        </w:tc>
        <w:tc>
          <w:tcPr>
            <w:tcW w:w="26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195,383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192,916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(152,939)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7700" w:type="dxa"/>
            <w:vAlign w:val="bottom"/>
          </w:tcPr>
          <w:p>
            <w:pPr>
              <w:ind w:left="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36,438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116,669</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57,580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45,577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38,925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33,376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18,655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12,201</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8,828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24,440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(5,785)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(6,127)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(6,236)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basic and diluted</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42,205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41,149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(6,235)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(10,584)</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(6,236)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(10,406)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1,660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Net loss on disposal of assets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Non-cash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1,435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14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2,835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(2,466)</w:t>
            </w:r>
          </w:p>
        </w:tc>
      </w:tr>
      <w:tr>
        <w:trPr>
          <w:trHeight w:val="237"/>
        </w:trPr>
        <w:tc>
          <w:tcPr>
            <w:tcW w:w="8800" w:type="dxa"/>
            <w:vAlign w:val="bottom"/>
          </w:tcPr>
          <w:p>
            <w:pPr>
              <w:ind w:left="11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payable, accrued compensation and other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(3,316)</w:t>
            </w:r>
          </w:p>
        </w:tc>
      </w:tr>
      <w:tr>
        <w:trPr>
          <w:trHeight w:val="237"/>
        </w:trPr>
        <w:tc>
          <w:tcPr>
            <w:tcW w:w="8800" w:type="dxa"/>
            <w:vAlign w:val="bottom"/>
          </w:tcPr>
          <w:p>
            <w:pPr>
              <w:ind w:left="1140"/>
              <w:spacing w:after="0"/>
              <w:rPr>
                <w:sz w:val="20"/>
                <w:szCs w:val="20"/>
                <w:color w:val="auto"/>
              </w:rPr>
            </w:pPr>
            <w:r>
              <w:rPr>
                <w:rFonts w:ascii="Arial" w:cs="Arial" w:eastAsia="Arial" w:hAnsi="Arial"/>
                <w:sz w:val="16"/>
                <w:szCs w:val="16"/>
                <w:color w:val="auto"/>
              </w:rPr>
              <w:t>Warranty obligations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2,557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Deferred revenues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976</w:t>
            </w:r>
          </w:p>
        </w:tc>
      </w:tr>
      <w:tr>
        <w:trPr>
          <w:trHeight w:val="217"/>
        </w:trPr>
        <w:tc>
          <w:tcPr>
            <w:tcW w:w="8800" w:type="dxa"/>
            <w:vAlign w:val="bottom"/>
          </w:tcPr>
          <w:p>
            <w:pPr>
              <w:ind w:left="146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4,281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(6,972)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(1,682)</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of term loans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Principal payments under capital leases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w:t>
            </w:r>
          </w:p>
        </w:tc>
      </w:tr>
      <w:tr>
        <w:trPr>
          <w:trHeight w:val="217"/>
        </w:trPr>
        <w:tc>
          <w:tcPr>
            <w:tcW w:w="8800" w:type="dxa"/>
            <w:vAlign w:val="bottom"/>
          </w:tcPr>
          <w:p>
            <w:pPr>
              <w:ind w:left="146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(8,860)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45,294</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equivalents—End of period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39,935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36,434</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Supplemental disclosures </w:t>
            </w:r>
            <w:r>
              <w:rPr>
                <w:rFonts w:ascii="Arial" w:cs="Arial" w:eastAsia="Arial" w:hAnsi="Arial"/>
                <w:sz w:val="18"/>
                <w:szCs w:val="18"/>
                <w:color w:val="auto"/>
              </w:rPr>
              <w:t>of non-cash investing and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50"/>
        </w:trPr>
        <w:tc>
          <w:tcPr>
            <w:tcW w:w="8800" w:type="dxa"/>
            <w:vAlign w:val="bottom"/>
          </w:tcPr>
          <w:p>
            <w:pPr>
              <w:ind w:left="380"/>
              <w:spacing w:after="0"/>
              <w:rPr>
                <w:sz w:val="20"/>
                <w:szCs w:val="20"/>
                <w:color w:val="auto"/>
              </w:rPr>
            </w:pPr>
            <w:r>
              <w:rPr>
                <w:rFonts w:ascii="Arial" w:cs="Arial" w:eastAsia="Arial" w:hAnsi="Arial"/>
                <w:sz w:val="16"/>
                <w:szCs w:val="16"/>
                <w:color w:val="auto"/>
              </w:rPr>
              <w:t>Purchases of property and equipment included in accounts payable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490</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Overview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Enphase Energy, Inc. ("Enphase" or the “Company”) designs, develops, and sells microinverter systems for the solar photovoltaic industry. The Company’s microinverter system consists of (i) an Enphase microinverter and related accessories that convert direct current (“DC”) power to grid-compliant alternating current (“AC”) power; (ii) an Envoy communications gateway device that collects and transmits performance information from each solar module to the Company’s hosted data center; and (iii) the Enlighten web-based software platform that collects and processes this information to enable customers to monitor and manage their solar power systems. The Company sells microinverter systems primarily to distributors who resell them to solar installers. The Company also sells directly to large installers as well as through original equipment manufacturers (“OEMs”) and strategic partners.</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are presented in accordance with accounting principles generally accepted in the United States. The condensed consolidated financial statements include the accounts of the Company and its wholly-owned subsidiaries. All intercompany balances and transactions have been eliminated in the consolidation.</w:t>
      </w:r>
    </w:p>
    <w:p>
      <w:pPr>
        <w:spacing w:after="0" w:line="12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Certain reclassifications of prior year's balances have been made to conform to current year presentation, including separately presenting balances for "Warranty obligations" in current liabilities on the condensed consolidated balance sheet and under changes in operating assets and liabilities on the condensed consolidated statements of cash flow.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71"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interim financial statements reflect all adjustments, consisting of normal recurring items, considered necessary to present fairly the Company's financial condition, results of operations, comprehensive loss and cash flows for the periods indicated. The results of operations for the three months ended March 31, 2014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2013.</w:t>
      </w:r>
    </w:p>
    <w:p>
      <w:pPr>
        <w:spacing w:after="0" w:line="13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Except for the the election to account for all eligible warranty obligations associated with microinverters sold since January 1, 2014 at fair value, there have been no material changes in the Company's significant accounting policies during the three months ended March 31, 2014 as compared to the significant accounting policies described in the Company's Annual Report on Form 10-K for the year ended December 31, 2013. Reference is made to the disclosures therein for a summary of all of the Company’s significant accounting policies.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about future events, and apply judgments that affect the reported amounts of assets, liabilities, revenue, expenses and the related disclosures. Significant estimates and assumptions reflected in the financial statements include revenue recognition, inventory valuation and accrued warranty obligations. Actual results could differ from those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 for Microinverters Sold Since January 1, 2014</w:t>
      </w:r>
    </w:p>
    <w:p>
      <w:pPr>
        <w:spacing w:after="0" w:line="17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The Company’s warranty obligations related to microinverters sold since January 1, 2014 provide the Company the right, but not the requirement, to assign its warranty obligations to a third-party. Under Accounting Standards Codification ("ASC") 825—</w:t>
      </w:r>
      <w:r>
        <w:rPr>
          <w:rFonts w:ascii="Arial" w:cs="Arial" w:eastAsia="Arial" w:hAnsi="Arial"/>
          <w:sz w:val="18"/>
          <w:szCs w:val="18"/>
          <w:i w:val="1"/>
          <w:iCs w:val="1"/>
          <w:color w:val="auto"/>
        </w:rPr>
        <w:t>Financial Instruments</w:t>
      </w:r>
      <w:r>
        <w:rPr>
          <w:rFonts w:ascii="Arial" w:cs="Arial" w:eastAsia="Arial" w:hAnsi="Arial"/>
          <w:sz w:val="18"/>
          <w:szCs w:val="18"/>
          <w:color w:val="auto"/>
        </w:rPr>
        <w:t>,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 See Note 4—Fair Value Measurements.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46"/>
        <w:spacing w:after="0" w:line="268" w:lineRule="auto"/>
        <w:rPr>
          <w:sz w:val="20"/>
          <w:szCs w:val="20"/>
          <w:color w:val="auto"/>
        </w:rPr>
      </w:pPr>
      <w:r>
        <w:rPr>
          <w:rFonts w:ascii="Arial" w:cs="Arial" w:eastAsia="Arial" w:hAnsi="Arial"/>
          <w:sz w:val="17"/>
          <w:szCs w:val="17"/>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 Warranty obligations initially recorded at fair value at the time of sale will be subsequently re-measured to fair value at each reporting date. In addition, the fair value of the liability will be accreted over the corresponding term of the warranty of up to 25 years using the interest method. Any changes in fair value of the liability from period-to-period, including accretion expense, will be recognized in cost of revenues. As of March 31, 2014, warranty obligations associated with sales prior to December 31, 2013 were $30.1 million and warranty obligations associated with sales subsequent to December 31, 2013 were $629,000, of which $587,000 were eligible for fair value accounting. The portion of warranty obligations arising from sales subsequent to December 31, 2013 that were not eligible for fair value accounting relates to sales of non-microinverter products. Periodic adjustments necessitated by actual experience of claims and any future changes in estimates to amounts not eligible for fair value accounting will continue to be accounted for on an undiscounted basis.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Inventory as of March 31, 2014 and December 31, 2013 consists of the following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12,197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15,152</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14,113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16,580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WARRANTY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warranty activities during the three months ended March 31, 2014 and 2013 were as follows (in thousands):</w:t>
      </w:r>
    </w:p>
    <w:p>
      <w:pPr>
        <w:spacing w:after="0" w:line="32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13335</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obligations, beginning of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21,338</w:t>
            </w:r>
          </w:p>
        </w:tc>
        <w:tc>
          <w:tcPr>
            <w:tcW w:w="0" w:type="dxa"/>
            <w:vAlign w:val="bottom"/>
          </w:tcPr>
          <w:p>
            <w:pPr>
              <w:spacing w:after="0"/>
              <w:rPr>
                <w:sz w:val="1"/>
                <w:szCs w:val="1"/>
                <w:color w:val="auto"/>
              </w:rPr>
            </w:pP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Accruals for warranties issued during period</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estimates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due to accretion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obligations, end of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23,895</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26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(5,894)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17,094</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March 31, 2014, the $30.7 million in warranty obligations included $587,000 measured at fair value (see Note 4—Fair Value Measurements). The portion of warranty obligations arising from sales subsequent to December 31, 2013 that were not eligible for fair value accounting relates to sales of non-microinverter products.</w:t>
      </w:r>
    </w:p>
    <w:p>
      <w:pPr>
        <w:spacing w:after="0" w:line="127"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Included within warranty expense in the three months ended March 31, 2014 and 2013 were net changes in estimates of $1.4 million and $2.1 million, respectively, to reflect higher than originally estimated replacement unit costs related to the Company's second generation microinverter.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46"/>
        <w:spacing w:after="0" w:line="279" w:lineRule="auto"/>
        <w:rPr>
          <w:sz w:val="20"/>
          <w:szCs w:val="20"/>
          <w:color w:val="auto"/>
        </w:rPr>
      </w:pPr>
      <w:r>
        <w:rPr>
          <w:rFonts w:ascii="Arial" w:cs="Arial" w:eastAsia="Arial" w:hAnsi="Arial"/>
          <w:sz w:val="17"/>
          <w:szCs w:val="17"/>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17"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46" w:lineRule="exact"/>
        <w:rPr>
          <w:sz w:val="20"/>
          <w:szCs w:val="20"/>
          <w:color w:val="auto"/>
        </w:rPr>
      </w:pPr>
    </w:p>
    <w:p>
      <w:pPr>
        <w:ind w:left="980" w:right="300" w:hanging="486"/>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46" w:lineRule="exact"/>
        <w:rPr>
          <w:rFonts w:ascii="Arial" w:cs="Arial" w:eastAsia="Arial" w:hAnsi="Arial"/>
          <w:sz w:val="18"/>
          <w:szCs w:val="18"/>
          <w:color w:val="auto"/>
        </w:rPr>
      </w:pPr>
    </w:p>
    <w:p>
      <w:pPr>
        <w:ind w:left="980" w:right="180" w:hanging="48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75"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The Company utilizes foreign currency forward contracts from time to time to reduce the impact of foreign currency fluctuations arising from both sales and purchases denominated in Euros and the British Pound Sterling.</w:t>
      </w:r>
    </w:p>
    <w:p>
      <w:pPr>
        <w:spacing w:after="0" w:line="116" w:lineRule="exact"/>
        <w:rPr>
          <w:sz w:val="20"/>
          <w:szCs w:val="20"/>
          <w:color w:val="auto"/>
        </w:rPr>
      </w:pPr>
    </w:p>
    <w:p>
      <w:pPr>
        <w:ind w:right="500" w:firstLine="446"/>
        <w:spacing w:after="0" w:line="342" w:lineRule="auto"/>
        <w:rPr>
          <w:sz w:val="20"/>
          <w:szCs w:val="20"/>
          <w:color w:val="auto"/>
        </w:rPr>
      </w:pPr>
      <w:r>
        <w:rPr>
          <w:rFonts w:ascii="Arial" w:cs="Arial" w:eastAsia="Arial" w:hAnsi="Arial"/>
          <w:sz w:val="16"/>
          <w:szCs w:val="16"/>
          <w:color w:val="auto"/>
        </w:rPr>
        <w:t>The Company did not have any foreign currency forward contracts outstanding at March 31, 2014. The following table presents the Company’s financial instruments that were measured at fair value on a recurring basis by level within the fair value hierarchy at December 31, 2013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4"/>
                <w:szCs w:val="14"/>
                <w:b w:val="1"/>
                <w:bCs w:val="1"/>
                <w:color w:val="auto"/>
              </w:rPr>
              <w:t>As of December 31, 2013</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3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Pr>
          <w:p>
            <w:pPr>
              <w:spacing w:after="0"/>
              <w:rPr>
                <w:sz w:val="13"/>
                <w:szCs w:val="13"/>
                <w:color w:val="auto"/>
              </w:rPr>
            </w:pPr>
          </w:p>
        </w:tc>
        <w:tc>
          <w:tcPr>
            <w:tcW w:w="106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Derivatives</w:t>
            </w:r>
          </w:p>
        </w:tc>
        <w:tc>
          <w:tcPr>
            <w:tcW w:w="0" w:type="dxa"/>
            <w:vAlign w:val="bottom"/>
          </w:tcPr>
          <w:p>
            <w:pPr>
              <w:spacing w:after="0"/>
              <w:rPr>
                <w:sz w:val="1"/>
                <w:szCs w:val="1"/>
                <w:color w:val="auto"/>
              </w:rPr>
            </w:pPr>
          </w:p>
        </w:tc>
      </w:tr>
      <w:tr>
        <w:trPr>
          <w:trHeight w:val="243"/>
        </w:trPr>
        <w:tc>
          <w:tcPr>
            <w:tcW w:w="8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 (Level 2)</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8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40" w:firstLine="446"/>
        <w:spacing w:after="0" w:line="277" w:lineRule="auto"/>
        <w:rPr>
          <w:sz w:val="20"/>
          <w:szCs w:val="20"/>
          <w:color w:val="auto"/>
        </w:rPr>
      </w:pPr>
      <w:r>
        <w:rPr>
          <w:rFonts w:ascii="Arial" w:cs="Arial" w:eastAsia="Arial" w:hAnsi="Arial"/>
          <w:sz w:val="18"/>
          <w:szCs w:val="18"/>
          <w:color w:val="auto"/>
        </w:rPr>
        <w:t>For the three months ended March 31, 2014 and 2013, the Company recorded net gains of $50,000 and $86,000, respectively, related to foreign currency forward contracts in other income (expense), net.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175"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40" w:firstLine="446"/>
        <w:spacing w:after="0" w:line="277" w:lineRule="auto"/>
        <w:rPr>
          <w:sz w:val="20"/>
          <w:szCs w:val="20"/>
          <w:color w:val="auto"/>
        </w:rPr>
      </w:pPr>
      <w:r>
        <w:rPr>
          <w:rFonts w:ascii="Arial" w:cs="Arial" w:eastAsia="Arial" w:hAnsi="Arial"/>
          <w:sz w:val="18"/>
          <w:szCs w:val="18"/>
          <w:color w:val="auto"/>
        </w:rPr>
        <w:t>The following table presents the Company's warranty obligations measured at fair value on a recurring basis using significant unobservable inputs (Level 3) for the three months ended March 31, 2014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Warranty Obligations</w:t>
            </w:r>
          </w:p>
        </w:tc>
      </w:tr>
      <w:tr>
        <w:trPr>
          <w:trHeight w:val="149"/>
        </w:trPr>
        <w:tc>
          <w:tcPr>
            <w:tcW w:w="9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7"/>
              </w:rPr>
              <w:t>Measured at Fair</w:t>
            </w:r>
          </w:p>
        </w:tc>
      </w:tr>
      <w:tr>
        <w:trPr>
          <w:trHeight w:val="192"/>
        </w:trPr>
        <w:tc>
          <w:tcPr>
            <w:tcW w:w="9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571</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Increase due to accretion expense</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Balance—March 31,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587</w:t>
            </w: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significant unobservable inputs used in the fair value measurement of the Company's warranty obligations designated as Level 3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 Measured at Fair Value</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Valuation Technique</w:t>
            </w:r>
          </w:p>
        </w:tc>
        <w:tc>
          <w:tcPr>
            <w:tcW w:w="120" w:type="dxa"/>
            <w:vAlign w:val="bottom"/>
            <w:tcBorders>
              <w:bottom w:val="single" w:sz="8" w:color="CCEEFF"/>
            </w:tcBorders>
          </w:tcPr>
          <w:p>
            <w:pPr>
              <w:spacing w:after="0"/>
              <w:rPr>
                <w:sz w:val="16"/>
                <w:szCs w:val="16"/>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Description of Significant Unobservable Input</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 Used</w:t>
            </w: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Warranty obligations for</w:t>
            </w: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Profit element and risk premium</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16%</w:t>
            </w:r>
          </w:p>
        </w:tc>
        <w:tc>
          <w:tcPr>
            <w:tcW w:w="0" w:type="dxa"/>
            <w:vAlign w:val="bottom"/>
          </w:tcPr>
          <w:p>
            <w:pPr>
              <w:spacing w:after="0"/>
              <w:rPr>
                <w:sz w:val="1"/>
                <w:szCs w:val="1"/>
                <w:color w:val="auto"/>
              </w:rPr>
            </w:pPr>
          </w:p>
        </w:tc>
      </w:tr>
      <w:tr>
        <w:trPr>
          <w:trHeight w:val="20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microinverters sold since January 1,</w:t>
            </w:r>
          </w:p>
        </w:tc>
        <w:tc>
          <w:tcPr>
            <w:tcW w:w="2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Discounted cash flows</w:t>
            </w:r>
          </w:p>
        </w:tc>
        <w:tc>
          <w:tcPr>
            <w:tcW w:w="120" w:type="dxa"/>
            <w:vAlign w:val="bottom"/>
            <w:shd w:val="clear" w:color="auto" w:fill="CCEEFF"/>
          </w:tcPr>
          <w:p>
            <w:pPr>
              <w:spacing w:after="0"/>
              <w:rPr>
                <w:sz w:val="17"/>
                <w:szCs w:val="17"/>
                <w:color w:val="auto"/>
              </w:rPr>
            </w:pPr>
          </w:p>
        </w:tc>
        <w:tc>
          <w:tcPr>
            <w:tcW w:w="4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1"/>
              </w:rPr>
              <w:t>Credit-adjusted risk-free rate (discount rate)</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14%</w:t>
            </w:r>
          </w:p>
        </w:tc>
        <w:tc>
          <w:tcPr>
            <w:tcW w:w="0" w:type="dxa"/>
            <w:vAlign w:val="bottom"/>
          </w:tcPr>
          <w:p>
            <w:pPr>
              <w:spacing w:after="0"/>
              <w:rPr>
                <w:sz w:val="1"/>
                <w:szCs w:val="1"/>
                <w:color w:val="auto"/>
              </w:rPr>
            </w:pPr>
          </w:p>
        </w:tc>
      </w:tr>
      <w:tr>
        <w:trPr>
          <w:trHeight w:val="206"/>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40" w:type="dxa"/>
            <w:vAlign w:val="bottom"/>
            <w:gridSpan w:val="2"/>
            <w:vMerge w:val="continue"/>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189"/>
        <w:spacing w:after="0" w:line="342" w:lineRule="auto"/>
        <w:rPr>
          <w:sz w:val="20"/>
          <w:szCs w:val="20"/>
          <w:color w:val="auto"/>
        </w:rPr>
      </w:pPr>
      <w:r>
        <w:rPr>
          <w:rFonts w:ascii="Arial" w:cs="Arial" w:eastAsia="Arial" w:hAnsi="Arial"/>
          <w:sz w:val="16"/>
          <w:szCs w:val="16"/>
          <w:color w:val="auto"/>
        </w:rPr>
        <w:t>An increase (decrease) in the profit element and risk premium input in isolation would result in a higher (lower) fair value measurement of the liability. A significant increase (decrease) in the discount rate in isolation would result in a substantially lower (higher) fair value measurement of the liability.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TERM LOANS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long-term debt at March 31, 2014 and December 31, 2013 consists of the following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Equipment financing facility, net of unamortized discount of $16 and $31, respectively</w:t>
            </w: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1,277</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term loans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8,677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(3,507)</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 noncurrent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As of March 31, 2014, the Company was a party to three debt agreements: (i) a $50.0 million revolving credit facility (the "Revolver") with Wells Fargo Bank, N.A., (ii) a facility with Hercules Technology Growth Capital, Inc. (“Hercules Facility”) consisting of an initial draw in the amount of $7.4 million under the facility and a commitment to provide an incremental line of credit of up to $15.6 million through March 31, 2014, and (iii) a $5.0 million equipment financing facility, also with Hercules. Each of these debt agreements is described in greater detail in the consolidated financial statements and related notes thereto included in the Company's Annual Report on Form 10-K for the year ended December 31, 2013.</w:t>
      </w:r>
    </w:p>
    <w:p>
      <w:pPr>
        <w:spacing w:after="0" w:line="11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On February 14, 2014, the Company entered into an amendment to the Revolver which extended the maturity date from November 7, 2015 to November 7, 2016. In addition, the amendment lowered the minimum liquidity covenant in undrawn availability from $8.0 million to $5.0 million in cash while maintaining at least $15.0 million of liquidity (defined as the sum of cash and the borrowing base) at all times. To date, the Company has not drawn on the Revolver.</w:t>
      </w:r>
    </w:p>
    <w:p>
      <w:pPr>
        <w:spacing w:after="0" w:line="13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On March 31, 2014, the undrawn $15.6 million incremental line of credit under the Hercules Facility expired in accordance with its terms as the Company elected not to renew this incremental line of credit. As of March 31, 2014, the outstanding principal balance under the Hercules Facility was $7.2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71" w:lineRule="exact"/>
        <w:rPr>
          <w:sz w:val="20"/>
          <w:szCs w:val="20"/>
          <w:color w:val="auto"/>
        </w:rPr>
      </w:pPr>
    </w:p>
    <w:p>
      <w:pPr>
        <w:ind w:right="400" w:firstLine="446"/>
        <w:spacing w:after="0" w:line="289"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—The Company is not currently involved in any material legal proceedings. The Company may become involved in various legal</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and claims that arise in the ordinary course of business. Such matters are subject to uncertainty and there can be no assurance that such legal proceedings will not have a material adverse effect on its business, results of operations, financial position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7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Company has adopted certain equity incentive and stock purchase plans as described in the consolidated financial statements and related notes included in the Company’s Annual Report on Form 10-K for the year ended December 31,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stock option activity for the three months ended March 31, 2014 (in thousands, except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8,509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2014</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8,452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intrinsic value of options exercised in the three months ended March 31, 2014 was $1.1 million. As of March 31, 2014, the intrinsic value of options outstanding was $30.4 million based on the closing price of the Company's stock as of March 31,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restricted stock unit activity for the three months ended March 31, 2014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Restricted Stock 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2014</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00" w:firstLine="432"/>
        <w:spacing w:after="0" w:line="308" w:lineRule="auto"/>
        <w:rPr>
          <w:sz w:val="20"/>
          <w:szCs w:val="20"/>
          <w:color w:val="auto"/>
        </w:rPr>
      </w:pPr>
      <w:r>
        <w:rPr>
          <w:rFonts w:ascii="Arial" w:cs="Arial" w:eastAsia="Arial" w:hAnsi="Arial"/>
          <w:sz w:val="17"/>
          <w:szCs w:val="17"/>
          <w:color w:val="auto"/>
        </w:rPr>
        <w:t>The total fair value of restricted stock units that vested in the three months ended March 31, 2014 was $0.2 million. As of March 31, 2014, the intrinsic value of restricted stock units outstanding was $11.4 million based on the closing price of the Company's stock as of March 31, 2014.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Compensation cost for all stock-based awards expected to vest is measured at fair value on the date of grant and recognized ratably over the requisite service period. The following table summarizes the components of total stock-based compensation expense included </w:t>
      </w:r>
      <w:r>
        <w:rPr>
          <w:rFonts w:ascii="Arial" w:cs="Arial" w:eastAsia="Arial" w:hAnsi="Arial"/>
          <w:sz w:val="18"/>
          <w:szCs w:val="18"/>
          <w:color w:val="010202"/>
        </w:rPr>
        <w:t>in the condensed consolidated statements</w:t>
      </w:r>
      <w:r>
        <w:rPr>
          <w:rFonts w:ascii="Arial" w:cs="Arial" w:eastAsia="Arial" w:hAnsi="Arial"/>
          <w:sz w:val="18"/>
          <w:szCs w:val="18"/>
          <w:color w:val="auto"/>
        </w:rPr>
        <w:t xml:space="preserve"> </w:t>
      </w:r>
      <w:r>
        <w:rPr>
          <w:rFonts w:ascii="Arial" w:cs="Arial" w:eastAsia="Arial" w:hAnsi="Arial"/>
          <w:sz w:val="18"/>
          <w:szCs w:val="18"/>
          <w:color w:val="010202"/>
        </w:rPr>
        <w:t xml:space="preserve">of operations for the periods presented (in </w:t>
      </w:r>
      <w:r>
        <w:rPr>
          <w:rFonts w:ascii="Arial" w:cs="Arial" w:eastAsia="Arial" w:hAnsi="Arial"/>
          <w:sz w:val="18"/>
          <w:szCs w:val="18"/>
          <w:color w:val="000000"/>
        </w:rPr>
        <w:t>thousands):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478</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471</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2,013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stock-based compensation associated with each type of award for the periods presented (in thousands):</w:t>
      </w:r>
    </w:p>
    <w:p>
      <w:pPr>
        <w:spacing w:after="0" w:line="32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150</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2,013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17" w:lineRule="exact"/>
        <w:rPr>
          <w:sz w:val="20"/>
          <w:szCs w:val="20"/>
          <w:color w:val="auto"/>
        </w:rPr>
      </w:pPr>
    </w:p>
    <w:p>
      <w:pPr>
        <w:ind w:left="80" w:right="940" w:firstLine="378"/>
        <w:spacing w:after="0" w:line="277" w:lineRule="auto"/>
        <w:rPr>
          <w:sz w:val="20"/>
          <w:szCs w:val="20"/>
          <w:color w:val="auto"/>
        </w:rPr>
      </w:pPr>
      <w:r>
        <w:rPr>
          <w:rFonts w:ascii="Arial" w:cs="Arial" w:eastAsia="Arial" w:hAnsi="Arial"/>
          <w:sz w:val="18"/>
          <w:szCs w:val="18"/>
          <w:color w:val="010202"/>
        </w:rPr>
        <w:t>The fair value of option awards is estimated on the date of the grant using the Black-Scholes option pricing model with the following input assumptions:</w:t>
      </w:r>
    </w:p>
    <w:p>
      <w:pPr>
        <w:spacing w:after="0" w:line="116" w:lineRule="exact"/>
        <w:rPr>
          <w:sz w:val="20"/>
          <w:szCs w:val="20"/>
          <w:color w:val="auto"/>
        </w:rPr>
      </w:pPr>
    </w:p>
    <w:p>
      <w:pPr>
        <w:ind w:left="880" w:hanging="318"/>
        <w:spacing w:after="0" w:line="308" w:lineRule="auto"/>
        <w:tabs>
          <w:tab w:leader="none" w:pos="880" w:val="left"/>
        </w:tabs>
        <w:numPr>
          <w:ilvl w:val="0"/>
          <w:numId w:val="4"/>
        </w:numPr>
        <w:rPr>
          <w:rFonts w:ascii="Arial" w:cs="Arial" w:eastAsia="Arial" w:hAnsi="Arial"/>
          <w:sz w:val="17"/>
          <w:szCs w:val="17"/>
          <w:i w:val="1"/>
          <w:iCs w:val="1"/>
          <w:color w:val="010202"/>
        </w:rPr>
      </w:pPr>
      <w:r>
        <w:rPr>
          <w:rFonts w:ascii="Arial" w:cs="Arial" w:eastAsia="Arial" w:hAnsi="Arial"/>
          <w:sz w:val="17"/>
          <w:szCs w:val="17"/>
          <w:i w:val="1"/>
          <w:iCs w:val="1"/>
          <w:color w:val="010202"/>
        </w:rPr>
        <w:t>Expected term</w:t>
      </w:r>
      <w:r>
        <w:rPr>
          <w:rFonts w:ascii="Arial" w:cs="Arial" w:eastAsia="Arial" w:hAnsi="Arial"/>
          <w:sz w:val="17"/>
          <w:szCs w:val="17"/>
          <w:color w:val="010202"/>
        </w:rPr>
        <w:t>—The expected term of the option awards represents the period of time between the grant date of the option awards and the date the</w:t>
      </w:r>
      <w:r>
        <w:rPr>
          <w:rFonts w:ascii="Arial" w:cs="Arial" w:eastAsia="Arial" w:hAnsi="Arial"/>
          <w:sz w:val="17"/>
          <w:szCs w:val="17"/>
          <w:i w:val="1"/>
          <w:iCs w:val="1"/>
          <w:color w:val="010202"/>
        </w:rPr>
        <w:t xml:space="preserve"> </w:t>
      </w:r>
      <w:r>
        <w:rPr>
          <w:rFonts w:ascii="Arial" w:cs="Arial" w:eastAsia="Arial" w:hAnsi="Arial"/>
          <w:sz w:val="17"/>
          <w:szCs w:val="17"/>
          <w:color w:val="010202"/>
        </w:rPr>
        <w:t>option awards are either exercised, converted or canceled, including an estimate for those option awards still outstanding.</w:t>
      </w:r>
    </w:p>
    <w:p>
      <w:pPr>
        <w:spacing w:after="0" w:line="92" w:lineRule="exact"/>
        <w:rPr>
          <w:rFonts w:ascii="Arial" w:cs="Arial" w:eastAsia="Arial" w:hAnsi="Arial"/>
          <w:sz w:val="17"/>
          <w:szCs w:val="17"/>
          <w:i w:val="1"/>
          <w:iCs w:val="1"/>
          <w:color w:val="010202"/>
        </w:rPr>
      </w:pPr>
    </w:p>
    <w:p>
      <w:pPr>
        <w:jc w:val="both"/>
        <w:ind w:left="880" w:right="340" w:hanging="318"/>
        <w:spacing w:after="0" w:line="286" w:lineRule="auto"/>
        <w:tabs>
          <w:tab w:leader="none" w:pos="880" w:val="left"/>
        </w:tabs>
        <w:numPr>
          <w:ilvl w:val="0"/>
          <w:numId w:val="4"/>
        </w:numPr>
        <w:rPr>
          <w:rFonts w:ascii="Arial" w:cs="Arial" w:eastAsia="Arial" w:hAnsi="Arial"/>
          <w:sz w:val="17"/>
          <w:szCs w:val="17"/>
          <w:color w:val="010202"/>
        </w:rPr>
      </w:pPr>
      <w:r>
        <w:rPr>
          <w:rFonts w:ascii="Arial" w:cs="Arial" w:eastAsia="Arial" w:hAnsi="Arial"/>
          <w:sz w:val="17"/>
          <w:szCs w:val="17"/>
          <w:i w:val="1"/>
          <w:iCs w:val="1"/>
          <w:color w:val="010202"/>
        </w:rPr>
        <w:t>Expected volatility</w:t>
      </w:r>
      <w:r>
        <w:rPr>
          <w:rFonts w:ascii="Arial" w:cs="Arial" w:eastAsia="Arial" w:hAnsi="Arial"/>
          <w:sz w:val="17"/>
          <w:szCs w:val="17"/>
          <w:color w:val="010202"/>
        </w:rPr>
        <w:t>—The Company uses the simplified method, as permitted by the SEC for companies with a limited history of stock option</w:t>
      </w:r>
      <w:r>
        <w:rPr>
          <w:rFonts w:ascii="Arial" w:cs="Arial" w:eastAsia="Arial" w:hAnsi="Arial"/>
          <w:sz w:val="17"/>
          <w:szCs w:val="17"/>
          <w:i w:val="1"/>
          <w:iCs w:val="1"/>
          <w:color w:val="010202"/>
        </w:rPr>
        <w:t xml:space="preserve"> </w:t>
      </w:r>
      <w:r>
        <w:rPr>
          <w:rFonts w:ascii="Arial" w:cs="Arial" w:eastAsia="Arial" w:hAnsi="Arial"/>
          <w:sz w:val="17"/>
          <w:szCs w:val="17"/>
          <w:color w:val="010202"/>
        </w:rPr>
        <w:t>exercise activity, to determine the expected term for its option grants. Expected stock price volatility is determined based on an average of the historical volatilities of the common stock of several companies with characteristics similar to those of the Company.</w:t>
      </w:r>
    </w:p>
    <w:p>
      <w:pPr>
        <w:spacing w:after="0" w:line="111" w:lineRule="exact"/>
        <w:rPr>
          <w:rFonts w:ascii="Arial" w:cs="Arial" w:eastAsia="Arial" w:hAnsi="Arial"/>
          <w:sz w:val="17"/>
          <w:szCs w:val="17"/>
          <w:color w:val="010202"/>
        </w:rPr>
      </w:pPr>
    </w:p>
    <w:p>
      <w:pPr>
        <w:ind w:left="880" w:right="160" w:hanging="318"/>
        <w:spacing w:after="0" w:line="277" w:lineRule="auto"/>
        <w:tabs>
          <w:tab w:leader="none" w:pos="880" w:val="left"/>
        </w:tabs>
        <w:numPr>
          <w:ilvl w:val="0"/>
          <w:numId w:val="4"/>
        </w:numPr>
        <w:rPr>
          <w:rFonts w:ascii="Arial" w:cs="Arial" w:eastAsia="Arial" w:hAnsi="Arial"/>
          <w:sz w:val="18"/>
          <w:szCs w:val="18"/>
          <w:i w:val="1"/>
          <w:iCs w:val="1"/>
          <w:color w:val="010202"/>
        </w:rPr>
      </w:pPr>
      <w:r>
        <w:rPr>
          <w:rFonts w:ascii="Arial" w:cs="Arial" w:eastAsia="Arial" w:hAnsi="Arial"/>
          <w:sz w:val="18"/>
          <w:szCs w:val="18"/>
          <w:i w:val="1"/>
          <w:iCs w:val="1"/>
          <w:color w:val="010202"/>
        </w:rPr>
        <w:t>Risk-free interest rate</w:t>
      </w:r>
      <w:r>
        <w:rPr>
          <w:rFonts w:ascii="Arial" w:cs="Arial" w:eastAsia="Arial" w:hAnsi="Arial"/>
          <w:sz w:val="18"/>
          <w:szCs w:val="18"/>
          <w:color w:val="010202"/>
        </w:rPr>
        <w:t>—The risk-free interest rate is based on the U.S. Treasury yield curve in effect at the time of grant and with a maturity that</w:t>
      </w:r>
      <w:r>
        <w:rPr>
          <w:rFonts w:ascii="Arial" w:cs="Arial" w:eastAsia="Arial" w:hAnsi="Arial"/>
          <w:sz w:val="18"/>
          <w:szCs w:val="18"/>
          <w:i w:val="1"/>
          <w:iCs w:val="1"/>
          <w:color w:val="010202"/>
        </w:rPr>
        <w:t xml:space="preserve"> </w:t>
      </w:r>
      <w:r>
        <w:rPr>
          <w:rFonts w:ascii="Arial" w:cs="Arial" w:eastAsia="Arial" w:hAnsi="Arial"/>
          <w:sz w:val="18"/>
          <w:szCs w:val="18"/>
          <w:color w:val="010202"/>
        </w:rPr>
        <w:t>approximates our expected term.</w:t>
      </w:r>
    </w:p>
    <w:p>
      <w:pPr>
        <w:spacing w:after="0" w:line="116" w:lineRule="exact"/>
        <w:rPr>
          <w:rFonts w:ascii="Arial" w:cs="Arial" w:eastAsia="Arial" w:hAnsi="Arial"/>
          <w:sz w:val="18"/>
          <w:szCs w:val="18"/>
          <w:i w:val="1"/>
          <w:iCs w:val="1"/>
          <w:color w:val="010202"/>
        </w:rPr>
      </w:pPr>
    </w:p>
    <w:p>
      <w:pPr>
        <w:ind w:left="880" w:hanging="318"/>
        <w:spacing w:after="0"/>
        <w:tabs>
          <w:tab w:leader="none" w:pos="880" w:val="left"/>
        </w:tabs>
        <w:numPr>
          <w:ilvl w:val="0"/>
          <w:numId w:val="4"/>
        </w:numPr>
        <w:rPr>
          <w:rFonts w:ascii="Arial" w:cs="Arial" w:eastAsia="Arial" w:hAnsi="Arial"/>
          <w:sz w:val="18"/>
          <w:szCs w:val="18"/>
          <w:i w:val="1"/>
          <w:iCs w:val="1"/>
          <w:color w:val="010202"/>
        </w:rPr>
      </w:pPr>
      <w:r>
        <w:rPr>
          <w:rFonts w:ascii="Arial" w:cs="Arial" w:eastAsia="Arial" w:hAnsi="Arial"/>
          <w:sz w:val="18"/>
          <w:szCs w:val="18"/>
          <w:i w:val="1"/>
          <w:iCs w:val="1"/>
          <w:color w:val="010202"/>
        </w:rPr>
        <w:t>Dividend yield</w:t>
      </w:r>
      <w:r>
        <w:rPr>
          <w:rFonts w:ascii="Arial" w:cs="Arial" w:eastAsia="Arial" w:hAnsi="Arial"/>
          <w:sz w:val="18"/>
          <w:szCs w:val="18"/>
          <w:color w:val="010202"/>
        </w:rPr>
        <w:t>—The dividend yield is based on our dividend history and the anticipated dividend payout over our expected term.</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weighted-average assumptions used to estimate the fair values of the stock options granted in the periods presented</w:t>
      </w:r>
    </w:p>
    <w:p>
      <w:pPr>
        <w:spacing w:after="0" w:line="348"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13335</wp:posOffset>
            </wp:positionV>
            <wp:extent cx="1475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7"/>
        </w:trPr>
        <w:tc>
          <w:tcPr>
            <w:tcW w:w="9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risk-free rate of return</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9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2.85</w:t>
            </w:r>
          </w:p>
        </w:tc>
      </w:tr>
      <w:tr>
        <w:trPr>
          <w:trHeight w:val="27"/>
        </w:trPr>
        <w:tc>
          <w:tcPr>
            <w:tcW w:w="9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restricted stock units granted is determined based on the price of the Company's common stock on the date of grant.</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March 31, 2014, there was approximately $20.8 million of total unrecognized compensation cost related to unvested equity awards expected to be recognized over a weighted-average period of 3.0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No provision for U.S. federal or state income taxes has been made due to cumulative losses since the commencement of operations. The Company had a provision for income taxes of $109,000 and $182,000 for the three months ended March 31, 2014 and 2013, respectively. The provision relates to the Company's subsidiaries located outside of the United States.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computation of basic and diluted net loss per share (in thousands, except per share data):</w:t>
      </w:r>
    </w:p>
    <w:p>
      <w:pPr>
        <w:spacing w:after="0" w:line="271"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13335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0"/>
        </w:trPr>
        <w:tc>
          <w:tcPr>
            <w:tcW w:w="93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9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(10,406)</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9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9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number of common shares outstanding</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41,149</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9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As the Company incurred a net loss for all periods presented, potential dilutive securities from employee stock options, restricted stock units and warrants have been excluded from the diluted net loss per share computations because the effect of including such shares would have been anti-dilutive. The following table sets forth the potentially dilutive securities excluded from the computation of the diluted net loss per share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42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40" w:type="dxa"/>
            <w:vAlign w:val="bottom"/>
            <w:tcBorders>
              <w:bottom w:val="single" w:sz="8" w:color="CCEEFF"/>
            </w:tcBorders>
          </w:tcPr>
          <w:p>
            <w:pPr>
              <w:spacing w:after="0"/>
              <w:rPr>
                <w:sz w:val="22"/>
                <w:szCs w:val="22"/>
                <w:color w:val="auto"/>
              </w:rPr>
            </w:pPr>
          </w:p>
        </w:tc>
        <w:tc>
          <w:tcPr>
            <w:tcW w:w="52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options</w:t>
            </w:r>
          </w:p>
        </w:tc>
        <w:tc>
          <w:tcPr>
            <w:tcW w:w="62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8,489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7,908</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6260" w:type="dxa"/>
            <w:vAlign w:val="bottom"/>
            <w:gridSpan w:val="2"/>
          </w:tcPr>
          <w:p>
            <w:pPr>
              <w:jc w:val="right"/>
              <w:ind w:right="41"/>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5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7"/>
        </w:trPr>
        <w:tc>
          <w:tcPr>
            <w:tcW w:w="4140" w:type="dxa"/>
            <w:vAlign w:val="bottom"/>
          </w:tcPr>
          <w:p>
            <w:pPr>
              <w:ind w:left="380"/>
              <w:spacing w:after="0"/>
              <w:rPr>
                <w:sz w:val="20"/>
                <w:szCs w:val="20"/>
                <w:color w:val="auto"/>
              </w:rPr>
            </w:pPr>
            <w:r>
              <w:rPr>
                <w:rFonts w:ascii="Arial" w:cs="Arial" w:eastAsia="Arial" w:hAnsi="Arial"/>
                <w:sz w:val="18"/>
                <w:szCs w:val="18"/>
                <w:color w:val="auto"/>
              </w:rPr>
              <w:t>Total</w:t>
            </w:r>
          </w:p>
        </w:tc>
        <w:tc>
          <w:tcPr>
            <w:tcW w:w="5220" w:type="dxa"/>
            <w:vAlign w:val="bottom"/>
          </w:tcPr>
          <w:p>
            <w:pPr>
              <w:spacing w:after="0"/>
              <w:rPr>
                <w:sz w:val="20"/>
                <w:szCs w:val="20"/>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9,514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5220" w:type="dxa"/>
            <w:vAlign w:val="bottom"/>
            <w:vMerge w:val="restart"/>
          </w:tcPr>
          <w:p>
            <w:pPr>
              <w:jc w:val="right"/>
              <w:ind w:right="3470"/>
              <w:spacing w:after="0"/>
              <w:rPr>
                <w:sz w:val="20"/>
                <w:szCs w:val="20"/>
                <w:color w:val="auto"/>
              </w:rPr>
            </w:pPr>
            <w:r>
              <w:rPr>
                <w:rFonts w:ascii="Arial" w:cs="Arial" w:eastAsia="Arial" w:hAnsi="Arial"/>
                <w:sz w:val="18"/>
                <w:szCs w:val="18"/>
                <w:color w:val="auto"/>
              </w:rPr>
              <w:t>13</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22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4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condensed consolidated financial statements and the other financial information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We deliver microinverter technology for the solar industry that increases energy production, simplifies design and installation, improves system uptime and reliability, reduces fire safety risk and provides a platform for intelligent energy management. We were founded in March 2006 and have grown rapidly to become the market leader in the microinverter category. Since our first commercial shipment in mid-2008, we have sold over 5,100,000 microinverters as of March 31, 2014. Our sales efforts are focused in the United States, Canada, France, the United Kingdom, Italy, Belgium, Luxembourg, the Netherlands, Switzerland and Australia.</w:t>
      </w:r>
    </w:p>
    <w:p>
      <w:pPr>
        <w:spacing w:after="0" w:line="134" w:lineRule="exact"/>
        <w:rPr>
          <w:sz w:val="20"/>
          <w:szCs w:val="20"/>
          <w:color w:val="auto"/>
        </w:rPr>
      </w:pPr>
    </w:p>
    <w:p>
      <w:pPr>
        <w:ind w:right="520" w:firstLine="446"/>
        <w:spacing w:after="0" w:line="277"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171"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We generate revenues from sales of our microinverter systems, which include microinverter units and related accessories, an Envoy communications gateway device, and our Enlighten web-based monitoring service.</w:t>
      </w:r>
    </w:p>
    <w:p>
      <w:pPr>
        <w:spacing w:after="0" w:line="116"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Our revenue is affected by changes in the volume and average selling prices of our microinverter systems, driven by supply and demand, sales incentives, and competitive product offerings. Our revenue growth is dependent on our ability to market our products in a manner that increases awareness for microinverter technology, the continual development and introduction of new products to meet the changing technology and performance requirements of our customers, and the expansion of our customer base.</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71" w:lineRule="exact"/>
        <w:rPr>
          <w:sz w:val="20"/>
          <w:szCs w:val="20"/>
          <w:color w:val="auto"/>
        </w:rPr>
      </w:pPr>
    </w:p>
    <w:p>
      <w:pPr>
        <w:ind w:right="40" w:firstLine="446"/>
        <w:spacing w:after="0" w:line="302" w:lineRule="auto"/>
        <w:rPr>
          <w:sz w:val="20"/>
          <w:szCs w:val="20"/>
          <w:color w:val="auto"/>
        </w:rPr>
      </w:pPr>
      <w:r>
        <w:rPr>
          <w:rFonts w:ascii="Arial" w:cs="Arial" w:eastAsia="Arial" w:hAnsi="Arial"/>
          <w:sz w:val="16"/>
          <w:szCs w:val="16"/>
          <w:color w:val="auto"/>
        </w:rPr>
        <w:t>Cost of revenues is comprised primarily of product costs, warranty, purchasing and production planning personnel and related expenses, logistics costs, depreciation on manufacturing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on manufacturing test equipment, are not directly affected by sales volume.</w:t>
      </w:r>
    </w:p>
    <w:p>
      <w:pPr>
        <w:spacing w:after="0" w:line="100" w:lineRule="exact"/>
        <w:rPr>
          <w:sz w:val="20"/>
          <w:szCs w:val="20"/>
          <w:color w:val="auto"/>
        </w:rPr>
      </w:pPr>
    </w:p>
    <w:p>
      <w:pPr>
        <w:ind w:right="280" w:firstLine="446"/>
        <w:spacing w:after="0" w:line="279" w:lineRule="auto"/>
        <w:rPr>
          <w:sz w:val="20"/>
          <w:szCs w:val="20"/>
          <w:color w:val="auto"/>
        </w:rPr>
      </w:pPr>
      <w:r>
        <w:rPr>
          <w:rFonts w:ascii="Arial" w:cs="Arial" w:eastAsia="Arial" w:hAnsi="Arial"/>
          <w:sz w:val="17"/>
          <w:szCs w:val="17"/>
          <w:color w:val="auto"/>
        </w:rPr>
        <w:t>We outsource our manufacturing to third-party contract manufacturers and generally negotiate product pricing with them on a quarterly basis. In addition, a contract manufacturer also serves as our logistics provider by warehousing and delivering our products. We believe our contract manufacturing partners have sufficient production capacity to meet the growing demand for our products for the foreseeable future. However, shortages in the supply of certain key raw materials could adversely affect our ability to meet customer demand for our products.</w:t>
      </w:r>
    </w:p>
    <w:p>
      <w:pPr>
        <w:spacing w:after="0" w:line="11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changes in estimates to pre-existing warranties and sales volume fluctuations resulting from seasonality.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right="140" w:firstLine="446"/>
        <w:spacing w:after="0" w:line="302" w:lineRule="auto"/>
        <w:rPr>
          <w:sz w:val="20"/>
          <w:szCs w:val="20"/>
          <w:color w:val="auto"/>
        </w:rPr>
      </w:pPr>
      <w:r>
        <w:rPr>
          <w:rFonts w:ascii="Arial" w:cs="Arial" w:eastAsia="Arial" w:hAnsi="Arial"/>
          <w:sz w:val="16"/>
          <w:szCs w:val="16"/>
          <w:color w:val="auto"/>
        </w:rPr>
        <w:t>Operating expenses consist of research and development, sales and marketing and general and administrative expenses. Personnel-related costs are the most significant component of each of these expense categories and include salaries, benefits, payroll taxes, recruiting costs, sales commissions and stock-based compensation. We believe the investments we have made in our corporate infrastructure will enable us to deliver higher levels of net revenues without proportionate increases in research and development, sales and marketing, and general and administrative expenses.</w:t>
      </w:r>
    </w:p>
    <w:p>
      <w:pPr>
        <w:spacing w:after="0" w:line="100" w:lineRule="exact"/>
        <w:rPr>
          <w:sz w:val="20"/>
          <w:szCs w:val="20"/>
          <w:color w:val="auto"/>
        </w:rPr>
      </w:pPr>
    </w:p>
    <w:p>
      <w:pPr>
        <w:ind w:right="220" w:firstLine="446"/>
        <w:spacing w:after="0" w:line="259" w:lineRule="auto"/>
        <w:rPr>
          <w:sz w:val="20"/>
          <w:szCs w:val="20"/>
          <w:color w:val="auto"/>
        </w:rPr>
      </w:pPr>
      <w:r>
        <w:rPr>
          <w:rFonts w:ascii="Arial" w:cs="Arial" w:eastAsia="Arial" w:hAnsi="Arial"/>
          <w:sz w:val="18"/>
          <w:szCs w:val="18"/>
          <w:color w:val="auto"/>
        </w:rPr>
        <w:t>Research and development expense includes personnel-related expenses such as salaries, stock-based compensation and employee benefits. Research and development employees are engaged in the design and development of power electronics, semiconductors, powerline communications and networking and software functionality. Research and development expense also includes third-party design and development costs, testing and evaluation costs, depreciation on research and development related equipment and other indirect costs.</w:t>
      </w:r>
    </w:p>
    <w:p>
      <w:pPr>
        <w:spacing w:after="0" w:line="133"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Sales and marketing expense consists primarily of personnel-related expenses such as salaries, commissions, stock-based compensation, employee benefits and travel. It also includes trade shows, marketing, customer support and other indirect costs.</w:t>
      </w:r>
    </w:p>
    <w:p>
      <w:pPr>
        <w:spacing w:after="0" w:line="130" w:lineRule="exact"/>
        <w:rPr>
          <w:sz w:val="20"/>
          <w:szCs w:val="20"/>
          <w:color w:val="auto"/>
        </w:rPr>
      </w:pPr>
    </w:p>
    <w:p>
      <w:pPr>
        <w:ind w:right="280" w:firstLine="446"/>
        <w:spacing w:after="0" w:line="312" w:lineRule="auto"/>
        <w:rPr>
          <w:sz w:val="20"/>
          <w:szCs w:val="20"/>
          <w:color w:val="auto"/>
        </w:rPr>
      </w:pPr>
      <w:r>
        <w:rPr>
          <w:rFonts w:ascii="Arial" w:cs="Arial" w:eastAsia="Arial" w:hAnsi="Arial"/>
          <w:sz w:val="16"/>
          <w:szCs w:val="16"/>
          <w:color w:val="auto"/>
        </w:rPr>
        <w:t>General and administrative expense consists primarily of salaries, stock-based compensation and employee benefits for personnel related to our executive, finance, human resources, information technology and legal organizations. General and administrative expense also includes facilities costs and fees for professional services. Professional services consist primarily of outside legal, accounting and information technology consulting costs.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Other income (expense), net includes interest income on invested cash balances and interest expense on amounts outstanding under our credit facilities and non-cash interest expense related to the amortization of debt discounts and deferred financing costs. Other income (expense), net also includes transaction gains and losses arising from transactions denominated in a currency other than the functional currency of the entity involved, as well as from foreign currency forward contracts.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vast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We have not recorded any U.S. federal or state income tax provision for any of the periods presented because we have experienced operating losses since inception. The provision for income taxes related to our foreign operations was not material for all periods presented. Due to the history of losses we have generated since inception, we have recorded a full valuation allowance on our net deferred tax assets.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2014 and 2013</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40" w:type="dxa"/>
            <w:vAlign w:val="bottom"/>
            <w:gridSpan w:val="4"/>
          </w:tcPr>
          <w:p>
            <w:pPr>
              <w:jc w:val="right"/>
              <w:ind w:right="782"/>
              <w:spacing w:after="0"/>
              <w:rPr>
                <w:sz w:val="20"/>
                <w:szCs w:val="20"/>
                <w:color w:val="auto"/>
              </w:rPr>
            </w:pPr>
            <w:r>
              <w:rPr>
                <w:rFonts w:ascii="Arial" w:cs="Arial" w:eastAsia="Arial" w:hAnsi="Arial"/>
                <w:sz w:val="14"/>
                <w:szCs w:val="14"/>
                <w:b w:val="1"/>
                <w:bCs w:val="1"/>
                <w:color w:val="auto"/>
                <w:w w:val="99"/>
              </w:rPr>
              <w:t>(dollars in thousands)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57,580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45,577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12,003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2014 and 2013</w:t>
      </w:r>
    </w:p>
    <w:p>
      <w:pPr>
        <w:spacing w:after="0" w:line="171"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Net revenues increased by 26% for the three months ended March 31, 2014, as compared to the same period in 2013, due to higher volume of microinverter systems sold. We sold 423,000 microinverter units in the three months ended March 31, 2014, compared to 315,000 units in the same period in 2013. The favorable impact of the higher volume was partially offset by a decline in the average selling price of our products.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8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w w:val="97"/>
              </w:rPr>
              <w:t>(dollars in thousands)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38,925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98"/>
              </w:rPr>
              <w:t>33,376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rPr>
              <w:t>5,549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880" w:type="dxa"/>
            <w:vAlign w:val="bottom"/>
          </w:tcPr>
          <w:p>
            <w:pPr>
              <w:jc w:val="right"/>
              <w:ind w:right="139"/>
              <w:spacing w:after="0"/>
              <w:rPr>
                <w:sz w:val="20"/>
                <w:szCs w:val="20"/>
                <w:color w:val="auto"/>
              </w:rPr>
            </w:pPr>
            <w:r>
              <w:rPr>
                <w:rFonts w:ascii="Arial" w:cs="Arial" w:eastAsia="Arial" w:hAnsi="Arial"/>
                <w:sz w:val="18"/>
                <w:szCs w:val="18"/>
                <w:color w:val="auto"/>
              </w:rPr>
              <w:t>18,655</w:t>
            </w:r>
          </w:p>
        </w:tc>
        <w:tc>
          <w:tcPr>
            <w:tcW w:w="420" w:type="dxa"/>
            <w:vAlign w:val="bottom"/>
          </w:tcPr>
          <w:p>
            <w:pPr>
              <w:spacing w:after="0"/>
              <w:rPr>
                <w:sz w:val="21"/>
                <w:szCs w:val="21"/>
                <w:color w:val="auto"/>
              </w:rPr>
            </w:pPr>
          </w:p>
        </w:tc>
        <w:tc>
          <w:tcPr>
            <w:tcW w:w="760" w:type="dxa"/>
            <w:vAlign w:val="bottom"/>
          </w:tcPr>
          <w:p>
            <w:pPr>
              <w:jc w:val="right"/>
              <w:ind w:right="117"/>
              <w:spacing w:after="0"/>
              <w:rPr>
                <w:sz w:val="20"/>
                <w:szCs w:val="20"/>
                <w:color w:val="auto"/>
              </w:rPr>
            </w:pPr>
            <w:r>
              <w:rPr>
                <w:rFonts w:ascii="Arial" w:cs="Arial" w:eastAsia="Arial" w:hAnsi="Arial"/>
                <w:sz w:val="18"/>
                <w:szCs w:val="18"/>
                <w:color w:val="auto"/>
                <w:w w:val="98"/>
              </w:rPr>
              <w:t>12,201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519"/>
              <w:spacing w:after="0"/>
              <w:rPr>
                <w:sz w:val="20"/>
                <w:szCs w:val="20"/>
                <w:color w:val="auto"/>
              </w:rPr>
            </w:pPr>
            <w:r>
              <w:rPr>
                <w:rFonts w:ascii="Arial" w:cs="Arial" w:eastAsia="Arial" w:hAnsi="Arial"/>
                <w:sz w:val="18"/>
                <w:szCs w:val="18"/>
                <w:color w:val="auto"/>
              </w:rPr>
              <w:t>6,454</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2014 and 2013</w:t>
      </w:r>
    </w:p>
    <w:p>
      <w:pPr>
        <w:spacing w:after="0" w:line="171"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Cost of revenues for the three months ended March 31, 2014 increased by 17% as compared to the same period in 2013, while net revenues increased by 26%. Gross margin increased by 5.6 percentage points to 32.4% for the three months ended March 31, 2014, as compared to 26.8% for the same period in 2014, primarily due to a lower cost per microinverter unit, product mix and lower warranty expense. The lower cost per microinverter unit was achieved through higher production efficiencies. Gross margin for the three months ended March 31, 2014 benefited from the favorable impact from measuring our warranty obligations related to microinverters sold since January 1, 2014 at fair value, which improved gross margin by approximately one percentage point. Costs of revenues for the three months ended March 31, 2014 and 2013 included warranty expense of $1.4 million and $2.1 million, respectively, resulting from net changes in estimates, which reduced gross margin by approximately 2.4 and 4.5 percentage points, respectively. See Note 3 to the Condensed Consolidated Financial Statements.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w w:val="97"/>
              </w:rPr>
              <w:t>(dollars in thousands)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9,086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9,026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8"/>
                <w:szCs w:val="18"/>
                <w:color w:val="auto"/>
              </w:rPr>
              <w:t>60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Percentage of net revenues</w:t>
            </w:r>
          </w:p>
        </w:tc>
        <w:tc>
          <w:tcPr>
            <w:tcW w:w="28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2014 and 2013</w:t>
      </w:r>
    </w:p>
    <w:p>
      <w:pPr>
        <w:spacing w:after="0" w:line="171"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Research and development expenses for the three months ended March 31, 2014 remained flat over the same period in 2013 as a $0.4 million increase in personnel-related expenses was offset by a decrease in the use of outside services. The amount of research and development expenses may fluctuate from period to period due to the differing levels and stages of development activity. We currently expect research and development expenses to increase for the remainder of 2014 as we continue to invest in product development and enhancements.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2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8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w w:val="97"/>
              </w:rPr>
              <w:t>(dollars in thousands)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8,828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6,850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8"/>
                <w:szCs w:val="18"/>
                <w:color w:val="auto"/>
              </w:rPr>
              <w:t>1,978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Percentage of net revenues</w:t>
            </w:r>
          </w:p>
        </w:tc>
        <w:tc>
          <w:tcPr>
            <w:tcW w:w="2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2014 and 2013</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Sales and marketing expenses for the three months ended March 31, 2014, increased by 29%, or $2.0 million, as compared to the same period in 2013. The increase was primarily attributable to an increase in headcount related to the expansion of our United Kingdom and Australian offices. We currently expect sales and marketing expenses to increase for the remainder of 2014 as we hire additional personnel both in the United States and internationally to support our anticipated revenue growth.</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w w:val="97"/>
              </w:rPr>
              <w:t>(dollars in thousands)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6,526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6,036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8"/>
                <w:szCs w:val="18"/>
                <w:color w:val="auto"/>
              </w:rPr>
              <w:t>490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Percentage of net revenues</w:t>
            </w:r>
          </w:p>
        </w:tc>
        <w:tc>
          <w:tcPr>
            <w:tcW w:w="28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2014 and 2013</w:t>
      </w:r>
    </w:p>
    <w:p>
      <w:pPr>
        <w:spacing w:after="0" w:line="171" w:lineRule="exact"/>
        <w:rPr>
          <w:sz w:val="20"/>
          <w:szCs w:val="20"/>
          <w:color w:val="auto"/>
        </w:rPr>
      </w:pPr>
    </w:p>
    <w:p>
      <w:pPr>
        <w:jc w:val="both"/>
        <w:ind w:right="220" w:firstLine="432"/>
        <w:spacing w:after="0" w:line="312" w:lineRule="auto"/>
        <w:rPr>
          <w:sz w:val="20"/>
          <w:szCs w:val="20"/>
          <w:color w:val="auto"/>
        </w:rPr>
      </w:pPr>
      <w:r>
        <w:rPr>
          <w:rFonts w:ascii="Arial" w:cs="Arial" w:eastAsia="Arial" w:hAnsi="Arial"/>
          <w:sz w:val="16"/>
          <w:szCs w:val="16"/>
          <w:color w:val="auto"/>
        </w:rPr>
        <w:t>General and administrative expenses for the three months ended March 31, 2014 increased by 8%, or $0.5 million, as compared to the same period in 2013. The increase was primarily attributable to personnel-related costs and an increase in the use of professional services. We currently expect general and administrative expenses to increase for the remainder of 2014 as we continue to build our infrastructure to support our anticipated growth.</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600" w:type="dxa"/>
            <w:vAlign w:val="bottom"/>
          </w:tcPr>
          <w:p>
            <w:pPr>
              <w:spacing w:after="0"/>
              <w:rPr>
                <w:sz w:val="14"/>
                <w:szCs w:val="14"/>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left="404"/>
              <w:spacing w:after="0"/>
              <w:rPr>
                <w:sz w:val="20"/>
                <w:szCs w:val="20"/>
                <w:color w:val="auto"/>
              </w:rPr>
            </w:pPr>
            <w:r>
              <w:rPr>
                <w:rFonts w:ascii="Arial" w:cs="Arial" w:eastAsia="Arial" w:hAnsi="Arial"/>
                <w:sz w:val="14"/>
                <w:szCs w:val="14"/>
                <w:b w:val="1"/>
                <w:bCs w:val="1"/>
                <w:color w:val="auto"/>
                <w:w w:val="99"/>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80" w:type="dxa"/>
            <w:vAlign w:val="bottom"/>
            <w:gridSpan w:val="4"/>
          </w:tcPr>
          <w:p>
            <w:pPr>
              <w:jc w:val="right"/>
              <w:ind w:right="799"/>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(342)</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171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2014 and 2013</w:t>
      </w:r>
    </w:p>
    <w:p>
      <w:pPr>
        <w:spacing w:after="0" w:line="171" w:lineRule="exact"/>
        <w:rPr>
          <w:sz w:val="20"/>
          <w:szCs w:val="20"/>
          <w:color w:val="auto"/>
        </w:rPr>
      </w:pPr>
    </w:p>
    <w:p>
      <w:pPr>
        <w:ind w:right="800" w:firstLine="432"/>
        <w:spacing w:after="0" w:line="308" w:lineRule="auto"/>
        <w:rPr>
          <w:sz w:val="20"/>
          <w:szCs w:val="20"/>
          <w:color w:val="auto"/>
        </w:rPr>
      </w:pPr>
      <w:r>
        <w:rPr>
          <w:rFonts w:ascii="Arial" w:cs="Arial" w:eastAsia="Arial" w:hAnsi="Arial"/>
          <w:sz w:val="17"/>
          <w:szCs w:val="17"/>
          <w:color w:val="auto"/>
        </w:rPr>
        <w:t>Other expense, net, for the three months ended March 31, 2014 decreased by $0.2 million, as compared to the same period in 2013, primarily attributable to favorable foreign currency exchange movements associated with transactions denominated in foreign currencies.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Historically, we funded our operations with proceeds from sale of our equity securities and borrowings from term loans. Our primary uses of cash are operating costs, working capital needs, capital expenditures and debt service requirements. Our future capital requirements are affected by many factors, including our rate of revenue growth; the expansion of our sales and marketing activities; the timing and extent of spending to support product development efforts; and the timing of introductions of new products and enhancements to existing products.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March 31, 2014, we had $39.9 million in cash and cash equivalents, which are held primarily in non-interest bearing checking accounts,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$52.7 million in working capital. We believe our current cash and cash equivalents, together with borrowings available under our working capital facility,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adequate to fund our debt obligations as well as our planned capital expenditures and operations over the next 12 months. If additional sources of liquidity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needed, we may consider new debt or equity offerings, but there is no assurance that such transactions could be consummated on acceptable terms or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Failure to raise sufficient capital when needed could have a material adverse effect on our business, results of operations and financial position.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2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4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46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21"/>
                <w:szCs w:val="21"/>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462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4,281</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(6,972)</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(2,172)</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(1,682)</w:t>
            </w:r>
          </w:p>
        </w:tc>
      </w:tr>
      <w:tr>
        <w:trPr>
          <w:trHeight w:val="27"/>
        </w:trPr>
        <w:tc>
          <w:tcPr>
            <w:tcW w:w="46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7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459"/>
        </w:trPr>
        <w:tc>
          <w:tcPr>
            <w:tcW w:w="4640" w:type="dxa"/>
            <w:vAlign w:val="bottom"/>
          </w:tcPr>
          <w:p>
            <w:pPr>
              <w:spacing w:after="0"/>
              <w:rPr>
                <w:sz w:val="24"/>
                <w:szCs w:val="24"/>
                <w:color w:val="auto"/>
              </w:rPr>
            </w:pPr>
          </w:p>
        </w:tc>
        <w:tc>
          <w:tcPr>
            <w:tcW w:w="3700" w:type="dxa"/>
            <w:vAlign w:val="bottom"/>
          </w:tcPr>
          <w:p>
            <w:pPr>
              <w:jc w:val="right"/>
              <w:ind w:right="2456"/>
              <w:spacing w:after="0"/>
              <w:rPr>
                <w:sz w:val="20"/>
                <w:szCs w:val="20"/>
                <w:color w:val="auto"/>
              </w:rPr>
            </w:pPr>
            <w:r>
              <w:rPr>
                <w:rFonts w:ascii="Arial" w:cs="Arial" w:eastAsia="Arial" w:hAnsi="Arial"/>
                <w:sz w:val="18"/>
                <w:szCs w:val="18"/>
                <w:color w:val="auto"/>
              </w:rPr>
              <w:t>17</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For the three months ended March 31, 2014, net cash provided by operating activities of $4.3 million was primarily attributable to changes in our operating assets and liabilities of $6.5 million and non-cash charges of $4.0 million, offset by a net loss of $6.2 million. The increase in cash provided by operating assets and liabilities was primarily attributable to a decrease of $3.6 million in accounts receivable, a $2.5 million decrease in inventory and a $1.2 million increase in accounts payable, accrued compensation and other accrued liabilities, offset by a $1.0 million increase in prepaids and other assets. The decrease in accounts receivable was due to seasonality in our revenue profile, as revenue is typically lower in the first quarter than in the fourth quarter of the previous year. Inventory decreased as a result of the timing of receipt of finished goods from our key contract manufacturer. The increase in accounts payable and other accrued liabilities was due to the timing of vendor payments as well as an increase in sales incentive programs offered to our customers. The increase in other assets include replacement units on-hand for use in servicing our warranty obligations. Non-cash charges for the three months ended March 31, 2014 include stock compensation expense of $2.0 million and depreciation and amortization expense of $1.9 million.</w:t>
      </w:r>
    </w:p>
    <w:p>
      <w:pPr>
        <w:spacing w:after="0" w:line="113"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For the three months ended March 31, 2013, net cash used in operating activities of $7.0 million was primarily attributable to a net loss of $10.4 million, which was offset by non-cash charges of $1.7 million in depreciation and amortization, and $1.4 million in stock-based compensation. The impact on operating cash flow from net changes in operating assets and liabilities was not material. Sources of cash totaled $3.8 million resulting from a $2.8 million decrease in accounts receivable and a $1.0 million increase in deferred revenues. The decrease in accounts receivable was primarily due to a lower sales volume in the seasonally soft first quarter of 2013 as compared to the fourth quarter of 2012. The increase in deferred revenues relates to sales of our Enlighten web-based monitoring service. Uses of cash included a $2.5 million increase in inventory purchases and a $0.4 million increase in prepaid expenses and other assets. In addition, a decrease in accounts payable, accrued and other liabilities due to timing of vendor payments used cash of $0.8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For the three months ended March 31, 2014, net cash used in investing activities was $2.2 million, primarily as a result of purchases of test and assembly equipment as well as additions to internally developed software.</w:t>
      </w:r>
    </w:p>
    <w:p>
      <w:pPr>
        <w:spacing w:after="0" w:line="116"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For the three months ended March 31, 2013, net cash used in investing activities was $1.7 million, primarily as a result of purchases of test and assembly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For the three months ended March 31, 2014, net cash used in financing activities was $0.4 million and was attributable to $0.9 million in principal repayments of our term loans, offset by $0.5 million in proceeds from employee option exercises and employee stock purchases.</w:t>
      </w:r>
    </w:p>
    <w:p>
      <w:pPr>
        <w:spacing w:after="0" w:line="9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For the three months ended March 31, 2013, net cash used in financing activities was $28,000 and consisted of $0.6 million in principal repayments of term loans, offset by $0.6 million in proceeds from employee option exercises and employee stock purchases.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Agreements</w:t>
      </w:r>
    </w:p>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of March 31, 2014, we were a party to three debt agreements: (i) a $50.0 million revolving credit facility (the "Revolver") with Wells Fargo Bank, N.A., (ii) a facility with Hercules Technology Growth Capital, Inc. (“Hercules Facility”) consisting of an initial draw in the amount of $7.4 million under the facility and a commitment to provide an incremental line of credit of up to $15.6 million through March 31, 2014, and (iii) a $5.0 million equipment financing facility, also with Hercules. Each of these debt agreements is described in greater detail in the consolidated financial statements and related notes thereto included in our Annual Report on Form 10-K for the year ended December 31, 2013.</w:t>
      </w:r>
    </w:p>
    <w:p>
      <w:pPr>
        <w:spacing w:after="0" w:line="134"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On February 14, 2014, we entered into an amendment to the Revolver which extended the maturity date from November 7, 2015 to November 7, 2016. In addition, the amendment lowered the minimum liquidity covenant in undrawn availability from $8.0 million to $5.0 million in cash while maintaining at least $15.0 million of liquidity (defined as the sum of cash and the borrowing base) at all times. To date, we have not drawn on the Revolver.</w:t>
      </w:r>
    </w:p>
    <w:p>
      <w:pPr>
        <w:spacing w:after="0" w:line="93"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On March 31, 2014, the undrawn $15.6 million incremental line of credit under the Hercules Facility expired in accordance with its terms as we elected not to renew the incremental line of credit. As of March 31, 2014, the outstanding principal balance under the Hercules Facility was $7.2 million.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Our contractual obligations as of March 31, 2014 have not materially changed from the amounts set forth in our Annual Report on Form 10-K for the year ended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we did not have any off-balance sheet arrangements, as defined in Item 303(a)(4)(ii) of SEC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7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1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We consider an accounting policy to be critical if it is important to our financial condition and results of operations, and if it entails significant judgment, subjectivity and complexity on the part of management in its application. Management believes that other than the election to account for all eligible warranty obligations associated with microinverters sold since January 1, 2014 at fair value, there have been no significant changes during the three months ended March 31, 2014 to the items that we disclosed as our critical accounting policies and estimates in Management's Discussion and Analysis of Financial Condition and Results of Operations in our Annual Report on Form 10-K for the year ended December 31,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 for Microinverters Sold Since January 1, 2014</w:t>
      </w:r>
    </w:p>
    <w:p>
      <w:pPr>
        <w:spacing w:after="0" w:line="171" w:lineRule="exact"/>
        <w:rPr>
          <w:sz w:val="20"/>
          <w:szCs w:val="20"/>
          <w:color w:val="auto"/>
        </w:rPr>
      </w:pPr>
    </w:p>
    <w:p>
      <w:pPr>
        <w:ind w:right="240" w:firstLine="446"/>
        <w:spacing w:after="0" w:line="297" w:lineRule="auto"/>
        <w:rPr>
          <w:sz w:val="20"/>
          <w:szCs w:val="20"/>
          <w:color w:val="auto"/>
        </w:rPr>
      </w:pPr>
      <w:r>
        <w:rPr>
          <w:rFonts w:ascii="Arial" w:cs="Arial" w:eastAsia="Arial" w:hAnsi="Arial"/>
          <w:sz w:val="16"/>
          <w:szCs w:val="16"/>
          <w:color w:val="auto"/>
        </w:rPr>
        <w:t>Our warranty obligations related to microinverters sold since January 1, 2014 provide us the right, but not the requirement, to assign our warranty obligations to a third-party. Under Accounting Standards Codification ("ASC") 825—</w:t>
      </w:r>
      <w:r>
        <w:rPr>
          <w:rFonts w:ascii="Arial" w:cs="Arial" w:eastAsia="Arial" w:hAnsi="Arial"/>
          <w:sz w:val="16"/>
          <w:szCs w:val="16"/>
          <w:i w:val="1"/>
          <w:iCs w:val="1"/>
          <w:color w:val="auto"/>
        </w:rPr>
        <w:t>Financial Instruments</w:t>
      </w:r>
      <w:r>
        <w:rPr>
          <w:rFonts w:ascii="Arial" w:cs="Arial" w:eastAsia="Arial" w:hAnsi="Arial"/>
          <w:sz w:val="16"/>
          <w:szCs w:val="16"/>
          <w:color w:val="auto"/>
        </w:rPr>
        <w:t>, ("fair value option"), an entity may choose to elect the fair value option for such warranties at the time it first recognizes the eligible item. We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 See Note 4—Fair Value Measurements.</w:t>
      </w:r>
    </w:p>
    <w:p>
      <w:pPr>
        <w:spacing w:after="0" w:line="104"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We estimate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we used certain Level 3 inputs which are unobservable and significant to the overall fair value measurement. Such additional assumptions included a discount rate based on our credit-adjusted risk-free rate and compensation comprised of a profit element and risk premium required of a market participant to assume the obligation. Warranty obligations initially recorded at fair value at the time of sale will be subsequently re-measured to fair value at each reporting date. In addition, the fair value of the liability will be accreted over the corresponding term of the warranty of up to 25 years using the interest method. Any changes in fair value of the liability from period-to-period, including accretion expense, will be recognized in cost of revenues. As of March 31, 2014, warranty obligations associated with sales prior to December 31, 2013 were $30.1 million and warranty obligations associated with sales subsequent to December 31, 2013 were $629,000, of which $587,000 were eligible for fair value accounting. The portion of warranty obligations arising from sales subsequent to December 31, 2013 that were not eligible for fair value accounting relates to sales of non-microinverter products. Periodic adjustments necessitated by actual experience of claims and any future changes in estimates to amounts not eligible for fair value accounting will continue to be accounted for on an undiscounted basis.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from the effect of fluctuating exchange rates on payables and receivables denominated in Euros, British Pound Sterling, New Zealand Dollar and Australian Dollar. These payables and receivables primarily arise from both sales and purchases denominated in foreign currencies, as well as intercompany transactions. We also face currency exposure that arises from translating the results of our European, New Zealand and Australian operations, including sales and marketing and research and development expenses, to the U.S. dollar at exchange rates that have fluctuated from the beginning of a reporting period.</w:t>
      </w:r>
    </w:p>
    <w:p>
      <w:pPr>
        <w:spacing w:after="0" w:line="11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From time to time, we utilize foreign currency forward contracts to reduce the impact of foreign currency fluctuations. The contracts we enter into typically have maturities of less than one year. We do not enter into derivative financial instruments for trading or speculative purposes. The foreign currency forward contracts are accounted for as derivatives whereby the fair value of the contracts is reported as other current assets or current liabilities in the accompanying condensed consolidated balance sheets, and gains and losses resulting from changes in the fair value are reported in other income (expense), net, in the accompanying condensed consolidated statements of operations.</w:t>
      </w:r>
    </w:p>
    <w:p>
      <w:pPr>
        <w:spacing w:after="0" w:line="134"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We did not have any foreign currency forward contracts outstanding at March 31, 2014. At December 31, 2013, the aggregate gross notional amounts of outstanding foreign currency forward contracts were $12.5 million, all of which matured on January 15, 2014.</w:t>
      </w:r>
    </w:p>
    <w:p>
      <w:pPr>
        <w:spacing w:after="0" w:line="27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March 31, 2014.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March 31, 2014, our chief executive officer and chief financial officer concluded that, as of such date, our disclosure controls and procedures were effective at the reasonable assurance level.</w:t>
      </w:r>
    </w:p>
    <w:p>
      <w:pPr>
        <w:spacing w:after="0" w:line="124"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125" w:right="3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right="100" w:firstLine="446"/>
        <w:spacing w:after="0" w:line="312" w:lineRule="auto"/>
        <w:rPr>
          <w:sz w:val="20"/>
          <w:szCs w:val="20"/>
          <w:color w:val="auto"/>
        </w:rPr>
      </w:pPr>
      <w:r>
        <w:rPr>
          <w:rFonts w:ascii="Arial" w:cs="Arial" w:eastAsia="Arial" w:hAnsi="Arial"/>
          <w:sz w:val="16"/>
          <w:szCs w:val="16"/>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89"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1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color w:val="auto"/>
        </w:rPr>
        <w:t>We have marked with an asterisk (*) those risks described below that reflect substantive changes from, or additions to, the risks described in our Annual Report on Form 10-K for the year ended December 31,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have incurred net losses in each quarter since inception, and we may continue to incur additional net losses in the future. We incurred net losses of $6.2 million for the three months ended March 31, 2014. As of March 31, 2014, we had an accumulated deficit of $159.2 million. Our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have been in existence since 2006 and did not begin shipping our products in commercial quantities until mid-2008. Much of our growth has occurred in recent periods. Our limited operating history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17"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11"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Further, our efforts to achieve broader market acceptance for our microinverter systems and to expand beyond our existing markets may never succeed, which would adversely impact our ability to generate additional revenue or become profitable.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continue to grow or grows at a slower rate than we anticipate, our business will suffer.</w:t>
      </w:r>
    </w:p>
    <w:p>
      <w:pPr>
        <w:spacing w:after="0" w:line="17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microinverter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7"/>
          <w:szCs w:val="17"/>
          <w:i w:val="1"/>
          <w:iCs w:val="1"/>
          <w:color w:val="auto"/>
        </w:rPr>
        <w:t>,</w:t>
      </w:r>
      <w:r>
        <w:rPr>
          <w:rFonts w:ascii="Arial" w:cs="Arial" w:eastAsia="Arial" w:hAnsi="Arial"/>
          <w:sz w:val="17"/>
          <w:szCs w:val="17"/>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0" w:right="240" w:hanging="48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availability and amount of government subsidies and incentives to support the development and deployment of solar energy solutions;</w:t>
      </w:r>
    </w:p>
    <w:p>
      <w:pPr>
        <w:spacing w:after="0" w:line="236" w:lineRule="exact"/>
        <w:rPr>
          <w:rFonts w:ascii="Arial" w:cs="Arial" w:eastAsia="Arial" w:hAnsi="Arial"/>
          <w:sz w:val="17"/>
          <w:szCs w:val="17"/>
          <w:color w:val="auto"/>
        </w:rPr>
      </w:pPr>
    </w:p>
    <w:p>
      <w:pPr>
        <w:ind w:left="980" w:right="420" w:hanging="48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prices of traditional carbon-based energy sources;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emergence, continuance or success of, or increased government support for, other alternative energy generation technologies and products.</w:t>
      </w:r>
    </w:p>
    <w:p>
      <w:pPr>
        <w:spacing w:after="0" w:line="30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Short-term demand and supply imbalances, especially for solar module technology, recently have caused prices for solar technology solutions to decline rapidly. Furthermore, competition in the solar industry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16"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1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13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elimination or expiration of governmental subsidies and economic incentives for on-grid solar electricity applications.</w:t>
      </w:r>
    </w:p>
    <w:p>
      <w:pPr>
        <w:spacing w:after="0" w:line="11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To date, we have generated substantially all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The Renewable Energy and Job Creation Act of 2008 provides a 30% federal tax credit for residential and commercial solar installations, which expire on December 31, 2016. The American Recovery and Reinvestment Act of 2009, as amended, created a renewable energy grant program that offered cash payments in lieu of investment tax credits to renewable energy project developers for eligible property placed in service prior to December 31, 2011 or placed in service by the specified credit termination date, if construction began prior to December 31, 2011. We believe the tax credit and grant programs have had a positive effect on our sales since inception. However, unless the tax credit program is further extended, the eventual phase-out of this program could adversely affect sales of our products in the future.</w:t>
      </w:r>
    </w:p>
    <w:p>
      <w:pPr>
        <w:spacing w:after="0" w:line="128"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California is the largest single solar market in the United States, based on analysis from SEIA data and GTM Research, and a significant portion of our revenues are generated in California. In 2007, the State of California launched its 10-year, $3 billion “Go Solar California” campaign, which encourages the installation of an aggregate of 3,000 MW of solar energy systems in homes and businesses by the end of 2016. The largest part of the campaign, the “California Solar Initiative,” provides rebates and performance-based incentives which decrease in intervals as installation thresholds are met. The “Go Solar California” program is scheduled to expire on December 31, 2016, but the pace of installations has been high and the program is likely to conclude sooner. Both Pacific Gas and Electric and San Diego Gas and Electric have surpassed all installation thresholds in the residential sector and are no longer accepting applications. Pacific Gas and Electric is placing all new applications for the commercial sector on a waiting list, and these applications may not be able to receive incentives. Programs for other utilities and market segments continue, but could conclude prior to December 31, 2016 if installations continue at their current pace.</w:t>
      </w:r>
    </w:p>
    <w:p>
      <w:pPr>
        <w:spacing w:after="0" w:line="14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also sell our products in Ontario, Canada. The Ontario Power Authority Green Energy and Green Economy Act of 2009 created two separate FiT programs for projects greater than 10kW and for projects less than 10kW. These FiT programs provide participants with a fixed price for electricity produced over a 20-year contract term. Both programs were recently suspended while they underwent a review. The program for projects less than 10kW was re-opened to new applications in July 2012 with a procurement target of 50 MW. The program for projects between 10kW and 500kW was re-opened for new applications between December 14, 2012 and January 18, 2013 with a procurement target of 200 MW. The Government of Ontario has announced plans for annual procurement targets of 50MW of projects under 10kW and 150MW of projects between 10kW and 500kW through 2017. However, all procurement occurs at the direction of the Government of Ontario and these plans could change, or market conditions could result in procurement targets not being met. Furthermore,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15"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In the fourth quarter of 2011, we began selling our products in France, Italy and the Benelux region. During the second quarter of 2012, we opened a sales office in the United Kingdom and began selling our products there at the beginning of the third quarter. A number of European countries, including Germany, Belgium and the United Kingdom, have adopted reductions to their FiTs, Spain announced a suspension of its FiT for new renewable energy projects in January 2012 and Italy concluded its FiT program in July 2013. Certain countries, notably Greece and Spain, have proposed or enacted taxes levied on renewable energy. These and related developments have significantly impacted the solar industry in Europe and may adversely affect the future demand for the solar energy solutions in Europe. The reductions in European tariffs and subsidies and other requirements or incentives, including local content requirements or incentives, have negatively affected and may continue to negatively affect our business, financial condition and results of operations as we seek to increase our sales in Europe.</w:t>
      </w:r>
    </w:p>
    <w:p>
      <w:pPr>
        <w:spacing w:after="0" w:line="125"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In the first quarter of 2013, we began selling our products in Australia. In 2012, Australia enacted a national price on carbon emissions intended to increase the cost of traditional energy sources, thereby making renewable energy sources more attractive. Beginning in 2012, several states in Australia also began to gradually reduce their FiTs. As of October 2013, all FiT programs in Australia expired. Australia recently elected a new national government. The new leadership has pledged to revise national energy policy, including the carbon price, Renewable Energy Target, and certain renewable energy financing mechanisms. The reductions in incentives and uncertainty around future energy policy may negatively affect our business financial condition, and results of operations as we seek to increase our business in Australia.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threat of continuing global economic, capital markets and credit disruptions, including sovereign debt issues, pose risks for our business.</w:t>
      </w:r>
    </w:p>
    <w:p>
      <w:pPr>
        <w:spacing w:after="0" w:line="19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microinverter systems may not achieve broader market acceptance, which would prevent us from increasing our revenue and market share.</w:t>
      </w:r>
    </w:p>
    <w:p>
      <w:pPr>
        <w:spacing w:after="0" w:line="1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73" w:lineRule="exact"/>
        <w:rPr>
          <w:sz w:val="20"/>
          <w:szCs w:val="20"/>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225"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microinverter systems, which is a relatively new technology with a limited history with respect to reliability and performance;</w:t>
      </w:r>
    </w:p>
    <w:p>
      <w:pPr>
        <w:spacing w:after="0" w:line="170" w:lineRule="exact"/>
        <w:rPr>
          <w:rFonts w:ascii="Arial" w:cs="Arial" w:eastAsia="Arial" w:hAnsi="Arial"/>
          <w:sz w:val="18"/>
          <w:szCs w:val="18"/>
          <w:color w:val="auto"/>
        </w:rPr>
      </w:pPr>
    </w:p>
    <w:p>
      <w:pPr>
        <w:ind w:left="980" w:right="36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be willing to purchase microinverter systems from us given our limited operating history;</w:t>
      </w:r>
    </w:p>
    <w:p>
      <w:pPr>
        <w:spacing w:after="0" w:line="170"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170" w:lineRule="exact"/>
        <w:rPr>
          <w:rFonts w:ascii="Arial" w:cs="Arial" w:eastAsia="Arial" w:hAnsi="Arial"/>
          <w:sz w:val="18"/>
          <w:szCs w:val="18"/>
          <w:color w:val="auto"/>
        </w:rPr>
      </w:pPr>
    </w:p>
    <w:p>
      <w:pPr>
        <w:ind w:left="980" w:right="68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produce microinverter systems that compete favorably against other solutions on the basis of price, quality, reliability and performance;</w:t>
      </w:r>
    </w:p>
    <w:p>
      <w:pPr>
        <w:spacing w:after="0" w:line="170"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29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inverters. These installers often have made substantial investments in design, installation resources and training in traditional central inverter systems, which may create challenges for us to achieve their adoption of our microinverter systems.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62"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discounts and rebates; ability to reduce and control product costs;</w:t>
      </w:r>
    </w:p>
    <w:p>
      <w:pPr>
        <w:spacing w:after="0" w:line="225" w:lineRule="exact"/>
        <w:rPr>
          <w:rFonts w:ascii="Arial" w:cs="Arial" w:eastAsia="Arial" w:hAnsi="Arial"/>
          <w:sz w:val="18"/>
          <w:szCs w:val="18"/>
          <w:color w:val="auto"/>
        </w:rPr>
      </w:pPr>
    </w:p>
    <w:p>
      <w:pPr>
        <w:ind w:left="980" w:right="56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170"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ectPr>
          <w:pgSz w:w="11900" w:h="16838" w:orient="portrait"/>
          <w:cols w:equalWidth="0" w:num="1">
            <w:col w:w="11400"/>
          </w:cols>
          <w:pgMar w:left="240" w:top="125"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25"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reduce production costs, such as through technology innovations, in order to offset price declines in older products over time;</w:t>
      </w:r>
    </w:p>
    <w:p>
      <w:pPr>
        <w:spacing w:after="0" w:line="236" w:lineRule="exact"/>
        <w:rPr>
          <w:rFonts w:ascii="Arial" w:cs="Arial" w:eastAsia="Arial" w:hAnsi="Arial"/>
          <w:sz w:val="17"/>
          <w:szCs w:val="17"/>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microinverter products, which could negatively impact our results of operations and market share.</w:t>
      </w:r>
    </w:p>
    <w:p>
      <w:pPr>
        <w:spacing w:after="0" w:line="11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To date, we have competed primarily against central inverter manufacturers and until recently have faced little direct competition in selling our microinverter systems. Marketing and selling our microinverter systems against traditional inverter solutions is highly competitive. Currently, competitors in the inverter market range from large companies such as SMA Solar Technology AG, Fronius International GmbH and Power-One Inc. to emerging companies offering alternative microinverter or other solar electronics products. Several of our existing and potential competitors are significantly larger, have greater financial, marketing, distribution, customer support and other resources, are more established than we are, and have significantly better brand recognition. Some of our competitors have more resources to develop or acquire, and more experience in developing or acquiring, new products and technologies and in creating market awareness for these products and technologies.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2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expect competition to intensify as new and existing competitors enter the microinverter market and additional add-on components like DC-to-DC optimizers that can be used with central inverters gain traction. We believe that a number of companies have developed or are developing microinverters and other products that will compete directly with our microinverter systems. SMA Solar Technology AG and Power-One Inc. have recently introduced microinverter products. In addition, several new entrants to the microinverter market have recently announced plans to ship or have already shipped products, including some of our OEM customers and partners.</w:t>
      </w:r>
    </w:p>
    <w:p>
      <w:pPr>
        <w:spacing w:after="0" w:line="13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also may face competition from some of our customers who evaluate our capabilities against the merits of manufacturing products internally. For instance, solar module manufacturers could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may purchase fewer of our microinverter systems or sell products that compete with our microinverters systems, which would negatively impact our revenue and gross profit.</w:t>
      </w:r>
    </w:p>
    <w:p>
      <w:pPr>
        <w:spacing w:after="0" w:line="11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our third and fourth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3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may perform in a different way than under standard test conditions. If our products perform below expectations or have unexpected reliability problems, we may be unable to gain or retain customers and could face substantial warranty expense.</w:t>
      </w:r>
    </w:p>
    <w:p>
      <w:pPr>
        <w:spacing w:after="0" w:line="11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proven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35"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1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24"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our business and operating results may suffer.</w:t>
      </w:r>
    </w:p>
    <w:p>
      <w:pPr>
        <w:spacing w:after="0" w:line="171" w:lineRule="exact"/>
        <w:rPr>
          <w:sz w:val="20"/>
          <w:szCs w:val="20"/>
          <w:color w:val="auto"/>
        </w:rPr>
      </w:pPr>
    </w:p>
    <w:p>
      <w:pPr>
        <w:jc w:val="both"/>
        <w:ind w:right="220" w:firstLine="432"/>
        <w:spacing w:after="0" w:line="342" w:lineRule="auto"/>
        <w:rPr>
          <w:sz w:val="20"/>
          <w:szCs w:val="20"/>
          <w:color w:val="auto"/>
        </w:rPr>
      </w:pPr>
      <w:r>
        <w:rPr>
          <w:rFonts w:ascii="Arial" w:cs="Arial" w:eastAsia="Arial" w:hAnsi="Arial"/>
          <w:sz w:val="16"/>
          <w:szCs w:val="16"/>
          <w:color w:val="auto"/>
        </w:rPr>
        <w:t>We have recently experienced, and expect to continue to experience, significant growth in our sales and operations. Our historical growth has placed, and planned future growth is expected to continue to place, significant demands on our management, as well as our financial and operational resources, to:</w:t>
      </w:r>
    </w:p>
    <w:p>
      <w:pPr>
        <w:spacing w:after="0" w:line="16"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 a larger organization;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train and manage a growing employee base;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broaden our customer support capabilities;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 our financial disclosure controls and procedures.</w:t>
      </w:r>
    </w:p>
    <w:p>
      <w:pPr>
        <w:spacing w:after="0" w:line="279"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90"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We currently offer microinverter systems targeting the residential and commercial markets in the United States, Canada, the United Kingdom, France, the Benelux region, certain other European markets and Australia. We also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79"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an increasing manufacturing capacity and production;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solutions to address the requirements of the larger commercial and utility-scale markets;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 for larger commercial and utility-scale installations;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279"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16" w:lineRule="exact"/>
        <w:rPr>
          <w:sz w:val="20"/>
          <w:szCs w:val="20"/>
          <w:color w:val="auto"/>
        </w:rPr>
      </w:pPr>
    </w:p>
    <w:p>
      <w:pPr>
        <w:ind w:left="980" w:right="4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and consumer protection regulations, tariffs, export quotas, customs duties or other trade restrictions;</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25"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279"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ectPr>
          <w:pgSz w:w="11900" w:h="16838" w:orient="portrait"/>
          <w:cols w:equalWidth="0" w:num="1">
            <w:col w:w="11360"/>
          </w:cols>
          <w:pgMar w:left="240" w:top="125" w:right="299" w:bottom="919" w:gutter="0" w:footer="0" w:header="0"/>
        </w:sectPr>
      </w:pP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60"/>
          </w:cols>
          <w:pgMar w:left="240" w:top="125" w:right="299" w:bottom="919"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16" w:lineRule="exact"/>
        <w:rPr>
          <w:sz w:val="20"/>
          <w:szCs w:val="20"/>
          <w:color w:val="auto"/>
        </w:rPr>
      </w:pPr>
    </w:p>
    <w:p>
      <w:pPr>
        <w:ind w:right="120" w:firstLine="432"/>
        <w:spacing w:after="0" w:line="286" w:lineRule="auto"/>
        <w:rPr>
          <w:sz w:val="20"/>
          <w:szCs w:val="20"/>
          <w:color w:val="auto"/>
        </w:rPr>
      </w:pPr>
      <w:r>
        <w:rPr>
          <w:rFonts w:ascii="Arial" w:cs="Arial" w:eastAsia="Arial" w:hAnsi="Arial"/>
          <w:sz w:val="16"/>
          <w:szCs w:val="16"/>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11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12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28" w:lineRule="exact"/>
        <w:rPr>
          <w:sz w:val="20"/>
          <w:szCs w:val="20"/>
          <w:color w:val="auto"/>
        </w:rPr>
      </w:pPr>
    </w:p>
    <w:p>
      <w:pPr>
        <w:jc w:val="both"/>
        <w:ind w:right="440" w:firstLine="432"/>
        <w:spacing w:after="0" w:line="286" w:lineRule="auto"/>
        <w:rPr>
          <w:sz w:val="20"/>
          <w:szCs w:val="20"/>
          <w:color w:val="auto"/>
        </w:rPr>
      </w:pPr>
      <w:r>
        <w:rPr>
          <w:rFonts w:ascii="Arial" w:cs="Arial" w:eastAsia="Arial" w:hAnsi="Arial"/>
          <w:sz w:val="17"/>
          <w:szCs w:val="17"/>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7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operating results to fluctuate significantly. This fluctuation may cause our results to fall short of analyst or investor expectations in a certain period, which may cause our stock price to decline.</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16"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Changes in current laws or regulations applicable to us or the imposition of new laws and regulations in the United States or other jurisdictions in which we do business, such as Australia, Canada, France, Italy, the United Kingdom, the Benelux region and China,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1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 implement a solution in the near term the total market available for our microinverter products in Italy, and our business as a result, may continue to be adversely impacted.</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several states, including Louisiana and California, have either implemented or are considering implementing new restrictions on incentives or rule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While we are not aware of any other current or proposed export or import regulations which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1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revenues that our contract manufacturers generate from our orders represent a relatively small percentage of their overall revenues. As a result, fulfilling our orders may not be considered a priority in the event of constrained ability to fulfill all of their customer obligations in a timely manner. In addition, the facilities in which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3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16"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3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1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1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depend on sole source and limited source suppliers for key components of our products. For example, our ASICs are purchased from a sole source supplier or developed for us by sole source suppliers.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are currently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could result in lost revenue or higher expenses and would harm our business.</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16"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3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16"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installations on favorable terms, or increases in interest rates or changes in tax incentives, could lower an investor's return on investment in a solar PV installation,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will be constrained.</w:t>
      </w:r>
    </w:p>
    <w:p>
      <w:pPr>
        <w:spacing w:after="0" w:line="13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rely primarily on distributors and large installers to assist in selling our products, and the failure of these customers to perform as expected could reduce our future revenue.</w:t>
      </w:r>
    </w:p>
    <w:p>
      <w:pPr>
        <w:spacing w:after="0" w:line="116"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We sell our microinverter systems primarily through distributors, as well as through direct sales to solar equipment installers and sales to developers of third party solar finance offerings. In 2013, Vivint Solar, Inc., CED Greentech and Focused Energy, Inc. accounted for 15%, 14% and 11% of total net revenues, respectively. We do not have exclusive arrangements with these third parties and, as a result, many of our customers also market and sell products from our competitors, which may reduce our sales. Our customers may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3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6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1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1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43"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16"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inventions covered by our patents or patent applications. As we become more visible as a publicly traded company, the possibility that 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59" w:lineRule="exact"/>
        <w:rPr>
          <w:sz w:val="20"/>
          <w:szCs w:val="20"/>
          <w:color w:val="auto"/>
        </w:rPr>
      </w:pPr>
    </w:p>
    <w:p>
      <w:pPr>
        <w:ind w:left="980" w:right="6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225" w:lineRule="exact"/>
        <w:rPr>
          <w:rFonts w:ascii="Arial" w:cs="Arial" w:eastAsia="Arial" w:hAnsi="Arial"/>
          <w:sz w:val="18"/>
          <w:szCs w:val="18"/>
          <w:color w:val="auto"/>
        </w:rPr>
      </w:pPr>
    </w:p>
    <w:p>
      <w:pPr>
        <w:ind w:left="980" w:right="340" w:hanging="486"/>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customers pursuant to indemnification obligations under some of our customer contracts; or expend significant resources to redesign the products that use the infringing technology and to develop or acquire non-infringing technology.</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16"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71"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have been and could continue to be subject to industry-specific seasonal fluctuations in the future, particularly in climates that experience colder weather during the winter months, such as northern Europe, Canada, and the United States. In general, we expect our products in the second, third and fourth quarters have been positively affected by seasonal customer demand trends, including solar economic incentives, weather patterns and construction cycles, followed by a seasonally softer first quarter.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Covenants in our credit facilities may limit our flexibility in responding to business opportunities and competitive developments and increase our vulnerability to adverse economic or industry conditions.</w:t>
      </w:r>
    </w:p>
    <w:p>
      <w:pPr>
        <w:spacing w:after="0" w:line="116"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We have lending arrangements with several financial institutions, including loan and security agreements with Wells Fargo Bank, National Association (“Wells Fargo”) and with Hercules Technology Growth Capital, Inc. (“Hercules”). The loan and security agreements with Wells Fargo and with Hercules restrict our ability to take certain actions such as incurring additional debt, encumbering our tangible or intangible property, paying dividends, or engaging in certain transactions, such as mergers and acquisitions, investments and asset sales. Our loan and security agreement with Wells Fargo also requires us to maintain certain financial covenants, including liquidity ratios. These restrictions may limit our flexibility in responding to business opportunities, competitive developments and adverse economic or industry conditions. In addition, our obligations under our loan and security agreements with Wells Fargo and Hercules are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16"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1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2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Effective internal controls are necessary for us to provide reliable financial reports and prevent fraud. In addition, Section 404 of the Sarbanes-Oxley Act of 2002, or the Sarbanes-Oxley Act, requires us to establish and maintain internal control over financial reporting and disclosure controls procedures. The process of implementing our internal controls and complying with Section 404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of 2002, this exemption will no longer be available to us beginning with our first Annual Report on 10-K for the year in which we cease to be an “emerging growth company,” as defined in the Jumpstart Our Business Startups Act enacted in April 2012, or the JOBS Act. If we or our independent registered public accounting firm discover a material weakness in the future, the disclosure of that fact, even if quickly remedied, could reduce the market's confidence in our financial statements and harm our stock price. In addition, a delay in compliance with Section 404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16"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Sections 382 and 383 of the Internal Revenue Code of 1986, as amended, contain rules that limit the ability of a company that undergoes an ownership change, which is generally any cumulative change in ownership of more than 50% of its stock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As a result, we may be unable to offset our taxable income with net operating losses, or our tax liability with credits, before these losses and credits expire.</w:t>
      </w:r>
    </w:p>
    <w:p>
      <w:pPr>
        <w:spacing w:after="0" w:line="13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may strain our resources and divert management's attention from other aspects of our business.</w:t>
      </w:r>
    </w:p>
    <w:p>
      <w:pPr>
        <w:spacing w:after="0" w:line="19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subject to a wide variety of rules and regulations as a public reporting company. The Dodd-Frank Wall Street Reform and Consumer Protection Act, or the Dodd-Frank Act, the Sarbanes-Oxley Act and the rules implemented by the SEC and the NASDAQ Global Market impose significant regulatory requirements on public companies, including specific corporate governance practices. For example, the listing requirements of the NASDAQ Global Market require that we satisfy certain corporate governance requirements relating to independent directors, audit and compensation committees, distribution of annual and interim reports, stockholder meetings, stockholder approvals, solicitation of proxies, conflicts of interest, stockholder voting rights and codes of conduct. Our management and other personnel are required to devote a substantial amount of time to these compliance initiatives. Moreover, these rules and regulations increase our legal and financial compliance costs and make some activities more time-consuming and costly. As a public company, being subject to these rules and regulations makes it more difficult and more expensive for us to obtain director and officer liability insurance, and in the future, we may be required to accept reduced policy limits and coverage or incur substantial additional costs to maintain the same or similar coverage. These rules and regulations could also make it more difficult for us to attract and retain qualified persons to serve on our board of directors, our board committees or as executive officers.</w:t>
      </w:r>
    </w:p>
    <w:p>
      <w:pPr>
        <w:spacing w:after="0" w:line="129"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These rules and regulations also contain requirements that apply to manufacturers of products incorporating specified minerals. The Dodd-Frank Act requires public companies to report on their use of so-called conflict minerals originating from the Democratic Republic of Congo or its nine immediate neighbors. Certain minerals commonly used in semiconductors are on the list of conflict minerals, and additional minerals may be added to the list in the future. Compliance with these rules, which will require us to disclose our use of these minerals and may require us to obtain an annual audit of our sourcing and the chain of custody of these minerals, will be time-consuming and costly.</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11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73"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 in our research and development efforts by hiring additional technical and other personnel;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279"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We do not know what forms of financing, if any, will be available to us.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web-based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market price of our common stock has been and could be subject to wide fluctuations in response to, among other things, the risk factors described in “Part II. Item 1A. Risk Factors” of this Quarterly Report on Form 10-Q, and other factors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 to quarter due to a number of factors, which may lead to volatility in our stock price.</w:t>
      </w:r>
    </w:p>
    <w:p>
      <w:pPr>
        <w:spacing w:after="0" w:line="18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73"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rFonts w:ascii="Arial" w:cs="Arial" w:eastAsia="Arial" w:hAnsi="Arial"/>
          <w:sz w:val="18"/>
          <w:szCs w:val="18"/>
          <w:color w:val="auto"/>
        </w:rPr>
      </w:pPr>
    </w:p>
    <w:p>
      <w:pPr>
        <w:ind w:left="980" w:right="76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225" w:lineRule="exact"/>
        <w:rPr>
          <w:rFonts w:ascii="Arial" w:cs="Arial" w:eastAsia="Arial" w:hAnsi="Arial"/>
          <w:sz w:val="18"/>
          <w:szCs w:val="18"/>
          <w:color w:val="auto"/>
        </w:rPr>
      </w:pPr>
    </w:p>
    <w:p>
      <w:pPr>
        <w:ind w:left="980" w:right="12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related to the maintenance and expansion of our business operations;</w:t>
      </w:r>
    </w:p>
    <w:p>
      <w:pPr>
        <w:spacing w:after="0" w:line="236" w:lineRule="exact"/>
        <w:rPr>
          <w:rFonts w:ascii="Arial" w:cs="Arial" w:eastAsia="Arial" w:hAnsi="Arial"/>
          <w:sz w:val="17"/>
          <w:szCs w:val="17"/>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225" w:lineRule="exact"/>
        <w:rPr>
          <w:rFonts w:ascii="Arial" w:cs="Arial" w:eastAsia="Arial" w:hAnsi="Arial"/>
          <w:sz w:val="18"/>
          <w:szCs w:val="18"/>
          <w:color w:val="auto"/>
        </w:rPr>
      </w:pPr>
    </w:p>
    <w:p>
      <w:pPr>
        <w:ind w:left="980" w:right="28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forecast our customer demand, manufacturing requirements and manage our inventory;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7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1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principal stockholders, executive officers and directors own a significant percentage of our stock, and they may take actions that our stockholders may not view as beneficial.</w:t>
      </w:r>
    </w:p>
    <w:p>
      <w:pPr>
        <w:spacing w:after="0" w:line="116"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Our principal stockholders, executive officers and directors own more than 50%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19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1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the terms of our bank loan agreements restrict our ability to pay dividends. Consequently, an investor's only opportunity to achieve a return on its investment in our company will be if the market price of our common stock appreciates and the investor sells its shares at a profit.</w:t>
      </w:r>
    </w:p>
    <w:p>
      <w:pPr>
        <w:spacing w:after="0" w:line="1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16"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73" w:lineRule="exact"/>
        <w:rPr>
          <w:sz w:val="20"/>
          <w:szCs w:val="20"/>
          <w:color w:val="auto"/>
        </w:rPr>
      </w:pPr>
    </w:p>
    <w:p>
      <w:pPr>
        <w:ind w:left="980" w:right="62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directory candidates;</w:t>
      </w:r>
    </w:p>
    <w:p>
      <w:pPr>
        <w:spacing w:after="0" w:line="236" w:lineRule="exact"/>
        <w:rPr>
          <w:rFonts w:ascii="Arial" w:cs="Arial" w:eastAsia="Arial" w:hAnsi="Arial"/>
          <w:sz w:val="17"/>
          <w:szCs w:val="17"/>
          <w:color w:val="auto"/>
        </w:rPr>
      </w:pPr>
    </w:p>
    <w:p>
      <w:pPr>
        <w:ind w:left="980" w:right="2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170" w:lineRule="exact"/>
        <w:rPr>
          <w:rFonts w:ascii="Arial" w:cs="Arial" w:eastAsia="Arial" w:hAnsi="Arial"/>
          <w:sz w:val="18"/>
          <w:szCs w:val="18"/>
          <w:color w:val="auto"/>
        </w:rPr>
      </w:pPr>
    </w:p>
    <w:p>
      <w:pPr>
        <w:ind w:left="980" w:right="92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486"/>
        <w:spacing w:after="0" w:line="25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188" w:lineRule="exact"/>
        <w:rPr>
          <w:rFonts w:ascii="Arial" w:cs="Arial" w:eastAsia="Arial" w:hAnsi="Arial"/>
          <w:sz w:val="18"/>
          <w:szCs w:val="18"/>
          <w:color w:val="auto"/>
        </w:rPr>
      </w:pPr>
    </w:p>
    <w:p>
      <w:pPr>
        <w:ind w:left="980" w:hanging="486"/>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181"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22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2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the Exhibit Index which follows the signature page of this Quarterly Report on Form 10-Q, which is incorporated herein by reference.</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400"/>
          </w:cols>
          <w:pgMar w:left="240" w:top="125" w:right="1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May 7, 2014</w:t>
      </w:r>
    </w:p>
    <w:p>
      <w:pPr>
        <w:spacing w:after="0" w:line="35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ENPHASE ENERGY, INC.</w:t>
      </w:r>
    </w:p>
    <w:p>
      <w:pPr>
        <w:spacing w:after="0" w:line="189" w:lineRule="exact"/>
        <w:rPr>
          <w:sz w:val="20"/>
          <w:szCs w:val="20"/>
          <w:color w:val="auto"/>
        </w:rPr>
      </w:pPr>
    </w:p>
    <w:p>
      <w:pPr>
        <w:ind w:left="58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Chief Financial Officer</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80" w:type="dxa"/>
            <w:vAlign w:val="bottom"/>
            <w:gridSpan w:val="3"/>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740" w:type="dxa"/>
            <w:vAlign w:val="bottom"/>
          </w:tcPr>
          <w:p>
            <w:pPr>
              <w:spacing w:after="0"/>
              <w:rPr>
                <w:sz w:val="24"/>
                <w:szCs w:val="24"/>
                <w:color w:val="auto"/>
              </w:rPr>
            </w:pPr>
          </w:p>
        </w:tc>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740" w:type="dxa"/>
            <w:vAlign w:val="bottom"/>
          </w:tcPr>
          <w:p>
            <w:pPr>
              <w:spacing w:after="0"/>
              <w:rPr>
                <w:sz w:val="13"/>
                <w:szCs w:val="13"/>
                <w:color w:val="auto"/>
              </w:rPr>
            </w:pPr>
          </w:p>
        </w:tc>
        <w:tc>
          <w:tcPr>
            <w:tcW w:w="5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Amended and Restated Certificate of Incorporation of Enphase Energy, Inc.</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Amended and Restated Bylaws of Enphase Energy, Inc.</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Specimen Common Stock Certificate of Enphase Energy, Inc.</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0"/>
              </w:rPr>
              <w:t>2010 Amended and Restated Investors’ Rights Agreement by and between Enphase Energy, Inc. and the investors listed on Exhibit A</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thereto, dated March 15, 2010, as amended.</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1"/>
              </w:rPr>
              <w:t>Warrant to Purchase Shares of Series Preferred Stock, between the Company and Compass Horizon Funding Company LLC, dated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March 11, 2010.</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2"/>
              </w:rPr>
              <w:t>Warrant to Purchase Shares of Series Preferred Stock, between the Company and Horizon Technology Finance Corporation, dated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March 25, 2011.</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0"/>
              </w:rPr>
              <w:t>Warrant Agreement to Purchase Stock, between Enphase, Energy, Inc. and Hercules Technology Growth Capital, Inc., dated June 13,</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2011.</w:t>
            </w:r>
            <w:r>
              <w:rPr>
                <w:rFonts w:ascii="Arial" w:cs="Arial" w:eastAsia="Arial" w:hAnsi="Arial"/>
                <w:sz w:val="25"/>
                <w:szCs w:val="25"/>
                <w:color w:val="auto"/>
                <w:vertAlign w:val="superscript"/>
              </w:rPr>
              <w:t>(3)</w:t>
            </w:r>
          </w:p>
        </w:tc>
        <w:tc>
          <w:tcPr>
            <w:tcW w:w="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3"/>
              </w:rPr>
              <w:t>Form of June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89"/>
              </w:rPr>
              <w:t>Form of November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2014 Performance Bonus Program Summary.</w:t>
            </w:r>
            <w:r>
              <w:rPr>
                <w:rFonts w:ascii="Arial" w:cs="Arial" w:eastAsia="Arial" w:hAnsi="Arial"/>
                <w:sz w:val="25"/>
                <w:szCs w:val="25"/>
                <w:color w:val="auto"/>
                <w:vertAlign w:val="superscript"/>
              </w:rPr>
              <w:t>(4)+</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3"/>
              </w:rPr>
              <w:t>Amendment No. 1 to Credit Agreement by and between Enphase Energy, Inc. and Wells Fargo Bank, National Association, dated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 xml:space="preserve">February 14, 2014. </w:t>
            </w:r>
            <w:r>
              <w:rPr>
                <w:rFonts w:ascii="Arial" w:cs="Arial" w:eastAsia="Arial" w:hAnsi="Arial"/>
                <w:sz w:val="25"/>
                <w:szCs w:val="25"/>
                <w:color w:val="auto"/>
                <w:vertAlign w:val="superscript"/>
              </w:rPr>
              <w:t>(5)</w:t>
            </w:r>
          </w:p>
        </w:tc>
        <w:tc>
          <w:tcPr>
            <w:tcW w:w="0" w:type="dxa"/>
            <w:vAlign w:val="bottom"/>
          </w:tcPr>
          <w:p>
            <w:pPr>
              <w:spacing w:after="0"/>
              <w:rPr>
                <w:sz w:val="1"/>
                <w:szCs w:val="1"/>
                <w:color w:val="auto"/>
              </w:rPr>
            </w:pPr>
          </w:p>
        </w:tc>
      </w:tr>
      <w:tr>
        <w:trPr>
          <w:trHeight w:val="293"/>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Certification of Chief Executive Officer pursuant to Rule 13a-14(a)/15d-14(a).</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Certification of Chief Financial Officer pursuant to Rule 13a-14(a)/15d-14(a).</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6"/>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Presentation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306" w:lineRule="exact"/>
        <w:rPr>
          <w:sz w:val="20"/>
          <w:szCs w:val="20"/>
          <w:color w:val="auto"/>
        </w:rPr>
      </w:pPr>
    </w:p>
    <w:p>
      <w:pPr>
        <w:ind w:left="130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3.1 to the Current Report on Form 8-K (File No. 001-35480), filed with the Securities and Exchange Commission on April 6, 2012, and incorporated by reference herein.</w:t>
      </w:r>
    </w:p>
    <w:p>
      <w:pPr>
        <w:spacing w:after="0" w:line="3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Registration Statement on Form S-1/A (File No. 333-174925), filed with the Securities and Exchange Commission on March 12, 2012, and incorporated by reference herein.</w:t>
      </w:r>
    </w:p>
    <w:p>
      <w:pPr>
        <w:spacing w:after="0" w:line="3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the like-numbered exhibit to the Registration Statement on Form S-1/A (File No. 333-174925), and incorporated herein by reference.</w:t>
      </w:r>
    </w:p>
    <w:p>
      <w:pPr>
        <w:spacing w:after="0" w:line="3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the like-numbered exhibit to the Current Report on Form 8-K (File No. 001-35480), filed with the Securities and Exchange Commission on March 12, 2014, and incorporated by reference herein.</w:t>
      </w:r>
    </w:p>
    <w:p>
      <w:pPr>
        <w:spacing w:after="0" w:line="3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the Exhibit 10.51 to the Current Report on Form 8-K (File No. 001-35480), filed with the Securities and Exchange Commission on February 18, 2014, and incorporated by reference herein.</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left="1300" w:hanging="48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46" w:lineRule="exact"/>
        <w:rPr>
          <w:sz w:val="20"/>
          <w:szCs w:val="20"/>
          <w:color w:val="auto"/>
        </w:rPr>
      </w:pPr>
    </w:p>
    <w:p>
      <w:pPr>
        <w:ind w:left="1300" w:hanging="48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98"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firstLine="8"/>
        <w:spacing w:after="0" w:line="277"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500" w:right="180" w:hanging="6"/>
        <w:spacing w:after="0" w:line="264" w:lineRule="auto"/>
        <w:tabs>
          <w:tab w:leader="none" w:pos="7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740" w:hanging="246"/>
        <w:spacing w:after="0"/>
        <w:tabs>
          <w:tab w:leader="none" w:pos="7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500" w:right="980" w:hanging="6"/>
        <w:spacing w:after="0" w:line="342" w:lineRule="auto"/>
        <w:tabs>
          <w:tab w:leader="none" w:pos="745"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500" w:right="20" w:hanging="6"/>
        <w:spacing w:after="0" w:line="264" w:lineRule="auto"/>
        <w:tabs>
          <w:tab w:leader="none" w:pos="7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4"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500" w:right="360" w:hanging="6"/>
        <w:spacing w:after="0" w:line="277" w:lineRule="auto"/>
        <w:tabs>
          <w:tab w:leader="none" w:pos="7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320" w:hanging="6"/>
        <w:spacing w:after="0" w:line="277" w:lineRule="auto"/>
        <w:tabs>
          <w:tab w:leader="none" w:pos="7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00" w:lineRule="exact"/>
        <w:rPr>
          <w:sz w:val="20"/>
          <w:szCs w:val="20"/>
          <w:color w:val="auto"/>
        </w:rPr>
      </w:pPr>
    </w:p>
    <w:p>
      <w:pPr>
        <w:spacing w:after="0" w:line="24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75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Paul B. Nahi</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98"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500" w:right="180" w:hanging="6"/>
        <w:spacing w:after="0" w:line="264" w:lineRule="auto"/>
        <w:tabs>
          <w:tab w:leader="none" w:pos="7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740" w:hanging="246"/>
        <w:spacing w:after="0"/>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500" w:right="980" w:hanging="6"/>
        <w:spacing w:after="0" w:line="342" w:lineRule="auto"/>
        <w:tabs>
          <w:tab w:leader="none" w:pos="74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500" w:right="20" w:hanging="6"/>
        <w:spacing w:after="0" w:line="264" w:lineRule="auto"/>
        <w:tabs>
          <w:tab w:leader="none" w:pos="7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4"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500" w:right="360" w:hanging="6"/>
        <w:spacing w:after="0" w:line="277" w:lineRule="auto"/>
        <w:tabs>
          <w:tab w:leader="none" w:pos="7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320" w:hanging="6"/>
        <w:spacing w:after="0" w:line="277" w:lineRule="auto"/>
        <w:tabs>
          <w:tab w:leader="none" w:pos="7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00" w:lineRule="exact"/>
        <w:rPr>
          <w:sz w:val="20"/>
          <w:szCs w:val="20"/>
          <w:color w:val="auto"/>
        </w:rPr>
      </w:pPr>
    </w:p>
    <w:p>
      <w:pPr>
        <w:spacing w:after="0" w:line="24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7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3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or her knowledge:</w:t>
      </w:r>
    </w:p>
    <w:p>
      <w:pPr>
        <w:spacing w:after="0" w:line="120" w:lineRule="exact"/>
        <w:rPr>
          <w:sz w:val="20"/>
          <w:szCs w:val="20"/>
          <w:color w:val="auto"/>
        </w:rPr>
      </w:pPr>
    </w:p>
    <w:p>
      <w:pPr>
        <w:ind w:right="80" w:firstLine="8"/>
        <w:spacing w:after="0" w:line="277" w:lineRule="auto"/>
        <w:tabs>
          <w:tab w:leader="none" w:pos="1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March 31, 2014, to which this Certification is attached as Exhibit 32.1 (the “Periodic Report”), fully complies with the requirements of Section 13(a) or Section 15(d) of the Exchange Act; and</w:t>
      </w:r>
    </w:p>
    <w:p>
      <w:pPr>
        <w:spacing w:after="0" w:line="143" w:lineRule="exact"/>
        <w:rPr>
          <w:rFonts w:ascii="Arial" w:cs="Arial" w:eastAsia="Arial" w:hAnsi="Arial"/>
          <w:sz w:val="18"/>
          <w:szCs w:val="18"/>
          <w:b w:val="1"/>
          <w:bCs w:val="1"/>
          <w:color w:val="auto"/>
        </w:rPr>
      </w:pPr>
    </w:p>
    <w:p>
      <w:pPr>
        <w:ind w:left="180" w:hanging="172"/>
        <w:spacing w:after="0"/>
        <w:tabs>
          <w:tab w:leader="none" w:pos="18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7 day of May,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/s/ Paul B. Nahi</w:t>
            </w:r>
          </w:p>
        </w:tc>
        <w:tc>
          <w:tcPr>
            <w:tcW w:w="5700" w:type="dxa"/>
            <w:vAlign w:val="bottom"/>
          </w:tcPr>
          <w:p>
            <w:pPr>
              <w:ind w:left="20"/>
              <w:spacing w:after="0"/>
              <w:rPr>
                <w:sz w:val="20"/>
                <w:szCs w:val="20"/>
                <w:color w:val="auto"/>
              </w:rPr>
            </w:pPr>
            <w:r>
              <w:rPr>
                <w:rFonts w:ascii="Arial" w:cs="Arial" w:eastAsia="Arial" w:hAnsi="Arial"/>
                <w:sz w:val="18"/>
                <w:szCs w:val="18"/>
                <w:color w:val="auto"/>
              </w:rPr>
              <w:t>/s/ Kris Sennesael</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Paul B. Nahi</w:t>
            </w:r>
          </w:p>
        </w:tc>
        <w:tc>
          <w:tcPr>
            <w:tcW w:w="5700" w:type="dxa"/>
            <w:vAlign w:val="bottom"/>
          </w:tcPr>
          <w:p>
            <w:pPr>
              <w:ind w:left="20"/>
              <w:spacing w:after="0"/>
              <w:rPr>
                <w:sz w:val="20"/>
                <w:szCs w:val="20"/>
                <w:color w:val="auto"/>
              </w:rPr>
            </w:pPr>
            <w:r>
              <w:rPr>
                <w:rFonts w:ascii="Arial" w:cs="Arial" w:eastAsia="Arial" w:hAnsi="Arial"/>
                <w:sz w:val="18"/>
                <w:szCs w:val="18"/>
                <w:color w:val="auto"/>
              </w:rPr>
              <w:t>Kris Sennesael</w:t>
            </w:r>
          </w:p>
        </w:tc>
      </w:tr>
      <w:tr>
        <w:trPr>
          <w:trHeight w:val="29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570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2019-12-07T20:36:28Z</dcterms:created>
  <dcterms:modified xsi:type="dcterms:W3CDTF">2019-12-07T20:36:28Z</dcterms:modified>
</cp:coreProperties>
</file>