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81915</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186690</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5" w:lineRule="exact"/>
        <w:rPr>
          <w:sz w:val="24"/>
          <w:szCs w:val="24"/>
          <w:color w:val="auto"/>
        </w:rPr>
      </w:pPr>
    </w:p>
    <w:p>
      <w:pPr>
        <w:ind w:left="460" w:hanging="438"/>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00" w:lineRule="exact"/>
        <w:rPr>
          <w:sz w:val="24"/>
          <w:szCs w:val="24"/>
          <w:color w:val="auto"/>
        </w:rPr>
      </w:pPr>
    </w:p>
    <w:p>
      <w:pPr>
        <w:spacing w:after="0" w:line="273" w:lineRule="exact"/>
        <w:rPr>
          <w:sz w:val="24"/>
          <w:szCs w:val="24"/>
          <w:color w:val="auto"/>
        </w:rPr>
      </w:pPr>
    </w:p>
    <w:p>
      <w:pPr>
        <w:ind w:left="460" w:right="460" w:hanging="452"/>
        <w:spacing w:after="0" w:line="269" w:lineRule="auto"/>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248920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Enphase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167640</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940" w:type="dxa"/>
            <w:vAlign w:val="bottom"/>
            <w:gridSpan w:val="2"/>
          </w:tcPr>
          <w:p>
            <w:pPr>
              <w:jc w:val="center"/>
              <w:ind w:right="3819"/>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20-4645388</w:t>
            </w:r>
          </w:p>
        </w:tc>
      </w:tr>
      <w:tr>
        <w:trPr>
          <w:trHeight w:val="19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7"/>
              </w:rPr>
              <w:t>(State or other jurisdiction of</w:t>
            </w: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(I.R.S. Employer</w:t>
            </w:r>
          </w:p>
        </w:tc>
      </w:tr>
      <w:tr>
        <w:trPr>
          <w:trHeight w:val="170"/>
        </w:trPr>
        <w:tc>
          <w:tcPr>
            <w:tcW w:w="6060" w:type="dxa"/>
            <w:vAlign w:val="bottom"/>
            <w:gridSpan w:val="3"/>
          </w:tcPr>
          <w:p>
            <w:pPr>
              <w:jc w:val="center"/>
              <w:ind w:right="2699"/>
              <w:spacing w:after="0"/>
              <w:rPr>
                <w:sz w:val="20"/>
                <w:szCs w:val="20"/>
                <w:color w:val="auto"/>
              </w:rPr>
            </w:pPr>
            <w:r>
              <w:rPr>
                <w:rFonts w:ascii="Arial" w:cs="Arial" w:eastAsia="Arial" w:hAnsi="Arial"/>
                <w:sz w:val="14"/>
                <w:szCs w:val="14"/>
                <w:b w:val="1"/>
                <w:bCs w:val="1"/>
                <w:color w:val="auto"/>
                <w:w w:val="88"/>
              </w:rPr>
              <w:t>incorporation or organization)</w:t>
            </w:r>
          </w:p>
        </w:tc>
        <w:tc>
          <w:tcPr>
            <w:tcW w:w="4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3"/>
              </w:rPr>
              <w:t>1420 N. McDowell Blvd</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80" w:type="dxa"/>
            <w:vAlign w:val="bottom"/>
          </w:tcPr>
          <w:p>
            <w:pPr>
              <w:jc w:val="center"/>
              <w:ind w:left="659"/>
              <w:spacing w:after="0"/>
              <w:rPr>
                <w:sz w:val="20"/>
                <w:szCs w:val="20"/>
                <w:color w:val="auto"/>
              </w:rPr>
            </w:pPr>
            <w:r>
              <w:rPr>
                <w:rFonts w:ascii="Arial" w:cs="Arial" w:eastAsia="Arial" w:hAnsi="Arial"/>
                <w:sz w:val="18"/>
                <w:szCs w:val="18"/>
                <w:b w:val="1"/>
                <w:bCs w:val="1"/>
                <w:color w:val="auto"/>
                <w:w w:val="92"/>
              </w:rPr>
              <w:t>Petaluma, CA 94954</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4"/>
        </w:trPr>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379"/>
        </w:trPr>
        <w:tc>
          <w:tcPr>
            <w:tcW w:w="6060" w:type="dxa"/>
            <w:vAlign w:val="bottom"/>
            <w:gridSpan w:val="3"/>
          </w:tcPr>
          <w:p>
            <w:pPr>
              <w:jc w:val="center"/>
              <w:ind w:left="2861"/>
              <w:spacing w:after="0"/>
              <w:rPr>
                <w:sz w:val="20"/>
                <w:szCs w:val="20"/>
                <w:color w:val="auto"/>
              </w:rPr>
            </w:pPr>
            <w:r>
              <w:rPr>
                <w:rFonts w:ascii="Arial" w:cs="Arial" w:eastAsia="Arial" w:hAnsi="Arial"/>
                <w:sz w:val="18"/>
                <w:szCs w:val="18"/>
                <w:b w:val="1"/>
                <w:bCs w:val="1"/>
                <w:color w:val="auto"/>
                <w:w w:val="90"/>
              </w:rPr>
              <w:t>(707) 774-7000</w:t>
            </w: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80" w:type="dxa"/>
            <w:vAlign w:val="bottom"/>
          </w:tcPr>
          <w:p>
            <w:pPr>
              <w:jc w:val="center"/>
              <w:ind w:left="65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71"/>
        </w:trPr>
        <w:tc>
          <w:tcPr>
            <w:tcW w:w="1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20" w:type="dxa"/>
            <w:vAlign w:val="bottom"/>
            <w:gridSpan w:val="3"/>
          </w:tcPr>
          <w:p>
            <w:pPr>
              <w:jc w:val="center"/>
              <w:ind w:right="1705"/>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24"/>
                <w:szCs w:val="2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64"/>
        </w:trPr>
        <w:tc>
          <w:tcPr>
            <w:tcW w:w="6060" w:type="dxa"/>
            <w:vAlign w:val="bottom"/>
            <w:gridSpan w:val="3"/>
          </w:tcPr>
          <w:p>
            <w:pPr>
              <w:jc w:val="center"/>
              <w:ind w:right="2679"/>
              <w:spacing w:after="0"/>
              <w:rPr>
                <w:sz w:val="20"/>
                <w:szCs w:val="20"/>
                <w:color w:val="auto"/>
              </w:rPr>
            </w:pPr>
            <w:r>
              <w:rPr>
                <w:rFonts w:ascii="Arial" w:cs="Arial" w:eastAsia="Arial" w:hAnsi="Arial"/>
                <w:sz w:val="18"/>
                <w:szCs w:val="18"/>
                <w:color w:val="auto"/>
                <w:w w:val="89"/>
              </w:rPr>
              <w:t>Common Stock, par value $0.00001 per share</w:t>
            </w:r>
          </w:p>
        </w:tc>
        <w:tc>
          <w:tcPr>
            <w:tcW w:w="4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180340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51" w:lineRule="exact"/>
        <w:rPr>
          <w:sz w:val="24"/>
          <w:szCs w:val="24"/>
          <w:color w:val="auto"/>
        </w:rPr>
      </w:pPr>
    </w:p>
    <w:p>
      <w:pPr>
        <w:ind w:right="1920"/>
        <w:spacing w:after="0" w:line="397"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ind w:right="480"/>
        <w:spacing w:after="0" w:line="29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jc w:val="both"/>
        <w:spacing w:after="0" w:line="29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Arial" w:cs="Arial" w:eastAsia="Arial" w:hAnsi="Arial"/>
          <w:sz w:val="21"/>
          <w:szCs w:val="21"/>
          <w:color w:val="auto"/>
        </w:rPr>
        <w:t>o</w:t>
      </w:r>
    </w:p>
    <w:p>
      <w:pPr>
        <w:spacing w:after="0" w:line="48" w:lineRule="exact"/>
        <w:rPr>
          <w:sz w:val="24"/>
          <w:szCs w:val="24"/>
          <w:color w:val="auto"/>
        </w:rPr>
      </w:pPr>
    </w:p>
    <w:p>
      <w:pPr>
        <w:ind w:right="60"/>
        <w:spacing w:after="0" w:line="29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21"/>
          <w:szCs w:val="21"/>
          <w:color w:val="auto"/>
        </w:rPr>
        <w:t>o</w:t>
      </w:r>
    </w:p>
    <w:p>
      <w:pPr>
        <w:spacing w:after="0" w:line="61"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0" w:gutter="0" w:footer="0" w:header="0"/>
        </w:sectPr>
      </w:pPr>
    </w:p>
    <w:p>
      <w:pPr>
        <w:spacing w:after="0" w:line="154" w:lineRule="exact"/>
        <w:rPr>
          <w:sz w:val="24"/>
          <w:szCs w:val="24"/>
          <w:color w:val="auto"/>
        </w:rPr>
      </w:pPr>
    </w:p>
    <w:p>
      <w:pPr>
        <w:ind w:left="40" w:right="620"/>
        <w:spacing w:after="0" w:line="43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2"/>
          <w:szCs w:val="22"/>
          <w:color w:val="auto"/>
        </w:rPr>
        <w:t>o</w:t>
      </w:r>
    </w:p>
    <w:p>
      <w:pPr>
        <w:spacing w:after="0" w:line="76"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x </w:t>
      </w: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56" w:lineRule="exact"/>
        <w:rPr>
          <w:sz w:val="24"/>
          <w:szCs w:val="24"/>
          <w:color w:val="auto"/>
        </w:rPr>
      </w:pPr>
    </w:p>
    <w:p>
      <w:pPr>
        <w:spacing w:after="0"/>
        <w:rPr>
          <w:sz w:val="20"/>
          <w:szCs w:val="20"/>
          <w:color w:val="auto"/>
        </w:rPr>
      </w:pPr>
      <w:r>
        <w:rPr>
          <w:rFonts w:ascii="Arial" w:cs="Arial" w:eastAsia="Arial" w:hAnsi="Arial"/>
          <w:sz w:val="21"/>
          <w:szCs w:val="21"/>
          <w:color w:val="auto"/>
        </w:rPr>
        <w:t>o</w:t>
      </w:r>
    </w:p>
    <w:p>
      <w:pPr>
        <w:spacing w:after="0" w:line="163" w:lineRule="exact"/>
        <w:rPr>
          <w:sz w:val="24"/>
          <w:szCs w:val="24"/>
          <w:color w:val="auto"/>
        </w:rPr>
      </w:pPr>
    </w:p>
    <w:p>
      <w:pPr>
        <w:sectPr>
          <w:pgSz w:w="11900" w:h="16838" w:orient="portrait"/>
          <w:cols w:equalWidth="0" w:num="4">
            <w:col w:w="2280" w:space="720"/>
            <w:col w:w="5000" w:space="720"/>
            <w:col w:w="1960" w:space="420"/>
            <w:col w:w="320"/>
          </w:cols>
          <w:pgMar w:left="240" w:top="229" w:right="239" w:bottom="0" w:gutter="0" w:footer="0" w:header="0"/>
          <w:type w:val="continuous"/>
        </w:sectPr>
      </w:pPr>
    </w:p>
    <w:p>
      <w:pPr>
        <w:spacing w:after="0"/>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34" w:lineRule="exact"/>
        <w:rPr>
          <w:sz w:val="24"/>
          <w:szCs w:val="24"/>
          <w:color w:val="auto"/>
        </w:rPr>
      </w:pPr>
    </w:p>
    <w:p>
      <w:pPr>
        <w:ind w:right="100"/>
        <w:spacing w:after="0" w:line="312"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2012, based upon the closing price of $6.22 of the registrant’s common stock as reported on the NASDAQ Global Market, was approximately 136.6 million. Excludes approximately 18.8 million shares of the registrant’s common stock held by current executive officers, directors, and stockholders that the registrant has determined are affiliates of the registrant.</w:t>
      </w:r>
    </w:p>
    <w:p>
      <w:pPr>
        <w:sectPr>
          <w:pgSz w:w="11900" w:h="16838" w:orient="portrait"/>
          <w:cols w:equalWidth="0" w:num="1">
            <w:col w:w="11420"/>
          </w:cols>
          <w:pgMar w:left="240" w:top="229"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28, 2013, there were 41,223,308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246380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called for by Part III of this Form 10-K is incorporated by reference to the Proxy Statement for the registrant’s 2013 Annual Meeting of Stockholders, which will be filed with the Securities and Exchange Commission not later than 120 days after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06" w:right="4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520" w:type="dxa"/>
            <w:vAlign w:val="bottom"/>
            <w:gridSpan w:val="20"/>
          </w:tcPr>
          <w:p>
            <w:pPr>
              <w:jc w:val="center"/>
              <w:ind w:right="3780"/>
              <w:spacing w:after="0"/>
              <w:rPr>
                <w:sz w:val="20"/>
                <w:szCs w:val="20"/>
                <w:color w:val="auto"/>
              </w:rPr>
            </w:pPr>
            <w:r>
              <w:rPr>
                <w:rFonts w:ascii="Arial" w:cs="Arial" w:eastAsia="Arial" w:hAnsi="Arial"/>
                <w:sz w:val="22"/>
                <w:szCs w:val="22"/>
                <w:b w:val="1"/>
                <w:bCs w:val="1"/>
                <w:color w:val="auto"/>
                <w:w w:val="97"/>
              </w:rPr>
              <w:t>ENPHASE ENERGY, INC.</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19"/>
          </w:tcPr>
          <w:p>
            <w:pPr>
              <w:jc w:val="center"/>
              <w:ind w:right="3940"/>
              <w:spacing w:after="0"/>
              <w:rPr>
                <w:sz w:val="20"/>
                <w:szCs w:val="20"/>
                <w:color w:val="auto"/>
              </w:rPr>
            </w:pPr>
            <w:r>
              <w:rPr>
                <w:rFonts w:ascii="Arial" w:cs="Arial" w:eastAsia="Arial" w:hAnsi="Arial"/>
                <w:sz w:val="22"/>
                <w:szCs w:val="22"/>
                <w:b w:val="1"/>
                <w:bCs w:val="1"/>
                <w:color w:val="auto"/>
                <w:w w:val="97"/>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180" w:type="dxa"/>
            <w:vAlign w:val="bottom"/>
            <w:gridSpan w:val="11"/>
            <w:vMerge w:val="restart"/>
          </w:tcPr>
          <w:p>
            <w:pPr>
              <w:jc w:val="center"/>
              <w:ind w:right="452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11"/>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4540" w:type="dxa"/>
            <w:vAlign w:val="bottom"/>
            <w:gridSpan w:val="2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580" w:type="dxa"/>
            <w:vAlign w:val="bottom"/>
            <w:tcBorders>
              <w:top w:val="single" w:sz="8" w:color="0000FF"/>
            </w:tcBorders>
          </w:tcPr>
          <w:p>
            <w:pPr>
              <w:spacing w:after="0"/>
              <w:rPr>
                <w:sz w:val="21"/>
                <w:szCs w:val="21"/>
                <w:color w:val="auto"/>
              </w:rPr>
            </w:pPr>
          </w:p>
        </w:tc>
        <w:tc>
          <w:tcPr>
            <w:tcW w:w="456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3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Properties</w:t>
              </w:r>
            </w:hyperlink>
          </w:p>
        </w:tc>
        <w:tc>
          <w:tcPr>
            <w:tcW w:w="1300" w:type="dxa"/>
            <w:vAlign w:val="bottom"/>
            <w:gridSpan w:val="5"/>
          </w:tcPr>
          <w:p>
            <w:pPr>
              <w:spacing w:after="0"/>
              <w:rPr>
                <w:sz w:val="21"/>
                <w:szCs w:val="21"/>
                <w:color w:val="auto"/>
              </w:rPr>
            </w:pPr>
          </w:p>
        </w:tc>
        <w:tc>
          <w:tcPr>
            <w:tcW w:w="7640" w:type="dxa"/>
            <w:vAlign w:val="bottom"/>
            <w:gridSpan w:val="2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Legal Proceedings</w:t>
              </w:r>
            </w:hyperlink>
          </w:p>
        </w:tc>
        <w:tc>
          <w:tcPr>
            <w:tcW w:w="8340" w:type="dxa"/>
            <w:vAlign w:val="bottom"/>
            <w:gridSpan w:val="3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PART II</w:t>
              </w:r>
            </w:hyperlink>
          </w:p>
        </w:tc>
        <w:tc>
          <w:tcPr>
            <w:tcW w:w="4520" w:type="dxa"/>
            <w:vAlign w:val="bottom"/>
            <w:gridSpan w:val="8"/>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Market for the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3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Selected Consolidated Financial Data</w:t>
              </w:r>
            </w:hyperlink>
          </w:p>
        </w:tc>
        <w:tc>
          <w:tcPr>
            <w:tcW w:w="13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gridSpan w:val="3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3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32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5"/>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Financial Statements and Supplementary Data</w:t>
              </w:r>
            </w:hyperlink>
          </w:p>
        </w:tc>
        <w:tc>
          <w:tcPr>
            <w:tcW w:w="1020" w:type="dxa"/>
            <w:vAlign w:val="bottom"/>
            <w:gridSpan w:val="5"/>
          </w:tcPr>
          <w:p>
            <w:pPr>
              <w:spacing w:after="0"/>
              <w:rPr>
                <w:sz w:val="21"/>
                <w:szCs w:val="21"/>
                <w:color w:val="auto"/>
              </w:rPr>
            </w:pPr>
          </w:p>
        </w:tc>
        <w:tc>
          <w:tcPr>
            <w:tcW w:w="532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Report of Independent Registered Public Accounting Firm</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100" w:type="dxa"/>
            <w:vAlign w:val="bottom"/>
            <w:gridSpan w:val="8"/>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Consolidated Balance Sheets</w:t>
              </w:r>
            </w:hyperlink>
          </w:p>
        </w:tc>
        <w:tc>
          <w:tcPr>
            <w:tcW w:w="2120" w:type="dxa"/>
            <w:vAlign w:val="bottom"/>
            <w:gridSpan w:val="11"/>
          </w:tcPr>
          <w:p>
            <w:pPr>
              <w:spacing w:after="0"/>
              <w:rPr>
                <w:sz w:val="21"/>
                <w:szCs w:val="21"/>
                <w:color w:val="auto"/>
              </w:rPr>
            </w:pPr>
          </w:p>
        </w:tc>
        <w:tc>
          <w:tcPr>
            <w:tcW w:w="546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20" w:type="dxa"/>
            <w:vAlign w:val="bottom"/>
            <w:gridSpan w:val="11"/>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Consolidated Statements of Operations</w:t>
              </w:r>
            </w:hyperlink>
          </w:p>
        </w:tc>
        <w:tc>
          <w:tcPr>
            <w:tcW w:w="6860" w:type="dxa"/>
            <w:vAlign w:val="bottom"/>
            <w:gridSpan w:val="2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680" w:type="dxa"/>
            <w:vAlign w:val="bottom"/>
            <w:gridSpan w:val="3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Consolidated Statements of Comprehensive Loss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560" w:type="dxa"/>
            <w:vAlign w:val="bottom"/>
            <w:gridSpan w:val="17"/>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Consolidated Statements of Stockholders’ Equity</w:t>
              </w:r>
            </w:hyperlink>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880" w:type="dxa"/>
            <w:vAlign w:val="bottom"/>
            <w:gridSpan w:val="12"/>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Consolidated Statements of Cash Flows</w:t>
              </w:r>
            </w:hyperlink>
          </w:p>
        </w:tc>
        <w:tc>
          <w:tcPr>
            <w:tcW w:w="680" w:type="dxa"/>
            <w:vAlign w:val="bottom"/>
            <w:gridSpan w:val="5"/>
          </w:tcPr>
          <w:p>
            <w:pPr>
              <w:spacing w:after="0"/>
              <w:rPr>
                <w:sz w:val="21"/>
                <w:szCs w:val="21"/>
                <w:color w:val="auto"/>
              </w:rPr>
            </w:pPr>
          </w:p>
        </w:tc>
        <w:tc>
          <w:tcPr>
            <w:tcW w:w="612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14"/>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Notes to Consolidated Financial Statements</w:t>
              </w:r>
            </w:hyperlink>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FF"/>
                <w:w w:val="93"/>
              </w:rPr>
            </w:pPr>
            <w:hyperlink w:anchor="page65">
              <w:r>
                <w:rPr>
                  <w:rFonts w:ascii="Arial" w:cs="Arial" w:eastAsia="Arial" w:hAnsi="Arial"/>
                  <w:sz w:val="18"/>
                  <w:szCs w:val="18"/>
                  <w:color w:val="0000FF"/>
                  <w:w w:val="93"/>
                </w:rPr>
                <w:t>Quarterly Financial Information</w:t>
              </w:r>
            </w:hyperlink>
          </w:p>
        </w:tc>
        <w:tc>
          <w:tcPr>
            <w:tcW w:w="840" w:type="dxa"/>
            <w:vAlign w:val="bottom"/>
            <w:gridSpan w:val="5"/>
          </w:tcPr>
          <w:p>
            <w:pPr>
              <w:spacing w:after="0"/>
              <w:rPr>
                <w:sz w:val="21"/>
                <w:szCs w:val="21"/>
                <w:color w:val="auto"/>
              </w:rPr>
            </w:pPr>
          </w:p>
        </w:tc>
        <w:tc>
          <w:tcPr>
            <w:tcW w:w="6520" w:type="dxa"/>
            <w:vAlign w:val="bottom"/>
            <w:gridSpan w:val="2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3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gridSpan w:val="5"/>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Controls and Procedures</w:t>
              </w:r>
            </w:hyperlink>
          </w:p>
        </w:tc>
        <w:tc>
          <w:tcPr>
            <w:tcW w:w="4700" w:type="dxa"/>
            <w:vAlign w:val="bottom"/>
            <w:gridSpan w:val="26"/>
          </w:tcPr>
          <w:p>
            <w:pPr>
              <w:spacing w:after="0"/>
              <w:rPr>
                <w:sz w:val="21"/>
                <w:szCs w:val="21"/>
                <w:color w:val="auto"/>
              </w:rPr>
            </w:pPr>
          </w:p>
        </w:tc>
        <w:tc>
          <w:tcPr>
            <w:tcW w:w="320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780" w:type="dxa"/>
            <w:vAlign w:val="bottom"/>
            <w:gridSpan w:val="5"/>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Other Information</w:t>
              </w:r>
            </w:hyperlink>
          </w:p>
        </w:tc>
        <w:tc>
          <w:tcPr>
            <w:tcW w:w="7900" w:type="dxa"/>
            <w:vAlign w:val="bottom"/>
            <w:gridSpan w:val="2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0000FF"/>
            </w:tcBorders>
            <w:gridSpan w:val="7"/>
          </w:tcPr>
          <w:p>
            <w:pPr>
              <w:jc w:val="center"/>
              <w:ind w:right="20"/>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PART III</w:t>
              </w:r>
            </w:hyperlink>
          </w:p>
        </w:tc>
        <w:tc>
          <w:tcPr>
            <w:tcW w:w="4480" w:type="dxa"/>
            <w:vAlign w:val="bottom"/>
            <w:gridSpan w:val="6"/>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8"/>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Directors, Executive Officers and Corporate Governance</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Executive Compensation</w:t>
              </w:r>
            </w:hyperlink>
          </w:p>
        </w:tc>
        <w:tc>
          <w:tcPr>
            <w:tcW w:w="558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32"/>
          </w:tcPr>
          <w:p>
            <w:pPr>
              <w:spacing w:after="0"/>
              <w:rPr>
                <w:rFonts w:ascii="Arial" w:cs="Arial" w:eastAsia="Arial" w:hAnsi="Arial"/>
                <w:sz w:val="18"/>
                <w:szCs w:val="18"/>
                <w:color w:val="0000FF"/>
                <w:w w:val="90"/>
              </w:rPr>
            </w:pPr>
            <w:hyperlink w:anchor="page68">
              <w:r>
                <w:rPr>
                  <w:rFonts w:ascii="Arial" w:cs="Arial" w:eastAsia="Arial" w:hAnsi="Arial"/>
                  <w:sz w:val="18"/>
                  <w:szCs w:val="18"/>
                  <w:color w:val="0000FF"/>
                  <w:w w:val="90"/>
                </w:rPr>
                <w:t>Security Ownership of Certain Beneficial Owners and Management and Related Stockholder Matters</w:t>
              </w:r>
            </w:hyperlink>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29"/>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38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29"/>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Principal Accounting Fees and Services</w:t>
              </w:r>
            </w:hyperlink>
          </w:p>
        </w:tc>
        <w:tc>
          <w:tcPr>
            <w:tcW w:w="422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67</w:t>
              </w:r>
            </w:hyperlink>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20" w:type="dxa"/>
            <w:vAlign w:val="bottom"/>
            <w:gridSpan w:val="13"/>
          </w:tcPr>
          <w:p>
            <w:pPr>
              <w:jc w:val="center"/>
              <w:ind w:right="4500"/>
              <w:spacing w:after="0"/>
              <w:rPr>
                <w:rFonts w:ascii="Arial" w:cs="Arial" w:eastAsia="Arial" w:hAnsi="Arial"/>
                <w:sz w:val="18"/>
                <w:szCs w:val="18"/>
                <w:b w:val="1"/>
                <w:bCs w:val="1"/>
                <w:color w:val="0000FF"/>
              </w:rPr>
            </w:pPr>
            <w:hyperlink w:anchor="page69">
              <w:r>
                <w:rPr>
                  <w:rFonts w:ascii="Arial" w:cs="Arial" w:eastAsia="Arial" w:hAnsi="Arial"/>
                  <w:sz w:val="18"/>
                  <w:szCs w:val="18"/>
                  <w:b w:val="1"/>
                  <w:bCs w:val="1"/>
                  <w:color w:val="0000FF"/>
                </w:rPr>
                <w:t>PART IV</w:t>
              </w:r>
            </w:hyperlink>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480" w:type="dxa"/>
            <w:vAlign w:val="bottom"/>
            <w:gridSpan w:val="2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Exhibits, Financial Statement Schedules</w:t>
              </w:r>
            </w:hyperlink>
          </w:p>
        </w:tc>
        <w:tc>
          <w:tcPr>
            <w:tcW w:w="700" w:type="dxa"/>
            <w:vAlign w:val="bottom"/>
            <w:tcBorders>
              <w:top w:val="single" w:sz="8" w:color="0000FF"/>
            </w:tcBorders>
            <w:gridSpan w:val="5"/>
          </w:tcPr>
          <w:p>
            <w:pPr>
              <w:spacing w:after="0"/>
              <w:rPr>
                <w:sz w:val="21"/>
                <w:szCs w:val="21"/>
                <w:color w:val="auto"/>
              </w:rPr>
            </w:pPr>
          </w:p>
        </w:tc>
        <w:tc>
          <w:tcPr>
            <w:tcW w:w="450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c>
          <w:tcPr>
            <w:tcW w:w="0" w:type="dxa"/>
            <w:vAlign w:val="bottom"/>
          </w:tcPr>
          <w:p>
            <w:pPr>
              <w:spacing w:after="0"/>
              <w:rPr>
                <w:sz w:val="1"/>
                <w:szCs w:val="1"/>
                <w:color w:val="auto"/>
              </w:rPr>
            </w:pPr>
          </w:p>
        </w:tc>
      </w:tr>
      <w:tr>
        <w:trPr>
          <w:trHeight w:val="507"/>
        </w:trPr>
        <w:tc>
          <w:tcPr>
            <w:tcW w:w="1140" w:type="dxa"/>
            <w:vAlign w:val="bottom"/>
          </w:tcPr>
          <w:p>
            <w:pPr>
              <w:spacing w:after="0"/>
              <w:rPr>
                <w:sz w:val="24"/>
                <w:szCs w:val="24"/>
                <w:color w:val="auto"/>
              </w:rPr>
            </w:pPr>
          </w:p>
        </w:tc>
        <w:tc>
          <w:tcPr>
            <w:tcW w:w="2900" w:type="dxa"/>
            <w:vAlign w:val="bottom"/>
            <w:tcBorders>
              <w:top w:val="single" w:sz="8" w:color="0000FF"/>
            </w:tcBorders>
            <w:gridSpan w:val="13"/>
          </w:tcPr>
          <w:p>
            <w:pPr>
              <w:spacing w:after="0"/>
              <w:rPr>
                <w:sz w:val="24"/>
                <w:szCs w:val="24"/>
                <w:color w:val="auto"/>
              </w:rPr>
            </w:pPr>
          </w:p>
        </w:tc>
        <w:tc>
          <w:tcPr>
            <w:tcW w:w="2220" w:type="dxa"/>
            <w:vAlign w:val="bottom"/>
            <w:gridSpan w:val="12"/>
          </w:tcPr>
          <w:p>
            <w:pPr>
              <w:jc w:val="center"/>
              <w:ind w:left="95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95"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5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deliver microinverter technology for the solar industry that increases energy production, simplifies design and installation, improves system uptime and reliability, reduces fire safety risk and provides a platform for intelligent energy management.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embedded and web-based software technologies. We are the market leader in the microinverter category and have grown rapidly since our first commercial shipment in mid-2008, with more than 3,000,000 units sold to date. We were the first company to commercially ship microinverter systems in volume. Our products are certified for installation in the United States, Canada, France, the United Kingdom, Italy and the Benelux region.</w:t>
      </w:r>
    </w:p>
    <w:p>
      <w:pPr>
        <w:spacing w:after="0" w:line="43" w:lineRule="exact"/>
        <w:rPr>
          <w:sz w:val="20"/>
          <w:szCs w:val="20"/>
          <w:color w:val="auto"/>
        </w:rPr>
      </w:pPr>
    </w:p>
    <w:p>
      <w:pPr>
        <w:ind w:right="460" w:firstLine="446"/>
        <w:spacing w:after="0" w:line="344" w:lineRule="auto"/>
        <w:rPr>
          <w:sz w:val="20"/>
          <w:szCs w:val="20"/>
          <w:color w:val="auto"/>
        </w:rPr>
      </w:pPr>
      <w:r>
        <w:rPr>
          <w:rFonts w:ascii="Arial" w:cs="Arial" w:eastAsia="Arial" w:hAnsi="Arial"/>
          <w:sz w:val="18"/>
          <w:szCs w:val="18"/>
          <w:color w:val="auto"/>
        </w:rPr>
        <w:t xml:space="preserve">We were incorporated as PVI Solutions, Inc. in March 2006 in the State of Delaware and changed our name to Enphase Energy, Inc. in July 2007. </w:t>
      </w:r>
      <w:r>
        <w:rPr>
          <w:rFonts w:ascii="Arial" w:cs="Arial" w:eastAsia="Arial" w:hAnsi="Arial"/>
          <w:sz w:val="18"/>
          <w:szCs w:val="18"/>
          <w:b w:val="1"/>
          <w:bCs w:val="1"/>
          <w:color w:val="auto"/>
        </w:rPr>
        <w:t>Industry Background</w:t>
      </w:r>
    </w:p>
    <w:p>
      <w:pPr>
        <w:spacing w:after="0" w:line="1"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Historically, traditional central inverters have been the only inverter technology used for solar photovoltaic, or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As compared to microinverter systems, we believe that traditional central inverters have a number of design and performance challenges limiting innovation and their ability to reduce the cost of solar systems, including the following:</w:t>
      </w:r>
    </w:p>
    <w:p>
      <w:pPr>
        <w:spacing w:after="0" w:line="53" w:lineRule="exact"/>
        <w:rPr>
          <w:sz w:val="20"/>
          <w:szCs w:val="20"/>
          <w:color w:val="auto"/>
        </w:rPr>
      </w:pPr>
    </w:p>
    <w:p>
      <w:pPr>
        <w:ind w:left="980" w:right="180" w:hanging="48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“string”of modules are wired in series—an entire</w:t>
      </w:r>
      <w:r>
        <w:rPr>
          <w:rFonts w:ascii="Arial" w:cs="Arial" w:eastAsia="Arial" w:hAnsi="Arial"/>
          <w:sz w:val="18"/>
          <w:szCs w:val="18"/>
          <w:i w:val="1"/>
          <w:iCs w:val="1"/>
          <w:color w:val="auto"/>
        </w:rPr>
        <w:t xml:space="preserve"> </w:t>
      </w:r>
      <w:r>
        <w:rPr>
          <w:rFonts w:ascii="Arial" w:cs="Arial" w:eastAsia="Arial" w:hAnsi="Arial"/>
          <w:sz w:val="18"/>
          <w:szCs w:val="18"/>
          <w:color w:val="auto"/>
        </w:rPr>
        <w:t>string's output is limited by the output of the lowest-performing module. Because of its string design, there is a single point of failure risk with the traditional central inverter approach.</w:t>
      </w:r>
    </w:p>
    <w:p>
      <w:pPr>
        <w:spacing w:after="0" w:line="46"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Reliability issues</w:t>
      </w:r>
      <w:r>
        <w:rPr>
          <w:rFonts w:ascii="Arial" w:cs="Arial" w:eastAsia="Arial" w:hAnsi="Arial"/>
          <w:sz w:val="17"/>
          <w:szCs w:val="17"/>
          <w:color w:val="auto"/>
        </w:rPr>
        <w:t>. Traditional central inverters are the single most common component of solar installations to fail, resulting in system downtime</w:t>
      </w:r>
      <w:r>
        <w:rPr>
          <w:rFonts w:ascii="Arial" w:cs="Arial" w:eastAsia="Arial" w:hAnsi="Arial"/>
          <w:sz w:val="17"/>
          <w:szCs w:val="17"/>
          <w:i w:val="1"/>
          <w:iCs w:val="1"/>
          <w:color w:val="auto"/>
        </w:rPr>
        <w:t xml:space="preserve"> </w:t>
      </w:r>
      <w:r>
        <w:rPr>
          <w:rFonts w:ascii="Arial" w:cs="Arial" w:eastAsia="Arial" w:hAnsi="Arial"/>
          <w:sz w:val="17"/>
          <w:szCs w:val="17"/>
          <w:color w:val="auto"/>
        </w:rPr>
        <w:t>and adversely impacting total energy output. As a result, central inverters typically carry warranties of only 5 to 10 years.</w:t>
      </w:r>
    </w:p>
    <w:p>
      <w:pPr>
        <w:spacing w:after="0" w:line="11" w:lineRule="exact"/>
        <w:rPr>
          <w:rFonts w:ascii="Arial" w:cs="Arial" w:eastAsia="Arial" w:hAnsi="Arial"/>
          <w:sz w:val="17"/>
          <w:szCs w:val="17"/>
          <w:color w:val="auto"/>
        </w:rPr>
      </w:pPr>
    </w:p>
    <w:p>
      <w:pPr>
        <w:ind w:left="980" w:right="80" w:hanging="486"/>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Complex design and installation requirements</w:t>
      </w:r>
      <w:r>
        <w:rPr>
          <w:rFonts w:ascii="Arial" w:cs="Arial" w:eastAsia="Arial" w:hAnsi="Arial"/>
          <w:sz w:val="18"/>
          <w:szCs w:val="18"/>
          <w:color w:val="auto"/>
        </w:rPr>
        <w:t>. The central inverter-based solar PV installation requires greater effort on the part of the installer,</w:t>
      </w:r>
      <w:r>
        <w:rPr>
          <w:rFonts w:ascii="Arial" w:cs="Arial" w:eastAsia="Arial" w:hAnsi="Arial"/>
          <w:sz w:val="18"/>
          <w:szCs w:val="18"/>
          <w:i w:val="1"/>
          <w:iCs w:val="1"/>
          <w:color w:val="auto"/>
        </w:rPr>
        <w:t xml:space="preserve"> </w:t>
      </w:r>
      <w:r>
        <w:rPr>
          <w:rFonts w:ascii="Arial" w:cs="Arial" w:eastAsia="Arial" w:hAnsi="Arial"/>
          <w:sz w:val="18"/>
          <w:szCs w:val="18"/>
          <w:color w:val="auto"/>
        </w:rPr>
        <w:t>both in terms of design and on-site labor. Central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central inverter technology.</w:t>
      </w:r>
    </w:p>
    <w:p>
      <w:pPr>
        <w:spacing w:after="0" w:line="51"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A failure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central inverter will often go unnoticed for days or even weeks. If a module fails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is not performing to specification, the resulting loss of energy can go unnoticed for an extended period of time.</w:t>
      </w:r>
    </w:p>
    <w:p>
      <w:pPr>
        <w:spacing w:after="0" w:line="104" w:lineRule="exact"/>
        <w:rPr>
          <w:sz w:val="20"/>
          <w:szCs w:val="20"/>
          <w:color w:val="auto"/>
        </w:rPr>
      </w:pPr>
    </w:p>
    <w:p>
      <w:pPr>
        <w:ind w:left="980" w:right="140" w:hanging="48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in the United States and 1,000 volts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DC wiring. If damaged, DC wires can generate sustained electrical arcs, reaching temperatures of more than 5,000 °F. This creates the risk of fire for solar PV installation owners and injury for installers and maintenance personnel.</w:t>
      </w:r>
    </w:p>
    <w:p>
      <w:pPr>
        <w:spacing w:after="0" w:line="46"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35" w:lineRule="exact"/>
        <w:rPr>
          <w:sz w:val="20"/>
          <w:szCs w:val="20"/>
          <w:color w:val="auto"/>
        </w:rPr>
      </w:pPr>
    </w:p>
    <w:p>
      <w:pPr>
        <w:ind w:left="980" w:hanging="486"/>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Installer</w:t>
      </w:r>
      <w:r>
        <w:rPr>
          <w:rFonts w:ascii="Arial" w:cs="Arial" w:eastAsia="Arial" w:hAnsi="Arial"/>
          <w:sz w:val="17"/>
          <w:szCs w:val="17"/>
          <w:color w:val="auto"/>
        </w:rPr>
        <w:t>. Solar PV installers aim for simple installation design, fast installation times and maximum system performance and predictability.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36" w:lineRule="exact"/>
        <w:rPr>
          <w:rFonts w:ascii="Arial" w:cs="Arial" w:eastAsia="Arial" w:hAnsi="Arial"/>
          <w:sz w:val="17"/>
          <w:szCs w:val="17"/>
          <w:color w:val="auto"/>
        </w:rPr>
      </w:pPr>
    </w:p>
    <w:p>
      <w:pPr>
        <w:ind w:left="980" w:right="120" w:hanging="486"/>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system owners aim for high energy production, low cost, high reliability and low maintenance requirements,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We design, develop, manufacture and sell a microinverter system for the solar PV industry. We have built from the ground up a semiconductor-based microinverter system that converts energy at the individual solar module level and, combined with our proprietary networking and software technologies, provides advanced energy monitoring and control. This is vastly different than the central inverter approach that can only convert energy of the entire array of solar modules from a single high voltage electrical unit, and lacks intelligence about the energy producing capacity of the solar array.</w:t>
      </w:r>
    </w:p>
    <w:p>
      <w:pPr>
        <w:spacing w:after="0" w:line="19"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Our microinverter solution brings a system-based, high technology approach to solar energy generation leveraging our design expertise across power electronics, semiconductors, networking, and embedded and web-based software technologies. Our microinverter system consists of three key components: our Enphase microinverter, Envoy communications gateway and Enlighten web-based software:</w:t>
      </w:r>
    </w:p>
    <w:p>
      <w:pPr>
        <w:spacing w:after="0" w:line="46" w:lineRule="exact"/>
        <w:rPr>
          <w:sz w:val="20"/>
          <w:szCs w:val="20"/>
          <w:color w:val="auto"/>
        </w:rPr>
      </w:pPr>
    </w:p>
    <w:p>
      <w:pPr>
        <w:ind w:left="980" w:right="120" w:hanging="486"/>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Enphase microinverter delivers efficient and reliable power conversion at the individual solar module level by introducing a digital architecture that incorporates custom application specific integrated circuits, or ASICs, specialized power electronics devices and an embedded software subsystem that optimizes energy production from each module and manages the core ASIC functions. A residential solar installation consists of 5 to 50 microinverters; a small commercial solar installation consists of 50 to 500 microinverters; and a medium or larger commercial solar installation consists of 500 to 10,000 microinverters, or more.</w:t>
      </w:r>
    </w:p>
    <w:p>
      <w:pPr>
        <w:spacing w:after="0" w:line="53" w:lineRule="exact"/>
        <w:rPr>
          <w:rFonts w:ascii="Arial" w:cs="Arial" w:eastAsia="Arial" w:hAnsi="Arial"/>
          <w:sz w:val="18"/>
          <w:szCs w:val="18"/>
          <w:color w:val="auto"/>
        </w:rPr>
      </w:pPr>
    </w:p>
    <w:p>
      <w:pPr>
        <w:ind w:left="980" w:right="10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Envoy communications gateway is installed in the system owner's home or business and serves as a networking hub that collects data from the microinverter array and sends the information to our hosted data center. One Envoy is typically sold with each solar installation and can support up to 500 Enphase microinverters.</w:t>
      </w:r>
    </w:p>
    <w:p>
      <w:pPr>
        <w:spacing w:after="0" w:line="46" w:lineRule="exact"/>
        <w:rPr>
          <w:rFonts w:ascii="Arial" w:cs="Arial" w:eastAsia="Arial" w:hAnsi="Arial"/>
          <w:sz w:val="18"/>
          <w:szCs w:val="18"/>
          <w:color w:val="auto"/>
        </w:rPr>
      </w:pPr>
    </w:p>
    <w:p>
      <w:pPr>
        <w:ind w:left="980" w:right="100" w:hanging="486"/>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Enlighten web-based software collects and analyzes this information to enable system owners to monitor and realize the highest performance of their solar PV system. In addition, Enlighten also provides an online portal specifically designed for installers to enable them to track and manage all of their Enphase enabled projects and monitor and analyze the performance of their installed systems.</w:t>
      </w:r>
    </w:p>
    <w:p>
      <w:pPr>
        <w:spacing w:after="0" w:line="3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Together, our Enphase microinverter, Envoy communications gateway and Enlighten web-based software function as a single unified system that enhances energy production, simplifies design and installation, reduces costs, increases system uptime and reliability, reduces fire safety risk and provides the ability to monitor performance in real-time. With an Enphase microinverter system, we believe solar system owners can achieve a higher return on investment over the lifetime of the solar system than would be achieved using a traditional central inverter approach.</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elements of our solution include:</w:t>
      </w:r>
    </w:p>
    <w:p>
      <w:pPr>
        <w:spacing w:after="0" w:line="158" w:lineRule="exact"/>
        <w:rPr>
          <w:sz w:val="20"/>
          <w:szCs w:val="20"/>
          <w:color w:val="auto"/>
        </w:rPr>
      </w:pPr>
    </w:p>
    <w:p>
      <w:pPr>
        <w:ind w:left="880" w:right="60" w:firstLine="648"/>
        <w:spacing w:after="0" w:line="277" w:lineRule="auto"/>
        <w:rPr>
          <w:sz w:val="20"/>
          <w:szCs w:val="20"/>
          <w:color w:val="auto"/>
        </w:rPr>
      </w:pPr>
      <w:r>
        <w:rPr>
          <w:rFonts w:ascii="Arial" w:cs="Arial" w:eastAsia="Arial" w:hAnsi="Arial"/>
          <w:sz w:val="18"/>
          <w:szCs w:val="18"/>
          <w:i w:val="1"/>
          <w:iCs w:val="1"/>
          <w:color w:val="auto"/>
        </w:rPr>
        <w:t xml:space="preserve">Productive-Superior Energy Production. </w:t>
      </w:r>
      <w:r>
        <w:rPr>
          <w:rFonts w:ascii="Arial" w:cs="Arial" w:eastAsia="Arial" w:hAnsi="Arial"/>
          <w:sz w:val="18"/>
          <w:szCs w:val="18"/>
          <w:color w:val="auto"/>
        </w:rPr>
        <w:t>Our microinverter system enables the maximum possible energy production from each module,</w:t>
      </w:r>
      <w:r>
        <w:rPr>
          <w:rFonts w:ascii="Arial" w:cs="Arial" w:eastAsia="Arial" w:hAnsi="Arial"/>
          <w:sz w:val="18"/>
          <w:szCs w:val="18"/>
          <w:i w:val="1"/>
          <w:iCs w:val="1"/>
          <w:color w:val="auto"/>
        </w:rPr>
        <w:t xml:space="preserve"> </w:t>
      </w:r>
      <w:r>
        <w:rPr>
          <w:rFonts w:ascii="Arial" w:cs="Arial" w:eastAsia="Arial" w:hAnsi="Arial"/>
          <w:sz w:val="18"/>
          <w:szCs w:val="18"/>
          <w:color w:val="auto"/>
        </w:rPr>
        <w:t>overcoming a fundamental design limitation of central inverters which are limited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880" w:right="80"/>
        <w:spacing w:after="0" w:line="277" w:lineRule="auto"/>
        <w:rPr>
          <w:sz w:val="20"/>
          <w:szCs w:val="20"/>
          <w:color w:val="auto"/>
        </w:rPr>
      </w:pPr>
      <w:r>
        <w:rPr>
          <w:rFonts w:ascii="Arial" w:cs="Arial" w:eastAsia="Arial" w:hAnsi="Arial"/>
          <w:sz w:val="18"/>
          <w:szCs w:val="18"/>
          <w:color w:val="auto"/>
        </w:rPr>
        <w:t>by the lowest performing module. We believe that our microinverter systems achieve higher energy production and can generate superior returns on investment relative to central inverter solutions for system owners.</w:t>
      </w:r>
    </w:p>
    <w:p>
      <w:pPr>
        <w:spacing w:after="0" w:line="103" w:lineRule="exact"/>
        <w:rPr>
          <w:sz w:val="20"/>
          <w:szCs w:val="20"/>
          <w:color w:val="auto"/>
        </w:rPr>
      </w:pPr>
    </w:p>
    <w:p>
      <w:pPr>
        <w:ind w:left="880" w:right="20" w:firstLine="648"/>
        <w:spacing w:after="0" w:line="297" w:lineRule="auto"/>
        <w:rPr>
          <w:sz w:val="20"/>
          <w:szCs w:val="20"/>
          <w:color w:val="auto"/>
        </w:rPr>
      </w:pPr>
      <w:r>
        <w:rPr>
          <w:rFonts w:ascii="Arial" w:cs="Arial" w:eastAsia="Arial" w:hAnsi="Arial"/>
          <w:sz w:val="16"/>
          <w:szCs w:val="16"/>
          <w:i w:val="1"/>
          <w:iCs w:val="1"/>
          <w:color w:val="auto"/>
        </w:rPr>
        <w:t xml:space="preserve">Reliable-Longer Life and No Single Point of Failure. </w:t>
      </w:r>
      <w:r>
        <w:rPr>
          <w:rFonts w:ascii="Arial" w:cs="Arial" w:eastAsia="Arial" w:hAnsi="Arial"/>
          <w:sz w:val="16"/>
          <w:szCs w:val="16"/>
          <w:color w:val="auto"/>
        </w:rPr>
        <w:t>Reduction of component count, primarily through semiconductor integration in our</w:t>
      </w:r>
      <w:r>
        <w:rPr>
          <w:rFonts w:ascii="Arial" w:cs="Arial" w:eastAsia="Arial" w:hAnsi="Arial"/>
          <w:sz w:val="16"/>
          <w:szCs w:val="16"/>
          <w:i w:val="1"/>
          <w:iCs w:val="1"/>
          <w:color w:val="auto"/>
        </w:rPr>
        <w:t xml:space="preserve"> </w:t>
      </w:r>
      <w:r>
        <w:rPr>
          <w:rFonts w:ascii="Arial" w:cs="Arial" w:eastAsia="Arial" w:hAnsi="Arial"/>
          <w:sz w:val="16"/>
          <w:szCs w:val="16"/>
          <w:color w:val="auto"/>
        </w:rPr>
        <w:t>microinverter, allows us to design a reliable system that can withstand harsh environmental conditions. In addition, because we process low voltages and power levels, our components experience less stress and last longer than traditional central inverters. Furthermore, the distributed architecture of our microinverter system translates into greater system uptime. If a microinverter unit fails, it results in lost energy production from a single solar module only and not the entire array. In addition, we offer a limited warranty of up to 25 years on our microinverters.</w:t>
      </w:r>
    </w:p>
    <w:p>
      <w:pPr>
        <w:spacing w:after="0" w:line="91" w:lineRule="exact"/>
        <w:rPr>
          <w:sz w:val="20"/>
          <w:szCs w:val="20"/>
          <w:color w:val="auto"/>
        </w:rPr>
      </w:pPr>
    </w:p>
    <w:p>
      <w:pPr>
        <w:ind w:left="880" w:right="60" w:firstLine="648"/>
        <w:spacing w:after="0" w:line="293" w:lineRule="auto"/>
        <w:rPr>
          <w:sz w:val="20"/>
          <w:szCs w:val="20"/>
          <w:color w:val="auto"/>
        </w:rPr>
      </w:pPr>
      <w:r>
        <w:rPr>
          <w:rFonts w:ascii="Arial" w:cs="Arial" w:eastAsia="Arial" w:hAnsi="Arial"/>
          <w:sz w:val="16"/>
          <w:szCs w:val="16"/>
          <w:i w:val="1"/>
          <w:iCs w:val="1"/>
          <w:color w:val="auto"/>
        </w:rPr>
        <w:t xml:space="preserve">Simple-Ease of Design and Installation. </w:t>
      </w:r>
      <w:r>
        <w:rPr>
          <w:rFonts w:ascii="Arial" w:cs="Arial" w:eastAsia="Arial" w:hAnsi="Arial"/>
          <w:sz w:val="16"/>
          <w:szCs w:val="16"/>
          <w:color w:val="auto"/>
        </w:rPr>
        <w:t>Using microinverter technology, an installer can design a system of any size and any roof</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with a simple modular approach. After initial installation, the system can be easily expanded by even a single module. Our single inverter per module approach converts directly to AC and enables a simpler, all AC design, eliminating the extra cost, training and complexity associated with typical high voltage DC implementation. Without these complexities, installation of microinverter technology is greatly simplified, improving installers' productivity. This also enables a new class of solar installer, such as electricians and general contractors. Finally, our microinverters are installed on the roof and hidden from view, with minimal impact to the aesthetics of a home or building.</w:t>
      </w:r>
    </w:p>
    <w:p>
      <w:pPr>
        <w:spacing w:after="0" w:line="43" w:lineRule="exact"/>
        <w:rPr>
          <w:sz w:val="20"/>
          <w:szCs w:val="20"/>
          <w:color w:val="auto"/>
        </w:rPr>
      </w:pPr>
    </w:p>
    <w:p>
      <w:pPr>
        <w:ind w:left="880" w:firstLine="648"/>
        <w:spacing w:after="0" w:line="302" w:lineRule="auto"/>
        <w:rPr>
          <w:sz w:val="20"/>
          <w:szCs w:val="20"/>
          <w:color w:val="auto"/>
        </w:rPr>
      </w:pPr>
      <w:r>
        <w:rPr>
          <w:rFonts w:ascii="Arial" w:cs="Arial" w:eastAsia="Arial" w:hAnsi="Arial"/>
          <w:sz w:val="16"/>
          <w:szCs w:val="16"/>
          <w:i w:val="1"/>
          <w:iCs w:val="1"/>
          <w:color w:val="auto"/>
        </w:rPr>
        <w:t xml:space="preserve">Smart-Module-Level Monitoring and Analytics. </w:t>
      </w:r>
      <w:r>
        <w:rPr>
          <w:rFonts w:ascii="Arial" w:cs="Arial" w:eastAsia="Arial" w:hAnsi="Arial"/>
          <w:sz w:val="16"/>
          <w:szCs w:val="16"/>
          <w:color w:val="auto"/>
        </w:rPr>
        <w:t>Our microinverter system allows us to collect energy production information in real time</w:t>
      </w:r>
      <w:r>
        <w:rPr>
          <w:rFonts w:ascii="Arial" w:cs="Arial" w:eastAsia="Arial" w:hAnsi="Arial"/>
          <w:sz w:val="16"/>
          <w:szCs w:val="16"/>
          <w:i w:val="1"/>
          <w:iCs w:val="1"/>
          <w:color w:val="auto"/>
        </w:rPr>
        <w:t xml:space="preserve"> </w:t>
      </w:r>
      <w:r>
        <w:rPr>
          <w:rFonts w:ascii="Arial" w:cs="Arial" w:eastAsia="Arial" w:hAnsi="Arial"/>
          <w:sz w:val="16"/>
          <w:szCs w:val="16"/>
          <w:color w:val="auto"/>
        </w:rPr>
        <w:t>on a per solar module basis. This enables powerful system analytics and allows Enphase to offer installers visibility into how systems are performing and the ability to continuously optimize energy production-which is particularly important when operating commercial solar installations. Such services include system performance and diagnostics, benchmarking, as well as system and module alerts and fault statistics.</w:t>
      </w:r>
    </w:p>
    <w:p>
      <w:pPr>
        <w:spacing w:after="0" w:line="87" w:lineRule="exact"/>
        <w:rPr>
          <w:sz w:val="20"/>
          <w:szCs w:val="20"/>
          <w:color w:val="auto"/>
        </w:rPr>
      </w:pPr>
    </w:p>
    <w:p>
      <w:pPr>
        <w:ind w:left="1520"/>
        <w:spacing w:after="0"/>
        <w:rPr>
          <w:sz w:val="20"/>
          <w:szCs w:val="20"/>
          <w:color w:val="auto"/>
        </w:rPr>
      </w:pPr>
      <w:r>
        <w:rPr>
          <w:rFonts w:ascii="Arial" w:cs="Arial" w:eastAsia="Arial" w:hAnsi="Arial"/>
          <w:sz w:val="16"/>
          <w:szCs w:val="16"/>
          <w:i w:val="1"/>
          <w:iCs w:val="1"/>
          <w:color w:val="auto"/>
        </w:rPr>
        <w:t xml:space="preserve">Safe-“All AC” Solution. </w:t>
      </w:r>
      <w:r>
        <w:rPr>
          <w:rFonts w:ascii="Arial" w:cs="Arial" w:eastAsia="Arial" w:hAnsi="Arial"/>
          <w:sz w:val="16"/>
          <w:szCs w:val="16"/>
          <w:color w:val="auto"/>
        </w:rPr>
        <w:t>Perhaps most important to both installers and system owners, microinverters are safer because they process low</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DC voltages relative to central inverters. High voltage arc faults associated with traditional central inverter are the leading cause of fires of solar</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PV installations. Microinverter technology mitigates this safety risk.</w:t>
      </w:r>
    </w:p>
    <w:p>
      <w:pPr>
        <w:spacing w:after="0" w:line="14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Due to the benefits of our solution, we believe solar installers achieve greater productivity and competitive differentiation over installers of traditional central inverter solar PV installations, and the solar system owner achieves a higher return on investment with an Enphase microinverter system over the life of the solar system.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4"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Our objective is to continue to be the leading provider of microinverter systems for the solar industry worldwide and to accelerate the shift from traditional central inverters to microinverter technology. Key elements of our strategy include:</w:t>
      </w:r>
    </w:p>
    <w:p>
      <w:pPr>
        <w:spacing w:after="0" w:line="35" w:lineRule="exact"/>
        <w:rPr>
          <w:sz w:val="20"/>
          <w:szCs w:val="20"/>
          <w:color w:val="auto"/>
        </w:rPr>
      </w:pPr>
    </w:p>
    <w:p>
      <w:pPr>
        <w:ind w:left="980" w:right="260" w:hanging="486"/>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Continue to Penetrate Our Core Markets. </w:t>
      </w:r>
      <w:r>
        <w:rPr>
          <w:rFonts w:ascii="Arial" w:cs="Arial" w:eastAsia="Arial" w:hAnsi="Arial"/>
          <w:sz w:val="18"/>
          <w:szCs w:val="18"/>
          <w:color w:val="auto"/>
        </w:rPr>
        <w:t>We intend to capitalize on our market leadership in the microinverter category and our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with installers and owners to expand our market share position in our core U.S. market.</w:t>
      </w:r>
    </w:p>
    <w:p>
      <w:pPr>
        <w:spacing w:after="0" w:line="35"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Enter New Geographic Markets. </w:t>
      </w:r>
      <w:r>
        <w:rPr>
          <w:rFonts w:ascii="Arial" w:cs="Arial" w:eastAsia="Arial" w:hAnsi="Arial"/>
          <w:sz w:val="17"/>
          <w:szCs w:val="17"/>
          <w:color w:val="auto"/>
        </w:rPr>
        <w:t>We intend to further increase our market share in France, the United Kingdom, Italy and the Benelux region.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intend to expand into new markets with new and existing products and local go-to-market capabilities.</w:t>
      </w:r>
    </w:p>
    <w:p>
      <w:pPr>
        <w:spacing w:after="0" w:line="11" w:lineRule="exact"/>
        <w:rPr>
          <w:rFonts w:ascii="Arial" w:cs="Arial" w:eastAsia="Arial" w:hAnsi="Arial"/>
          <w:sz w:val="17"/>
          <w:szCs w:val="17"/>
          <w:color w:val="auto"/>
        </w:rPr>
      </w:pPr>
    </w:p>
    <w:p>
      <w:pPr>
        <w:ind w:left="980" w:right="6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efficiency above 96% and AC output power beyond 215 watts. We intend to continue to leverage our semiconductor integration, power electronics expertise and manufacturing economies of scale to further reduce cost per watt.</w:t>
      </w:r>
    </w:p>
    <w:p>
      <w:pPr>
        <w:spacing w:after="0" w:line="46"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Extend Our Technological Innovation. </w:t>
      </w:r>
      <w:r>
        <w:rPr>
          <w:rFonts w:ascii="Arial" w:cs="Arial" w:eastAsia="Arial" w:hAnsi="Arial"/>
          <w:sz w:val="18"/>
          <w:szCs w:val="18"/>
          <w:color w:val="auto"/>
        </w:rPr>
        <w:t>We distinguish ourselves from other inverter companies with our system- based and high-tech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ability to leverage strong research and development capabilities. As of December 31, 2012, we had 23 issued U.S. patents, 5 issued non-U.S. patents, 73 pending U.S. patent applications and 125 pending non-U.S. counterpart patent applications. Eleven of our issued U.S. patents directly relate to DC to AC power conversion for alternative energy power systems. The remaining 12 cover anti-islanding safety technology, measurement of grid voltage and monitoring circuits coupled to AC lines.</w:t>
      </w:r>
    </w:p>
    <w:p>
      <w:pPr>
        <w:spacing w:after="0" w:line="53" w:lineRule="exact"/>
        <w:rPr>
          <w:rFonts w:ascii="Arial" w:cs="Arial" w:eastAsia="Arial" w:hAnsi="Arial"/>
          <w:sz w:val="18"/>
          <w:szCs w:val="18"/>
          <w:color w:val="auto"/>
        </w:rPr>
      </w:pPr>
    </w:p>
    <w:p>
      <w:pPr>
        <w:jc w:val="both"/>
        <w:ind w:left="980" w:right="600" w:hanging="486"/>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Expand Our Product Offering for Commercial Installations and Utility-Scale Installations. </w:t>
      </w:r>
      <w:r>
        <w:rPr>
          <w:rFonts w:ascii="Arial" w:cs="Arial" w:eastAsia="Arial" w:hAnsi="Arial"/>
          <w:sz w:val="18"/>
          <w:szCs w:val="18"/>
          <w:color w:val="auto"/>
        </w:rPr>
        <w:t>We intend to expand our product offering by</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introducing new microinverter systems targeted at larger commercial installations and utility-scale installations. We expect these market segments to become a significant revenue opportunity for us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the future.</w:t>
      </w:r>
    </w:p>
    <w:p>
      <w:pPr>
        <w:spacing w:after="0" w:line="104" w:lineRule="exact"/>
        <w:rPr>
          <w:sz w:val="20"/>
          <w:szCs w:val="20"/>
          <w:color w:val="auto"/>
        </w:rPr>
      </w:pPr>
    </w:p>
    <w:p>
      <w:pPr>
        <w:ind w:left="980" w:right="440" w:hanging="486"/>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Develop a Software Management Platform. </w:t>
      </w:r>
      <w:r>
        <w:rPr>
          <w:rFonts w:ascii="Arial" w:cs="Arial" w:eastAsia="Arial" w:hAnsi="Arial"/>
          <w:sz w:val="17"/>
          <w:szCs w:val="17"/>
          <w:color w:val="auto"/>
        </w:rPr>
        <w:t>We intend to build upon our strong position as the leading supplier of microinverter systems to</w:t>
      </w:r>
      <w:r>
        <w:rPr>
          <w:rFonts w:ascii="Arial" w:cs="Arial" w:eastAsia="Arial" w:hAnsi="Arial"/>
          <w:sz w:val="17"/>
          <w:szCs w:val="17"/>
          <w:i w:val="1"/>
          <w:iCs w:val="1"/>
          <w:color w:val="auto"/>
        </w:rPr>
        <w:t xml:space="preserve"> </w:t>
      </w:r>
      <w:r>
        <w:rPr>
          <w:rFonts w:ascii="Arial" w:cs="Arial" w:eastAsia="Arial" w:hAnsi="Arial"/>
          <w:sz w:val="17"/>
          <w:szCs w:val="17"/>
          <w:color w:val="auto"/>
        </w:rPr>
        <w:t>develop additional energy management services for our growing network of solar installers worldwide.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94"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Today, our microinverter system is sold in the United States, Canada, France, the United Kingdom, Italy and the Benelux region. We sell our microinverter systems primarily to solar distributors who resell to installers and integrators, who in turn integrate our products into complete solar PV installations for residential and commercial system owners. We work with many of the leading solar distributors. In 2012, Focused Energy, Inc. and Sunwize Technologies, Inc. each accounted for more than 10% of our net revenues and collectively, both accounted for 27% of our total net revenues. In addition to our distributors, we sell directly to large installers, OEMs and strategic partners. Our OEM customers include solar module manufacturers who bundle our products and solutions with their solar module products and resell to both distributors and installers. Strategic partners include a variety of companies and arrangements, including industrial equipment suppliers and providers of solar financing solutions. We also sell the Enphase-branded product directly to electrical contractor distributors in North America. Historically, U.S. net revenues have comprised more than 85% of our business, with the remainder from Canada and Europe.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94"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outsource the manufacturing of our products to two key manufacturing partners, Flextronics International Ltd. and Phoenix Contact GmbH &amp; Co. KG. Flextronics assembles and tests our microinverter pursuant to a manufacturing services agreement. Prices for such services are mutually agreed to by the parties on a quarterly basis and we are obligated to purchase manufactured products and raw materials that cannot be resold upon the termination of the agreement. Flextronics' assembly and test plants for our products are located in Fuyong, China, and New Market, Ontario, Canada. Flextronics also provides receiving, kitting, storage, transportation, inventory visibility and other value-added logistics services at locations managed by Flextronics pursuant to a logistics services agreement. Phoenix manufactures the custom AC cable for our third generation M215 microinverter system pursuant to a cooperation agreement. Phoenix's facilities are located in Poland and China. In addition, we rely on several unaffiliated companies to supply certain components used in the fabrication of our microinverter system.</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94"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We maintain high levels of customer engagement through our customer support group and the Enlighten web-based software portal, and have cultivated an organizational focus on customer satisfaction. Our dedicated customer support group focuses on responding to inbound inquiries regarding any of our products and services. This support is provided free of charge to all of our customers in the United States and Canada. To support our international expansion into Europe, we have extended the customer support group to include local coverage based in Lyon, France and Milan, Italy. As of December 31, 2012, our customer support staff consisted of 40 employees in the United States and seven employees in Europe.</w:t>
      </w:r>
    </w:p>
    <w:p>
      <w:pPr>
        <w:spacing w:after="0" w:line="37"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In addition, customized support programs are being developed for selected OEM partners, large direct installers and master distributors to help prioritize and track support issues for key partners and to provide a single point of 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We devote substantial resources to research and development with the objective of developing new products and systems, adding new features to existing products and systems and reducing unit costs of our Enphase microinverter system. Our development strategy is to identify features, products and systems for both software and hardware that reduce the cost and optimize the effectiveness of our microinverter solutions for our customers. We measure the effectiveness of our research and development against metrics, including product unit cost, efficiency, reliability, power output and ease-of-use. As of December 31, 2012, our research and development staff consisted of 160 employees, of whom 135 were located in the United States and 22 in New Zealand.</w:t>
      </w:r>
    </w:p>
    <w:p>
      <w:pPr>
        <w:spacing w:after="0" w:line="2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research and development expenses were $35.6 million, $25.1 million and $14.3 million for the years ended December 31, 2012, 2011 and 2010,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Our success depends, in part, on our ability to maintain and protect our proprietary technologies. We rely primarily on patent, trademark, copyright and trade secrets laws in the United States and similar laws in other countries, confidentiality agreements and procedures and other contractual arrangements to protect our technology. As of December 31, 2012, we had 23 issued U.S. patents, five issued non-U.S. patents, 73 patent applications pending for examination in the United States and 125 independent patent applications pending for examination in other countries, all of which are related to U.S. applications.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Eleven of our issued U.S. patents directly relate to DC to AC power conversion for alternative energy power systems. The remaining 12 cover power wiring, detection and control of DC arcs, inverter module design, anti-islanding safety technology, measurement of grid voltage and monitoring circuits coupled to AC lines, respectively. Our issued patents are scheduled to expire between years 2027 and 2032.</w:t>
      </w:r>
    </w:p>
    <w:p>
      <w:pPr>
        <w:spacing w:after="0" w:line="46"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We license certain power line communications technology and software for integration into our ASICs pursuant to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 party manufacturer of electronic components or systems for use in the solar energy market. The license carries a seventy-five year term, subject to earlier termination upon mutual agreement of the parties, or by us in connection with the insolvency of the licensor.</w:t>
      </w:r>
    </w:p>
    <w:p>
      <w:pPr>
        <w:spacing w:after="0" w:line="23" w:lineRule="exact"/>
        <w:rPr>
          <w:sz w:val="20"/>
          <w:szCs w:val="20"/>
          <w:color w:val="auto"/>
        </w:rPr>
      </w:pPr>
    </w:p>
    <w:p>
      <w:pPr>
        <w:ind w:right="120" w:firstLine="446"/>
        <w:spacing w:after="0" w:line="290" w:lineRule="auto"/>
        <w:rPr>
          <w:sz w:val="20"/>
          <w:szCs w:val="20"/>
          <w:color w:val="auto"/>
        </w:rPr>
      </w:pPr>
      <w:r>
        <w:rPr>
          <w:rFonts w:ascii="Arial" w:cs="Arial" w:eastAsia="Arial" w:hAnsi="Arial"/>
          <w:sz w:val="16"/>
          <w:szCs w:val="16"/>
          <w:color w:val="auto"/>
        </w:rPr>
        <w:t>We also license digital intellectual property cores, or IP blocks, for integration into and distribution with certain electronic components built into our products, including our ASICs, complex programmable logic devices, or CPLDs, and field-programmable gate arrays, or FPGAs. This is a fully-paid, non-exclusive, non-transferrable,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3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continually assess appropriate occasions for seeking patent protection for those aspects of our technology, designs and methodologies and processes that we believe provide significant competitive advantages. A majority of our patents relate to DC to AC power conversion for alternative energy power systems, as well as power system monitoring, control and management systems.</w:t>
      </w:r>
    </w:p>
    <w:p>
      <w:pPr>
        <w:spacing w:after="0" w:line="46"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With respect to, among other things,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133"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127" w:lineRule="exact"/>
        <w:rPr>
          <w:sz w:val="20"/>
          <w:szCs w:val="20"/>
          <w:color w:val="auto"/>
        </w:rPr>
      </w:pPr>
    </w:p>
    <w:p>
      <w:pPr>
        <w:ind w:right="880" w:firstLine="446"/>
        <w:spacing w:after="0" w:line="277"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microinverter, technology or business plans.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been subject to any material intellectual property claims.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Historically, sales of our products in the third and fourth quarters have been positively affected by seasonal customer demand trends, including solar economic incentives, weather patterns and construction cycles. Although these seasonal factors are common in the solar sector, historical patterns should not be considered a reliable indicator of our future sales activity or performance.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markets for our products are highly competitive, and we compete both with well-established traditional central inverter manufacturers and new technology start-ups. The principal areas in which we compete with other companies include:</w:t>
      </w:r>
    </w:p>
    <w:p>
      <w:pPr>
        <w:spacing w:after="0" w:line="3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cost of ownership (usually measured by levelized cost of electricity, or LCOE);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recognition and customer service and support;</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 and local electrical code;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pacing w:after="0" w:line="171"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Currently, competitors in the inverter market range from large, international companies such as SMA Solar Technology AG, Fronius International GmbH and Power-One, Inc. to emerging companies offering alternative microinverter or other solar electronics products.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inverter technology, even when traditional central inverter technology is supplemented by DC-to-DC optimizers. SMA Solar Technology AG, Power- One Inc. and SunPower Corp., leading inverter vendors serving the residential and small commercial inverter markets, are expected to ship microinverter products in 2013. In addition, several new entrants to the microinverter market, including some of our OEM customers and partners, have recently announced plans to ship or have already shipped products.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20" w:firstLine="446"/>
        <w:spacing w:after="0" w:line="264" w:lineRule="auto"/>
        <w:rPr>
          <w:sz w:val="20"/>
          <w:szCs w:val="20"/>
          <w:color w:val="auto"/>
        </w:rPr>
      </w:pPr>
      <w:r>
        <w:rPr>
          <w:rFonts w:ascii="Arial" w:cs="Arial" w:eastAsia="Arial" w:hAnsi="Arial"/>
          <w:sz w:val="18"/>
          <w:szCs w:val="18"/>
          <w:color w:val="auto"/>
        </w:rPr>
        <w:t>As of December 31, 2012, we had 384 employees. Of the full-time employees, 160 were engaged in research and development, 141 in sales and marketing, 54 in a general and administrative capacity and 29 in manufacturing and operations. Of these employees, 320 were in the United States, 35 in Europe, 22 in New Zealand, five in China and two in Canada.</w:t>
      </w:r>
    </w:p>
    <w:p>
      <w:pPr>
        <w:spacing w:after="0" w:line="127"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None of our U.S., New Zealand or U.K. employees are represented by a labor union with respect to his or her employment with us; however, our employees in France and Italy are represented by a collective bargaining agreement. We have not experienced any employment-related work stoppages, and we consider our relations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 xml:space="preserve">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Arial" w:cs="Arial" w:eastAsia="Arial" w:hAnsi="Arial"/>
          <w:sz w:val="17"/>
          <w:szCs w:val="17"/>
          <w:u w:val="single" w:color="auto"/>
          <w:color w:val="0000FF"/>
        </w:rPr>
        <w:t>www.enphase.com</w:t>
      </w:r>
      <w:r>
        <w:rPr>
          <w:rFonts w:ascii="Arial" w:cs="Arial" w:eastAsia="Arial" w:hAnsi="Arial"/>
          <w:sz w:val="17"/>
          <w:szCs w:val="17"/>
          <w:color w:val="auto"/>
        </w:rPr>
        <w:t xml:space="preserve"> (under “Investors-Financial Information-SEC Filings”), free of charge, copies of these reports as soon as reasonably practicable after filing these reports with, or furnishing them to, the SEC.</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together with all of the other information set forth in this Annual Report on Form 10-K, which could materially affect our business, financial condition or future results. If any of the following risks actually occurs, our business, financial condition, results of operations and future prospects could be materially and adversely harmed. Additional risks not presently known to us or that we currently deem immaterial may also impair our business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incurred net losses in each quarter since we began doing business, and we may continue to incur additional net losses in the future. We incurred net losses of $38.2 million, $32.3 million and $21.8 million for 2012, 2011 and 2010, respectively. As of December 31, 2012, we had an accumulated deficit of $127.0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microinverter solution is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43"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03"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01" w:lineRule="exact"/>
        <w:rPr>
          <w:rFonts w:ascii="Arial" w:cs="Arial" w:eastAsia="Arial" w:hAnsi="Arial"/>
          <w:sz w:val="17"/>
          <w:szCs w:val="17"/>
          <w:color w:val="auto"/>
        </w:rPr>
      </w:pPr>
    </w:p>
    <w:p>
      <w:pPr>
        <w:ind w:left="980" w:right="44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1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35"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3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54"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The guidelines include a “safe harbor” provision setting the beginning of construction at the point where the applicant has incurred or paid at least 5% of the total cost of the property, excluding land and certain preliminary planning activities. We believe the December 31, 2011 deadline associated with this program had a positive effect on our sales in the fourth quarter of 2011, as customers and installers took actions to begin construction or place eligible property into service before the deadline, and in 2012 as deferred revenues recorded in connection with these sales were recognized. However, unless this program is further extended, the eventual phase-out of this program could adversely affect sales of our products in the future.</w:t>
      </w:r>
    </w:p>
    <w:p>
      <w:pPr>
        <w:spacing w:after="0" w:line="45"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California is the largest single solar market in the United States, based on analysis from SEIA data and GTM Research, and a significant portion of our revenues are generated in California. In 2007, the State of California launched its 10-year, $3 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if the pace of installations is high the program may conclude sooner.</w:t>
      </w:r>
    </w:p>
    <w:p>
      <w:pPr>
        <w:spacing w:after="0" w:line="3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also sell our products in Ontario, Canada. The Ontario Power Authority Green Energy and Green Economy Act of 2009 created two separate FiT programs for projects greater than 10kW and for projects less than 10kW. These FiT programs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provide participants with a fixed price for electricity produced over a 20-year contract term. Both programs were recently suspended while they underwent a review. The program for projects less than 10kW was re-opened to new applications in July 2012, and the program for projects between 10kW and 500kW was re-opened for new applications on December 14, 2012.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3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Italy, Belgium and the United Kingdom, have adopted reductions to their FiTs, and Spain announced a suspension of its FiT for new renewable energy projects in January 2012.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may negatively affect our business, financial condition and results of operations as we seek to do increased business in Europe.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1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may adversely impact our business, financial condition and results of operations as we seek to do increased business in Europe.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9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If we fail to achieve broad market acceptance of our products, there would be an adverse impact on our ability to increase our revenue, gain market share and achieve and sustain profitability. Our ability to achieve broad market acceptance for our products will be impacted by a number of factors, including:</w:t>
      </w:r>
    </w:p>
    <w:p>
      <w:pPr>
        <w:spacing w:after="0" w:line="46"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solution, which is a relatively new technology with a limited history with respect to reliability and performance;</w:t>
      </w:r>
    </w:p>
    <w:p>
      <w:pPr>
        <w:spacing w:after="0" w:line="35"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35" w:lineRule="exact"/>
        <w:rPr>
          <w:rFonts w:ascii="Arial" w:cs="Arial" w:eastAsia="Arial" w:hAnsi="Arial"/>
          <w:sz w:val="18"/>
          <w:szCs w:val="18"/>
          <w:color w:val="auto"/>
        </w:rPr>
      </w:pPr>
    </w:p>
    <w:p>
      <w:pPr>
        <w:ind w:left="980" w:right="24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35" w:lineRule="exact"/>
        <w:rPr>
          <w:rFonts w:ascii="Arial" w:cs="Arial" w:eastAsia="Arial" w:hAnsi="Arial"/>
          <w:sz w:val="18"/>
          <w:szCs w:val="18"/>
          <w:color w:val="auto"/>
        </w:rPr>
      </w:pPr>
    </w:p>
    <w:p>
      <w:pPr>
        <w:ind w:left="980" w:right="66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35" w:lineRule="exact"/>
        <w:rPr>
          <w:rFonts w:ascii="Arial" w:cs="Arial" w:eastAsia="Arial" w:hAnsi="Arial"/>
          <w:sz w:val="18"/>
          <w:szCs w:val="18"/>
          <w:color w:val="auto"/>
        </w:rPr>
      </w:pPr>
    </w:p>
    <w:p>
      <w:pPr>
        <w:ind w:left="980" w:right="380" w:hanging="48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1" w:right="27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0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solution.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5"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warranty costs and reserves;</w:t>
      </w:r>
    </w:p>
    <w:p>
      <w:pPr>
        <w:spacing w:after="0" w:line="9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reductions on older generation products to sell remaining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To date, we have competed primarily against central inverter manufacturers and until recently have faced little direct competition in selling our microinverter systems. Marketing and selling our microinverter solutions against traditional inverter solutions is highly competitive and we expect competition to intensify as new and existing competitors enter the microinverter market. We believe that a number of companies have developed or are developing microinverters and other products that will compete directly with our microinverter systems. SMA Solar Technology AG, Power-One Inc. and SunPower Corp., leading inverter vendors serving the residential and commercial inverter markets, have recently introduced or announced plans to introduce microinverter products in 2013. In addition, several new entrants to the microinverter market have recently announced plans to ship or have already shipped products, including some of our OEM customers and partners.</w:t>
      </w:r>
    </w:p>
    <w:p>
      <w:pPr>
        <w:spacing w:after="0" w:line="124"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 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90" w:lineRule="exact"/>
        <w:rPr>
          <w:sz w:val="20"/>
          <w:szCs w:val="20"/>
          <w:color w:val="auto"/>
        </w:rPr>
      </w:pPr>
    </w:p>
    <w:p>
      <w:pPr>
        <w:jc w:val="both"/>
        <w:ind w:right="180" w:firstLine="432"/>
        <w:spacing w:after="0" w:line="334"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7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U.S., Canada, France, Italy, the United Kingdom, the Benelux region, certain other select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52"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2" w:right="29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420" w:firstLine="432"/>
        <w:spacing w:after="0" w:line="334"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right="8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90"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may harm our business, financial condition and results of operations.</w:t>
      </w:r>
    </w:p>
    <w:p>
      <w:pPr>
        <w:spacing w:after="0" w:line="35"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If the cost of electricity generated by solar PV installations incorporating our microinverter systems is high relative to the cost of electricity from other sources, our business, financial condition and results of operations may be harmed.</w:t>
      </w:r>
    </w:p>
    <w:p>
      <w:pPr>
        <w:spacing w:after="0" w:line="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5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35"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Because of the limited operating history of our products, we have been required to make assumptions and apply judgments, based on our accelerated life cycle testing, regarding a number of factors, including the durability and reliability of our products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have caused and could in the future cause us to increase the amount of warranty obligations and have had and may have in the future a corresponding negative impact on our results of operations.</w:t>
      </w:r>
    </w:p>
    <w:p>
      <w:pPr>
        <w:spacing w:after="0" w:line="43"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33"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 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3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1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sell our microinverter systems primarily through distributors, as well as through direct sales to solar equipment installers and sales to developers of third party solar finance offerings. For 2012, Focused Energy, Inc. and Sunwize Technologies, Inc. each accounted for more than 10% of our net revenues and collectively, both accounted for 27% of our total net revenues. We do not have exclusive arrangements with these third parties and, as a result, many of our distributors also market and sell products from our 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current distributors, failure by these distributors to perform as expected, or failure by us to cultivate new distributor relationships, could hinder our ability to expand our operations and harm our revenue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currently working on a variant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microinverter solutions.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3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1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1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2" w:lineRule="exact"/>
        <w:rPr>
          <w:sz w:val="20"/>
          <w:szCs w:val="20"/>
          <w:color w:val="auto"/>
        </w:rPr>
      </w:pPr>
    </w:p>
    <w:p>
      <w:pPr>
        <w:ind w:left="980" w:right="6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76"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7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7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84"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3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7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while our agreement with Hercules includes a condition precedent to borrowing that is subject to us achieving certain financial objectives.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6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87"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8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excess of the annual limitations imposed by Sections 382 and 383 and those attributes that are already subject to limitations (as a result of our prior ownership changes) may be subject to more stringent limitations.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 from other aspects of our business.</w:t>
      </w:r>
    </w:p>
    <w:p>
      <w:pPr>
        <w:spacing w:after="0" w:line="14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are subject to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6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 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1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6"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90"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current or future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1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For example, the Italian energy authority (AEEG) recently enacted a new set of interconnection standards for solar energy installations, which took effect in July 2012. We are currently developing a solution to meet these requirements. However, in the event that we cannot implement our intended solution in the near term the total market available for our microinverter products in Italy, and our business as a result, may be adversely impacted.</w:t>
      </w:r>
    </w:p>
    <w:p>
      <w:pPr>
        <w:spacing w:after="0" w:line="9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While we are not aware of any other current or proposed export or import regulations which would materially restrict our ability to sell our products in countries such as Canada, France, Italy, the United Kingdom, the Benelux region or China,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this section of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8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6"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80" w:right="78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80" w:right="140" w:hanging="486"/>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62"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62" w:lineRule="exact"/>
        <w:rPr>
          <w:sz w:val="20"/>
          <w:szCs w:val="20"/>
          <w:color w:val="auto"/>
        </w:rPr>
      </w:pPr>
    </w:p>
    <w:p>
      <w:pPr>
        <w:ind w:right="280" w:firstLine="432"/>
        <w:spacing w:after="0" w:line="271" w:lineRule="auto"/>
        <w:rPr>
          <w:sz w:val="20"/>
          <w:szCs w:val="20"/>
          <w:color w:val="auto"/>
        </w:rPr>
      </w:pPr>
      <w:r>
        <w:rPr>
          <w:rFonts w:ascii="Arial" w:cs="Arial" w:eastAsia="Arial" w:hAnsi="Arial"/>
          <w:sz w:val="17"/>
          <w:szCs w:val="17"/>
          <w:color w:val="auto"/>
        </w:rPr>
        <w:t>As of February 28, 2013, our executive officers, directors, greater than 5% stockholders and entities that are affiliated with them, beneficially owned approximately 47% of our outstanding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As of February 28, 2013, we had approximately 41.2 million shares of common stock outstanding, all of which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16"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6" w:lineRule="exact"/>
        <w:rPr>
          <w:sz w:val="20"/>
          <w:szCs w:val="20"/>
          <w:color w:val="auto"/>
        </w:rPr>
      </w:pPr>
    </w:p>
    <w:p>
      <w:pPr>
        <w:ind w:left="980" w:right="60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directory candidates;</w:t>
      </w:r>
    </w:p>
    <w:p>
      <w:pPr>
        <w:spacing w:after="0" w:line="101"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35" w:lineRule="exact"/>
        <w:rPr>
          <w:rFonts w:ascii="Arial" w:cs="Arial" w:eastAsia="Arial" w:hAnsi="Arial"/>
          <w:sz w:val="18"/>
          <w:szCs w:val="18"/>
          <w:color w:val="auto"/>
        </w:rPr>
      </w:pPr>
    </w:p>
    <w:p>
      <w:pPr>
        <w:ind w:left="980" w:right="90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5" w:lineRule="exact"/>
        <w:rPr>
          <w:rFonts w:ascii="Arial" w:cs="Arial" w:eastAsia="Arial" w:hAnsi="Arial"/>
          <w:sz w:val="18"/>
          <w:szCs w:val="18"/>
          <w:color w:val="auto"/>
        </w:rPr>
      </w:pPr>
    </w:p>
    <w:p>
      <w:pPr>
        <w:ind w:left="980" w:hanging="486"/>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53"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46"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91"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corporate headquarters occupy approximately 96,000 square feet in Petaluma, California under a lease that expires in April 2022 and accommodates our principal engineering, sales, marketing, operations and finance and administrative activities. In addition to our corporate headquarters in Petaluma, as of December 31, 2012, we leased office space in Boise, Idaho, Santa Clara, California, the United Kingdom, France, Italy, China and New Zealand. These regional facilities total approximately 136,000 square feet. At this time, we believe our facilities are adequate for our near term operational and business needs.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9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10" w:lineRule="exact"/>
        <w:rPr>
          <w:sz w:val="20"/>
          <w:szCs w:val="20"/>
          <w:color w:val="auto"/>
        </w:rPr>
      </w:pPr>
    </w:p>
    <w:p>
      <w:pPr>
        <w:ind w:right="180" w:firstLine="446"/>
        <w:spacing w:after="0" w:line="342" w:lineRule="auto"/>
        <w:rPr>
          <w:sz w:val="20"/>
          <w:szCs w:val="20"/>
          <w:color w:val="auto"/>
        </w:rPr>
      </w:pPr>
      <w:r>
        <w:rPr>
          <w:rFonts w:ascii="Arial" w:cs="Arial" w:eastAsia="Arial" w:hAnsi="Arial"/>
          <w:sz w:val="16"/>
          <w:szCs w:val="16"/>
          <w:color w:val="auto"/>
        </w:rPr>
        <w:t>Our common stock has been traded on The NASDAQ Global Market under the symbol “ENPH” since March 30, 2012. The following table sets forth the range of high and low sales prices per share of our common stock as reported on the NASDAQ Global Market for the quarterly periods of 2012.</w:t>
      </w:r>
    </w:p>
    <w:p>
      <w:pPr>
        <w:spacing w:after="0" w:line="264" w:lineRule="exact"/>
        <w:rPr>
          <w:sz w:val="20"/>
          <w:szCs w:val="20"/>
          <w:color w:val="auto"/>
        </w:rPr>
      </w:pPr>
    </w:p>
    <w:tbl>
      <w:tblPr>
        <w:tblLayout w:type="fixed"/>
        <w:tblInd w:w="304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Range</w:t>
            </w:r>
          </w:p>
        </w:tc>
        <w:tc>
          <w:tcPr>
            <w:tcW w:w="760" w:type="dxa"/>
            <w:vAlign w:val="bottom"/>
            <w:tcBorders>
              <w:bottom w:val="single" w:sz="8" w:color="auto"/>
            </w:tcBorders>
          </w:tcPr>
          <w:p>
            <w:pPr>
              <w:spacing w:after="0"/>
              <w:rPr>
                <w:sz w:val="16"/>
                <w:szCs w:val="16"/>
                <w:color w:val="auto"/>
              </w:rPr>
            </w:pPr>
          </w:p>
        </w:tc>
      </w:tr>
      <w:tr>
        <w:trPr>
          <w:trHeight w:val="264"/>
        </w:trPr>
        <w:tc>
          <w:tcPr>
            <w:tcW w:w="9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02"/>
        </w:trPr>
        <w:tc>
          <w:tcPr>
            <w:tcW w:w="940" w:type="dxa"/>
            <w:vAlign w:val="bottom"/>
            <w:tcBorders>
              <w:top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50"/>
        </w:trPr>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March 31, 2012 (from March 30, 2012)</w:t>
            </w:r>
          </w:p>
        </w:tc>
        <w:tc>
          <w:tcPr>
            <w:tcW w:w="74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June 30, 2012</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
        </w:trPr>
        <w:tc>
          <w:tcPr>
            <w:tcW w:w="9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31, 2012</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2960" w:type="dxa"/>
            <w:vAlign w:val="bottom"/>
            <w:gridSpan w:val="2"/>
          </w:tcPr>
          <w:p>
            <w:pPr>
              <w:spacing w:after="0"/>
              <w:rPr>
                <w:sz w:val="20"/>
                <w:szCs w:val="20"/>
                <w:color w:val="auto"/>
              </w:rPr>
            </w:pPr>
            <w:r>
              <w:rPr>
                <w:rFonts w:ascii="Arial" w:cs="Arial" w:eastAsia="Arial" w:hAnsi="Arial"/>
                <w:sz w:val="18"/>
                <w:szCs w:val="18"/>
                <w:color w:val="auto"/>
              </w:rPr>
              <w:t>December 31, 2012</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4.29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2013, there were approximately 80 holders of record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To date, we have not paid any cash dividends on our common stock. We currently anticipate that we will retain any available funds to finance the growth and operation of our business and we do not anticipate paying any cash dividends in the foreseeable future. Certain present or future agreements may limit or prevent the payment of dividends on our common stock. For example, our loan and security agreement and credit agreement with Hercules and Wells Fargo, respectively, prohibit the payment of dividends.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35" w:lineRule="exact"/>
        <w:rPr>
          <w:sz w:val="20"/>
          <w:szCs w:val="20"/>
          <w:color w:val="auto"/>
        </w:rPr>
      </w:pPr>
    </w:p>
    <w:p>
      <w:pPr>
        <w:jc w:val="both"/>
        <w:ind w:firstLine="446"/>
        <w:spacing w:after="0" w:line="285"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initial public offering, pursuant to which we registered 10,315,151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$53.8 million, after underwriters' discounts of approximately $3.3 million and other direct offering expenses of $4.8 million. Morgan Stanley</w:t>
      </w:r>
    </w:p>
    <w:p>
      <w:pPr>
        <w:spacing w:after="0" w:line="2" w:lineRule="exact"/>
        <w:rPr>
          <w:sz w:val="20"/>
          <w:szCs w:val="20"/>
          <w:color w:val="auto"/>
        </w:rPr>
      </w:pPr>
    </w:p>
    <w:p>
      <w:pPr>
        <w:jc w:val="both"/>
        <w:ind w:firstLine="8"/>
        <w:spacing w:after="0" w:line="302"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2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As of the date of this report, there has been no material change in the use of proceeds from our initial public offering as described in our final prospectus filed with the SEC pursuant to Rule 424(b).</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graph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graph depicted below shows a comparison of cumulative total stockholder returns for our common stock, the Russell 2000 and the Guggenheim Solar Index for the period from March 29, 2012 (the date before our common stock began trading on the NASDAQ Global Market) to December 31, 2012. An investment of $100 is assumed to have been made in our common stock and in each index on March 29, 2012 and its relative performance is tracked through December 31, 2012. The information shown is historical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118110</wp:posOffset>
            </wp:positionV>
            <wp:extent cx="5763260" cy="3387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326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340" w:type="dxa"/>
        <w:tblCellMar>
          <w:top w:w="0" w:type="dxa"/>
          <w:left w:w="0" w:type="dxa"/>
          <w:bottom w:w="0" w:type="dxa"/>
          <w:right w:w="0" w:type="dxa"/>
        </w:tblCellMar>
      </w:tblPr>
      <w:tr>
        <w:trPr>
          <w:trHeight w:val="241"/>
        </w:trPr>
        <w:tc>
          <w:tcPr>
            <w:tcW w:w="24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3/29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6/30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9/30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12/31</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Enphase Energy, Inc.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60.83</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Russell 2000 Index</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102.97</w:t>
            </w: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Guggenheim Solar Index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459"/>
        </w:trPr>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010"/>
              <w:spacing w:after="0"/>
              <w:rPr>
                <w:sz w:val="20"/>
                <w:szCs w:val="20"/>
                <w:color w:val="auto"/>
              </w:rPr>
            </w:pPr>
            <w:r>
              <w:rPr>
                <w:rFonts w:ascii="Arial" w:cs="Arial" w:eastAsia="Arial" w:hAnsi="Arial"/>
                <w:sz w:val="18"/>
                <w:szCs w:val="18"/>
                <w:color w:val="auto"/>
                <w:w w:val="99"/>
              </w:rPr>
              <w:t>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 xml:space="preserve">The information set forth below for the five years ended December 31, 2012 is not necessarily indicative of results of future operations, and should be read in conjunction with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the consolidated financial statements and related notes thereto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of this Annual Report on Form 10-K to fully understand the factors that may affect the comparability of the information presented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8"/>
          </w:tcPr>
          <w:p>
            <w:pPr>
              <w:jc w:val="center"/>
              <w:ind w:left="238"/>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0" w:type="dxa"/>
            <w:vAlign w:val="bottom"/>
            <w:gridSpan w:val="9"/>
          </w:tcPr>
          <w:p>
            <w:pPr>
              <w:jc w:val="center"/>
              <w:ind w:right="691"/>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216,678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149,523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161,390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120,454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55,159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23,223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55,288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29,069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35,601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25,099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25,973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24,875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15,228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7"/>
        </w:trPr>
        <w:tc>
          <w:tcPr>
            <w:tcW w:w="40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86,449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57,781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13,665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(576)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80" w:type="dxa"/>
            <w:vAlign w:val="bottom"/>
          </w:tcPr>
          <w:p>
            <w:pPr>
              <w:ind w:left="50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(3,578)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(37,567)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(38,218)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0"/>
              </w:rPr>
              <w:t>Net loss per share attributable to common stockholders, basic</w:t>
            </w: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gridSpan w:val="2"/>
            <w:vMerge w:val="continue"/>
          </w:tcPr>
          <w:p>
            <w:pPr>
              <w:spacing w:after="0"/>
              <w:rPr>
                <w:sz w:val="16"/>
                <w:szCs w:val="16"/>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(25.73)</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(28.96)</w:t>
            </w: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(25.92)</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77"/>
        </w:trPr>
        <w:tc>
          <w:tcPr>
            <w:tcW w:w="408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44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280" w:type="dxa"/>
            <w:vAlign w:val="bottom"/>
            <w:gridSpan w:val="3"/>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320" w:type="dxa"/>
            <w:vAlign w:val="bottom"/>
            <w:gridSpan w:val="3"/>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Shares used in computing net loss per share attributable to</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8"/>
              </w:rPr>
              <w:t>30,740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common stockholders, basic and diluted</w:t>
            </w:r>
          </w:p>
        </w:tc>
        <w:tc>
          <w:tcPr>
            <w:tcW w:w="4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91"/>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44"/>
        </w:trPr>
        <w:tc>
          <w:tcPr>
            <w:tcW w:w="4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4"/>
          </w:tcPr>
          <w:p>
            <w:pPr>
              <w:jc w:val="center"/>
              <w:ind w:right="351"/>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8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39,993</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8,642</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Working capital</w:t>
            </w:r>
          </w:p>
        </w:tc>
        <w:tc>
          <w:tcPr>
            <w:tcW w:w="4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61,143</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29,417</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color w:val="auto"/>
              </w:rPr>
              <w:t>39,753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11,004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122,291</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106,242</w:t>
            </w: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59,504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20,947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Term loans</w:t>
            </w:r>
          </w:p>
        </w:tc>
        <w:tc>
          <w:tcPr>
            <w:tcW w:w="4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11,061</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14,677</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color w:val="auto"/>
              </w:rPr>
              <w:t>6,903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notes</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Arial" w:cs="Arial" w:eastAsia="Arial" w:hAnsi="Arial"/>
                <w:sz w:val="18"/>
                <w:szCs w:val="18"/>
                <w:color w:val="auto"/>
              </w:rPr>
              <w:t>Convertible preferred stock</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93,596</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color w:val="auto"/>
              </w:rPr>
              <w:t>93,596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47,859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21,871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56,655</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38,481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459"/>
        </w:trPr>
        <w:tc>
          <w:tcPr>
            <w:tcW w:w="4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and elsewhere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3,000,000 microinverters as of December 31, 2012. Our products are certified for installation in the United States, Canada, France, the United Kingdom, Italy and the Benelux region.</w:t>
      </w:r>
    </w:p>
    <w:p>
      <w:pPr>
        <w:spacing w:after="0" w:line="19"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 U.S. net revenues have historically comprised more than 85% of our business, with the remainder from Canada and Europe.</w:t>
      </w:r>
    </w:p>
    <w:p>
      <w:pPr>
        <w:spacing w:after="0" w:line="46"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have experienced significant revenue growth since our first commercial shipment in mid-2008. Our net revenues were $216.7 million, $149.5 million and $61.7 million for 2012, 2011 and 2010, respectively, which reflects deeper market penetration and broader acceptance of microinverter technology. We incurred net losses of $38.2 million, $32.3 million and $21.8 million for 2012, 2011 and 2010, respectively, as we invested significant resources to develop new product offerings and focused on critical research and development activities required to reduce product costs, increase performance and foster innovation. We also expanded our operations into new product markets and geographies and invested in our operational infrastructure to support anticipated growth.</w:t>
      </w:r>
    </w:p>
    <w:p>
      <w:pPr>
        <w:spacing w:after="0" w:line="58"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full-time employee headcount has grown from 153 at December 31, 2010, to 298 at December 31, 2011 and to 384 at December 31, 2012. We do not expect similar growth rates in headcount in the near term.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Revenues</w:t>
      </w:r>
    </w:p>
    <w:p>
      <w:pPr>
        <w:spacing w:after="0" w:line="90"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We generate net revenues from sales of our microinverter systems, which include microinverter units, an Envoy communications gateway device, and our Enlighten web-based monitoring service. We sell to distributors, large installers, OEMs and strategic partners.</w:t>
      </w:r>
    </w:p>
    <w:p>
      <w:pPr>
        <w:spacing w:after="0" w:line="6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diversification and expansion of our revenue base.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90"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Cost of revenues is comprised primarily of product costs, warranty, manufacturing personnel and logistics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56"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in North America and Europe.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63"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46"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expense and other indirect costs. We devote substantial resources in ongoing research and development programs that focus on enhancements to and cost efficiencies in our existing products and timely development of new products that utilize technological innovation to drive down product costs and enhance reliability. We intend to continue to invest substantial resources in our research and development efforts because we believe they are critical to maintaining our competitive position.</w:t>
      </w:r>
    </w:p>
    <w:p>
      <w:pPr>
        <w:spacing w:after="0" w:line="81" w:lineRule="exact"/>
        <w:rPr>
          <w:sz w:val="20"/>
          <w:szCs w:val="20"/>
          <w:color w:val="auto"/>
        </w:rPr>
      </w:pPr>
    </w:p>
    <w:p>
      <w:pPr>
        <w:ind w:right="120" w:firstLine="446"/>
        <w:spacing w:after="0" w:line="270" w:lineRule="auto"/>
        <w:rPr>
          <w:sz w:val="20"/>
          <w:szCs w:val="20"/>
          <w:color w:val="auto"/>
        </w:rPr>
      </w:pPr>
      <w:r>
        <w:rPr>
          <w:rFonts w:ascii="Arial" w:cs="Arial" w:eastAsia="Arial" w:hAnsi="Arial"/>
          <w:sz w:val="17"/>
          <w:szCs w:val="17"/>
          <w:color w:val="auto"/>
        </w:rPr>
        <w:t>Sales and marketing expense consists primarily of personnel-related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into new markets by expanding our customer base of distributors, large installers, OEMs and strategic partners. Historically, substantially all of our sales have been in the United States and Canada. We began selling into France, Italy and the Benelux region in the fourth quarter of 2011 and commenced volume shipments to such regions in the second quarter of 2012. In addition, we opened a sales office in the United Kingdom during the second quarter of 2012 and began shipping products to the United Kingdom in the third quarter of 2012. We believe the investments we have made in sales and marketing to date will enable us to deliver higher levels of net revenues without proportionate increases from current levels of sales and marketing expenses. However, we expect to continue to expand the geographic reach of our product offerings and explore new sales channels in addressable markets in the future.</w:t>
      </w:r>
    </w:p>
    <w:p>
      <w:pPr>
        <w:spacing w:after="0" w:line="87"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 We believe the investments we have made in our corporate infrastructure to date will enable us to deliver higher levels of net revenues without proportionate increases from current levels of general and administrative expenses.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prior to our initial public offering of our common stock, or IPO, which were issued in conjunction with credit facilities, as well as losses or gains on conversion of non-U.S. dollar transactions into U.S. dollars and foreign currency forward contracts.</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In 2012, a provision for income taxes of $0.7 million has been recognized related to our foreign operations. Due to the history of losses we have generated since inception, we have recorded a full valuation allowance on our net deferred tax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Statements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216,678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61,661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55,159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7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14,296</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43"/>
        </w:trPr>
        <w:tc>
          <w:tcPr>
            <w:tcW w:w="39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31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2012, 2011 and 2010</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p>
        </w:tc>
        <w:tc>
          <w:tcPr>
            <w:tcW w:w="2360" w:type="dxa"/>
            <w:vAlign w:val="bottom"/>
            <w:gridSpan w:val="4"/>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0"/>
                <w:szCs w:val="20"/>
                <w:color w:val="auto"/>
              </w:rPr>
            </w:pPr>
          </w:p>
        </w:tc>
        <w:tc>
          <w:tcPr>
            <w:tcW w:w="114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4"/>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20"/>
                <w:szCs w:val="20"/>
                <w:color w:val="auto"/>
              </w:rPr>
            </w:pPr>
          </w:p>
        </w:tc>
      </w:tr>
      <w:tr>
        <w:trPr>
          <w:trHeight w:val="264"/>
        </w:trPr>
        <w:tc>
          <w:tcPr>
            <w:tcW w:w="246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0" w:type="dxa"/>
            <w:vAlign w:val="bottom"/>
            <w:gridSpan w:val="5"/>
          </w:tcPr>
          <w:p>
            <w:pPr>
              <w:jc w:val="right"/>
              <w:ind w:right="522"/>
              <w:spacing w:after="0"/>
              <w:rPr>
                <w:sz w:val="20"/>
                <w:szCs w:val="20"/>
                <w:color w:val="auto"/>
              </w:rPr>
            </w:pPr>
            <w:r>
              <w:rPr>
                <w:rFonts w:ascii="Arial" w:cs="Arial" w:eastAsia="Arial" w:hAnsi="Arial"/>
                <w:sz w:val="14"/>
                <w:szCs w:val="14"/>
                <w:b w:val="1"/>
                <w:bCs w:val="1"/>
                <w:color w:val="auto"/>
                <w:w w:val="92"/>
              </w:rPr>
              <w:t>(In thousands, except percentages)</w:t>
            </w:r>
          </w:p>
        </w:tc>
        <w:tc>
          <w:tcPr>
            <w:tcW w:w="580" w:type="dxa"/>
            <w:vAlign w:val="bottom"/>
          </w:tcPr>
          <w:p>
            <w:pPr>
              <w:spacing w:after="0"/>
              <w:rPr>
                <w:sz w:val="21"/>
                <w:szCs w:val="21"/>
                <w:color w:val="auto"/>
              </w:rPr>
            </w:pPr>
          </w:p>
        </w:tc>
      </w:tr>
      <w:tr>
        <w:trPr>
          <w:trHeight w:val="24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   216,678</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149,523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67,155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  $</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149,523</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61,661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87,862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2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b w:val="1"/>
          <w:bCs w:val="1"/>
          <w:i w:val="1"/>
          <w:iCs w:val="1"/>
          <w:color w:val="auto"/>
        </w:rPr>
        <w:t xml:space="preserve">2012 Compared to 2011. </w:t>
      </w:r>
      <w:r>
        <w:rPr>
          <w:rFonts w:ascii="Arial" w:cs="Arial" w:eastAsia="Arial" w:hAnsi="Arial"/>
          <w:sz w:val="17"/>
          <w:szCs w:val="17"/>
          <w:color w:val="auto"/>
        </w:rPr>
        <w:t>Net revenues increased by 45% to $216.7 million in 2012 compared to 2011. The increase in net revenues was primarily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increase in the overall volume of our products shipped. The number of microinverter units sold increased by 51% from approximately 1,002,000 units in 2011, to approximately 1,510,000 units in 2012.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 During 2012, we continued to experience a modest decline in the average selling price of our microinverters. The decline in average selling price reflects and is consistent with recent trends in the solar industry.</w:t>
      </w:r>
    </w:p>
    <w:p>
      <w:pPr>
        <w:spacing w:after="0" w:line="124"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b w:val="1"/>
          <w:bCs w:val="1"/>
          <w:i w:val="1"/>
          <w:iCs w:val="1"/>
          <w:color w:val="auto"/>
        </w:rPr>
        <w:t xml:space="preserve">2011 Compared to 2010. </w:t>
      </w:r>
      <w:r>
        <w:rPr>
          <w:rFonts w:ascii="Arial" w:cs="Arial" w:eastAsia="Arial" w:hAnsi="Arial"/>
          <w:sz w:val="16"/>
          <w:szCs w:val="16"/>
          <w:color w:val="auto"/>
        </w:rPr>
        <w:t>Net revenues increased by 142% to $149.5 million in 2011compared to 2010. The increase in net revenues was primarily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increase in the overall volume of our products shipped. The number of microinverter units sold increased by 142% from approximately 414,000 units in 2010, to approximately 1,002,000 units in 2011. The overall increase in units sold was attributable primarily to sales of our third generation microinverter, which was introduced during the second quarter of 2011. In addition, the increase in unit sales was driven by deeper penetration of our existing customer base, the addition of new customers, and broader acceptance of our products resulting from, among other factors, investments made in sales and marketing.</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60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r>
      <w:tr>
        <w:trPr>
          <w:trHeight w:val="264"/>
        </w:trPr>
        <w:tc>
          <w:tcPr>
            <w:tcW w:w="23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250"/>
        </w:trPr>
        <w:tc>
          <w:tcPr>
            <w:tcW w:w="2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20" w:type="dxa"/>
            <w:vAlign w:val="bottom"/>
            <w:gridSpan w:val="5"/>
          </w:tcPr>
          <w:p>
            <w:pPr>
              <w:jc w:val="right"/>
              <w:ind w:right="499"/>
              <w:spacing w:after="0"/>
              <w:rPr>
                <w:sz w:val="20"/>
                <w:szCs w:val="20"/>
                <w:color w:val="auto"/>
              </w:rPr>
            </w:pPr>
            <w:r>
              <w:rPr>
                <w:rFonts w:ascii="Arial" w:cs="Arial" w:eastAsia="Arial" w:hAnsi="Arial"/>
                <w:sz w:val="14"/>
                <w:szCs w:val="14"/>
                <w:b w:val="1"/>
                <w:bCs w:val="1"/>
                <w:color w:val="auto"/>
                <w:w w:val="90"/>
              </w:rPr>
              <w:t>(In thousands, except percentages)</w:t>
            </w:r>
          </w:p>
        </w:tc>
        <w:tc>
          <w:tcPr>
            <w:tcW w:w="580" w:type="dxa"/>
            <w:vAlign w:val="bottom"/>
          </w:tcPr>
          <w:p>
            <w:pPr>
              <w:spacing w:after="0"/>
              <w:rPr>
                <w:sz w:val="21"/>
                <w:szCs w:val="21"/>
                <w:color w:val="auto"/>
              </w:rPr>
            </w:pPr>
          </w:p>
        </w:tc>
      </w:tr>
      <w:tr>
        <w:trPr>
          <w:trHeight w:val="256"/>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  161,390</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120,454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40,936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120,454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55,159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8"/>
                <w:szCs w:val="18"/>
                <w:color w:val="auto"/>
              </w:rPr>
              <w:t>65,295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23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Pr>
          <w:p>
            <w:pPr>
              <w:jc w:val="right"/>
              <w:ind w:right="157"/>
              <w:spacing w:after="0"/>
              <w:rPr>
                <w:sz w:val="20"/>
                <w:szCs w:val="20"/>
                <w:color w:val="auto"/>
              </w:rPr>
            </w:pPr>
            <w:r>
              <w:rPr>
                <w:rFonts w:ascii="Arial" w:cs="Arial" w:eastAsia="Arial" w:hAnsi="Arial"/>
                <w:sz w:val="18"/>
                <w:szCs w:val="18"/>
                <w:color w:val="auto"/>
              </w:rPr>
              <w:t>55,288</w:t>
            </w:r>
          </w:p>
        </w:tc>
        <w:tc>
          <w:tcPr>
            <w:tcW w:w="380" w:type="dxa"/>
            <w:vAlign w:val="bottom"/>
          </w:tcPr>
          <w:p>
            <w:pPr>
              <w:spacing w:after="0"/>
              <w:rPr>
                <w:sz w:val="21"/>
                <w:szCs w:val="21"/>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29,069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99"/>
              <w:spacing w:after="0"/>
              <w:rPr>
                <w:sz w:val="20"/>
                <w:szCs w:val="20"/>
                <w:color w:val="auto"/>
              </w:rPr>
            </w:pPr>
            <w:r>
              <w:rPr>
                <w:rFonts w:ascii="Arial" w:cs="Arial" w:eastAsia="Arial" w:hAnsi="Arial"/>
                <w:sz w:val="18"/>
                <w:szCs w:val="18"/>
                <w:color w:val="auto"/>
              </w:rPr>
              <w:t>26,219</w:t>
            </w: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7"/>
              <w:spacing w:after="0"/>
              <w:rPr>
                <w:sz w:val="20"/>
                <w:szCs w:val="20"/>
                <w:color w:val="auto"/>
              </w:rPr>
            </w:pPr>
            <w:r>
              <w:rPr>
                <w:rFonts w:ascii="Arial" w:cs="Arial" w:eastAsia="Arial" w:hAnsi="Arial"/>
                <w:sz w:val="18"/>
                <w:szCs w:val="18"/>
                <w:color w:val="auto"/>
              </w:rPr>
              <w:t>29,069</w:t>
            </w:r>
          </w:p>
        </w:tc>
        <w:tc>
          <w:tcPr>
            <w:tcW w:w="400" w:type="dxa"/>
            <w:vAlign w:val="bottom"/>
          </w:tcPr>
          <w:p>
            <w:pPr>
              <w:spacing w:after="0"/>
              <w:rPr>
                <w:sz w:val="21"/>
                <w:szCs w:val="21"/>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99"/>
              <w:spacing w:after="0"/>
              <w:rPr>
                <w:sz w:val="20"/>
                <w:szCs w:val="20"/>
                <w:color w:val="auto"/>
              </w:rPr>
            </w:pPr>
            <w:r>
              <w:rPr>
                <w:rFonts w:ascii="Arial" w:cs="Arial" w:eastAsia="Arial" w:hAnsi="Arial"/>
                <w:sz w:val="18"/>
                <w:szCs w:val="18"/>
                <w:color w:val="auto"/>
              </w:rPr>
              <w:t>22,567</w:t>
            </w: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27"/>
        </w:trPr>
        <w:tc>
          <w:tcPr>
            <w:tcW w:w="2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7"/>
        </w:trPr>
        <w:tc>
          <w:tcPr>
            <w:tcW w:w="2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b w:val="1"/>
          <w:bCs w:val="1"/>
          <w:i w:val="1"/>
          <w:iCs w:val="1"/>
          <w:color w:val="auto"/>
        </w:rPr>
        <w:t xml:space="preserve">2012 Compared to 2011. </w:t>
      </w:r>
      <w:r>
        <w:rPr>
          <w:rFonts w:ascii="Arial" w:cs="Arial" w:eastAsia="Arial" w:hAnsi="Arial"/>
          <w:sz w:val="16"/>
          <w:szCs w:val="16"/>
          <w:color w:val="auto"/>
        </w:rPr>
        <w:t>Cost of revenues increased by 34% in 2012, as compared to 2011. The increase in cost of revenues was primarily due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the number of microinverter units sold to customers, consistent with the overall increase in net revenues as described above. Gross profit increased by 90% in 2012, as compared to 2011, primarily due to increased revenue. Gross margin increased by 6 percentage points to 25.5% in 2012, as compared to 19.4% in 2011. The increase was primarily driven by a 8 percentage point increase from a larger mix of our higher-margin third generation microinverter, which has a lower per unit manufacturing cost than our second generation microinverter. The lower per unit cost was achieved primarily through design enhancements, which resulted in a higher level of semiconductor integration, and improved efficiencies on increased production volume. In addition, gross margin improved by 2 percentage points in 2012 as a result of a reduction in usage of expedited air-freight for finished goods due to improvements in delivery scheduling. These increases were partially offset by a 4 percentage point reduction to gross margin due to a net increase in warranty expense primarily attributable to changes in estimates to warranty obligations associated with our previous generation products.</w:t>
      </w:r>
    </w:p>
    <w:p>
      <w:pPr>
        <w:spacing w:after="0" w:line="167"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b w:val="1"/>
          <w:bCs w:val="1"/>
          <w:i w:val="1"/>
          <w:iCs w:val="1"/>
          <w:color w:val="auto"/>
        </w:rPr>
        <w:t xml:space="preserve">2011 Compared to 2010. </w:t>
      </w:r>
      <w:r>
        <w:rPr>
          <w:rFonts w:ascii="Arial" w:cs="Arial" w:eastAsia="Arial" w:hAnsi="Arial"/>
          <w:sz w:val="16"/>
          <w:szCs w:val="16"/>
          <w:color w:val="auto"/>
        </w:rPr>
        <w:t>Cost of revenues increased by 118% in 2011, as compared to 2010. The increase in cost of revenues was primarily due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the number of microinverter units sold to customers, consistent with the overall increase in net revenues as described above. Gross profit increased by 347% in 2012, as compared to 2011, primarily due to increased revenue. Gross margin increased by 9 percentage points to 19.4% in 2011 compared to 10.5% in 2010. Substantially all of this increase in gross margin was driven by sales of our higher-margin third generation microinverter, which became available in June 2011and has a lower per unit manufacturing cost than our second generation microinverter. The increase in gross margin was partially offset by a 2 percentage point increase in usage of expedited air-freight for finished goods and an 1 percentage point increase in warranty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8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w w:val="89"/>
              </w:rPr>
              <w:t>(In thousands, except percentages)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8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w w:val="89"/>
              </w:rPr>
              <w:t>(In thousands, except percentages)</w:t>
            </w:r>
          </w:p>
        </w:tc>
        <w:tc>
          <w:tcPr>
            <w:tcW w:w="560" w:type="dxa"/>
            <w:vAlign w:val="bottom"/>
          </w:tcPr>
          <w:p>
            <w:pPr>
              <w:spacing w:after="0"/>
              <w:rPr>
                <w:sz w:val="21"/>
                <w:szCs w:val="2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35,601</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25,099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10,502</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25,099</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14,296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10,803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2012 Compared to 2011. </w:t>
      </w:r>
      <w:r>
        <w:rPr>
          <w:rFonts w:ascii="Arial" w:cs="Arial" w:eastAsia="Arial" w:hAnsi="Arial"/>
          <w:sz w:val="18"/>
          <w:szCs w:val="18"/>
          <w:color w:val="auto"/>
        </w:rPr>
        <w:t>Research and development expenses increased by $10.5 million in 2012 as compared to 2011, primarily due to a $7.8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personnel-related costs as a result of increases in research and development headcount. The increase in headcount reflects our continuing investment in enhancements of existing products, as well as efforts to bring new products to market. In addition, the use of outside services for the development of new products and depreciation and amortization related to research and development equipment increased by $1.6 million and $1.0 million, respectively, as compared to the prior year period.</w:t>
      </w:r>
    </w:p>
    <w:p>
      <w:pPr>
        <w:spacing w:after="0" w:line="134"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b w:val="1"/>
          <w:bCs w:val="1"/>
          <w:i w:val="1"/>
          <w:iCs w:val="1"/>
          <w:color w:val="auto"/>
        </w:rPr>
        <w:t xml:space="preserve">2011 Compared to 2010. </w:t>
      </w:r>
      <w:r>
        <w:rPr>
          <w:rFonts w:ascii="Arial" w:cs="Arial" w:eastAsia="Arial" w:hAnsi="Arial"/>
          <w:sz w:val="17"/>
          <w:szCs w:val="17"/>
          <w:color w:val="auto"/>
        </w:rPr>
        <w:t>Research and development expenses increased by $10.8 million in 2011 as compared to 2010, primarily due to a $7.1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personnel-related costs as a result of increases in research and development headcount. The increase in headcount reflects our continuing investment in enhancements of existing products as well as efforts to bring new products to market, including our third generation microinverter. In addition, depreciation and amortization related to research and development equipment and the use of outside services for the development of new products increased by $2.2 million and $1.4 million, respectively, as compared to the prior year period.</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80" w:type="dxa"/>
            <w:vAlign w:val="bottom"/>
          </w:tcPr>
          <w:p>
            <w:pPr>
              <w:ind w:left="360"/>
              <w:spacing w:after="0"/>
              <w:rPr>
                <w:sz w:val="20"/>
                <w:szCs w:val="20"/>
                <w:color w:val="auto"/>
              </w:rPr>
            </w:pPr>
            <w:r>
              <w:rPr>
                <w:rFonts w:ascii="Arial" w:cs="Arial" w:eastAsia="Arial" w:hAnsi="Arial"/>
                <w:sz w:val="14"/>
                <w:szCs w:val="14"/>
                <w:b w:val="1"/>
                <w:bCs w:val="1"/>
                <w:color w:val="auto"/>
              </w:rPr>
              <w:t>Change in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8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80" w:type="dxa"/>
            <w:vAlign w:val="bottom"/>
            <w:gridSpan w:val="5"/>
          </w:tcPr>
          <w:p>
            <w:pPr>
              <w:jc w:val="right"/>
              <w:ind w:right="482"/>
              <w:spacing w:after="0"/>
              <w:rPr>
                <w:sz w:val="20"/>
                <w:szCs w:val="20"/>
                <w:color w:val="auto"/>
              </w:rPr>
            </w:pPr>
            <w:r>
              <w:rPr>
                <w:rFonts w:ascii="Arial" w:cs="Arial" w:eastAsia="Arial" w:hAnsi="Arial"/>
                <w:sz w:val="14"/>
                <w:szCs w:val="14"/>
                <w:b w:val="1"/>
                <w:bCs w:val="1"/>
                <w:color w:val="auto"/>
                <w:w w:val="89"/>
              </w:rPr>
              <w:t>(In thousands, except percentages)</w:t>
            </w:r>
          </w:p>
        </w:tc>
        <w:tc>
          <w:tcPr>
            <w:tcW w:w="560" w:type="dxa"/>
            <w:vAlign w:val="bottom"/>
          </w:tcPr>
          <w:p>
            <w:pPr>
              <w:spacing w:after="0"/>
              <w:rPr>
                <w:sz w:val="21"/>
                <w:szCs w:val="21"/>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25,973</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17,454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8,519</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  $</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17,454</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2"/>
              <w:spacing w:after="0"/>
              <w:rPr>
                <w:sz w:val="20"/>
                <w:szCs w:val="20"/>
                <w:color w:val="auto"/>
              </w:rPr>
            </w:pPr>
            <w:r>
              <w:rPr>
                <w:rFonts w:ascii="Arial" w:cs="Arial" w:eastAsia="Arial" w:hAnsi="Arial"/>
                <w:sz w:val="18"/>
                <w:szCs w:val="18"/>
                <w:color w:val="auto"/>
              </w:rPr>
              <w:t>10,896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b w:val="1"/>
          <w:bCs w:val="1"/>
          <w:i w:val="1"/>
          <w:iCs w:val="1"/>
          <w:color w:val="auto"/>
        </w:rPr>
        <w:t xml:space="preserve">2012 Compared to 2011. </w:t>
      </w:r>
      <w:r>
        <w:rPr>
          <w:rFonts w:ascii="Arial" w:cs="Arial" w:eastAsia="Arial" w:hAnsi="Arial"/>
          <w:sz w:val="18"/>
          <w:szCs w:val="18"/>
          <w:color w:val="auto"/>
        </w:rPr>
        <w:t>Sales and marketing expenses increased by $8.5 million in 2012 as compared to 2011, primarily due to increases in sales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headcount to support higher sales volumes and international expansion. Personnel-related costs increased by $6.5 million, which included a $2.4 million increase due to additions in sales and marketing headcount for international locations. Costs related to trade shows, the use of outside services and facilities related costs contributed an additional $1.0 million to the increase in 2012. In addition, bad debt expense increased by $0.9 million in 2012 as compared to 2011.</w:t>
      </w:r>
    </w:p>
    <w:p>
      <w:pPr>
        <w:spacing w:after="0" w:line="134"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b w:val="1"/>
          <w:bCs w:val="1"/>
          <w:i w:val="1"/>
          <w:iCs w:val="1"/>
          <w:color w:val="auto"/>
        </w:rPr>
        <w:t xml:space="preserve">2011 Compared to 2010. </w:t>
      </w:r>
      <w:r>
        <w:rPr>
          <w:rFonts w:ascii="Arial" w:cs="Arial" w:eastAsia="Arial" w:hAnsi="Arial"/>
          <w:sz w:val="16"/>
          <w:szCs w:val="16"/>
          <w:color w:val="auto"/>
        </w:rPr>
        <w:t>Sales and marketing expenses increased by $10.9 million in 2011 as compared to 2010, primarily due to increases in sales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headcount to support higher sales volumes and international expansion. Personnel-related costs increased by $8.1 million, which included a $2.3 million increase due to additions in sales and marketing headcount for international locations. In addition, costs related to trade shows, the use of outside services and other facilities related costs contributed an additional $1.2 million, $1.1 million and $0.5 million, respectively, to the increase in 2011.</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Change in</w:t>
            </w:r>
          </w:p>
        </w:tc>
        <w:tc>
          <w:tcPr>
            <w:tcW w:w="560" w:type="dxa"/>
            <w:vAlign w:val="bottom"/>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2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r>
      <w:tr>
        <w:trPr>
          <w:trHeight w:val="250"/>
        </w:trPr>
        <w:tc>
          <w:tcPr>
            <w:tcW w:w="2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8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24,875</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   15,228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9,647</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  $</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15,228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8,863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Percentage of net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5"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b w:val="1"/>
          <w:bCs w:val="1"/>
          <w:i w:val="1"/>
          <w:iCs w:val="1"/>
          <w:color w:val="auto"/>
        </w:rPr>
        <w:t xml:space="preserve">2012 Compared to 2011. </w:t>
      </w:r>
      <w:r>
        <w:rPr>
          <w:rFonts w:ascii="Arial" w:cs="Arial" w:eastAsia="Arial" w:hAnsi="Arial"/>
          <w:sz w:val="16"/>
          <w:szCs w:val="16"/>
          <w:color w:val="auto"/>
        </w:rPr>
        <w:t>General and administrative expenses increased by $9.6 million in 2012 as compared to 2011, primarily due to a $3.6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personnel-related costs as a result of increases in general and administrative headcount and a $2.8 million increase in accounting, legal and other professional services incurred to assist us with building an infrastructure to support operating as a public company. In addition, depreciation and amortization and facilities costs contributed $2.4 million to the increase due to increased capital expenditures and facilities costs incurred to support our increased headcount and the expansion of our operations. The remaining $0.8 million of the increase was attributable to insurance and other corporate expenses.</w:t>
      </w:r>
    </w:p>
    <w:p>
      <w:pPr>
        <w:spacing w:after="0" w:line="104" w:lineRule="exact"/>
        <w:rPr>
          <w:sz w:val="20"/>
          <w:szCs w:val="20"/>
          <w:color w:val="auto"/>
        </w:rPr>
      </w:pPr>
    </w:p>
    <w:p>
      <w:pPr>
        <w:jc w:val="both"/>
        <w:ind w:right="60" w:firstLine="446"/>
        <w:spacing w:after="0" w:line="276" w:lineRule="auto"/>
        <w:rPr>
          <w:sz w:val="20"/>
          <w:szCs w:val="20"/>
          <w:color w:val="auto"/>
        </w:rPr>
      </w:pPr>
      <w:r>
        <w:rPr>
          <w:rFonts w:ascii="Arial" w:cs="Arial" w:eastAsia="Arial" w:hAnsi="Arial"/>
          <w:sz w:val="17"/>
          <w:szCs w:val="17"/>
          <w:b w:val="1"/>
          <w:bCs w:val="1"/>
          <w:i w:val="1"/>
          <w:iCs w:val="1"/>
          <w:color w:val="auto"/>
        </w:rPr>
        <w:t xml:space="preserve">2011 Compared to 2010. </w:t>
      </w:r>
      <w:r>
        <w:rPr>
          <w:rFonts w:ascii="Arial" w:cs="Arial" w:eastAsia="Arial" w:hAnsi="Arial"/>
          <w:sz w:val="17"/>
          <w:szCs w:val="17"/>
          <w:color w:val="auto"/>
        </w:rPr>
        <w:t>General and administrative expenses increased by $8.9 million in 2011 as compared to 2010, primarily due to a $4.7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personnel-related costs as a result of increases in general and administrative headcount and a $2.5 million increase in accounting, legal and other professional services incurred to assist us with building an infrastructure to support public company requirements. In addition, depreciation and amortization and facilities costs contributed $1.7 million to the increase in 2011 compared to 2010 as a result of increased capital expenditures and facilities costs incurred to support our increased headcount and the expansion of our operations.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10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580" w:type="dxa"/>
            <w:vAlign w:val="bottom"/>
          </w:tcPr>
          <w:p>
            <w:pPr>
              <w:spacing w:after="0"/>
              <w:rPr>
                <w:sz w:val="16"/>
                <w:szCs w:val="16"/>
                <w:color w:val="auto"/>
              </w:rPr>
            </w:pPr>
          </w:p>
        </w:tc>
      </w:tr>
      <w:tr>
        <w:trPr>
          <w:trHeight w:val="264"/>
        </w:trPr>
        <w:tc>
          <w:tcPr>
            <w:tcW w:w="27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w:t>
            </w:r>
          </w:p>
        </w:tc>
      </w:tr>
      <w:tr>
        <w:trPr>
          <w:trHeight w:val="250"/>
        </w:trPr>
        <w:tc>
          <w:tcPr>
            <w:tcW w:w="2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w w:val="91"/>
              </w:rPr>
              <w:t>(In thousands, except percentages)</w:t>
            </w:r>
          </w:p>
        </w:tc>
        <w:tc>
          <w:tcPr>
            <w:tcW w:w="580" w:type="dxa"/>
            <w:vAlign w:val="bottom"/>
          </w:tcPr>
          <w:p>
            <w:pPr>
              <w:spacing w:after="0"/>
              <w:rPr>
                <w:sz w:val="21"/>
                <w:szCs w:val="21"/>
                <w:color w:val="auto"/>
              </w:rPr>
            </w:pPr>
          </w:p>
        </w:tc>
      </w:tr>
      <w:tr>
        <w:trPr>
          <w:trHeight w:val="249"/>
        </w:trPr>
        <w:tc>
          <w:tcPr>
            <w:tcW w:w="2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(2,828)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(2,518)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2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b w:val="1"/>
          <w:bCs w:val="1"/>
          <w:i w:val="1"/>
          <w:iCs w:val="1"/>
          <w:color w:val="auto"/>
        </w:rPr>
        <w:t xml:space="preserve">2012 Compared to 2011. </w:t>
      </w:r>
      <w:r>
        <w:rPr>
          <w:rFonts w:ascii="Arial" w:cs="Arial" w:eastAsia="Arial" w:hAnsi="Arial"/>
          <w:sz w:val="16"/>
          <w:szCs w:val="16"/>
          <w:color w:val="auto"/>
        </w:rPr>
        <w:t>Other expense increased by $2.8 million in 2012 as compared to 2011. The increase was attributable to a $3.4 million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interest expense from write-offs of deferred financing costs and debt discount as a result of the early extinguishment of convertible debt and term loans and the termination of a revolving line of credit. In addition, foreign currency losses contributed $0.4 million to the increase. The increases were partially offset by a $0.8 million decrease in the fair value of our convertible preferred stock warrant prior to the liability being reclassified as equity upon our IPO.</w:t>
      </w:r>
    </w:p>
    <w:p>
      <w:pPr>
        <w:spacing w:after="0" w:line="19" w:lineRule="exact"/>
        <w:rPr>
          <w:sz w:val="20"/>
          <w:szCs w:val="20"/>
          <w:color w:val="auto"/>
        </w:rPr>
      </w:pPr>
    </w:p>
    <w:p>
      <w:pPr>
        <w:ind w:right="100" w:firstLine="446"/>
        <w:spacing w:after="0" w:line="286" w:lineRule="auto"/>
        <w:rPr>
          <w:sz w:val="20"/>
          <w:szCs w:val="20"/>
          <w:color w:val="auto"/>
        </w:rPr>
      </w:pPr>
      <w:r>
        <w:rPr>
          <w:rFonts w:ascii="Arial" w:cs="Arial" w:eastAsia="Arial" w:hAnsi="Arial"/>
          <w:sz w:val="17"/>
          <w:szCs w:val="17"/>
          <w:b w:val="1"/>
          <w:bCs w:val="1"/>
          <w:i w:val="1"/>
          <w:iCs w:val="1"/>
          <w:color w:val="auto"/>
        </w:rPr>
        <w:t xml:space="preserve">2011 Compared to 2010. </w:t>
      </w:r>
      <w:r>
        <w:rPr>
          <w:rFonts w:ascii="Arial" w:cs="Arial" w:eastAsia="Arial" w:hAnsi="Arial"/>
          <w:sz w:val="17"/>
          <w:szCs w:val="17"/>
          <w:color w:val="auto"/>
        </w:rPr>
        <w:t>Other expense increased by $2.5 million in 2011 as compared to 2010. This increase was primarily due to an increase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from higher debt balances and non-cash interest charges. Non-cash interest charges totaled $1.8 million and $0.1 million for 2011 and 2010, respectively, and consisted of amortization of debt discounts as well as paid-in-kind interest on our convertible 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Prior to our IPO in April 2012, we funded our operations primarily through private placements of convertible preferred stock and convertible notes, and proceeds from term loans. On April 4, 2012, we completed our IPO, in which we issued and sold 10,315,151 shares of our common stock and received net proceeds of approximately $53.8 million. As of December 31, 2012, we had $45.3 million in cash and cash equivalents, which are held primarily in bank deposits and money market accounts, and $61.1 million in working capital. The following table summarizes our cash flows for the periods indicated: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(367)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(12,990)</w:t>
            </w:r>
          </w:p>
        </w:tc>
        <w:tc>
          <w:tcPr>
            <w:tcW w:w="320" w:type="dxa"/>
            <w:vAlign w:val="bottom"/>
          </w:tcPr>
          <w:p>
            <w:pPr>
              <w:spacing w:after="0"/>
              <w:rPr>
                <w:sz w:val="21"/>
                <w:szCs w:val="21"/>
                <w:color w:val="auto"/>
              </w:rPr>
            </w:pP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(14,662)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51,436</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26,482</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52,465</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320" w:firstLine="446"/>
        <w:spacing w:after="0" w:line="312" w:lineRule="auto"/>
        <w:rPr>
          <w:sz w:val="20"/>
          <w:szCs w:val="20"/>
          <w:color w:val="auto"/>
        </w:rPr>
      </w:pPr>
      <w:r>
        <w:rPr>
          <w:rFonts w:ascii="Arial" w:cs="Arial" w:eastAsia="Arial" w:hAnsi="Arial"/>
          <w:sz w:val="16"/>
          <w:szCs w:val="16"/>
          <w:color w:val="auto"/>
        </w:rPr>
        <w:t>We have experienced negative operating cash flows as we invested significant resources to develop new product offerings and focused on critical research and development activities required to reduce product costs, increase performance and foster innovation. In addition, we used cash to expand our operations into new product markets and geographies and invested in our operational infrastructure to support the growth of our business.</w:t>
      </w:r>
    </w:p>
    <w:p>
      <w:pPr>
        <w:spacing w:after="0" w:line="12"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For 2012, net cash used in operating activities was $44.6 million primarily resulting from a net loss of $38.2 million. The net loss was partially offset by non-cash items including, depreciation and amortization of $5.6 million, stock-based compensation of $4.8 million and interest expense of $4.8 million. In addition, the effect of changes in net operating assets and liabilities resulted in the use of cash totaling $22.2 million.</w:t>
      </w:r>
    </w:p>
    <w:p>
      <w:pPr>
        <w:spacing w:after="0" w:line="46" w:lineRule="exact"/>
        <w:rPr>
          <w:sz w:val="20"/>
          <w:szCs w:val="20"/>
          <w:color w:val="auto"/>
        </w:rPr>
      </w:pPr>
    </w:p>
    <w:p>
      <w:pPr>
        <w:ind w:right="160" w:firstLine="446"/>
        <w:spacing w:after="0" w:line="297" w:lineRule="auto"/>
        <w:rPr>
          <w:sz w:val="20"/>
          <w:szCs w:val="20"/>
          <w:color w:val="auto"/>
        </w:rPr>
      </w:pPr>
      <w:r>
        <w:rPr>
          <w:rFonts w:ascii="Arial" w:cs="Arial" w:eastAsia="Arial" w:hAnsi="Arial"/>
          <w:sz w:val="16"/>
          <w:szCs w:val="16"/>
          <w:color w:val="auto"/>
        </w:rPr>
        <w:t>The primary use of cash from changes in net operating assets and liabilities was attributable to an $18.6 million decrease in deferred revenues, which was primarily due to shipments of products during 2012 for which upfront payments of $23.0 million were received from customers in December 2011, as discussed below. In addition, other uses of cash from changes in net operating assets and liabilities included an $11.0 million increase in accounts receivable and an $8.6 million increase in inventory-related purchases, both consistent with the overall growth of our business in 2012 as compared to 2011. Offsetting these uses of cash was an increase in accounts payable of $16.8 million, which was also driven by the growth of our business.</w:t>
      </w:r>
    </w:p>
    <w:p>
      <w:pPr>
        <w:spacing w:after="0" w:line="23"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For 2011, notwithstanding a net loss of $32.3 million, net cash used in operating activities approximated break-even primarily due to a $25.4 million increase in deferred revenues. In December 2011, we entered into several agreements to sell microinverters to customers, with product delivery in 2012. These agreements were due, in part, to the anticipated expiration of certain government incentives for investments in renewable energy projects on December 31, 2011. Prior to December 31, 2011, we received $29.4 million in cash in advance from these customers, of which $6.4 million and $23.0 million were recorded as revenues and deferred revenues, respectively. Our net loss included non-cash charges in the form of depreciation and amortization of $3.0 million, stock-based compensation of $2.1 million and non-cash interest expense of $1.8 million related to the amortization of debt discounts and deferred financing costs. Changes in working capital items other than deferred revenues used $1.0 million of operating cash flow and consisted of increases in accounts receivable, inventory and prepaid and other assets offset by increases in accounts payable and other accrued liabilities.</w:t>
      </w:r>
    </w:p>
    <w:p>
      <w:pPr>
        <w:spacing w:after="0" w:line="31" w:lineRule="exact"/>
        <w:rPr>
          <w:sz w:val="20"/>
          <w:szCs w:val="20"/>
          <w:color w:val="auto"/>
        </w:rPr>
      </w:pPr>
    </w:p>
    <w:p>
      <w:pPr>
        <w:jc w:val="both"/>
        <w:ind w:right="320" w:firstLine="446"/>
        <w:spacing w:after="0" w:line="286" w:lineRule="auto"/>
        <w:rPr>
          <w:sz w:val="20"/>
          <w:szCs w:val="20"/>
          <w:color w:val="auto"/>
        </w:rPr>
      </w:pPr>
      <w:r>
        <w:rPr>
          <w:rFonts w:ascii="Arial" w:cs="Arial" w:eastAsia="Arial" w:hAnsi="Arial"/>
          <w:sz w:val="17"/>
          <w:szCs w:val="17"/>
          <w:color w:val="auto"/>
        </w:rPr>
        <w:t>For 2010, net cash used in operating activities was $17.9 million primarily resulting from a net loss of $21.8 million offset by the effect of non-cash expenses of $1.6 million associated with depreciation and amortization and $0.8 million in stock-based compensation. Additionally, the primary source of cash from changes in our net operating assets and liabilities was attributable to a $1.4 million increase in deferred revenues.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used in investing activities primarily relates to capital expenditures to support our growth.</w:t>
      </w:r>
    </w:p>
    <w:p>
      <w:pPr>
        <w:spacing w:after="0" w:line="171" w:lineRule="exact"/>
        <w:rPr>
          <w:sz w:val="20"/>
          <w:szCs w:val="20"/>
          <w:color w:val="auto"/>
        </w:rPr>
      </w:pPr>
    </w:p>
    <w:p>
      <w:pPr>
        <w:ind w:right="440" w:firstLine="446"/>
        <w:spacing w:after="0" w:line="277" w:lineRule="auto"/>
        <w:rPr>
          <w:sz w:val="20"/>
          <w:szCs w:val="20"/>
          <w:color w:val="auto"/>
        </w:rPr>
      </w:pPr>
      <w:r>
        <w:rPr>
          <w:rFonts w:ascii="Arial" w:cs="Arial" w:eastAsia="Arial" w:hAnsi="Arial"/>
          <w:sz w:val="18"/>
          <w:szCs w:val="18"/>
          <w:color w:val="auto"/>
        </w:rPr>
        <w:t>For 2012, net cash used in investing activities of $13.0 million included purchases of manufacturing test equipment and expenditures on leasehold improvements and furniture and fixtures in connection with our relocation to a new headquarter facility.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2011, net cash used in investing activities of $14.7 million included purchases of manufacturing test equipment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development of software for internal use.</w:t>
      </w:r>
    </w:p>
    <w:p>
      <w:pPr>
        <w:spacing w:after="0" w:line="171"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For 2010, net cash used in investing activities of $3.3 million included cash outlays for leasehold improvements at our corporate offices, manufacturing test equipment, lab equipment for research and development, and the development of software for internal use.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For 2012, net cash provided by financing activities primarily consisted of net proceeds of $56.4 million received from our IPO, after deducting underwriting discounts and commissions and other offering costs paid during 2012. Cash used in financing activities consisted of $14.1 million in principal repayments of term loans and $1.0 million in financing costs associated with entering into new credit facilities in November 2012. This was partially offset by $10.0 million in proceeds from term loan borrowings.</w:t>
      </w:r>
    </w:p>
    <w:p>
      <w:pPr>
        <w:spacing w:after="0" w:line="133"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For 2011, net cash provided by financing activities consisted of $19.7 million in net proceeds received from the issuance of our convertible notes, $9.3 million in net proceeds from an equipment financing facility and term loans, and $1.9 million from the sale of common stock partially offset by $2.6 million in direct costs incurred in connection with the preparation of our registration statement and $2.0 million related to payments on our term loans and capital lease obligations.</w:t>
      </w:r>
    </w:p>
    <w:p>
      <w:pPr>
        <w:spacing w:after="0" w:line="133"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For 2010, net cash provided by financing activities consisted of $45.7 million in net proceeds received from our Series E convertible preferred stock issuance and $7.0 million from a term loan.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75" w:lineRule="exact"/>
        <w:rPr>
          <w:sz w:val="20"/>
          <w:szCs w:val="20"/>
          <w:color w:val="auto"/>
        </w:rPr>
      </w:pPr>
    </w:p>
    <w:p>
      <w:pPr>
        <w:ind w:right="600" w:firstLine="446"/>
        <w:spacing w:after="0" w:line="277" w:lineRule="auto"/>
        <w:rPr>
          <w:sz w:val="20"/>
          <w:szCs w:val="20"/>
          <w:color w:val="auto"/>
        </w:rPr>
      </w:pPr>
      <w:r>
        <w:rPr>
          <w:rFonts w:ascii="Arial" w:cs="Arial" w:eastAsia="Arial" w:hAnsi="Arial"/>
          <w:sz w:val="18"/>
          <w:szCs w:val="18"/>
          <w:color w:val="auto"/>
        </w:rPr>
        <w:t>Our debt obligations are summarized below. As of December 31, 2012, we were in compliance with all required financial covenants of our debt facilities.</w:t>
      </w:r>
    </w:p>
    <w:p>
      <w:pPr>
        <w:spacing w:after="0" w:line="112"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b w:val="1"/>
          <w:bCs w:val="1"/>
          <w:color w:val="auto"/>
        </w:rPr>
        <w:t>Wells Fargo Bank, N.A.—</w:t>
      </w:r>
      <w:r>
        <w:rPr>
          <w:rFonts w:ascii="Arial" w:cs="Arial" w:eastAsia="Arial" w:hAnsi="Arial"/>
          <w:sz w:val="17"/>
          <w:szCs w:val="17"/>
          <w:color w:val="auto"/>
        </w:rPr>
        <w:t>On November 7, 2012, we entered into a new $50.0 million revolving credit facility (the “Revolver”) with Wells Fargo. The</w:t>
      </w:r>
      <w:r>
        <w:rPr>
          <w:rFonts w:ascii="Arial" w:cs="Arial" w:eastAsia="Arial" w:hAnsi="Arial"/>
          <w:sz w:val="17"/>
          <w:szCs w:val="17"/>
          <w:b w:val="1"/>
          <w:bCs w:val="1"/>
          <w:color w:val="auto"/>
        </w:rPr>
        <w:t xml:space="preserve"> </w:t>
      </w:r>
      <w:r>
        <w:rPr>
          <w:rFonts w:ascii="Arial" w:cs="Arial" w:eastAsia="Arial" w:hAnsi="Arial"/>
          <w:sz w:val="17"/>
          <w:szCs w:val="17"/>
          <w:color w:val="auto"/>
        </w:rPr>
        <w:t>Revolver matures on November 7, 2015. The amount of loans available to be drawn under the Revolver is subject to a borrowing base calculation that limits availability to a percentage of eligible domestic accounts receivable plus a percentage of the value of eligible domestic inventory, less certain reserves. Wells Fargo and Hercules are parties to an intercreditor agreement, pursuant to which Hercules has a first lien on certain of our assets and a second priority on our other assets. Subject to the intercreditor agreement, loans under the Revolver are secured by a pledge of substantially all our assets other than intellectual property. Loans under the Revolver bear interest in cash at an annual rate equal to, at our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us to maintain at least $15.0 million of liquidity at all times, of which at least $8.0 million must be undrawn availability. As of December 31, 2012, $21.2 million was available for borrowing and we have not drawn any loans under the Revolver.</w:t>
      </w:r>
    </w:p>
    <w:p>
      <w:pPr>
        <w:spacing w:after="0" w:line="43" w:lineRule="exact"/>
        <w:rPr>
          <w:sz w:val="20"/>
          <w:szCs w:val="20"/>
          <w:color w:val="auto"/>
        </w:rPr>
      </w:pPr>
    </w:p>
    <w:p>
      <w:pPr>
        <w:ind w:right="60" w:firstLine="446"/>
        <w:spacing w:after="0" w:line="285" w:lineRule="auto"/>
        <w:rPr>
          <w:sz w:val="20"/>
          <w:szCs w:val="20"/>
          <w:color w:val="auto"/>
        </w:rPr>
      </w:pPr>
      <w:r>
        <w:rPr>
          <w:rFonts w:ascii="Arial" w:cs="Arial" w:eastAsia="Arial" w:hAnsi="Arial"/>
          <w:sz w:val="16"/>
          <w:szCs w:val="16"/>
          <w:b w:val="1"/>
          <w:bCs w:val="1"/>
          <w:color w:val="auto"/>
        </w:rPr>
        <w:t>Hercules Technology Growth Capital</w:t>
      </w:r>
      <w:r>
        <w:rPr>
          <w:rFonts w:ascii="Arial" w:cs="Arial" w:eastAsia="Arial" w:hAnsi="Arial"/>
          <w:sz w:val="16"/>
          <w:szCs w:val="16"/>
          <w:color w:val="auto"/>
        </w:rPr>
        <w:t>—On November 7, 2012, we entered into a loan and security agreement with Hercules, pursuant to which we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borrowed $7.4 million (the "Initial Term Loan") and may borrow an additional $15.6 million in term loans (the "Additional Term Loans"). Borrowings under the Initial Term Loan and any Additional Term Loans are subject to certain customary conditions precedent (including, in the case of Additional Term Loans, year-to-date achievement of at least 70% of projected EBITDA and revenue), and are only available for drawing during the 15-day period following delivery to Hercules of our quarterly financial statements for fiscal 2013. In addition, the Additional Term Loans must be drawn, if at all, not later than March 31, 2014. We used the proceeds of the Initial Term Loan to replenish cash on hand, which had previously been used to repay the approximately $7.5 million in outstanding term loans owed Horizon. Loans under the Hercules facility bear interest at an annual rate equal to the higher of (i) the prime rate plus 8.25% or</w:t>
      </w:r>
    </w:p>
    <w:p>
      <w:pPr>
        <w:spacing w:after="0" w:line="2" w:lineRule="exact"/>
        <w:rPr>
          <w:sz w:val="20"/>
          <w:szCs w:val="20"/>
          <w:color w:val="auto"/>
        </w:rPr>
      </w:pPr>
    </w:p>
    <w:p>
      <w:pPr>
        <w:ind w:right="20" w:firstLine="8"/>
        <w:spacing w:after="0" w:line="290"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11.5%. All loans under the Hercules facility will mature on August 1, 2016. Interest is payable in cash on a monthly basis, and the loans will amortize in equal monthly installments commencing on March 1, 2014, in the case of the Initial Term Loan, and on December 1, 2013, in the case of Additional Term Loans (or, if no Additional Term Loan is drawn until after December 1, 2013, then the month following the drawing of such additional loan). The Hercules facility contains customary affirmative and negative covenants and events of default, but does not include any financial maintenance covenants. Prepayments of loans under the facility are subject to early payment penalties. Loans under the Hercules facility are secured by a pledge of substantially all our assets other than intellectual property. As of December 31, 2012, the principal balance under the Initial Term Loan was $7.4 million.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25" w:lineRule="exact"/>
        <w:rPr>
          <w:sz w:val="20"/>
          <w:szCs w:val="20"/>
          <w:color w:val="auto"/>
        </w:rPr>
      </w:pPr>
    </w:p>
    <w:p>
      <w:pPr>
        <w:ind w:right="20" w:firstLine="446"/>
        <w:spacing w:after="0" w:line="258" w:lineRule="auto"/>
        <w:rPr>
          <w:sz w:val="20"/>
          <w:szCs w:val="20"/>
          <w:color w:val="auto"/>
        </w:rPr>
      </w:pPr>
      <w:r>
        <w:rPr>
          <w:rFonts w:ascii="Arial" w:cs="Arial" w:eastAsia="Arial" w:hAnsi="Arial"/>
          <w:sz w:val="18"/>
          <w:szCs w:val="18"/>
          <w:b w:val="1"/>
          <w:bCs w:val="1"/>
          <w:color w:val="auto"/>
        </w:rPr>
        <w:t>Equipment Financing Facility—</w:t>
      </w:r>
      <w:r>
        <w:rPr>
          <w:rFonts w:ascii="Arial" w:cs="Arial" w:eastAsia="Arial" w:hAnsi="Arial"/>
          <w:sz w:val="18"/>
          <w:szCs w:val="18"/>
          <w:color w:val="auto"/>
        </w:rPr>
        <w:t>On June 13, 2011, we entered into a $5.0 million equipment financing facility with Hercules. The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facility has a variable interest rate set at the higher of 5.75% above the prime lending rate and 9.0% annually and expires July 1, 2014. This facility is secured by the financed equipment and restricts our ability to pay dividends and take on certain types of additional liens. In connection with this facility, we issued warrants to purchase 25,285 shares of Series E convertible preferred stock (see Note 10). As of December 31, 2012, the principal balance under the equipment financing facility was $3.8 million.</w:t>
      </w:r>
    </w:p>
    <w:p>
      <w:pPr>
        <w:spacing w:after="0" w:line="49" w:lineRule="exact"/>
        <w:rPr>
          <w:sz w:val="20"/>
          <w:szCs w:val="20"/>
          <w:color w:val="auto"/>
        </w:rPr>
      </w:pPr>
    </w:p>
    <w:p>
      <w:pPr>
        <w:ind w:right="180" w:firstLine="446"/>
        <w:spacing w:after="0" w:line="266" w:lineRule="auto"/>
        <w:rPr>
          <w:sz w:val="20"/>
          <w:szCs w:val="20"/>
          <w:color w:val="auto"/>
        </w:rPr>
      </w:pPr>
      <w:r>
        <w:rPr>
          <w:rFonts w:ascii="Arial" w:cs="Arial" w:eastAsia="Arial" w:hAnsi="Arial"/>
          <w:sz w:val="18"/>
          <w:szCs w:val="18"/>
          <w:b w:val="1"/>
          <w:bCs w:val="1"/>
          <w:color w:val="auto"/>
        </w:rPr>
        <w:t>Bridge Bank, N.A. and Comerica Bank</w:t>
      </w:r>
      <w:r>
        <w:rPr>
          <w:rFonts w:ascii="Arial" w:cs="Arial" w:eastAsia="Arial" w:hAnsi="Arial"/>
          <w:sz w:val="18"/>
          <w:szCs w:val="18"/>
          <w:color w:val="auto"/>
        </w:rPr>
        <w:t>—As of December 31, 2011, we had a $33.0 million revolving line of credit facility with Bridge Bank, N.A.</w:t>
      </w:r>
      <w:r>
        <w:rPr>
          <w:rFonts w:ascii="Arial" w:cs="Arial" w:eastAsia="Arial" w:hAnsi="Arial"/>
          <w:sz w:val="18"/>
          <w:szCs w:val="18"/>
          <w:b w:val="1"/>
          <w:bCs w:val="1"/>
          <w:color w:val="auto"/>
        </w:rPr>
        <w:t xml:space="preserve"> </w:t>
      </w:r>
      <w:r>
        <w:rPr>
          <w:rFonts w:ascii="Arial" w:cs="Arial" w:eastAsia="Arial" w:hAnsi="Arial"/>
          <w:sz w:val="18"/>
          <w:szCs w:val="18"/>
          <w:color w:val="auto"/>
        </w:rPr>
        <w:t>and Comerica Bank under which there was no outstanding balance. In November 2012, we terminated this facility and replaced it with a $50.0 million revolving credit facility with Wells Fargo Bank, N.A., as discussed above.</w:t>
      </w:r>
    </w:p>
    <w:p>
      <w:pPr>
        <w:spacing w:after="0" w:line="122" w:lineRule="exact"/>
        <w:rPr>
          <w:sz w:val="20"/>
          <w:szCs w:val="20"/>
          <w:color w:val="auto"/>
        </w:rPr>
      </w:pPr>
    </w:p>
    <w:p>
      <w:pPr>
        <w:ind w:firstLine="446"/>
        <w:spacing w:after="0" w:line="261" w:lineRule="auto"/>
        <w:rPr>
          <w:sz w:val="20"/>
          <w:szCs w:val="20"/>
          <w:color w:val="auto"/>
        </w:rPr>
      </w:pPr>
      <w:r>
        <w:rPr>
          <w:rFonts w:ascii="Arial" w:cs="Arial" w:eastAsia="Arial" w:hAnsi="Arial"/>
          <w:sz w:val="18"/>
          <w:szCs w:val="18"/>
          <w:b w:val="1"/>
          <w:bCs w:val="1"/>
          <w:color w:val="auto"/>
        </w:rPr>
        <w:t>Horizon Technology Finance Corporation</w:t>
      </w:r>
      <w:r>
        <w:rPr>
          <w:rFonts w:ascii="Arial" w:cs="Arial" w:eastAsia="Arial" w:hAnsi="Arial"/>
          <w:sz w:val="18"/>
          <w:szCs w:val="18"/>
          <w:color w:val="auto"/>
        </w:rPr>
        <w:t>—As of December 31, 2011, the total outstanding principal balance of term loans with Horizon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Corporation ("Horizon") was $10.3 million. Borrowings under the term loans bore interest at an annual interest rate ranging from 10.75% to 12.6%. In connection with the borrowings, we issued warrants to purchase 161,958 shares of our Series E Preferred Stock at an exercise price of $6.17 per share with an aggregate fair value at issuance of $0.7 million.</w:t>
      </w:r>
    </w:p>
    <w:p>
      <w:pPr>
        <w:spacing w:after="0" w:line="130" w:lineRule="exact"/>
        <w:rPr>
          <w:sz w:val="20"/>
          <w:szCs w:val="20"/>
          <w:color w:val="auto"/>
        </w:rPr>
      </w:pPr>
    </w:p>
    <w:p>
      <w:pPr>
        <w:ind w:right="140" w:firstLine="446"/>
        <w:spacing w:after="0" w:line="308" w:lineRule="auto"/>
        <w:rPr>
          <w:sz w:val="20"/>
          <w:szCs w:val="20"/>
          <w:color w:val="auto"/>
        </w:rPr>
      </w:pPr>
      <w:r>
        <w:rPr>
          <w:rFonts w:ascii="Arial" w:cs="Arial" w:eastAsia="Arial" w:hAnsi="Arial"/>
          <w:sz w:val="17"/>
          <w:szCs w:val="17"/>
          <w:color w:val="auto"/>
        </w:rPr>
        <w:t>In November 2012, we repaid all outstanding amounts owed to Horizon in anticipation of proceeds from a loan and security agreement with Hercules, as discussed above. The facility with Horizon was terminated concurrently with the repayment of the loans outstanding thereunder.</w:t>
      </w:r>
    </w:p>
    <w:p>
      <w:pPr>
        <w:spacing w:after="0" w:line="7" w:lineRule="exact"/>
        <w:rPr>
          <w:sz w:val="20"/>
          <w:szCs w:val="20"/>
          <w:color w:val="auto"/>
        </w:rPr>
      </w:pPr>
    </w:p>
    <w:p>
      <w:pPr>
        <w:ind w:right="260" w:firstLine="446"/>
        <w:spacing w:after="0" w:line="298" w:lineRule="auto"/>
        <w:rPr>
          <w:sz w:val="20"/>
          <w:szCs w:val="20"/>
          <w:color w:val="auto"/>
        </w:rPr>
      </w:pPr>
      <w:r>
        <w:rPr>
          <w:rFonts w:ascii="Arial" w:cs="Arial" w:eastAsia="Arial" w:hAnsi="Arial"/>
          <w:sz w:val="16"/>
          <w:szCs w:val="16"/>
          <w:b w:val="1"/>
          <w:bCs w:val="1"/>
          <w:color w:val="auto"/>
        </w:rPr>
        <w:t>Convertible Facility</w:t>
      </w:r>
      <w:r>
        <w:rPr>
          <w:rFonts w:ascii="Arial" w:cs="Arial" w:eastAsia="Arial" w:hAnsi="Arial"/>
          <w:sz w:val="16"/>
          <w:szCs w:val="16"/>
          <w:color w:val="auto"/>
        </w:rPr>
        <w:t>—In 2011, we entered into a junior secured convertible loan facility, or Convertible Facility, with certain existing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that provided for up to $80.0 million in borrowings. Pursuant to the facility, we issued $20.0 million in convertible notes, which provided the note holders the right to convert, at their election, all principal and accrued interest into shares of our common stock at a conversion price of $8.8984 per share. In addition, we issued to the note holders (i) 352,665 shares of common stock at $5.27 per share, and (ii) warrants to purchase 131,516 shares of our common stock at $5.27 per share that were immediately exercisable and have a contractual term of five years from the date of issuance.</w:t>
      </w:r>
    </w:p>
    <w:p>
      <w:pPr>
        <w:spacing w:after="0" w:line="23"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On March 27, 2012, the Convertible Facility was amended to provide for the automatic conversion of the principal and accrued paid-in-kind interest into common stock upon consummation of an initial public offering at a conversion price equal to the lesser of $8.8984 or the IPO price. On April 4, 2012, the convertible notes and accrued paid-in-kind interest automatically converted into 3,533,988 shares of common stock, based upon the IPO price of $6.00 per share. Pursuant to its terms, the Convertible Facility terminated upon consummation of the IPO on April 4, 2012.</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71"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Our future capital requirements may vary materially in the future and will depend on many factors, including, but not limited to, our rate of revenue growth, the expansion of our sales and marketing activities and the timing and extent of spending to support product development efforts and other costs necessary to support our strategy.</w:t>
      </w:r>
    </w:p>
    <w:p>
      <w:pPr>
        <w:spacing w:after="0" w:line="46"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We believe our current cash and cash equivalents of $45.3 million as of December 31, 2012, together with borrowings expected to be available under our Revolver with Wells Fargo and credit facility with Hercules, will be adequate to fund our debt obligations as well as our planned capital expenditures and operations over the next 12 months.</w:t>
      </w:r>
    </w:p>
    <w:p>
      <w:pPr>
        <w:spacing w:after="0" w:line="46"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If additional sources of liquidity were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outstanding contractual obligations as of December 31,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Payments Due by Period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76"/>
        </w:trPr>
        <w:tc>
          <w:tcPr>
            <w:tcW w:w="2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Less Than 1 Year</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1-3 Years</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4-5 Years</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More Than 5 Years</w:t>
            </w:r>
          </w:p>
        </w:tc>
      </w:tr>
      <w:tr>
        <w:trPr>
          <w:trHeight w:val="250"/>
        </w:trPr>
        <w:tc>
          <w:tcPr>
            <w:tcW w:w="2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Interest payments on term loans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7,361</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w w:val="95"/>
              </w:rPr>
              <w:t>Purchase commitments under agreements (1)</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115,599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27,264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33,612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6,622</w:t>
            </w:r>
          </w:p>
        </w:tc>
      </w:tr>
      <w:tr>
        <w:trPr>
          <w:trHeight w:val="27"/>
        </w:trPr>
        <w:tc>
          <w:tcPr>
            <w:tcW w:w="2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145,395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44,981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13,983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300" w:type="dxa"/>
            <w:vAlign w:val="bottom"/>
            <w:tcBorders>
              <w:bottom w:val="single" w:sz="8" w:color="auto"/>
            </w:tcBorders>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2" w:lineRule="exact"/>
        <w:rPr>
          <w:sz w:val="20"/>
          <w:szCs w:val="20"/>
          <w:color w:val="auto"/>
        </w:rPr>
      </w:pPr>
    </w:p>
    <w:p>
      <w:pPr>
        <w:ind w:left="340" w:right="180" w:hanging="332"/>
        <w:spacing w:after="0" w:line="25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associated with our contract manufacturers that are non-cancelable. Such purchase commitments are based on our forecasted manufacturing requirements and typically provide for fulfillment within agreed upon lead-times and/or commercially standard lead-times for the particular part or product. The timing and amount of payments represent our best estimate and may change due to changing business needs and other factors. Certain agreements specify future quantities and pricing of products to be supplied by our contract manufacturers for periods up to seven years. Of the $115.6 million included in purchase commitments, $98.6 million are cancelable; however if canceled, the agreement requires us to pay cancellation penalties of up to $5.4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4"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U.S., or GAAP. Note 2 to our consolidated financial statements describes the significant accounting policies and methods used in the preparation of our consolidated financial statements, which requires management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materially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47" w:lineRule="exact"/>
        <w:rPr>
          <w:sz w:val="20"/>
          <w:szCs w:val="20"/>
          <w:color w:val="auto"/>
        </w:rPr>
      </w:pPr>
    </w:p>
    <w:p>
      <w:pPr>
        <w:jc w:val="both"/>
        <w:ind w:right="720" w:firstLine="446"/>
        <w:spacing w:after="0" w:line="342"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right="400" w:firstLine="446"/>
        <w:spacing w:after="0" w:line="264" w:lineRule="auto"/>
        <w:rPr>
          <w:sz w:val="20"/>
          <w:szCs w:val="20"/>
          <w:color w:val="auto"/>
        </w:rPr>
      </w:pPr>
      <w:r>
        <w:rPr>
          <w:rFonts w:ascii="Arial" w:cs="Arial" w:eastAsia="Arial" w:hAnsi="Arial"/>
          <w:sz w:val="18"/>
          <w:szCs w:val="18"/>
          <w:color w:val="auto"/>
        </w:rPr>
        <w:t>We generate revenue from sales of its microinverter systems, which include microinverter units and related accessories, an Envoy communications gateway device, and an Enlighten web-based monitoring service, to distributors, large installers, OEMs and strategic partners. Enlighten service revenue represented less than 1% of our total revenues for all periods presented.</w:t>
      </w:r>
    </w:p>
    <w:p>
      <w:pPr>
        <w:spacing w:after="0" w:line="127"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of and risk of loss have passed to the customer; (iii) the sale price is fixed or determinable;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60" w:firstLine="8"/>
        <w:spacing w:after="0" w:line="277" w:lineRule="auto"/>
        <w:tabs>
          <w:tab w:leader="none" w:pos="3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collection is reasonably assured. Provisions for rebates, sales incentives, and discounts to customers are accounted for as reductions in revenue in the same period the related sales are recorded.</w:t>
      </w:r>
    </w:p>
    <w:p>
      <w:pPr>
        <w:spacing w:after="0" w:line="170"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Prior to June 2011, we sold Envoy communications gateway devices and our Enlighten web-based monitoring service separately. Beginning in June 2011, each sale of an Envoy communications gateway device includes the Enlighten web-based monitoring service. The allocation of revenue between the two deliverables is based on the best estimate of selling price determined by considering multiple factors, including internal costs, gross margin and historical pricing practices. After allocating the overall consideration from such sale to each deliverable using the best estimate of the selling price, (i) revenue from the sale of Envoy devices is recognized upon shipment, assuming all other revenue recognition criteria have been met and (ii) revenue from the web-based monitoring service is recognized ratably over the estimated economic life of the related Envoy devices of 10 years.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71"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Inventories are valued at the lower of cost or market, on a first-in, first-out basis. Certain factors could affect the realizable value of our inventories including market and economic conditions, technological changes, new product introductions and changes in strategic direction. We consider historic usage, expected demand, anticipated sales price, effect of new product introductions, product obsolescence, customer concentrations, product merchantability and other factors when evaluating the value of inventories. Inventory write-downs are equal to the difference between the cost of inventories and their estimated fair market value. During 2012, 2011 and 2010, we recorded write-downs of inventories of $0.8 million, $2.7 million and $0.1 million, respectively.</w:t>
      </w:r>
    </w:p>
    <w:p>
      <w:pPr>
        <w:spacing w:after="0" w:line="104"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or assumptions that we use to record inventory at the lower of cost or market. However, if estimates regarding customer demand are inaccurate or changes in technology affect demand for certain products in an unforeseen manner, we may be exposed to losses that could be material.</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171"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We provide a limited warranty against defects in materials and workmanship under normal use and service conditions for our microinverters. The warranty obligation is generally in the form of product replacement. The first and second generation microinverters (sold through the third quarter of 2012) include a 15-year limited warranty period. The third generation microinverters (sold since the second quarter of 2011) provide for up to a 25-year limited warranty period.</w:t>
      </w:r>
    </w:p>
    <w:p>
      <w:pPr>
        <w:spacing w:after="0" w:line="52"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Estimated warranty costs are included in cost of revenues and are accrued at the time of sale on a per unit sold basis. Such estimates are based on various factors including assumptions (for each generation of microinverters) about the frequency of product failures, future warranty claim rates, and replacement costs as follows:</w:t>
      </w:r>
    </w:p>
    <w:p>
      <w:pPr>
        <w:spacing w:after="0" w:line="46" w:lineRule="exact"/>
        <w:rPr>
          <w:sz w:val="20"/>
          <w:szCs w:val="20"/>
          <w:color w:val="auto"/>
        </w:rPr>
      </w:pPr>
    </w:p>
    <w:p>
      <w:pPr>
        <w:ind w:left="980" w:right="40" w:hanging="486"/>
        <w:spacing w:after="0" w:line="297"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Product failure rates are estimated primarily by using field monitoring of the actual failure rates of the microinverters we have sold to date. In addition, due to our limited operating history, we also utilize third party data collected on similar equipment deployed in outdoor environments similar to those in which our microinverters are installed, as well as accelerated life cycle testing, which simulates the service life of the product in a short period of time. The accelerated life cycle tests incorporate test methodologies derived from standard tests used by solar module vendors to evaluate the period over which solar modules wear out. Predicted failure rates are updated periodically based on field return data.</w:t>
      </w:r>
    </w:p>
    <w:p>
      <w:pPr>
        <w:spacing w:after="0" w:line="23" w:lineRule="exact"/>
        <w:rPr>
          <w:rFonts w:ascii="Arial" w:cs="Arial" w:eastAsia="Arial" w:hAnsi="Arial"/>
          <w:sz w:val="16"/>
          <w:szCs w:val="16"/>
          <w:color w:val="auto"/>
        </w:rPr>
      </w:pPr>
    </w:p>
    <w:p>
      <w:pPr>
        <w:ind w:left="980" w:right="40" w:hanging="486"/>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warranty claim rates are estimated based upon historical claim rates and expectations of future claim rate percentages over the warranty period. Due to the inherent uncertainties included in making estimates related to customers' future behavior, our estimated future warranty claim rates may change.</w:t>
      </w:r>
    </w:p>
    <w:p>
      <w:pPr>
        <w:spacing w:after="0" w:line="46"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Corresponding replacement costs are updated periodically to reflect changes in the actual and estimated production costs for our microinverters. Our estimated costs of warranty for previously sold products may change to the extent future products are not compatible with earlier generation products under warranty.</w:t>
      </w:r>
    </w:p>
    <w:p>
      <w:pPr>
        <w:spacing w:after="0" w:line="4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calculation of estimated warranty obligations requires management to make significant assumptions. Since we have only been producing microinverters for a relatively short period, the calculation of warranty obligations is inherently uncertain. If actual experience related to product failure rates, claim rates or cost to replace differs materially from our estimates, we may be required to revise those estimates, resulting in adjustments to our financial results in the period during which such changes in estimates are made. Such adjustments could materially adversely affect our gross profit and operating results. Changes in estimates related to warranty obligations resulted in net increases in warranty expense of $7.6 million, $1.8 million and $0 in 2012, 2011 and 2010, respectively (see Note 5).</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Concentrations of Credit Risk and Major Customers</w:t>
      </w:r>
    </w:p>
    <w:p>
      <w:pPr>
        <w:spacing w:after="0" w:line="239"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are potentially subject to financial instrument concentration of credit risk through our cash equivalents and trade accounts receivables. We place our cash and cash equivalents with major financial institutions that management assesses to be of high credit quality, to limit the exposure of each investment. Trade accounts receivables can be potentially exposed to a concentration of credit risk with our major customers. As of December 31, 2012, we had amounts due from two customers that represented 21% and 16% of the total accounts receivable balance. As of December 31, 2011, our two largest accounts receivable balances represented 24% and 10% of the total accounts receivable balance. In 2012, two customers accounted for 16%, and 11% of total net revenues. In 2011, three customers accounted for 17%, 11% and 10% of total net revenues. In 2010, two customers accounted for 14%, and 11% of total net revenues.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relating to transactions that are denominated in Euros, British Pounds and New Zealand Dollars. These payables and receivables primarily arise from sales to customers and intercompany transactions. We also face currency exposure that arises from translating the results of our European and New Zealand operations, including sales and marketing and research and development expenses, to the U.S. dollar at exchange rates that have fluctuated from the beginning of a reporting period.</w:t>
      </w:r>
    </w:p>
    <w:p>
      <w:pPr>
        <w:spacing w:after="0" w:line="43" w:lineRule="exact"/>
        <w:rPr>
          <w:sz w:val="20"/>
          <w:szCs w:val="20"/>
          <w:color w:val="auto"/>
        </w:rPr>
      </w:pPr>
    </w:p>
    <w:p>
      <w:pPr>
        <w:ind w:right="180" w:firstLine="446"/>
        <w:spacing w:after="0" w:line="273" w:lineRule="auto"/>
        <w:rPr>
          <w:sz w:val="20"/>
          <w:szCs w:val="20"/>
          <w:color w:val="auto"/>
        </w:rPr>
      </w:pPr>
      <w:r>
        <w:rPr>
          <w:rFonts w:ascii="Arial" w:cs="Arial" w:eastAsia="Arial" w:hAnsi="Arial"/>
          <w:sz w:val="17"/>
          <w:szCs w:val="17"/>
          <w:color w:val="auto"/>
        </w:rPr>
        <w:t>In June 2012, we began to utilize foreign currency forward contracts to reduce the impact of foreign currency fluctuations related to anticipated cash receipts from expected future revenues denominated in Euros and intercompany transaction gains or losses.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24"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A summary of our open foreign currency forward contracts at December 31, 2012 is as follows (all open contracts are obligations for the Company to deliver the foreign currency)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Foreign Quantity</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Contract</w:t>
            </w:r>
          </w:p>
        </w:tc>
        <w:tc>
          <w:tcPr>
            <w:tcW w:w="2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4"/>
                <w:szCs w:val="14"/>
                <w:color w:val="auto"/>
              </w:rPr>
            </w:pPr>
          </w:p>
        </w:tc>
        <w:tc>
          <w:tcPr>
            <w:tcW w:w="1120" w:type="dxa"/>
            <w:vAlign w:val="bottom"/>
          </w:tcPr>
          <w:p>
            <w:pPr>
              <w:jc w:val="center"/>
              <w:ind w:right="202"/>
              <w:spacing w:after="0"/>
              <w:rPr>
                <w:sz w:val="20"/>
                <w:szCs w:val="20"/>
                <w:color w:val="auto"/>
              </w:rPr>
            </w:pPr>
            <w:r>
              <w:rPr>
                <w:rFonts w:ascii="Arial" w:cs="Arial" w:eastAsia="Arial" w:hAnsi="Arial"/>
                <w:sz w:val="14"/>
                <w:szCs w:val="14"/>
                <w:b w:val="1"/>
                <w:bCs w:val="1"/>
                <w:color w:val="auto"/>
                <w:w w:val="83"/>
              </w:rPr>
              <w:t>Asset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243"/>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15, 2013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6,058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 foreign currency exchange rate risk associated with our forward currency exchange contracts is limited as the exposure is substantially offset by exchange rate changes of the underlying hedged amounts. A hypothetical 10% strengthening of the Euro compared to the U.S. Dollar at December 31, 2012 would have decreased the fair value of our open contracts by $0.6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INDEX TO CONSOLIDATED FINANCIAL STATEMENTS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AND 2011, AND 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 2011 AND 2010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202"/>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480" w:type="dxa"/>
            <w:vAlign w:val="bottom"/>
            <w:gridSpan w:val="4"/>
          </w:tcPr>
          <w:p>
            <w:pPr>
              <w:jc w:val="right"/>
              <w:ind w:right="20"/>
              <w:spacing w:after="0" w:line="202"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w:t>
            </w:r>
          </w:p>
        </w:tc>
        <w:tc>
          <w:tcPr>
            <w:tcW w:w="6480" w:type="dxa"/>
            <w:vAlign w:val="bottom"/>
            <w:gridSpan w:val="4"/>
          </w:tcPr>
          <w:p>
            <w:pPr>
              <w:jc w:val="right"/>
              <w:ind w:right="20"/>
              <w:spacing w:after="0" w:line="202" w:lineRule="exact"/>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480" w:type="dxa"/>
            <w:vAlign w:val="bottom"/>
            <w:gridSpan w:val="4"/>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48"/>
        </w:trPr>
        <w:tc>
          <w:tcPr>
            <w:tcW w:w="49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4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48"/>
        </w:trPr>
        <w:tc>
          <w:tcPr>
            <w:tcW w:w="494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940" w:type="dxa"/>
            <w:vAlign w:val="bottom"/>
          </w:tcPr>
          <w:p>
            <w:pPr>
              <w:ind w:left="40"/>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Quarterly Financial Information</w:t>
              </w:r>
            </w:hyperlink>
          </w:p>
        </w:tc>
        <w:tc>
          <w:tcPr>
            <w:tcW w:w="6480" w:type="dxa"/>
            <w:vAlign w:val="bottom"/>
            <w:gridSpan w:val="4"/>
          </w:tcPr>
          <w:p>
            <w:pPr>
              <w:jc w:val="right"/>
              <w:ind w:right="20"/>
              <w:spacing w:after="0" w:line="202" w:lineRule="exact"/>
              <w:rPr>
                <w:rFonts w:ascii="Arial" w:cs="Arial" w:eastAsia="Arial" w:hAnsi="Arial"/>
                <w:sz w:val="18"/>
                <w:szCs w:val="18"/>
                <w:color w:val="0000FF"/>
              </w:rPr>
            </w:pPr>
            <w:hyperlink w:anchor="page65">
              <w:r>
                <w:rPr>
                  <w:rFonts w:ascii="Arial" w:cs="Arial" w:eastAsia="Arial" w:hAnsi="Arial"/>
                  <w:sz w:val="18"/>
                  <w:szCs w:val="18"/>
                  <w:color w:val="0000FF"/>
                </w:rPr>
                <w:t>64</w:t>
              </w:r>
            </w:hyperlink>
          </w:p>
        </w:tc>
      </w:tr>
      <w:tr>
        <w:trPr>
          <w:trHeight w:val="507"/>
        </w:trPr>
        <w:tc>
          <w:tcPr>
            <w:tcW w:w="4940" w:type="dxa"/>
            <w:vAlign w:val="bottom"/>
          </w:tcPr>
          <w:p>
            <w:pPr>
              <w:spacing w:after="0"/>
              <w:rPr>
                <w:sz w:val="24"/>
                <w:szCs w:val="24"/>
                <w:color w:val="auto"/>
              </w:rPr>
            </w:pPr>
          </w:p>
        </w:tc>
        <w:tc>
          <w:tcPr>
            <w:tcW w:w="5920" w:type="dxa"/>
            <w:vAlign w:val="bottom"/>
          </w:tcPr>
          <w:p>
            <w:pPr>
              <w:jc w:val="right"/>
              <w:ind w:right="497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260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Enphase Energy, Inc.:</w:t>
      </w:r>
    </w:p>
    <w:p>
      <w:pPr>
        <w:spacing w:after="0" w:line="1" w:lineRule="exact"/>
        <w:rPr>
          <w:sz w:val="20"/>
          <w:szCs w:val="20"/>
          <w:color w:val="auto"/>
        </w:rPr>
      </w:pPr>
    </w:p>
    <w:p>
      <w:pPr>
        <w:ind w:right="260" w:firstLine="446"/>
        <w:spacing w:after="0" w:line="259"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2012 and 2011, and the related consolidated statements of operations, comprehensive loss, stockholders’ equity, and cash flows for each of the three years in the period ended December 31, 2012. These consolidated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25" w:lineRule="exact"/>
        <w:rPr>
          <w:sz w:val="20"/>
          <w:szCs w:val="20"/>
          <w:color w:val="auto"/>
        </w:rPr>
      </w:pPr>
    </w:p>
    <w:p>
      <w:pPr>
        <w:jc w:val="both"/>
        <w:ind w:right="660" w:firstLine="446"/>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Enphase Energy, Inc.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51,524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 net of allowances of $1,177 and $144 as of December 31, 2012 and 2011</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27,743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17,771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94,998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81,787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25,541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18,411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122,291</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106,242</w:t>
            </w:r>
          </w:p>
        </w:tc>
      </w:tr>
      <w:tr>
        <w:trPr>
          <w:trHeight w:val="237"/>
        </w:trPr>
        <w:tc>
          <w:tcPr>
            <w:tcW w:w="8340" w:type="dxa"/>
            <w:vAlign w:val="bottom"/>
            <w:tcBorders>
              <w:bottom w:val="single" w:sz="8" w:color="CCEEFF"/>
            </w:tcBorders>
            <w:shd w:val="clear" w:color="auto" w:fill="CCEEFF"/>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19,266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10,100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23,414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Current portion of term loans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4,529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Convertible preferred stock warrant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33,855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52,370</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7,537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3,670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Warranty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Convertible notes</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19,202</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39,898</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65,636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92,268</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Convertible preferred stock, $0.00001 par value, no shares authorized, issued or outstanding at December 31, 2012; 23,559</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shares authorized, 22,221 shares issued and outstanding at December 31, 2011</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93,596</w:t>
            </w: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w w:val="94"/>
              </w:rPr>
              <w:t>Preferred stock, $0.00001 par value, 10,000 shares authorized, none issued and outstanding at December 31, 2012; no</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8340" w:type="dxa"/>
            <w:vAlign w:val="bottom"/>
          </w:tcPr>
          <w:p>
            <w:pPr>
              <w:ind w:left="360"/>
              <w:spacing w:after="0"/>
              <w:rPr>
                <w:sz w:val="20"/>
                <w:szCs w:val="20"/>
                <w:color w:val="auto"/>
              </w:rPr>
            </w:pPr>
            <w:r>
              <w:rPr>
                <w:rFonts w:ascii="Arial" w:cs="Arial" w:eastAsia="Arial" w:hAnsi="Arial"/>
                <w:sz w:val="16"/>
                <w:szCs w:val="16"/>
                <w:color w:val="auto"/>
              </w:rPr>
              <w:t>shares authorized, issued or outstanding at December 31, 2011</w:t>
            </w:r>
          </w:p>
        </w:tc>
        <w:tc>
          <w:tcPr>
            <w:tcW w:w="36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Common stock, $0.00001 par value, 100,000 shares authorized, 40,856 shares issued and outstanding at December 31,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2012; 41,410 shares authorized, 1,698 shares issued and outstanding at December 31, 2011</w:t>
            </w:r>
          </w:p>
        </w:tc>
        <w:tc>
          <w:tcPr>
            <w:tcW w:w="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183,629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9,103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(88,808)</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13,974</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122,291</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106,242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216,678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61,661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161,390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55,159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189"/>
        </w:trPr>
        <w:tc>
          <w:tcPr>
            <w:tcW w:w="674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Shares used in computing net loss per share attributable to common stockholders, basic and</w:t>
            </w:r>
          </w:p>
        </w:tc>
        <w:tc>
          <w:tcPr>
            <w:tcW w:w="3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30,740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1,255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(38,218)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Convertible Preferred Stock</w:t>
            </w:r>
          </w:p>
        </w:tc>
        <w:tc>
          <w:tcPr>
            <w:tcW w:w="120" w:type="dxa"/>
            <w:vAlign w:val="bottom"/>
            <w:vMerge w:val="restart"/>
          </w:tcPr>
          <w:p>
            <w:pPr>
              <w:spacing w:after="0"/>
              <w:rPr>
                <w:sz w:val="14"/>
                <w:szCs w:val="14"/>
                <w:color w:val="auto"/>
              </w:rPr>
            </w:pPr>
          </w:p>
        </w:tc>
        <w:tc>
          <w:tcPr>
            <w:tcW w:w="1940" w:type="dxa"/>
            <w:vAlign w:val="bottom"/>
            <w:gridSpan w:val="3"/>
            <w:vMerge w:val="restart"/>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220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0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2009</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47,859</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13,627</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rPr>
              <w:t>Issuance of Series E convertible</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line="149" w:lineRule="exact"/>
              <w:rPr>
                <w:sz w:val="20"/>
                <w:szCs w:val="20"/>
                <w:color w:val="auto"/>
              </w:rPr>
            </w:pPr>
            <w:r>
              <w:rPr>
                <w:rFonts w:ascii="Arial" w:cs="Arial" w:eastAsia="Arial" w:hAnsi="Arial"/>
                <w:sz w:val="14"/>
                <w:szCs w:val="14"/>
                <w:color w:val="auto"/>
                <w:w w:val="94"/>
              </w:rPr>
              <w:t>preferred stock at $6.17 per share,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rPr>
                <w:sz w:val="20"/>
                <w:szCs w:val="20"/>
                <w:color w:val="auto"/>
              </w:rPr>
            </w:pPr>
            <w:r>
              <w:rPr>
                <w:rFonts w:ascii="Arial" w:cs="Arial" w:eastAsia="Arial" w:hAnsi="Arial"/>
                <w:sz w:val="14"/>
                <w:szCs w:val="14"/>
                <w:color w:val="auto"/>
              </w:rPr>
              <w:t>net of issuance costs of $145</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7,431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45,737</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45,737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64"/>
        </w:trPr>
        <w:tc>
          <w:tcPr>
            <w:tcW w:w="24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(21,777)</w:t>
            </w: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4"/>
                <w:szCs w:val="14"/>
                <w:color w:val="auto"/>
              </w:rPr>
              <w:t>BALANCE—December 31, 2010</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22,221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93,596</w:t>
            </w:r>
          </w:p>
        </w:tc>
        <w:tc>
          <w:tcPr>
            <w:tcW w:w="12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(56,518)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38,481</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5"/>
              </w:rPr>
              <w:t>Private placement of common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at $5.27 per share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264"/>
        </w:trPr>
        <w:tc>
          <w:tcPr>
            <w:tcW w:w="242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w w:val="96"/>
              </w:rPr>
              <w:t>Fair value of warrants and common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line="149" w:lineRule="exact"/>
              <w:rPr>
                <w:sz w:val="20"/>
                <w:szCs w:val="20"/>
                <w:color w:val="auto"/>
              </w:rPr>
            </w:pPr>
            <w:r>
              <w:rPr>
                <w:rFonts w:ascii="Arial" w:cs="Arial" w:eastAsia="Arial" w:hAnsi="Arial"/>
                <w:sz w:val="14"/>
                <w:szCs w:val="14"/>
                <w:color w:val="auto"/>
              </w:rPr>
              <w:t>stock issued in connection with</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rPr>
                <w:sz w:val="20"/>
                <w:szCs w:val="20"/>
                <w:color w:val="auto"/>
              </w:rPr>
            </w:pPr>
            <w:r>
              <w:rPr>
                <w:rFonts w:ascii="Arial" w:cs="Arial" w:eastAsia="Arial" w:hAnsi="Arial"/>
                <w:sz w:val="14"/>
                <w:szCs w:val="14"/>
                <w:color w:val="auto"/>
              </w:rPr>
              <w:t>convertible notes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Fair value of beneficial conversion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feature upon issuance of</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convertible notes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rPr>
              <w:t>Fair value of beneficial conversion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line="149" w:lineRule="exact"/>
              <w:rPr>
                <w:sz w:val="20"/>
                <w:szCs w:val="20"/>
                <w:color w:val="auto"/>
              </w:rPr>
            </w:pPr>
            <w:r>
              <w:rPr>
                <w:rFonts w:ascii="Arial" w:cs="Arial" w:eastAsia="Arial" w:hAnsi="Arial"/>
                <w:sz w:val="14"/>
                <w:szCs w:val="14"/>
                <w:color w:val="auto"/>
                <w:w w:val="99"/>
              </w:rPr>
              <w:t>feature from accrued paid-in-kind</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rPr>
                <w:sz w:val="20"/>
                <w:szCs w:val="20"/>
                <w:color w:val="auto"/>
              </w:rPr>
            </w:pPr>
            <w:r>
              <w:rPr>
                <w:rFonts w:ascii="Arial" w:cs="Arial" w:eastAsia="Arial" w:hAnsi="Arial"/>
                <w:sz w:val="14"/>
                <w:szCs w:val="14"/>
                <w:color w:val="auto"/>
              </w:rPr>
              <w:t>interest of convertible notes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(32,290)</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adjustment</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31, 2011</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93,596</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13,974</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under</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rPr>
                <w:sz w:val="20"/>
                <w:szCs w:val="20"/>
                <w:color w:val="auto"/>
              </w:rPr>
            </w:pPr>
            <w:r>
              <w:rPr>
                <w:rFonts w:ascii="Arial" w:cs="Arial" w:eastAsia="Arial" w:hAnsi="Arial"/>
                <w:sz w:val="14"/>
                <w:szCs w:val="14"/>
                <w:color w:val="auto"/>
              </w:rPr>
              <w:t>employee stock plans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4,766</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rPr>
              <w:t>Common stock issued upon initial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line="149" w:lineRule="exact"/>
              <w:rPr>
                <w:sz w:val="20"/>
                <w:szCs w:val="20"/>
                <w:color w:val="auto"/>
              </w:rPr>
            </w:pPr>
            <w:r>
              <w:rPr>
                <w:rFonts w:ascii="Arial" w:cs="Arial" w:eastAsia="Arial" w:hAnsi="Arial"/>
                <w:sz w:val="14"/>
                <w:szCs w:val="14"/>
                <w:color w:val="auto"/>
              </w:rPr>
              <w:t>public offering (“IPO”), net of</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rPr>
                <w:sz w:val="20"/>
                <w:szCs w:val="20"/>
                <w:color w:val="auto"/>
              </w:rPr>
            </w:pPr>
            <w:r>
              <w:rPr>
                <w:rFonts w:ascii="Arial" w:cs="Arial" w:eastAsia="Arial" w:hAnsi="Arial"/>
                <w:sz w:val="14"/>
                <w:szCs w:val="14"/>
                <w:color w:val="auto"/>
              </w:rPr>
              <w:t>offering costs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10,315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53,826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53,826</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6"/>
              </w:rPr>
              <w:t>Conversion of convertible preferred</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stock into common stock upon</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IPO</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(93,596)</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25,171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420" w:type="dxa"/>
            <w:vAlign w:val="bottom"/>
          </w:tcPr>
          <w:p>
            <w:pPr>
              <w:ind w:left="280"/>
              <w:spacing w:after="0" w:line="157" w:lineRule="exact"/>
              <w:rPr>
                <w:sz w:val="20"/>
                <w:szCs w:val="20"/>
                <w:color w:val="auto"/>
              </w:rPr>
            </w:pPr>
            <w:r>
              <w:rPr>
                <w:rFonts w:ascii="Arial" w:cs="Arial" w:eastAsia="Arial" w:hAnsi="Arial"/>
                <w:sz w:val="14"/>
                <w:szCs w:val="14"/>
                <w:color w:val="auto"/>
                <w:w w:val="94"/>
              </w:rPr>
              <w:t>Conversion of convertible notes and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360"/>
              <w:spacing w:after="0" w:line="149" w:lineRule="exact"/>
              <w:rPr>
                <w:sz w:val="20"/>
                <w:szCs w:val="20"/>
                <w:color w:val="auto"/>
              </w:rPr>
            </w:pPr>
            <w:r>
              <w:rPr>
                <w:rFonts w:ascii="Arial" w:cs="Arial" w:eastAsia="Arial" w:hAnsi="Arial"/>
                <w:sz w:val="14"/>
                <w:szCs w:val="14"/>
                <w:color w:val="auto"/>
                <w:w w:val="98"/>
              </w:rPr>
              <w:t>paid-in-kind interest into common</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rPr>
                <w:sz w:val="20"/>
                <w:szCs w:val="20"/>
                <w:color w:val="auto"/>
              </w:rPr>
            </w:pPr>
            <w:r>
              <w:rPr>
                <w:rFonts w:ascii="Arial" w:cs="Arial" w:eastAsia="Arial" w:hAnsi="Arial"/>
                <w:sz w:val="14"/>
                <w:szCs w:val="14"/>
                <w:color w:val="auto"/>
              </w:rPr>
              <w:t>stock upon IPO</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3,534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21,204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21,204</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of preferred stock</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warrant liability to APIC upon</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IPO</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264"/>
        </w:trPr>
        <w:tc>
          <w:tcPr>
            <w:tcW w:w="24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(38,218)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(38,218)</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w:t>
            </w: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4"/>
                <w:szCs w:val="14"/>
                <w:color w:val="auto"/>
              </w:rPr>
              <w:t>BALANCE—December 31, 2012</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40,856</w:t>
            </w:r>
          </w:p>
        </w:tc>
        <w:tc>
          <w:tcPr>
            <w:tcW w:w="1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36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183,629</w:t>
            </w:r>
          </w:p>
        </w:tc>
        <w:tc>
          <w:tcPr>
            <w:tcW w:w="10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(127,026)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56,655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(38,218)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(32,290)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(21,777)</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5,568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doubtful accounts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Net loss on disposal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convertible preferred stock warrants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(8,615)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(3,038)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Accounts payable, accrued and other liabilities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17,275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4,877</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(18,614)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(44,645)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(17,852)</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(12,990)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(12,990)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convertible preferred stock</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45,882</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Costs related to issuance of convertible preferred stock</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convertible notes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Costs related to issuance of convertible notes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private placement of common stock</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Principal payments under capital leases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under term loans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Payments of financing costs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term loans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issuance of common stock under employee stock plans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common stock in IPO, net of underwriting discounts and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Payment of offering costs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51,436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26,482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52,465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31,351</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39,993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8,642</w:t>
            </w: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51,524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39,993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Non-cash financing and investing activities: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Assets acquired under capital lease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property and equipment included in accounts payable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Offering costs not yet paid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Conversion of convertible notes into common stock upon IPO</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of convertible preferred stock warrant liability to additional paid-in capital upon IPO</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380"/>
              <w:spacing w:after="0"/>
              <w:rPr>
                <w:sz w:val="20"/>
                <w:szCs w:val="20"/>
                <w:color w:val="auto"/>
              </w:rPr>
            </w:pPr>
            <w:r>
              <w:rPr>
                <w:rFonts w:ascii="Arial" w:cs="Arial" w:eastAsia="Arial" w:hAnsi="Arial"/>
                <w:sz w:val="14"/>
                <w:szCs w:val="14"/>
                <w:color w:val="auto"/>
              </w:rPr>
              <w:t>See notes to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right="3540" w:firstLine="3543"/>
        <w:spacing w:after="0" w:line="449" w:lineRule="auto"/>
        <w:rPr>
          <w:sz w:val="20"/>
          <w:szCs w:val="20"/>
          <w:color w:val="auto"/>
        </w:rPr>
      </w:pPr>
      <w:r>
        <w:rPr>
          <w:rFonts w:ascii="Arial" w:cs="Arial" w:eastAsia="Arial" w:hAnsi="Arial"/>
          <w:sz w:val="18"/>
          <w:szCs w:val="18"/>
          <w:b w:val="1"/>
          <w:bCs w:val="1"/>
          <w:color w:val="auto"/>
        </w:rPr>
        <w:t>YEARS ENDED DECEMBER 31, 2012, 2011 AND 2010 1. ORGANIZATION AND DESCRIPTION OF BUSINESS</w:t>
      </w:r>
    </w:p>
    <w:p>
      <w:pPr>
        <w:spacing w:after="0" w:line="49"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Enphase Energy, Inc. and subsidiaries (the “Company”) designs, develops, and sells microinverter systems for the solar photovoltaic industry. The Company was incorporated in 2006 and began selling its products in 2008.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24"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On April 4, 2012, the Company consummated its initial public offering (“IPO”). As a result, the following transactions were recorded in the Company’s consolidated financial statements during the second quarter of 2012:</w:t>
      </w:r>
    </w:p>
    <w:p>
      <w:pPr>
        <w:spacing w:after="0" w:line="35" w:lineRule="exact"/>
        <w:rPr>
          <w:sz w:val="20"/>
          <w:szCs w:val="20"/>
          <w:color w:val="auto"/>
        </w:rPr>
      </w:pPr>
    </w:p>
    <w:p>
      <w:pPr>
        <w:ind w:left="980" w:right="160" w:hanging="486"/>
        <w:spacing w:after="0" w:line="276"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Company issued 10,315,151 shares of common stock (including exercise of the full over-allotment by the underwriters of 1,345,454 shares of common stock), at an offering price of $6.00 per share, for gross proceeds of $61.9 million. Certain related parties, who owned convertible preferred and common stock and held convertible notes, purchased 2,500,000 shares of the total amount of shares issued of the Company’s common stock at the $6.00 offering price. The net proceeds from the sale of the shares were $53.8 million, after deducting the underwriters’ discounts and commissions of $3.3 million and other offering costs of $4.8 million;</w:t>
      </w:r>
    </w:p>
    <w:p>
      <w:pPr>
        <w:spacing w:after="0" w:line="37" w:lineRule="exact"/>
        <w:rPr>
          <w:rFonts w:ascii="Arial" w:cs="Arial" w:eastAsia="Arial" w:hAnsi="Arial"/>
          <w:sz w:val="17"/>
          <w:szCs w:val="17"/>
          <w:color w:val="auto"/>
        </w:rPr>
      </w:pPr>
    </w:p>
    <w:p>
      <w:pPr>
        <w:ind w:left="980" w:right="360" w:hanging="486"/>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22,220,856 outstanding shares of the Company’s convertible preferred stock ($93.6 million carrying value) automatically converted into 25,171,017 shares of common stock;</w:t>
      </w:r>
    </w:p>
    <w:p>
      <w:pPr>
        <w:spacing w:after="0" w:line="35" w:lineRule="exact"/>
        <w:rPr>
          <w:rFonts w:ascii="Arial" w:cs="Arial" w:eastAsia="Arial" w:hAnsi="Arial"/>
          <w:sz w:val="18"/>
          <w:szCs w:val="18"/>
          <w:color w:val="auto"/>
        </w:rPr>
      </w:pPr>
    </w:p>
    <w:p>
      <w:pPr>
        <w:ind w:left="980" w:right="280" w:hanging="486"/>
        <w:spacing w:after="0" w:line="308" w:lineRule="auto"/>
        <w:tabs>
          <w:tab w:leader="none" w:pos="9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convertible preferred stock warrant liability ($0.9 million carrying value) was reclassified to additional paid-in capital and the warrants to purchase 187,243 shares of convertible preferred stock became warrants to purchase 199,458 shares of common stock;</w:t>
      </w:r>
    </w:p>
    <w:p>
      <w:pPr>
        <w:spacing w:after="0" w:line="11" w:lineRule="exact"/>
        <w:rPr>
          <w:rFonts w:ascii="Arial" w:cs="Arial" w:eastAsia="Arial" w:hAnsi="Arial"/>
          <w:sz w:val="17"/>
          <w:szCs w:val="17"/>
          <w:color w:val="auto"/>
        </w:rPr>
      </w:pPr>
    </w:p>
    <w:p>
      <w:pPr>
        <w:ind w:left="980" w:hanging="486"/>
        <w:spacing w:after="0" w:line="264"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outstanding balance of principal and accrued paid-in-kind interest thereon ($21.2 million gross carrying value) for the Convertible Notes (see Note 8) automatically converted into 3,533,988 shares of common stock at a conversion price equal to the initial public offering price of $6.00 per share;</w:t>
      </w:r>
    </w:p>
    <w:p>
      <w:pPr>
        <w:spacing w:after="0" w:line="46" w:lineRule="exact"/>
        <w:rPr>
          <w:rFonts w:ascii="Arial" w:cs="Arial" w:eastAsia="Arial" w:hAnsi="Arial"/>
          <w:sz w:val="18"/>
          <w:szCs w:val="18"/>
          <w:color w:val="auto"/>
        </w:rPr>
      </w:pPr>
    </w:p>
    <w:p>
      <w:pPr>
        <w:ind w:left="980" w:right="180" w:hanging="486"/>
        <w:spacing w:after="0" w:line="334"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aggregate debt issuance costs and debt discounts of $2.8 million related to the Convertible Facility (see Note 8) were written-off to interest expense as a result of the conversion of the outstanding notes and the automatic termination of the $80.0 million Convertible Facility; and</w:t>
      </w:r>
    </w:p>
    <w:p>
      <w:pPr>
        <w:spacing w:after="0" w:line="1" w:lineRule="exact"/>
        <w:rPr>
          <w:rFonts w:ascii="Arial" w:cs="Arial" w:eastAsia="Arial" w:hAnsi="Arial"/>
          <w:sz w:val="16"/>
          <w:szCs w:val="16"/>
          <w:color w:val="auto"/>
        </w:rPr>
      </w:pPr>
    </w:p>
    <w:p>
      <w:pPr>
        <w:ind w:left="980" w:right="80" w:hanging="486"/>
        <w:spacing w:after="0" w:line="277"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filed an amended and restated certificate of incorporation, which authorized 100,000,000 shares of common stock and 10,000,000 shares of preferred stock.</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ind w:right="580" w:firstLine="446"/>
        <w:spacing w:after="0" w:line="282"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accompanying consolidated financial statements include the accounts of the Company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All intercompany balances and transactions have been eliminated in consolidation.</w:t>
      </w:r>
    </w:p>
    <w:p>
      <w:pPr>
        <w:spacing w:after="0" w:line="108" w:lineRule="exact"/>
        <w:rPr>
          <w:sz w:val="20"/>
          <w:szCs w:val="20"/>
          <w:color w:val="auto"/>
        </w:rPr>
      </w:pPr>
    </w:p>
    <w:p>
      <w:pPr>
        <w:ind w:right="60" w:firstLine="446"/>
        <w:spacing w:after="0" w:line="277" w:lineRule="auto"/>
        <w:rPr>
          <w:sz w:val="20"/>
          <w:szCs w:val="20"/>
          <w:color w:val="auto"/>
        </w:rPr>
      </w:pPr>
      <w:r>
        <w:rPr>
          <w:rFonts w:ascii="Arial" w:cs="Arial" w:eastAsia="Arial" w:hAnsi="Arial"/>
          <w:sz w:val="17"/>
          <w:szCs w:val="17"/>
          <w:b w:val="1"/>
          <w:bCs w:val="1"/>
          <w:color w:val="auto"/>
        </w:rPr>
        <w:t>Use of Estimates</w:t>
      </w:r>
      <w:r>
        <w:rPr>
          <w:rFonts w:ascii="Arial" w:cs="Arial" w:eastAsia="Arial" w:hAnsi="Arial"/>
          <w:sz w:val="17"/>
          <w:szCs w:val="17"/>
          <w:color w:val="auto"/>
        </w:rPr>
        <w:t>—The preparation of the Company’s consolidated financial statements in conformity with accounting principles generally accepted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United States of America requires management to make estimates and assumptions that affect the reported amounts of assets and liabilities,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materially from management’s estimates using different assumptions or under different conditions.</w:t>
      </w:r>
    </w:p>
    <w:p>
      <w:pPr>
        <w:spacing w:after="0" w:line="114" w:lineRule="exact"/>
        <w:rPr>
          <w:sz w:val="20"/>
          <w:szCs w:val="20"/>
          <w:color w:val="auto"/>
        </w:rPr>
      </w:pPr>
    </w:p>
    <w:p>
      <w:pPr>
        <w:ind w:right="120" w:firstLine="446"/>
        <w:spacing w:after="0" w:line="261" w:lineRule="auto"/>
        <w:rPr>
          <w:sz w:val="20"/>
          <w:szCs w:val="20"/>
          <w:color w:val="auto"/>
        </w:rPr>
      </w:pPr>
      <w:r>
        <w:rPr>
          <w:rFonts w:ascii="Arial" w:cs="Arial" w:eastAsia="Arial" w:hAnsi="Arial"/>
          <w:sz w:val="18"/>
          <w:szCs w:val="18"/>
          <w:b w:val="1"/>
          <w:bCs w:val="1"/>
          <w:color w:val="auto"/>
        </w:rPr>
        <w:t>Risks and Uncertainties</w:t>
      </w:r>
      <w:r>
        <w:rPr>
          <w:rFonts w:ascii="Arial" w:cs="Arial" w:eastAsia="Arial" w:hAnsi="Arial"/>
          <w:sz w:val="18"/>
          <w:szCs w:val="18"/>
          <w:color w:val="auto"/>
        </w:rPr>
        <w:t>—The Company is subject to risks inherent in a business with a limited operating history, including, but not limited to, new</w:t>
      </w:r>
      <w:r>
        <w:rPr>
          <w:rFonts w:ascii="Arial" w:cs="Arial" w:eastAsia="Arial" w:hAnsi="Arial"/>
          <w:sz w:val="18"/>
          <w:szCs w:val="18"/>
          <w:b w:val="1"/>
          <w:bCs w:val="1"/>
          <w:color w:val="auto"/>
        </w:rPr>
        <w:t xml:space="preserve"> </w:t>
      </w:r>
      <w:r>
        <w:rPr>
          <w:rFonts w:ascii="Arial" w:cs="Arial" w:eastAsia="Arial" w:hAnsi="Arial"/>
          <w:sz w:val="18"/>
          <w:szCs w:val="18"/>
          <w:color w:val="auto"/>
        </w:rPr>
        <w:t>and rapidly evolving markets, advances and trends in the development of new technology and services, unfavorable economic and market conditions, competition from larger and more established companies, limited management resources and dependence on a limited number of contract manufacturers and suppliers. The inability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anticipate or to respond adequately to technological developments in the Company's industry, changes in customer or supplier requirements, or changes in regulatory requirements or industry standards could have a material adverse effect on the Company's business and operating results.</w:t>
      </w:r>
    </w:p>
    <w:p>
      <w:pPr>
        <w:spacing w:after="0" w:line="62" w:lineRule="exact"/>
        <w:rPr>
          <w:sz w:val="20"/>
          <w:szCs w:val="20"/>
          <w:color w:val="auto"/>
        </w:rPr>
      </w:pPr>
    </w:p>
    <w:p>
      <w:pPr>
        <w:ind w:right="160" w:firstLine="446"/>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generates revenue from sales of its microinverter systems, which include microinverter units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accessories, an Envoy communications gateway device, and an Enlighten web-based monitoring service, to distributors, large installers, OEMs and strategic partners. Enlighten service revenue represented less than 1% of the total revenues for all periods presented.</w:t>
      </w:r>
    </w:p>
    <w:p>
      <w:pPr>
        <w:spacing w:after="0" w:line="126"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color w:val="auto"/>
        </w:rPr>
        <w:t>Revenues from sales of microinverters and related accessories, and communication gateways are recognized when: (i) persuasive evidence of an arrangement exists; (ii) delivery of the products has occurred in accordance with the terms of the sales agreement and title of and risk of loss have passed to the customer; (iii) the sale price is fixed or determinable; and (iv) collection is reasonably assured. Provisions for rebates, sales incentives, and discounts to customers are accounted for as reductions in revenue in the same period the related sales are recorded.</w:t>
      </w:r>
    </w:p>
    <w:p>
      <w:pPr>
        <w:spacing w:after="0" w:line="17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Prior to June 2011, the Company sold Envoy communications gateway devices and its Enlighten web-based monitoring service separately. Beginning in June 2011, each sale of an Envoy communications gateway device includes the Enlighten web-based monitoring service. The allocation of revenue between the two deliverables is based on the Company's best estimate of selling price determined by considering multiple factors including, internal costs, gross margin and historical pricing practices. After allocating the overall consideration from such sale to each deliverable using a best estimate of the selling price,</w:t>
      </w:r>
    </w:p>
    <w:p>
      <w:pPr>
        <w:spacing w:after="0" w:line="2" w:lineRule="exact"/>
        <w:rPr>
          <w:sz w:val="20"/>
          <w:szCs w:val="20"/>
          <w:color w:val="auto"/>
        </w:rPr>
      </w:pPr>
    </w:p>
    <w:p>
      <w:pPr>
        <w:ind w:right="140" w:firstLine="8"/>
        <w:spacing w:after="0" w:line="290" w:lineRule="auto"/>
        <w:tabs>
          <w:tab w:leader="none" w:pos="2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revenue from the sale of Envoy devices is recognized upon shipment, assuming all other revenue recognition criteria have been met and (ii) revenue from the web-based monitoring service is recognized ratably over the estimated economic life of the related Envoy devices of 10 years.</w:t>
      </w:r>
    </w:p>
    <w:p>
      <w:pPr>
        <w:spacing w:after="0" w:line="108"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Deferred revenues consist of payments received from customers in advance of revenue recognition for the Company’s products and services described above. As of December 31, 2012, deferred revenues consist entirely of service revenue. As of December 31, 2011, deferred revenues consist of service revenue and $23.0 million of deferred revenues for products.</w:t>
      </w:r>
    </w:p>
    <w:p>
      <w:pPr>
        <w:spacing w:after="0" w:line="177" w:lineRule="exact"/>
        <w:rPr>
          <w:sz w:val="20"/>
          <w:szCs w:val="20"/>
          <w:color w:val="auto"/>
        </w:rPr>
      </w:pPr>
    </w:p>
    <w:p>
      <w:pPr>
        <w:ind w:right="220" w:firstLine="446"/>
        <w:spacing w:after="0" w:line="266" w:lineRule="auto"/>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—The Company includes the following in cost of revenues: product costs, warranty, manufacturing personnel and logistics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write-downs, hosting services costs related to the Company’s Enlighten service offering, and depreciation and amortization of manufacturing test equipment.</w:t>
      </w:r>
    </w:p>
    <w:p>
      <w:pPr>
        <w:spacing w:after="0" w:line="122" w:lineRule="exact"/>
        <w:rPr>
          <w:sz w:val="20"/>
          <w:szCs w:val="20"/>
          <w:color w:val="auto"/>
        </w:rPr>
      </w:pPr>
    </w:p>
    <w:p>
      <w:pPr>
        <w:ind w:right="80" w:firstLine="446"/>
        <w:spacing w:after="0" w:line="266"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—The Company considers all highly liquid investments, such as certificates of deposit and money market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maturities of three months or less at the time of acquisition to be cash equivalents. For all periods presented, its cash balances consist of amounts held in non-interest-bearing deposits and money market accounts.</w:t>
      </w:r>
    </w:p>
    <w:p>
      <w:pPr>
        <w:spacing w:after="0" w:line="122" w:lineRule="exact"/>
        <w:rPr>
          <w:sz w:val="20"/>
          <w:szCs w:val="20"/>
          <w:color w:val="auto"/>
        </w:rPr>
      </w:pPr>
    </w:p>
    <w:p>
      <w:pPr>
        <w:ind w:right="40" w:firstLine="446"/>
        <w:spacing w:after="0" w:line="261"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carrying amounts of cash and cash equivalents, accounts receivable and accounts payable approximate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due to their relatively short-term nature. The carrying values of the Company's variable rate term loans approximate fair value. The fair value of the convertible notes outstanding at December 31, 2011 was estimated to be $21.7 million based on a valuation model that incorporates relevant Level 3 market inputs.</w:t>
      </w:r>
    </w:p>
    <w:p>
      <w:pPr>
        <w:spacing w:after="0" w:line="126" w:lineRule="exact"/>
        <w:rPr>
          <w:sz w:val="20"/>
          <w:szCs w:val="20"/>
          <w:color w:val="auto"/>
        </w:rPr>
      </w:pPr>
    </w:p>
    <w:p>
      <w:pPr>
        <w:ind w:right="20" w:firstLine="446"/>
        <w:spacing w:after="0" w:line="295" w:lineRule="auto"/>
        <w:rPr>
          <w:sz w:val="20"/>
          <w:szCs w:val="20"/>
          <w:color w:val="auto"/>
        </w:rPr>
      </w:pPr>
      <w:r>
        <w:rPr>
          <w:rFonts w:ascii="Arial" w:cs="Arial" w:eastAsia="Arial" w:hAnsi="Arial"/>
          <w:sz w:val="16"/>
          <w:szCs w:val="16"/>
          <w:b w:val="1"/>
          <w:bCs w:val="1"/>
          <w:color w:val="auto"/>
        </w:rPr>
        <w:t>Derivative Instruments</w:t>
      </w:r>
      <w:r>
        <w:rPr>
          <w:rFonts w:ascii="Arial" w:cs="Arial" w:eastAsia="Arial" w:hAnsi="Arial"/>
          <w:sz w:val="16"/>
          <w:szCs w:val="16"/>
          <w:color w:val="auto"/>
        </w:rPr>
        <w:t>—The Company operates and conducts business in foreign countries where its foreign entities use the local currency as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functional currency. As a result, the Company is exposed to movements in foreign currency exchange rates. The Company utilizes foreign currency forward contracts to reduce the impact of foreign currency fluctuations related to anticipated cash receipts from expected future revenues denominated in Euros and intercompany transaction gains or losses. The foreign currency forward contracts are accounted for as derivatives whereby the fair value of the contracts is reported as other current assets or current liabilities in the accompanying consolidated balance sheets, and gains and losses resulting from changes in the fair value are reported in other income (expense), net, in the accompanying consolidated statements of operations.</w:t>
      </w:r>
    </w:p>
    <w:p>
      <w:pPr>
        <w:spacing w:after="0" w:line="75" w:lineRule="exact"/>
        <w:rPr>
          <w:sz w:val="20"/>
          <w:szCs w:val="20"/>
          <w:color w:val="auto"/>
        </w:rPr>
      </w:pPr>
    </w:p>
    <w:p>
      <w:pPr>
        <w:ind w:firstLine="446"/>
        <w:spacing w:after="0" w:line="266" w:lineRule="auto"/>
        <w:rPr>
          <w:sz w:val="20"/>
          <w:szCs w:val="20"/>
          <w:color w:val="auto"/>
        </w:rPr>
      </w:pPr>
      <w:r>
        <w:rPr>
          <w:rFonts w:ascii="Arial" w:cs="Arial" w:eastAsia="Arial" w:hAnsi="Arial"/>
          <w:sz w:val="18"/>
          <w:szCs w:val="18"/>
          <w:b w:val="1"/>
          <w:bCs w:val="1"/>
          <w:color w:val="auto"/>
        </w:rPr>
        <w:t>Allowances for Doubtful Accounts</w:t>
      </w:r>
      <w:r>
        <w:rPr>
          <w:rFonts w:ascii="Arial" w:cs="Arial" w:eastAsia="Arial" w:hAnsi="Arial"/>
          <w:sz w:val="18"/>
          <w:szCs w:val="18"/>
          <w:color w:val="auto"/>
        </w:rPr>
        <w:t>—The Company maintains allowances for doubtful accounts for uncollectible accounts receivable.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anticipated losses from doubtful accounts based on days past due, collection history and other factors. The allowance for doubtful accounts was $1.2 million and $0.1 million at December 31, 2012 and 2011, respectively.</w:t>
      </w:r>
    </w:p>
    <w:p>
      <w:pPr>
        <w:spacing w:after="0" w:line="122" w:lineRule="exact"/>
        <w:rPr>
          <w:sz w:val="20"/>
          <w:szCs w:val="20"/>
          <w:color w:val="auto"/>
        </w:rPr>
      </w:pPr>
    </w:p>
    <w:p>
      <w:pPr>
        <w:ind w:right="220" w:firstLine="446"/>
        <w:spacing w:after="0" w:line="261"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valued at the lower of cost or market. The Company determines cost on a first-in first-out basis. Certain factors could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concentrations, product merchantability and other factors. Inventory write-downs are equal to the difference between the cost of inventories and their estimated net realizable market value.</w:t>
      </w:r>
    </w:p>
    <w:p>
      <w:pPr>
        <w:spacing w:after="0" w:line="112" w:lineRule="exact"/>
        <w:rPr>
          <w:sz w:val="20"/>
          <w:szCs w:val="20"/>
          <w:color w:val="auto"/>
        </w:rPr>
      </w:pPr>
    </w:p>
    <w:p>
      <w:pPr>
        <w:ind w:right="180" w:firstLine="446"/>
        <w:spacing w:after="0" w:line="258"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Cost includes the price paid to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 the asset as well as any expenditure that substantially adds to the value of or significantly extends the useful life of an existing asset. Repair and maintenance costs are expensed as incurred. Depreciation and amortization is computed using the straight-line method over the estimated useful lives of the assets, which range from three to ten years. Leasehold improvements are amortized over the shorter of the lease term or expected useful life of the improvements.</w:t>
      </w:r>
    </w:p>
    <w:p>
      <w:pPr>
        <w:spacing w:after="0" w:line="130" w:lineRule="exact"/>
        <w:rPr>
          <w:sz w:val="20"/>
          <w:szCs w:val="20"/>
          <w:color w:val="auto"/>
        </w:rPr>
      </w:pPr>
    </w:p>
    <w:p>
      <w:pPr>
        <w:ind w:right="100" w:firstLine="446"/>
        <w:spacing w:after="0" w:line="261" w:lineRule="auto"/>
        <w:rPr>
          <w:sz w:val="20"/>
          <w:szCs w:val="20"/>
          <w:color w:val="auto"/>
        </w:rPr>
      </w:pPr>
      <w:r>
        <w:rPr>
          <w:rFonts w:ascii="Arial" w:cs="Arial" w:eastAsia="Arial" w:hAnsi="Arial"/>
          <w:sz w:val="18"/>
          <w:szCs w:val="18"/>
          <w:b w:val="1"/>
          <w:bCs w:val="1"/>
          <w:color w:val="auto"/>
        </w:rPr>
        <w:t>Capitalized Software Costs</w:t>
      </w:r>
      <w:r>
        <w:rPr>
          <w:rFonts w:ascii="Arial" w:cs="Arial" w:eastAsia="Arial" w:hAnsi="Arial"/>
          <w:sz w:val="18"/>
          <w:szCs w:val="18"/>
          <w:color w:val="auto"/>
        </w:rPr>
        <w:t>—Costs related to internal-use software are capitalized when preliminary development efforts are successfully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has authorized and committed project funding, and it is probable that the project will be completed and the software will be used as intended. Such costs are amortized on a straight-line basis over their estimated useful lives. Costs incurred prior to meeting these criteria, together with costs incurred for training and maintenance, are expensed as incurred.</w:t>
      </w:r>
    </w:p>
    <w:p>
      <w:pPr>
        <w:spacing w:after="0" w:line="126" w:lineRule="exact"/>
        <w:rPr>
          <w:sz w:val="20"/>
          <w:szCs w:val="20"/>
          <w:color w:val="auto"/>
        </w:rPr>
      </w:pPr>
    </w:p>
    <w:p>
      <w:pPr>
        <w:ind w:right="60" w:firstLine="446"/>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—Management evaluates long-lived assets for impairment whenever events or changes in circumstances indicate that the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such assets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w:t>
      </w:r>
    </w:p>
    <w:p>
      <w:pPr>
        <w:spacing w:after="0" w:line="111" w:lineRule="exact"/>
        <w:rPr>
          <w:sz w:val="20"/>
          <w:szCs w:val="20"/>
          <w:color w:val="auto"/>
        </w:rPr>
      </w:pPr>
    </w:p>
    <w:p>
      <w:pPr>
        <w:ind w:right="60" w:firstLine="446"/>
        <w:spacing w:after="0" w:line="261" w:lineRule="auto"/>
        <w:rPr>
          <w:sz w:val="20"/>
          <w:szCs w:val="20"/>
          <w:color w:val="auto"/>
        </w:rPr>
      </w:pPr>
      <w:r>
        <w:rPr>
          <w:rFonts w:ascii="Arial" w:cs="Arial" w:eastAsia="Arial" w:hAnsi="Arial"/>
          <w:sz w:val="18"/>
          <w:szCs w:val="18"/>
          <w:b w:val="1"/>
          <w:bCs w:val="1"/>
          <w:color w:val="auto"/>
        </w:rPr>
        <w:t>Warranty Obligations</w:t>
      </w:r>
      <w:r>
        <w:rPr>
          <w:rFonts w:ascii="Arial" w:cs="Arial" w:eastAsia="Arial" w:hAnsi="Arial"/>
          <w:sz w:val="18"/>
          <w:szCs w:val="18"/>
          <w:color w:val="auto"/>
        </w:rPr>
        <w:t>—The Company provides a limited warranty against defects in materials and workmanship under normal use and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for its microinverters. The warranty obligation is generally in the form of product replacement. The first and second generation microinverters (sold through the third quarter of 2012) include a 15-year limited warranty period. The third generation microinverters (sold since the second quarter of 2011) include a limited warranty of up to 25 years.</w:t>
      </w:r>
    </w:p>
    <w:p>
      <w:pPr>
        <w:spacing w:after="0" w:line="49"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Estimated warranty costs are included in cost of revenues and are accrued at the time of sale on a per unit sold basis. Such estimates are based on various factors including assumptions (for each generation of microinverters) about the frequency of product failures, future warranty claim rates, and replacement costs as follows:</w:t>
      </w:r>
    </w:p>
    <w:p>
      <w:pPr>
        <w:spacing w:after="0" w:line="46" w:lineRule="exact"/>
        <w:rPr>
          <w:sz w:val="20"/>
          <w:szCs w:val="20"/>
          <w:color w:val="auto"/>
        </w:rPr>
      </w:pPr>
    </w:p>
    <w:p>
      <w:pPr>
        <w:ind w:left="980" w:right="180" w:hanging="486"/>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failure rates are estimated primarily by using field monitoring of the actual failure rates of the microinverters the Company has sold to date. In addition, due to the Company's limited operating history, it also utilizes third party data collected on similar equipment deployed in outdoor environments similar to those in which its microinverters are installed, as well as accelerated life cycle testing, which simulates the service life of the product in a short period of time. The accelerated life cycle tests incorporate test methodologies derived from standard tests used by solar module vendors to evaluate the period over which solar modules wear out. Predicted failure rates are updated periodically based on field return data.</w:t>
      </w:r>
    </w:p>
    <w:p>
      <w:pPr>
        <w:spacing w:after="0" w:line="58" w:lineRule="exact"/>
        <w:rPr>
          <w:rFonts w:ascii="Arial" w:cs="Arial" w:eastAsia="Arial" w:hAnsi="Arial"/>
          <w:sz w:val="18"/>
          <w:szCs w:val="18"/>
          <w:color w:val="auto"/>
        </w:rPr>
      </w:pPr>
    </w:p>
    <w:p>
      <w:pPr>
        <w:ind w:left="980" w:right="160" w:hanging="486"/>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warranty claim rates are estimated based upon historical claim rates and expectations of future claim rate percentages over the warranty period. Due to the inherent uncertainties included in making estimates related to customers' future behavior, the Company's estimated future warranty claim rates may change.</w:t>
      </w:r>
    </w:p>
    <w:p>
      <w:pPr>
        <w:spacing w:after="0" w:line="46" w:lineRule="exact"/>
        <w:rPr>
          <w:rFonts w:ascii="Arial" w:cs="Arial" w:eastAsia="Arial" w:hAnsi="Arial"/>
          <w:sz w:val="18"/>
          <w:szCs w:val="18"/>
          <w:color w:val="auto"/>
        </w:rPr>
      </w:pPr>
    </w:p>
    <w:p>
      <w:pPr>
        <w:ind w:left="980" w:right="380" w:hanging="486"/>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Corresponding replacement costs are updated periodically to reflect changes in the actual and estimated production costs for the Company's microinverters. The Company's estimated costs of warranty for previously sold products may change to the extent future products are not compatible with earlier generation products under warranty.</w:t>
      </w:r>
    </w:p>
    <w:p>
      <w:pPr>
        <w:spacing w:after="0" w:line="4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calculation of estimated warranty obligations requires management to make significant assumptions. Since the Company has only been producing microinverters for a relatively short period, the calculation of warranty obligations is inherently uncertain. If actual experience related to product failure rates, claim rates or cost to replace differs materially from management's estimates, the Company may be required to revise those estimates, resulting in adjustments to its financial results in the period during which such changes in estimates are made. Such adjustments could materially adversely affect the Company's gross profit and operating results. Changes in estimates related to warranty obligations resulted in net increases in warranty expense of $7.6 million, $1.8 million and $0 in 2012, 2011 and 2010, respectively (see Note 5).</w:t>
      </w:r>
    </w:p>
    <w:p>
      <w:pPr>
        <w:spacing w:after="0" w:line="135" w:lineRule="exact"/>
        <w:rPr>
          <w:sz w:val="20"/>
          <w:szCs w:val="20"/>
          <w:color w:val="auto"/>
        </w:rPr>
      </w:pPr>
    </w:p>
    <w:p>
      <w:pPr>
        <w:ind w:right="360" w:firstLine="446"/>
        <w:spacing w:after="0" w:line="282" w:lineRule="auto"/>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—The Company expenses research and development costs as incurred. Research and development costs totaled</w:t>
      </w:r>
      <w:r>
        <w:rPr>
          <w:rFonts w:ascii="Arial" w:cs="Arial" w:eastAsia="Arial" w:hAnsi="Arial"/>
          <w:sz w:val="18"/>
          <w:szCs w:val="18"/>
          <w:b w:val="1"/>
          <w:bCs w:val="1"/>
          <w:color w:val="auto"/>
        </w:rPr>
        <w:t xml:space="preserve"> </w:t>
      </w:r>
      <w:r>
        <w:rPr>
          <w:rFonts w:ascii="Arial" w:cs="Arial" w:eastAsia="Arial" w:hAnsi="Arial"/>
          <w:sz w:val="18"/>
          <w:szCs w:val="18"/>
          <w:color w:val="auto"/>
        </w:rPr>
        <w:t>$35.6 million, $25.1 million and $14.3 million in 2012, 2011 and 2010, respectively.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—Share-based payments are required to be recognized in the Company’s consolidated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each stock option granted is estimated using the Black-Scholes option valuation model. Stock-based compensation, net of estimated forfeitures, is recognized on a straight-line basis over the requisite service period, which is typically four years.</w:t>
      </w:r>
    </w:p>
    <w:p>
      <w:pPr>
        <w:spacing w:after="0" w:line="113" w:lineRule="exact"/>
        <w:rPr>
          <w:sz w:val="20"/>
          <w:szCs w:val="20"/>
          <w:color w:val="auto"/>
        </w:rPr>
      </w:pPr>
    </w:p>
    <w:p>
      <w:pPr>
        <w:jc w:val="both"/>
        <w:ind w:right="500" w:firstLine="446"/>
        <w:spacing w:after="0" w:line="289" w:lineRule="auto"/>
        <w:rPr>
          <w:sz w:val="20"/>
          <w:szCs w:val="20"/>
          <w:color w:val="auto"/>
        </w:rPr>
      </w:pPr>
      <w:r>
        <w:rPr>
          <w:rFonts w:ascii="Arial" w:cs="Arial" w:eastAsia="Arial" w:hAnsi="Arial"/>
          <w:sz w:val="17"/>
          <w:szCs w:val="17"/>
          <w:b w:val="1"/>
          <w:bCs w:val="1"/>
          <w:color w:val="auto"/>
        </w:rPr>
        <w:t>Comprehensive Loss</w:t>
      </w:r>
      <w:r>
        <w:rPr>
          <w:rFonts w:ascii="Arial" w:cs="Arial" w:eastAsia="Arial" w:hAnsi="Arial"/>
          <w:sz w:val="17"/>
          <w:szCs w:val="17"/>
          <w:color w:val="auto"/>
        </w:rPr>
        <w:t>—Comprehensive loss consists of two components, net loss and other comprehensive income (loss). Other comprehensive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(loss) refers to gains and losses that are recorded as an element of stockholders’ equity but are excluded from net income. The Company’s other comprehensive income (loss) consists of foreign currency translation adjustments for all periods presented.</w:t>
      </w:r>
    </w:p>
    <w:p>
      <w:pPr>
        <w:spacing w:after="0" w:line="104"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b w:val="1"/>
          <w:bCs w:val="1"/>
          <w:color w:val="auto"/>
        </w:rPr>
        <w:t>Convertible Preferred Stock Warrants</w:t>
      </w:r>
      <w:r>
        <w:rPr>
          <w:rFonts w:ascii="Arial" w:cs="Arial" w:eastAsia="Arial" w:hAnsi="Arial"/>
          <w:sz w:val="18"/>
          <w:szCs w:val="18"/>
          <w:color w:val="auto"/>
        </w:rPr>
        <w:t>—Prior to its initial public offering, the Company recorded its freestanding warrants to purchase its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as liabilities at their fair value upon issuance by utilizing a Monte Carlo simulation model that takes into account estimated probabilities of possible outcomes. The fair value of the warrants were subject to remeasurement at each balance sheet date with any change in value being reflected as other income (expense). Upon the completion of the initial public offering in April 2012, the convertible preferred stock warrants became warrants to purchase shares of the Company's common stock and, as a result, qualified for equity classification. The then-current aggregate fair value of these warrants of $0.9 million was reclassified from current liabilities to additional paid-in capital, a component of stockholders’ equity, and the Company has ceased to record any further periodic fair value adjustments.</w:t>
      </w:r>
    </w:p>
    <w:p>
      <w:pPr>
        <w:spacing w:after="0" w:line="135" w:lineRule="exact"/>
        <w:rPr>
          <w:sz w:val="20"/>
          <w:szCs w:val="20"/>
          <w:color w:val="auto"/>
        </w:rPr>
      </w:pPr>
    </w:p>
    <w:p>
      <w:pPr>
        <w:ind w:right="100" w:firstLine="446"/>
        <w:spacing w:after="0" w:line="303"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—The Company records income taxes using the asset and liability method, which requires the recognition of deferred tax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0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129" w:lineRule="exact"/>
        <w:rPr>
          <w:sz w:val="20"/>
          <w:szCs w:val="20"/>
          <w:color w:val="auto"/>
        </w:rPr>
      </w:pPr>
    </w:p>
    <w:p>
      <w:pPr>
        <w:ind w:right="100" w:firstLine="446"/>
        <w:spacing w:after="0" w:line="282" w:lineRule="auto"/>
        <w:rPr>
          <w:sz w:val="20"/>
          <w:szCs w:val="20"/>
          <w:color w:val="auto"/>
        </w:rPr>
      </w:pPr>
      <w:r>
        <w:rPr>
          <w:rFonts w:ascii="Arial" w:cs="Arial" w:eastAsia="Arial" w:hAnsi="Arial"/>
          <w:sz w:val="18"/>
          <w:szCs w:val="18"/>
          <w:b w:val="1"/>
          <w:bCs w:val="1"/>
          <w:color w:val="auto"/>
        </w:rPr>
        <w:t>Deferred Offering Costs</w:t>
      </w:r>
      <w:r>
        <w:rPr>
          <w:rFonts w:ascii="Arial" w:cs="Arial" w:eastAsia="Arial" w:hAnsi="Arial"/>
          <w:sz w:val="18"/>
          <w:szCs w:val="18"/>
          <w:color w:val="auto"/>
        </w:rPr>
        <w:t>—Deferred offering costs include costs directly attributable to the Company’s initial public offering. These costs totaled $4.8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were charged to additional paid-in capital upon the completion of the Company’s initial public offering in April 2012.</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Deferred Financing Costs</w:t>
      </w:r>
      <w:r>
        <w:rPr>
          <w:rFonts w:ascii="Arial" w:cs="Arial" w:eastAsia="Arial" w:hAnsi="Arial"/>
          <w:sz w:val="17"/>
          <w:szCs w:val="17"/>
          <w:color w:val="auto"/>
        </w:rPr>
        <w:t>—Deferred financing costs are included in other assets and are amortized over the life of the respective debt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as of December 31, 2012 and 2011, consists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9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17,620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9,380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inventory</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7"/>
              </w:rPr>
              <w:t>19,843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11,228</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2012, 2011 and 2010, the Company recorded write-downs of inventories of $0.8 million, $2.7 million and $0.1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and 2011, property and equipment, net consists of the following (in thousands):</w:t>
      </w:r>
    </w:p>
    <w:p>
      <w:pPr>
        <w:spacing w:after="0" w:line="38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47"/>
        </w:trPr>
        <w:tc>
          <w:tcPr>
            <w:tcW w:w="5720" w:type="dxa"/>
            <w:vAlign w:val="bottom"/>
          </w:tcPr>
          <w:p>
            <w:pPr>
              <w:spacing w:after="0"/>
              <w:rPr>
                <w:sz w:val="4"/>
                <w:szCs w:val="4"/>
                <w:color w:val="auto"/>
              </w:rPr>
            </w:pPr>
          </w:p>
        </w:tc>
        <w:tc>
          <w:tcPr>
            <w:tcW w:w="2640" w:type="dxa"/>
            <w:vAlign w:val="bottom"/>
            <w:gridSpan w:val="2"/>
            <w:vMerge w:val="restart"/>
          </w:tcPr>
          <w:p>
            <w:pPr>
              <w:jc w:val="center"/>
              <w:ind w:right="160"/>
              <w:spacing w:after="0" w:line="133" w:lineRule="exact"/>
              <w:rPr>
                <w:sz w:val="20"/>
                <w:szCs w:val="20"/>
                <w:color w:val="auto"/>
              </w:rPr>
            </w:pPr>
            <w:r>
              <w:rPr>
                <w:rFonts w:ascii="Arial" w:cs="Arial" w:eastAsia="Arial" w:hAnsi="Arial"/>
                <w:sz w:val="14"/>
                <w:szCs w:val="14"/>
                <w:b w:val="1"/>
                <w:bCs w:val="1"/>
                <w:color w:val="auto"/>
                <w:w w:val="91"/>
              </w:rPr>
              <w:t>Estimated Useful</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5720" w:type="dxa"/>
            <w:vAlign w:val="bottom"/>
          </w:tcPr>
          <w:p>
            <w:pPr>
              <w:spacing w:after="0"/>
              <w:rPr>
                <w:sz w:val="5"/>
                <w:szCs w:val="5"/>
                <w:color w:val="auto"/>
              </w:rPr>
            </w:pPr>
          </w:p>
        </w:tc>
        <w:tc>
          <w:tcPr>
            <w:tcW w:w="26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and machinery</w:t>
            </w:r>
          </w:p>
        </w:tc>
        <w:tc>
          <w:tcPr>
            <w:tcW w:w="25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5–7</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3–10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24,141</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18,411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was $5.6 million, and $3.0 million and $1.6 million in 2012, 2011 and 2010, respectively.</w:t>
      </w:r>
    </w:p>
    <w:p>
      <w:pPr>
        <w:spacing w:after="0" w:line="171"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Included in property and equipment are assets acquired under capital lease obligations with an original cost of $350,000 and $494,000 and $199,000 as of December 31, 2012, 2011 and 2010, respectively. Accumulated amortization was $107,000, $180,000 and $149,000 as of December 31, 2012, 2011 and 2010, respectively.</w:t>
      </w:r>
    </w:p>
    <w:p>
      <w:pPr>
        <w:spacing w:after="0" w:line="123" w:lineRule="exact"/>
        <w:rPr>
          <w:sz w:val="20"/>
          <w:szCs w:val="20"/>
          <w:color w:val="auto"/>
        </w:rPr>
      </w:pPr>
    </w:p>
    <w:p>
      <w:pPr>
        <w:ind w:firstLine="446"/>
        <w:spacing w:after="0" w:line="266" w:lineRule="auto"/>
        <w:rPr>
          <w:sz w:val="20"/>
          <w:szCs w:val="20"/>
          <w:color w:val="auto"/>
        </w:rPr>
      </w:pPr>
      <w:r>
        <w:rPr>
          <w:rFonts w:ascii="Arial" w:cs="Arial" w:eastAsia="Arial" w:hAnsi="Arial"/>
          <w:sz w:val="18"/>
          <w:szCs w:val="18"/>
          <w:b w:val="1"/>
          <w:bCs w:val="1"/>
          <w:color w:val="auto"/>
        </w:rPr>
        <w:t>Capitalized Internal Use Software</w:t>
      </w:r>
      <w:r>
        <w:rPr>
          <w:rFonts w:ascii="Arial" w:cs="Arial" w:eastAsia="Arial" w:hAnsi="Arial"/>
          <w:sz w:val="18"/>
          <w:szCs w:val="18"/>
          <w:color w:val="auto"/>
        </w:rPr>
        <w:t>—The Company capitalized $881,000, $806,000 and $815,000 internal use software costs for 2012, 2011 and 2010,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Capitalized software costs are being amortized ratably over the estimated useful lives and are included within amortization expense in the amount of $516,000, $654,000 and $423,000 for 2012, 2011 and 2010,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WARRANTY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Company’s warranty obligations in 2012, 2011 and 2010 were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Warranty expense</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21,338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Long-term portion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2,328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2012, warranty expense included $7.6 million resulting from changes in estimates comprised of increases to warranty expense of $10.2 million related to analyses of accumulated information with respect to the estimated long-term performance and related replacement costs of the Company's previous generation products, offset by decreases to warranty expense of $2.6 million from reductions in estimated replacement costs and claim rates. In the fourth quarter of 2012, the Company revised its accounting presentation to present warranty obligations on a gross basis. Previously, warranty obligations were shown net of any warranty related inventory write-downs. Warranty expense for 2012 and warranty obligations as of December 31, 2012 include $1.6 million which had been presented as inventory write-downs in the nine months ended September 30, 2012. The revision had no impact on previously reported gross profit, net loss, accumulated deficit or cash used in operating activities.</w:t>
      </w:r>
    </w:p>
    <w:p>
      <w:pPr>
        <w:spacing w:after="0" w:line="124"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In 2011, warranty expense included $1.8 million resulting from changes in estimates to reflect increased estimated replacement costs for certain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2010, no adjustments for material changes in estimates were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94" w:lineRule="exact"/>
        <w:rPr>
          <w:sz w:val="20"/>
          <w:szCs w:val="20"/>
          <w:color w:val="auto"/>
        </w:rPr>
      </w:pPr>
    </w:p>
    <w:p>
      <w:pPr>
        <w:ind w:right="26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0"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00" w:lineRule="exact"/>
        <w:rPr>
          <w:sz w:val="20"/>
          <w:szCs w:val="20"/>
          <w:color w:val="auto"/>
        </w:rPr>
      </w:pPr>
    </w:p>
    <w:p>
      <w:pPr>
        <w:ind w:right="300" w:firstLine="446"/>
        <w:spacing w:after="0" w:line="313" w:lineRule="auto"/>
        <w:rPr>
          <w:sz w:val="20"/>
          <w:szCs w:val="20"/>
          <w:color w:val="auto"/>
        </w:rPr>
      </w:pPr>
      <w:r>
        <w:rPr>
          <w:rFonts w:ascii="Arial" w:cs="Arial" w:eastAsia="Arial" w:hAnsi="Arial"/>
          <w:sz w:val="17"/>
          <w:szCs w:val="17"/>
          <w:b w:val="1"/>
          <w:bCs w:val="1"/>
          <w:color w:val="auto"/>
        </w:rPr>
        <w:t>Derivative Instruments—</w:t>
      </w:r>
      <w:r>
        <w:rPr>
          <w:rFonts w:ascii="Arial" w:cs="Arial" w:eastAsia="Arial" w:hAnsi="Arial"/>
          <w:sz w:val="17"/>
          <w:szCs w:val="17"/>
          <w:color w:val="auto"/>
        </w:rPr>
        <w:t>The Company utilizes foreign currency forward contracts to reduce the impact of foreign currency fluctuations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anticipated cash receipts from expected future revenues denominated in Euros and intercompany transaction gains or losses.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open foreign currency forward contracts at December 31, 2012 is as follows (all open contracts are obligations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to deliver the foreign currency)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Foreign Quantity</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Contract</w:t>
            </w:r>
          </w:p>
        </w:tc>
        <w:tc>
          <w:tcPr>
            <w:tcW w:w="28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4"/>
                <w:szCs w:val="14"/>
                <w:color w:val="auto"/>
              </w:rPr>
            </w:pPr>
          </w:p>
        </w:tc>
        <w:tc>
          <w:tcPr>
            <w:tcW w:w="1120" w:type="dxa"/>
            <w:vAlign w:val="bottom"/>
          </w:tcPr>
          <w:p>
            <w:pPr>
              <w:jc w:val="center"/>
              <w:ind w:right="202"/>
              <w:spacing w:after="0"/>
              <w:rPr>
                <w:sz w:val="20"/>
                <w:szCs w:val="20"/>
                <w:color w:val="auto"/>
              </w:rPr>
            </w:pPr>
            <w:r>
              <w:rPr>
                <w:rFonts w:ascii="Arial" w:cs="Arial" w:eastAsia="Arial" w:hAnsi="Arial"/>
                <w:sz w:val="14"/>
                <w:szCs w:val="14"/>
                <w:b w:val="1"/>
                <w:bCs w:val="1"/>
                <w:color w:val="auto"/>
                <w:w w:val="83"/>
              </w:rPr>
              <w:t>Asset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243"/>
        </w:trPr>
        <w:tc>
          <w:tcPr>
            <w:tcW w:w="5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15, 2013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6,058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2012, the Company recognized losses of $505,000 related to foreign currency forward contracts.</w:t>
      </w:r>
    </w:p>
    <w:p>
      <w:pPr>
        <w:spacing w:after="0" w:line="225"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580" w:type="dxa"/>
            <w:vAlign w:val="bottom"/>
          </w:tcPr>
          <w:p>
            <w:pPr>
              <w:spacing w:after="0"/>
              <w:rPr>
                <w:sz w:val="22"/>
                <w:szCs w:val="22"/>
                <w:color w:val="auto"/>
              </w:rPr>
            </w:pPr>
          </w:p>
        </w:tc>
        <w:tc>
          <w:tcPr>
            <w:tcW w:w="4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376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warrant liability (Level 3)</w:t>
            </w:r>
          </w:p>
        </w:tc>
        <w:tc>
          <w:tcPr>
            <w:tcW w:w="476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Foreign currency forward contracts (Level 2)</w:t>
            </w:r>
          </w:p>
        </w:tc>
        <w:tc>
          <w:tcPr>
            <w:tcW w:w="3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454"/>
              <w:spacing w:after="0"/>
              <w:rPr>
                <w:sz w:val="20"/>
                <w:szCs w:val="20"/>
                <w:color w:val="auto"/>
              </w:rPr>
            </w:pPr>
            <w:r>
              <w:rPr>
                <w:rFonts w:ascii="Arial" w:cs="Arial" w:eastAsia="Arial" w:hAnsi="Arial"/>
                <w:sz w:val="18"/>
                <w:szCs w:val="18"/>
                <w:color w:val="auto"/>
              </w:rPr>
              <w:t>53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long-term debt was comprised of the following at December 31, 2012 and 2011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 net of unamortized discount of $0 and $435, respectively</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$94 and $156, respectively</w:t>
            </w:r>
          </w:p>
        </w:tc>
        <w:tc>
          <w:tcPr>
            <w:tcW w:w="9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4,742</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7"/>
              </w:rPr>
              <w:t>11,061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10,148</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22"/>
        </w:trPr>
        <w:tc>
          <w:tcPr>
            <w:tcW w:w="9240" w:type="dxa"/>
            <w:vAlign w:val="bottom"/>
            <w:gridSpan w:val="2"/>
          </w:tcPr>
          <w:p>
            <w:pPr>
              <w:ind w:left="460"/>
              <w:spacing w:after="0"/>
              <w:rPr>
                <w:sz w:val="20"/>
                <w:szCs w:val="20"/>
                <w:color w:val="auto"/>
              </w:rPr>
            </w:pPr>
            <w:r>
              <w:rPr>
                <w:rFonts w:ascii="Arial" w:cs="Arial" w:eastAsia="Arial" w:hAnsi="Arial"/>
                <w:sz w:val="18"/>
                <w:szCs w:val="18"/>
                <w:color w:val="auto"/>
                <w:w w:val="93"/>
              </w:rPr>
              <w:t>As of December 31, 2012, the amount of future principal repayments due on the total debt is as follows (in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8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3,538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2,197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11,155</w:t>
            </w:r>
          </w:p>
        </w:tc>
      </w:tr>
      <w:tr>
        <w:trPr>
          <w:trHeight w:val="20"/>
        </w:trPr>
        <w:tc>
          <w:tcPr>
            <w:tcW w:w="8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b w:val="1"/>
          <w:bCs w:val="1"/>
          <w:color w:val="auto"/>
        </w:rPr>
        <w:t>Wells Fargo Bank, N.A.—</w:t>
      </w:r>
      <w:r>
        <w:rPr>
          <w:rFonts w:ascii="Arial" w:cs="Arial" w:eastAsia="Arial" w:hAnsi="Arial"/>
          <w:sz w:val="17"/>
          <w:szCs w:val="17"/>
          <w:color w:val="auto"/>
        </w:rPr>
        <w:t>On November 7, 2012, the Company entered into a new $50.0 million revolving credit facility (the “Revolver”) with Wells</w:t>
      </w:r>
      <w:r>
        <w:rPr>
          <w:rFonts w:ascii="Arial" w:cs="Arial" w:eastAsia="Arial" w:hAnsi="Arial"/>
          <w:sz w:val="17"/>
          <w:szCs w:val="17"/>
          <w:b w:val="1"/>
          <w:bCs w:val="1"/>
          <w:color w:val="auto"/>
        </w:rPr>
        <w:t xml:space="preserve"> </w:t>
      </w:r>
      <w:r>
        <w:rPr>
          <w:rFonts w:ascii="Arial" w:cs="Arial" w:eastAsia="Arial" w:hAnsi="Arial"/>
          <w:sz w:val="17"/>
          <w:szCs w:val="17"/>
          <w:color w:val="auto"/>
        </w:rPr>
        <w:t>Fargo Bank, N.A. (“Wells Fargo”). The Revolver matures on November 7, 2015. The amount of loans available to be drawn under the Revolver is subject to a borrowing base calculation that limits availability to a percentage of eligible domestic accounts receivable plus a percentage of the value of eligible domestic inventory, less certain reserves. Wells Fargo and Hercules Technology Growth Capital, Inc. ("Hercules") are parties to an intercreditor agreement, pursuant to which Hercules has a first lien on certain of the Company's assets and a second priority on its other assets. Subject to the intercreditor agreement, loans under the Revolver are secured by a pledge of substantially all of the Company's assets other than intellectual property. Loans under the Revolver bear interest in cash at an annual rate equal to, at the Company's option, either LIBOR or a “base rate” that is comprised of, among other things, the prime rate, plus a margin that is between 1.5% and 4.25% depending on the currency borrowed and the specific term of repayment. The Revolver contains customary affirmative and negative covenants and events of default, and requires the Company to maintain at least $15.0 million of liquidity at all times, of which at least $8.0 million must be undrawn availability. As of December 31, 2012, $21.2 million was available for borrowing and the Company has not drawn any loans under the Revolver.</w:t>
      </w:r>
    </w:p>
    <w:p>
      <w:pPr>
        <w:spacing w:after="0" w:line="39" w:lineRule="exact"/>
        <w:rPr>
          <w:sz w:val="20"/>
          <w:szCs w:val="20"/>
          <w:color w:val="auto"/>
        </w:rPr>
      </w:pPr>
    </w:p>
    <w:p>
      <w:pPr>
        <w:ind w:right="80" w:firstLine="446"/>
        <w:spacing w:after="0" w:line="268" w:lineRule="auto"/>
        <w:rPr>
          <w:sz w:val="20"/>
          <w:szCs w:val="20"/>
          <w:color w:val="auto"/>
        </w:rPr>
      </w:pPr>
      <w:r>
        <w:rPr>
          <w:rFonts w:ascii="Arial" w:cs="Arial" w:eastAsia="Arial" w:hAnsi="Arial"/>
          <w:sz w:val="17"/>
          <w:szCs w:val="17"/>
          <w:b w:val="1"/>
          <w:bCs w:val="1"/>
          <w:color w:val="auto"/>
        </w:rPr>
        <w:t>Hercules Technology Growth Capital</w:t>
      </w:r>
      <w:r>
        <w:rPr>
          <w:rFonts w:ascii="Arial" w:cs="Arial" w:eastAsia="Arial" w:hAnsi="Arial"/>
          <w:sz w:val="17"/>
          <w:szCs w:val="17"/>
          <w:color w:val="auto"/>
        </w:rPr>
        <w:t>—On November 7, 2012, the Company entered into a loan and security agreement with Hercules,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it borrowed $7.4 million (the "Initial Term Loan") and may borrow an additional $15.6 million in term loans (the "Additional Term Loans"). Borrowings of the Initial Term Loan and any Additional Term Loans are subject to certain customary conditions precedent (including, in the case of Additional Term Loans, year-to-date achievement of at least 70% of projected EBITDA and revenue), and are only available for drawing during the 15-day period following delivery to Hercules of the Company's quarterly financial statements for fiscal 2013. In addition, the additional term loans must be drawn, if at all, not later than March 31, 2014. The Company used the proceeds of the Initial Term Loan to replenish cash on hand, which had previously been used to repay the approximately $7.5 million in outstanding term loans owed to Horizon Technology Finance Corporation ("Horizon"). Loans under the Hercules facility bear interest at an annual rate equal to the higher of (i) the prime rate plus 8.25% or (b) 11.5%. All loans under the Hercules facility will mature on August 1, 2016. Interest is payable in cash on a monthly basis, and the loans will amortize in equal monthly installments commencing on March 1, 2014, in the case of the Initial Term Loan, and on December 1, 2013, in the case of Additional Term Loans (or, if no Additional Term Loan is drawn until after December 1, 2013, then the month following the drawing of such additional loan). The Hercules facility contains customary affirmative and negative covenants and events of default, but does not include any financial maintenance covenants. Prepayments of loans under the facility are subject to early payment penalties. Loans under the Hercules facility are secured by a pledge of substantially all the Company's assets other than intellectual property. As of December 31, 2012, the principal balance under the Initial Term Loan was $7.4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ind w:right="180" w:firstLine="446"/>
        <w:spacing w:after="0" w:line="277" w:lineRule="auto"/>
        <w:rPr>
          <w:sz w:val="20"/>
          <w:szCs w:val="20"/>
          <w:color w:val="auto"/>
        </w:rPr>
      </w:pPr>
      <w:r>
        <w:rPr>
          <w:rFonts w:ascii="Arial" w:cs="Arial" w:eastAsia="Arial" w:hAnsi="Arial"/>
          <w:sz w:val="17"/>
          <w:szCs w:val="17"/>
          <w:b w:val="1"/>
          <w:bCs w:val="1"/>
          <w:color w:val="auto"/>
        </w:rPr>
        <w:t>Equipment Financing Facility—</w:t>
      </w:r>
      <w:r>
        <w:rPr>
          <w:rFonts w:ascii="Arial" w:cs="Arial" w:eastAsia="Arial" w:hAnsi="Arial"/>
          <w:sz w:val="17"/>
          <w:szCs w:val="17"/>
          <w:color w:val="auto"/>
        </w:rPr>
        <w:t>On June 13, 2011, the Company entered into a $5.0 million equipment financing facility with Hercules.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financing facility has a variable interest rate set at the higher of 5.75% above the prime lending rate and 9.0% annually and expires July 1, 2014. This facility is secured by the financed equipment and restricts the Company’s ability to pay dividends and take on certain types of additional liens. In connection with this facility, the Company issued warrants to purchase 25,285 shares of Series E convertible preferred stock (see Note 10). As of December 31, 2012, the principal balance under the equipment financing facility was $3.8 million.</w:t>
      </w:r>
    </w:p>
    <w:p>
      <w:pPr>
        <w:spacing w:after="0" w:line="114" w:lineRule="exact"/>
        <w:rPr>
          <w:sz w:val="20"/>
          <w:szCs w:val="20"/>
          <w:color w:val="auto"/>
        </w:rPr>
      </w:pPr>
    </w:p>
    <w:p>
      <w:pPr>
        <w:ind w:firstLine="446"/>
        <w:spacing w:after="0" w:line="261" w:lineRule="auto"/>
        <w:rPr>
          <w:sz w:val="20"/>
          <w:szCs w:val="20"/>
          <w:color w:val="auto"/>
        </w:rPr>
      </w:pPr>
      <w:r>
        <w:rPr>
          <w:rFonts w:ascii="Arial" w:cs="Arial" w:eastAsia="Arial" w:hAnsi="Arial"/>
          <w:sz w:val="18"/>
          <w:szCs w:val="18"/>
          <w:b w:val="1"/>
          <w:bCs w:val="1"/>
          <w:color w:val="auto"/>
        </w:rPr>
        <w:t>Horizon Technology Finance Corporation</w:t>
      </w:r>
      <w:r>
        <w:rPr>
          <w:rFonts w:ascii="Arial" w:cs="Arial" w:eastAsia="Arial" w:hAnsi="Arial"/>
          <w:sz w:val="18"/>
          <w:szCs w:val="18"/>
          <w:color w:val="auto"/>
        </w:rPr>
        <w:t>—As of December 31, 2011, the total outstanding principal balance of term loans with Horizon was $10.3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Borrowings under the term loans bore interest at an annual interest rate ranging from 10.75% to 12.6%. In connection with the borrowings, the Company issued warrants to purchase 161,958 shares of the Company's Series E Preferred Stock at an exercise price of $6.17 per share with an aggregate fair value at issuance of $0.7 million.</w:t>
      </w:r>
    </w:p>
    <w:p>
      <w:pPr>
        <w:spacing w:after="0" w:line="130"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In November 2012, the Company repaid all outstanding amounts owed to Horizon in anticipation of proceeds from a loan and security agreement with Hercules, as discussed above. The facility with Horizon was terminated concurrently with the repayment of the loans outstanding thereunder.</w:t>
      </w:r>
    </w:p>
    <w:p>
      <w:pPr>
        <w:spacing w:after="0" w:line="120" w:lineRule="exact"/>
        <w:rPr>
          <w:sz w:val="20"/>
          <w:szCs w:val="20"/>
          <w:color w:val="auto"/>
        </w:rPr>
      </w:pPr>
    </w:p>
    <w:p>
      <w:pPr>
        <w:ind w:right="60" w:firstLine="446"/>
        <w:spacing w:after="0" w:line="266" w:lineRule="auto"/>
        <w:rPr>
          <w:sz w:val="20"/>
          <w:szCs w:val="20"/>
          <w:color w:val="auto"/>
        </w:rPr>
      </w:pPr>
      <w:r>
        <w:rPr>
          <w:rFonts w:ascii="Arial" w:cs="Arial" w:eastAsia="Arial" w:hAnsi="Arial"/>
          <w:sz w:val="18"/>
          <w:szCs w:val="18"/>
          <w:b w:val="1"/>
          <w:bCs w:val="1"/>
          <w:color w:val="auto"/>
        </w:rPr>
        <w:t>Bridge Bank, N.A. and Comerica Bank</w:t>
      </w:r>
      <w:r>
        <w:rPr>
          <w:rFonts w:ascii="Arial" w:cs="Arial" w:eastAsia="Arial" w:hAnsi="Arial"/>
          <w:sz w:val="18"/>
          <w:szCs w:val="18"/>
          <w:color w:val="auto"/>
        </w:rPr>
        <w:t>—As of December 31, 2011, the Company had a $33.0 million revolving line of credit facility with Bridge</w:t>
      </w:r>
      <w:r>
        <w:rPr>
          <w:rFonts w:ascii="Arial" w:cs="Arial" w:eastAsia="Arial" w:hAnsi="Arial"/>
          <w:sz w:val="18"/>
          <w:szCs w:val="18"/>
          <w:b w:val="1"/>
          <w:bCs w:val="1"/>
          <w:color w:val="auto"/>
        </w:rPr>
        <w:t xml:space="preserve"> </w:t>
      </w:r>
      <w:r>
        <w:rPr>
          <w:rFonts w:ascii="Arial" w:cs="Arial" w:eastAsia="Arial" w:hAnsi="Arial"/>
          <w:sz w:val="18"/>
          <w:szCs w:val="18"/>
          <w:color w:val="auto"/>
        </w:rPr>
        <w:t>Bank, N.A. and Comerica Bank under which there was no outstanding balance. In November 2012, the Company terminated this facility and replaced it with a $50.0 million revolving credit facility with Wells Fargo, as discussed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FACILITY</w:t>
      </w:r>
    </w:p>
    <w:p>
      <w:pPr>
        <w:spacing w:after="0" w:line="17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b w:val="1"/>
          <w:bCs w:val="1"/>
          <w:color w:val="auto"/>
        </w:rPr>
        <w:t>Convertible Facility</w:t>
      </w:r>
      <w:r>
        <w:rPr>
          <w:rFonts w:ascii="Arial" w:cs="Arial" w:eastAsia="Arial" w:hAnsi="Arial"/>
          <w:sz w:val="18"/>
          <w:szCs w:val="18"/>
          <w:color w:val="auto"/>
        </w:rPr>
        <w:t>—In 2011, the Company entered into a junior secured convertible loan facility, or Convertible Facility, with certain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stockholders that provided for up to $80.0 million in borrowings. Pursuant to the facility, the Company issued $20.0 million in convertible notes, which provided the note holders the right to convert, at their election, all principal and accrued interest into shares of the Company’s common stock at a conversion price of $8.8984 per share. In addition, the Company issued to the note holders (i) 352,665 shares of common stock at $5.27 per share, and (ii) warrants to purchase 131,516 shares of the Company’s common stock at $5.27 per share that were immediately exercisable and have a contractual term of five years from the date of issuance. The Company recorded $3.1 million in debt discounts and debt issuance costs related to the transactions at the respective issuance dates.</w:t>
      </w:r>
    </w:p>
    <w:p>
      <w:pPr>
        <w:spacing w:after="0" w:line="58" w:lineRule="exact"/>
        <w:rPr>
          <w:sz w:val="20"/>
          <w:szCs w:val="20"/>
          <w:color w:val="auto"/>
        </w:rPr>
      </w:pPr>
    </w:p>
    <w:p>
      <w:pPr>
        <w:ind w:right="240" w:firstLine="446"/>
        <w:spacing w:after="0" w:line="255" w:lineRule="auto"/>
        <w:rPr>
          <w:sz w:val="20"/>
          <w:szCs w:val="20"/>
          <w:color w:val="auto"/>
        </w:rPr>
      </w:pPr>
      <w:r>
        <w:rPr>
          <w:rFonts w:ascii="Arial" w:cs="Arial" w:eastAsia="Arial" w:hAnsi="Arial"/>
          <w:sz w:val="18"/>
          <w:szCs w:val="18"/>
          <w:color w:val="auto"/>
        </w:rPr>
        <w:t>On March 27, 2012, the Convertible Facility was amended to provide for the automatic conversion of the principal and accrued paid-in-kind interest into common stock upon consummation of an IPO at a conversion price equal to the lesser of $8.8984 or the IPO price. On April 4, 2012, the convertible notes and accrued paid-in-kind interest automatically converted into 3,533,988 shares of common stock, based upon the IPO price of $6.00 per share. As a result of the conversion, the Company recorded a charge of $2.8 million to interest expense during the nine months ended September 30, 2012 for the extinguishment of debt relative to the unamortized debt issuance costs and debt discounts. Pursuant to its terms, the Convertible Facility terminated upon consummation of the IPO on April 4,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31"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17"/>
          <w:szCs w:val="17"/>
          <w:color w:val="auto"/>
        </w:rPr>
        <w:t>—The Company leases office facilities under noncancelable operating leases that expire on various dates through 2022. The terms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lease agreements generally provide for rental payments on a graduated basis, and certain leases require the Company to pay its portion of executory costs such as taxes, insurance, and operating expenses. The Company recognizes rent expense on a straight-line basis over the lease term.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2012, 2011 and 2010 was $2.4 million, $1.2 million and $0.6 million, respectively.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2" w:right="27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The Company’s minimum lease payments under noncancelable operating leases, exclusive of executory costs, as of December 31, 2012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1,766</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7,361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16,194</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an agreement to lease approximately 96,000 square feet of office space for its corporate headquarters, which expires in April 2022.</w:t>
      </w:r>
    </w:p>
    <w:p>
      <w:pPr>
        <w:spacing w:after="0" w:line="190" w:lineRule="exact"/>
        <w:rPr>
          <w:sz w:val="20"/>
          <w:szCs w:val="20"/>
          <w:color w:val="auto"/>
        </w:rPr>
      </w:pPr>
    </w:p>
    <w:p>
      <w:pPr>
        <w:jc w:val="both"/>
        <w:ind w:right="280" w:firstLine="446"/>
        <w:spacing w:after="0" w:line="266" w:lineRule="auto"/>
        <w:rPr>
          <w:sz w:val="20"/>
          <w:szCs w:val="20"/>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contractual obligations to purchase goods and services, which specify fixed or minimum quantities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fixed, minimum, or variable price provisions; and the approximate timing of the transaction. Purchase obligations do not include contracts that may be canceled without penalty.</w:t>
      </w:r>
    </w:p>
    <w:p>
      <w:pPr>
        <w:spacing w:after="0" w:line="126"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The Company utilizes third parties to manufacture its products. As of December 31, 2012, the Company had purchase obligations with third party manufacturers and suppliers totaling approximately $115.6 million. Certain agreements specify future quantities and pricing of products to be supplied by the Company's contract manufacturers for periods up to seven years. Of the $115.6 million included in purchase obligations, $98.6 million are cancelable; however if canceled, the agreement requires the Company to pay cancellation penalties of up to $5.4 million.</w:t>
      </w:r>
    </w:p>
    <w:p>
      <w:pPr>
        <w:spacing w:after="0" w:line="113" w:lineRule="exact"/>
        <w:rPr>
          <w:sz w:val="20"/>
          <w:szCs w:val="20"/>
          <w:color w:val="auto"/>
        </w:rPr>
      </w:pPr>
    </w:p>
    <w:p>
      <w:pPr>
        <w:ind w:right="200" w:firstLine="446"/>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—From time to time, the Company may be involved in litigation relating to claims arising out of its operations. The Company is not</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180" w:lineRule="exact"/>
        <w:rPr>
          <w:sz w:val="20"/>
          <w:szCs w:val="20"/>
          <w:color w:val="auto"/>
        </w:rPr>
      </w:pPr>
    </w:p>
    <w:p>
      <w:pPr>
        <w:ind w:left="440" w:right="7320" w:hanging="432"/>
        <w:spacing w:after="0" w:line="440" w:lineRule="auto"/>
        <w:tabs>
          <w:tab w:leader="none" w:pos="27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AND WARRANTS </w:t>
      </w:r>
      <w:r>
        <w:rPr>
          <w:rFonts w:ascii="Arial" w:cs="Arial" w:eastAsia="Arial" w:hAnsi="Arial"/>
          <w:sz w:val="18"/>
          <w:szCs w:val="18"/>
          <w:b w:val="1"/>
          <w:bCs w:val="1"/>
          <w:i w:val="1"/>
          <w:iCs w:val="1"/>
          <w:color w:val="auto"/>
        </w:rPr>
        <w:t>Convertible Preferred Stock</w:t>
      </w:r>
    </w:p>
    <w:p>
      <w:pPr>
        <w:spacing w:after="0" w:line="1" w:lineRule="exact"/>
        <w:rPr>
          <w:sz w:val="20"/>
          <w:szCs w:val="20"/>
          <w:color w:val="auto"/>
        </w:rPr>
      </w:pPr>
    </w:p>
    <w:p>
      <w:pPr>
        <w:ind w:right="940" w:firstLine="446"/>
        <w:spacing w:after="0" w:line="277" w:lineRule="auto"/>
        <w:rPr>
          <w:sz w:val="20"/>
          <w:szCs w:val="20"/>
          <w:color w:val="auto"/>
        </w:rPr>
      </w:pPr>
      <w:r>
        <w:rPr>
          <w:rFonts w:ascii="Arial" w:cs="Arial" w:eastAsia="Arial" w:hAnsi="Arial"/>
          <w:sz w:val="18"/>
          <w:szCs w:val="18"/>
          <w:color w:val="auto"/>
        </w:rPr>
        <w:t>In connection with the Company's initial public offering in April 2012, all 22.2 million shares of its convertible preferred stock outstanding automatically converted into 25.2 million shares of common stock.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 Transactions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Warrants to Purchase Convertible Preferred Stock</w:t>
      </w:r>
    </w:p>
    <w:p>
      <w:pPr>
        <w:spacing w:after="0" w:line="171" w:lineRule="exact"/>
        <w:rPr>
          <w:sz w:val="20"/>
          <w:szCs w:val="20"/>
          <w:color w:val="auto"/>
        </w:rPr>
      </w:pPr>
    </w:p>
    <w:p>
      <w:pPr>
        <w:ind w:right="220" w:firstLine="446"/>
        <w:spacing w:after="0" w:line="286" w:lineRule="auto"/>
        <w:rPr>
          <w:sz w:val="20"/>
          <w:szCs w:val="20"/>
          <w:color w:val="auto"/>
        </w:rPr>
      </w:pPr>
      <w:r>
        <w:rPr>
          <w:rFonts w:ascii="Arial" w:cs="Arial" w:eastAsia="Arial" w:hAnsi="Arial"/>
          <w:sz w:val="17"/>
          <w:szCs w:val="17"/>
          <w:color w:val="auto"/>
        </w:rPr>
        <w:t>Prior to its initial public offering, the Company issued warrants to purchase its Series E convertible preferred stock as part of several financing transactions. These warrants became warrants to purchase common stock upon the completion of the initial public offering. The Company recorded the fair value of the convertible preferred stock warrants at the time of grant using the Monte Carlo simulation model with the following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500" w:type="dxa"/>
            <w:vAlign w:val="bottom"/>
          </w:tcPr>
          <w:p>
            <w:pPr>
              <w:ind w:left="540"/>
              <w:spacing w:after="0"/>
              <w:rPr>
                <w:sz w:val="20"/>
                <w:szCs w:val="20"/>
                <w:color w:val="auto"/>
              </w:rPr>
            </w:pPr>
            <w:r>
              <w:rPr>
                <w:rFonts w:ascii="Arial" w:cs="Arial" w:eastAsia="Arial" w:hAnsi="Arial"/>
                <w:sz w:val="18"/>
                <w:szCs w:val="18"/>
                <w:b w:val="1"/>
                <w:bCs w:val="1"/>
                <w:color w:val="auto"/>
              </w:rPr>
              <w:t>On Date of Issuance</w:t>
            </w:r>
          </w:p>
        </w:tc>
      </w:tr>
      <w:tr>
        <w:trPr>
          <w:trHeight w:val="27"/>
        </w:trPr>
        <w:tc>
          <w:tcPr>
            <w:tcW w:w="392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50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4.5—6.0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5000" w:type="dxa"/>
            <w:vAlign w:val="bottom"/>
          </w:tcPr>
          <w:p>
            <w:pPr>
              <w:spacing w:after="0"/>
              <w:rPr>
                <w:sz w:val="21"/>
                <w:szCs w:val="21"/>
                <w:color w:val="auto"/>
              </w:rPr>
            </w:pPr>
          </w:p>
        </w:tc>
        <w:tc>
          <w:tcPr>
            <w:tcW w:w="2500" w:type="dxa"/>
            <w:vAlign w:val="bottom"/>
          </w:tcPr>
          <w:p>
            <w:pPr>
              <w:jc w:val="center"/>
              <w:ind w:left="30"/>
              <w:spacing w:after="0"/>
              <w:rPr>
                <w:sz w:val="20"/>
                <w:szCs w:val="20"/>
                <w:color w:val="auto"/>
              </w:rPr>
            </w:pPr>
            <w:r>
              <w:rPr>
                <w:rFonts w:ascii="Arial" w:cs="Arial" w:eastAsia="Arial" w:hAnsi="Arial"/>
                <w:sz w:val="18"/>
                <w:szCs w:val="18"/>
                <w:color w:val="auto"/>
                <w:w w:val="91"/>
              </w:rPr>
              <w:t>60.5%—73.0%</w:t>
            </w:r>
          </w:p>
        </w:tc>
      </w:tr>
      <w:tr>
        <w:trPr>
          <w:trHeight w:val="27"/>
        </w:trPr>
        <w:tc>
          <w:tcPr>
            <w:tcW w:w="39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50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3"/>
              </w:rPr>
              <w:t>1.5%—2.7%</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7500" w:type="dxa"/>
            <w:vAlign w:val="bottom"/>
            <w:gridSpan w:val="2"/>
          </w:tcPr>
          <w:p>
            <w:pPr>
              <w:jc w:val="center"/>
              <w:ind w:left="5050"/>
              <w:spacing w:after="0"/>
              <w:rPr>
                <w:sz w:val="20"/>
                <w:szCs w:val="20"/>
                <w:color w:val="auto"/>
              </w:rPr>
            </w:pPr>
            <w:r>
              <w:rPr>
                <w:rFonts w:ascii="Arial" w:cs="Arial" w:eastAsia="Arial" w:hAnsi="Arial"/>
                <w:sz w:val="18"/>
                <w:szCs w:val="18"/>
                <w:color w:val="auto"/>
                <w:w w:val="92"/>
              </w:rPr>
              <w:t>0%</w:t>
            </w:r>
          </w:p>
        </w:tc>
      </w:tr>
      <w:tr>
        <w:trPr>
          <w:trHeight w:val="648"/>
        </w:trPr>
        <w:tc>
          <w:tcPr>
            <w:tcW w:w="3920" w:type="dxa"/>
            <w:vAlign w:val="bottom"/>
          </w:tcPr>
          <w:p>
            <w:pPr>
              <w:spacing w:after="0"/>
              <w:rPr>
                <w:sz w:val="24"/>
                <w:szCs w:val="24"/>
                <w:color w:val="auto"/>
              </w:rPr>
            </w:pPr>
          </w:p>
        </w:tc>
        <w:tc>
          <w:tcPr>
            <w:tcW w:w="5000" w:type="dxa"/>
            <w:vAlign w:val="bottom"/>
          </w:tcPr>
          <w:p>
            <w:pPr>
              <w:jc w:val="right"/>
              <w:ind w:right="3030"/>
              <w:spacing w:after="0"/>
              <w:rPr>
                <w:sz w:val="20"/>
                <w:szCs w:val="20"/>
                <w:color w:val="auto"/>
              </w:rPr>
            </w:pPr>
            <w:r>
              <w:rPr>
                <w:rFonts w:ascii="Arial" w:cs="Arial" w:eastAsia="Arial" w:hAnsi="Arial"/>
                <w:sz w:val="18"/>
                <w:szCs w:val="18"/>
                <w:color w:val="auto"/>
              </w:rPr>
              <w:t>56</w:t>
            </w:r>
          </w:p>
        </w:tc>
        <w:tc>
          <w:tcPr>
            <w:tcW w:w="25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80" w:firstLine="446"/>
        <w:spacing w:after="0" w:line="342" w:lineRule="auto"/>
        <w:rPr>
          <w:sz w:val="20"/>
          <w:szCs w:val="20"/>
          <w:color w:val="auto"/>
        </w:rPr>
      </w:pPr>
      <w:r>
        <w:rPr>
          <w:rFonts w:ascii="Arial" w:cs="Arial" w:eastAsia="Arial" w:hAnsi="Arial"/>
          <w:sz w:val="16"/>
          <w:szCs w:val="16"/>
          <w:color w:val="auto"/>
        </w:rPr>
        <w:t>The following table summarizes the changes in fair value of the convertible preferred stock warrant liability, which was subject to fair value measurement on a recurring basis while outstanding, using significant unobservable inputs (Level 3), for the years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2010</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Issuance of warrant to purchase 48,587 shares of Series E convertible preferred stock at $6.174 per share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warrant to purchase 25,285 shares of Series E convertible preferred stock at $8.8984 per share</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adjustments recognized in other (income) expense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adjustments recognized in other (income) expense</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of preferred stock warrant liability to APIC upon IPO</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As of December 31, 2012, warrants to purchase 330,974 shares of the Company's common stock were outstanding with exercise prices ranging from $5.27—$6.17. Such warrants are exercisable and will expire on various dates from 2016 through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67"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b w:val="1"/>
          <w:bCs w:val="1"/>
          <w:color w:val="auto"/>
        </w:rPr>
        <w:t>2006 Plan</w:t>
      </w:r>
      <w:r>
        <w:rPr>
          <w:rFonts w:ascii="Arial" w:cs="Arial" w:eastAsia="Arial" w:hAnsi="Arial"/>
          <w:sz w:val="16"/>
          <w:szCs w:val="16"/>
          <w:color w:val="auto"/>
        </w:rPr>
        <w:t>—Prior to the adoption and effectiveness of the 2011 Equity Incentive Plan (the “2011 Plan”), as discussed below, certain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directors and non-employees were granted options to purchase shares of common stock and stock purchase rights under the Company's 2006 Equity Incentive Plan (the “2006 Plan”). Equity awards granted under the 2006 Plan generally vest over a four-year period from the date of grant with a contractual term of up to 10 years. Common shares purchased under the 2006 Plan were subject to certain restrictions, including the right of first refusal by the Company for sale or transfer of these shares to outside parties. The Company's right of first refusal terminated upon completion of the IPO (see Note 1). As of December 31, 2012 and 2011, there were 6.4 million and 6.3 million shares of common stock outstanding under the 2006 Plan, respectively. Upon the effectiveness of the 2011 Plan on March 29, 2012, which replaces the 2006 Plan, no further stock options or other stock awards may be granted under the 2006 Plan. All outstanding stock options and other equity awards previously granted under the 2006 Plan remain subject to the terms of the 2006 Plan.</w:t>
      </w:r>
    </w:p>
    <w:p>
      <w:pPr>
        <w:spacing w:after="0" w:line="106"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b w:val="1"/>
          <w:bCs w:val="1"/>
          <w:color w:val="auto"/>
        </w:rPr>
        <w:t>2011 Plan</w:t>
      </w:r>
      <w:r>
        <w:rPr>
          <w:rFonts w:ascii="Arial" w:cs="Arial" w:eastAsia="Arial" w:hAnsi="Arial"/>
          <w:sz w:val="16"/>
          <w:szCs w:val="16"/>
          <w:color w:val="auto"/>
        </w:rPr>
        <w:t>—Under the 2011 Plan, the Company may, initially, issue up to 2,643,171 shares of its common stock pursuant to stock options,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rights, restricted stock awards, restricted stock unit awards, performance-based stock awards, and other forms of equity compensation, or collectively, stock awards, all of which may be granted to employees, including officers, and to non-employee directors and consultants. The Company utilizes stock options as its primary vehicle for equity compensation. Options granted under the 2011 Plan before August 1, 2012 generally expire 10 years after the grant date and options granted thereafter generally expire 7 years after the grant date. Equity awards granted under the 2011 Plan generally vest over a four-year period from the date of grant based on continued employment. The number of shares of the Company's common stock reserved for issuance under the 2011 Plan will automatically increase, on each January 1, by 4.5% of the total number of shares of the Company's common stock outstanding on December 31 of the preceding calendar year, or such lesser number of shares of common stock as determined by the board of directors. As of December 31, 2012, there were 320,855 shares of common stock available for issuance pursuant to future grants under the 2011 Plan.</w:t>
      </w:r>
    </w:p>
    <w:p>
      <w:pPr>
        <w:spacing w:after="0" w:line="106"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b w:val="1"/>
          <w:bCs w:val="1"/>
          <w:color w:val="auto"/>
        </w:rPr>
        <w:t>2011 Employee Stock Purchase Plan</w:t>
      </w:r>
      <w:r>
        <w:rPr>
          <w:rFonts w:ascii="Arial" w:cs="Arial" w:eastAsia="Arial" w:hAnsi="Arial"/>
          <w:sz w:val="18"/>
          <w:szCs w:val="18"/>
          <w:color w:val="auto"/>
        </w:rPr>
        <w:t>—In 2011, the board of directors adopted the 2011 Employee Stock Purchase Plan (“ESPP”) which became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immediately upon the execution and delivery of the underwriting agreement for the Company’s IPO on March 29, 2012. The ESPP initially authorizes the issuance of 669,603 shares of the Company's common stock pursuant to purchase rights granted to employees. The number of shares of common stock reserved for issuance will automatically increase, on each January 1, by 330,396 shares of the Company's common stock or a lesser number of shares of common stock as determined by the Company's board of directors. The ESPP is administered by the board of directors, who has delegated its authority to administer the ESPP to the compensation committee.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firstLine="446"/>
        <w:spacing w:after="0" w:line="342" w:lineRule="auto"/>
        <w:rPr>
          <w:sz w:val="20"/>
          <w:szCs w:val="20"/>
          <w:color w:val="auto"/>
        </w:rPr>
      </w:pPr>
      <w:r>
        <w:rPr>
          <w:rFonts w:ascii="Arial" w:cs="Arial" w:eastAsia="Arial" w:hAnsi="Arial"/>
          <w:sz w:val="16"/>
          <w:szCs w:val="16"/>
          <w:color w:val="auto"/>
        </w:rPr>
        <w:t>The ESPP is implemented by concurrent offering periods, the duration of which may not exceed 27 months. An offering period may contain up to four interim purchase periods. In general, offering periods consists of the 24 months periods commencing on each May 1 and November 1 of a calendar year.</w:t>
      </w:r>
    </w:p>
    <w:p>
      <w:pPr>
        <w:spacing w:after="0" w:line="7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Generally, all full 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 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125"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board of directors may terminate or amend the ESPP, subject to stockholder approval in some circumstances. Unless terminated earlier by the board of directors, the ESPP has a term of 10 years.</w:t>
      </w:r>
    </w:p>
    <w:p>
      <w:pPr>
        <w:spacing w:after="0" w:line="116"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The first offering period began on March 29, 2012 and has a duration of 25 months consisting of four purchase periods. For the first purchase period only, eligible participants were permitted to remit catch-up amounts (up to a maximum aggregate withholding of 15 percent of their earnings during the first purchase period) to the Company at any time through October 15, 2012. As such, the grant date was determined to be October 15, 2012 and compensation expense related to ESPP of $247,000 was recorded in the fourth quarter of 2012.</w:t>
      </w:r>
    </w:p>
    <w:p>
      <w:pPr>
        <w:spacing w:after="0" w:line="133"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As of December 31, 2012, there were 610,290 shares of the Company's common stock pursuant to purchase rights granted to employees available for issuance under the ESPP.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stock option activity for 2010, 2011 and 2012 is as follows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2009</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3,595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93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43"/>
        </w:trPr>
        <w:tc>
          <w:tcPr>
            <w:tcW w:w="930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5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2010</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43"/>
        </w:trPr>
        <w:tc>
          <w:tcPr>
            <w:tcW w:w="93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930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2011</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6,256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93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930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 December 31, 2012</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8,169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58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at December 31, 2012:</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Outstanding</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3"/>
                <w:szCs w:val="13"/>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$0.27–$0.27</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2,543</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35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0.54–0.91</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312</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1.63–1.63</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1,783</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5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2.00–5.11</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1,153</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5.23–8.43</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1,620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352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8.82–10.35</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575</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11.00–11.00</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183</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57"/>
        </w:trPr>
        <w:tc>
          <w:tcPr>
            <w:tcW w:w="35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8,169</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7"/>
              </w:rPr>
              <w:t>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The intrinsic value of options exercised during 2012 was $0.3 million. As of December 31, 2012, there were 7.9 million options outstanding that were vested, exercisable and expected to vest. Such options have a weighted-average exercise price of $3.19 and a weighted-average remaining contractual term of 7.2 years. As of December 31, 2012, the aggregate intrinsic value was $11.5 million for the 4.7 million exercisable shares. The intrinsic value is based on the Company’s common stock fair value of $3.65 per share as of December 31,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activity for the year ended December 31, 2012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intrinsic value of restricted stock units vested during 2012 was $39,000. As of December 31, 2012, the restricted stock units outstanding had a weighted average remaining contractual term of 1.7 years with an intrinsic value of $0.9 million.</w:t>
      </w:r>
    </w:p>
    <w:p>
      <w:pPr>
        <w:spacing w:after="0" w:line="116"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consolidated statement of operations for the periods presented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52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1,728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1,588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52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4,766</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59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stock-based compensation associated with each type of award: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4,519</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ESPP</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4,766</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239"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fair value of each option granted during the periods presented was estimated on the date of grant using the Black-Scholes option-pricing model with the following weighted-average assumptions: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2010</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on grant date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6"/>
              </w:rPr>
              <w:t>4.69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1.73</w:t>
            </w:r>
          </w:p>
        </w:tc>
      </w:tr>
      <w:tr>
        <w:trPr>
          <w:trHeight w:val="27"/>
        </w:trPr>
        <w:tc>
          <w:tcPr>
            <w:tcW w:w="6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20" w:firstLine="446"/>
        <w:spacing w:after="0" w:line="308" w:lineRule="auto"/>
        <w:rPr>
          <w:sz w:val="20"/>
          <w:szCs w:val="20"/>
          <w:color w:val="auto"/>
        </w:rPr>
      </w:pPr>
      <w:r>
        <w:rPr>
          <w:rFonts w:ascii="Arial" w:cs="Arial" w:eastAsia="Arial" w:hAnsi="Arial"/>
          <w:sz w:val="17"/>
          <w:szCs w:val="17"/>
          <w:color w:val="auto"/>
        </w:rPr>
        <w:t>As of December 31, 2012, there was approximately $12.9 million of total unrecognized compensation cost related to unvested stock options, restricted stock units and ESPP, net of expected forfeitures, which is expected to be recognized over a weighted-average period of 3.0 years.</w:t>
      </w:r>
    </w:p>
    <w:p>
      <w:pPr>
        <w:spacing w:after="0" w:line="93"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No income tax benefit has been recognized relating to stock-based compensation expense and no tax benefits have been realized from exercised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provision for income taxes of $0.7 million has been recognized for 2012 related to the Company's foreign operations.</w:t>
      </w:r>
    </w:p>
    <w:p>
      <w:pPr>
        <w:spacing w:after="0" w:line="171"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 reconciliation of total income tax expense and the amount computed by applying the federal statutory income tax rate of 34% to loss before income taxes for 2012, 2011 and 2010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statutory rate</w:t>
            </w:r>
          </w:p>
        </w:tc>
        <w:tc>
          <w:tcPr>
            <w:tcW w:w="29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2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nondeductible/nontaxable items</w:t>
            </w:r>
          </w:p>
        </w:tc>
        <w:tc>
          <w:tcPr>
            <w:tcW w:w="2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25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5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40" w:type="dxa"/>
            <w:vAlign w:val="bottom"/>
            <w:vMerge w:val="restart"/>
          </w:tcPr>
          <w:p>
            <w:pPr>
              <w:jc w:val="right"/>
              <w:ind w:right="850"/>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8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2012 and 2011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Reserves and allowances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11,523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Current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14,364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15,653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 and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(22,193)</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non-current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60" w:firstLine="446"/>
        <w:spacing w:after="0" w:line="342" w:lineRule="auto"/>
        <w:rPr>
          <w:sz w:val="20"/>
          <w:szCs w:val="20"/>
          <w:color w:val="auto"/>
        </w:rPr>
      </w:pPr>
      <w:r>
        <w:rPr>
          <w:rFonts w:ascii="Arial" w:cs="Arial" w:eastAsia="Arial" w:hAnsi="Arial"/>
          <w:sz w:val="16"/>
          <w:szCs w:val="16"/>
          <w:color w:val="auto"/>
        </w:rPr>
        <w:t>Due to the history of losses the Company has generated since inception, the Company believes that it is more-likely-than-not that all of the deferred tax assets will not be realized as of December 31, 2012. Therefore, the Company has recorded a full valuation allowance on its deferred tax assets.</w:t>
      </w:r>
    </w:p>
    <w:p>
      <w:pPr>
        <w:spacing w:after="0" w:line="124" w:lineRule="exact"/>
        <w:rPr>
          <w:sz w:val="20"/>
          <w:szCs w:val="20"/>
          <w:color w:val="auto"/>
        </w:rPr>
      </w:pPr>
    </w:p>
    <w:p>
      <w:pPr>
        <w:ind w:right="160" w:firstLine="446"/>
        <w:spacing w:after="0" w:line="291" w:lineRule="auto"/>
        <w:rPr>
          <w:sz w:val="20"/>
          <w:szCs w:val="20"/>
          <w:color w:val="auto"/>
        </w:rPr>
      </w:pPr>
      <w:r>
        <w:rPr>
          <w:rFonts w:ascii="Arial" w:cs="Arial" w:eastAsia="Arial" w:hAnsi="Arial"/>
          <w:sz w:val="16"/>
          <w:szCs w:val="16"/>
          <w:color w:val="auto"/>
        </w:rPr>
        <w:t>The Company has net operating loss carryforwards for federal and California income tax purposes of approximately $54 million and $49 million, respectively, as of December 31, 2012. The federal and state net operating loss carryforwards, if not utilized, will expire beginning in 2026 and 2016, respectively. Utilization of the net operating loss carryforwards may be subject to a substantial annual limitation due to the ownership change limitations provided by the Internal Revenue Code of 1986, as amended (the "Code"), and similar state provisions. The annual limitation may result in the expiration of net operating losses before utilization. The Company has not completed a study to assess whether an ownership change has occurred or whether there have been multiple ownership changes since the Company became a “loss corporation” under the Code. Due to the existence of the valuation allowance, it is not expected that any possible limitation will have an impact on the results of operations or financial position of the Company.</w:t>
      </w:r>
    </w:p>
    <w:p>
      <w:pPr>
        <w:spacing w:after="0" w:line="167" w:lineRule="exact"/>
        <w:rPr>
          <w:sz w:val="20"/>
          <w:szCs w:val="20"/>
          <w:color w:val="auto"/>
        </w:rPr>
      </w:pPr>
    </w:p>
    <w:p>
      <w:pPr>
        <w:ind w:right="140" w:firstLine="446"/>
        <w:spacing w:after="0" w:line="293" w:lineRule="auto"/>
        <w:rPr>
          <w:sz w:val="20"/>
          <w:szCs w:val="20"/>
          <w:color w:val="auto"/>
        </w:rPr>
      </w:pPr>
      <w:r>
        <w:rPr>
          <w:rFonts w:ascii="Arial" w:cs="Arial" w:eastAsia="Arial" w:hAnsi="Arial"/>
          <w:sz w:val="16"/>
          <w:szCs w:val="16"/>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gross unrecognized tax benefits have increased from $0 at December 31, 2011 to $160,000 at December 31, 2012, due to increases in tax positions for the current year of $110,000 and increases in tax positions for prior year of $50,000. The unrecognized tax benefits of $160,000 at December 31, 2012, if recognized, would reduce our annual effective tax rate. The Company also accrued interest and penalties of $13,000 to unrecognized tax benefits during 2012.</w:t>
      </w:r>
    </w:p>
    <w:p>
      <w:pPr>
        <w:spacing w:after="0" w:line="111"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 The Company records interest related to uncertain tax positions as interest and any penalties as other expense.</w:t>
      </w:r>
    </w:p>
    <w:p>
      <w:pPr>
        <w:spacing w:after="0" w:line="12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 Company’s tax returns continue to remain subject to examination by U.S. federal authorities for the years 2009 through 2012 and by California state authorities for the years 2008 through 2012.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CONCENTRATION OF CREDIT RISK AND MAJOR CUSTOMERS</w:t>
      </w:r>
    </w:p>
    <w:p>
      <w:pPr>
        <w:spacing w:after="0" w:line="175"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The Company is potentially subject to financial instrument concentration of credit risk through its cash equivalents and trade accounts receivables. The Company places its cash and cash equivalents with major financial institutions, which it believes to be of high credit quality, in order to limit the exposure of each investment. Trade accounts receivables can be potentially exposed to a concentration of credit risk with its major customers. As of December 31, 2012, the Company had amounts due from two customers that represented 21% and 16% of the total accounts receivable balance. As of December 31, 2011, its two largest accounts receivable balances represented 24% and 10% of the total accounts receivable balance. In 2012, two customers accounted for 16%, and 11% of total net revenues. In 2011, three customers accounted for 17%, 11% and 10% of total net revenues. In 2010, two customers accounted for 14%, and 11% of total net 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ATTRIBUTABLE TO COMMON STOCKHOLDERS</w:t>
      </w:r>
    </w:p>
    <w:p>
      <w:pPr>
        <w:spacing w:after="0" w:line="256"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27"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Company’s IPO and the automatic conversion of the outstanding convertible preferred stock, the Company had no other participating securities and the two-class method is no longer applicable.</w:t>
      </w:r>
    </w:p>
    <w:p>
      <w:pPr>
        <w:spacing w:after="0" w:line="134" w:lineRule="exact"/>
        <w:rPr>
          <w:sz w:val="20"/>
          <w:szCs w:val="20"/>
          <w:color w:val="auto"/>
        </w:rPr>
      </w:pPr>
    </w:p>
    <w:p>
      <w:pPr>
        <w:jc w:val="both"/>
        <w:ind w:right="320" w:firstLine="446"/>
        <w:spacing w:after="0" w:line="264" w:lineRule="auto"/>
        <w:rPr>
          <w:sz w:val="20"/>
          <w:szCs w:val="20"/>
          <w:color w:val="auto"/>
        </w:rPr>
      </w:pPr>
      <w:r>
        <w:rPr>
          <w:rFonts w:ascii="Arial" w:cs="Arial" w:eastAsia="Arial" w:hAnsi="Arial"/>
          <w:sz w:val="18"/>
          <w:szCs w:val="18"/>
          <w:color w:val="auto"/>
        </w:rPr>
        <w:t>Basic net loss per share attributable to common stockholders is calculated by dividing net loss attributable to common stockholders by the weighted average number of shares outstanding for the period. The disproportional change in loss per share in 2012 is attributed to the automatic conversion of our convertible preferred stock and convertible notes into 28.7 million shares of its common stock upon IPO.</w:t>
      </w:r>
    </w:p>
    <w:p>
      <w:pPr>
        <w:spacing w:after="0" w:line="127"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and non-vested restricted stock units.</w:t>
      </w:r>
    </w:p>
    <w:p>
      <w:pPr>
        <w:spacing w:after="0" w:line="13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periods presented because including them would have been anti-dilutive (in thousands):</w:t>
      </w:r>
    </w:p>
    <w:p>
      <w:pPr>
        <w:spacing w:after="0" w:line="200" w:lineRule="exact"/>
        <w:rPr>
          <w:sz w:val="20"/>
          <w:szCs w:val="20"/>
          <w:color w:val="auto"/>
        </w:rPr>
      </w:pPr>
    </w:p>
    <w:p>
      <w:pPr>
        <w:spacing w:after="0" w:line="300"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25,171</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Stock options to purchase common stock</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8,169</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5,802</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Shares issuable pursuant to ESPP</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gridSpan w:val="2"/>
          </w:tcPr>
          <w:p>
            <w:pPr>
              <w:ind w:left="40"/>
              <w:spacing w:after="0"/>
              <w:rPr>
                <w:sz w:val="20"/>
                <w:szCs w:val="20"/>
                <w:color w:val="auto"/>
              </w:rPr>
            </w:pPr>
            <w:r>
              <w:rPr>
                <w:rFonts w:ascii="Arial" w:cs="Arial" w:eastAsia="Arial" w:hAnsi="Arial"/>
                <w:sz w:val="18"/>
                <w:szCs w:val="18"/>
                <w:color w:val="auto"/>
              </w:rPr>
              <w:t>Common stock warrants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warrants</w:t>
            </w:r>
          </w:p>
        </w:tc>
        <w:tc>
          <w:tcPr>
            <w:tcW w:w="9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8,753</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34,113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31,125</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175" w:lineRule="exact"/>
        <w:rPr>
          <w:sz w:val="20"/>
          <w:szCs w:val="20"/>
          <w:color w:val="auto"/>
        </w:rPr>
      </w:pPr>
    </w:p>
    <w:p>
      <w:pPr>
        <w:ind w:right="180" w:firstLine="446"/>
        <w:spacing w:after="0" w:line="264" w:lineRule="auto"/>
        <w:rPr>
          <w:sz w:val="20"/>
          <w:szCs w:val="20"/>
          <w:color w:val="auto"/>
        </w:rPr>
      </w:pPr>
      <w:r>
        <w:rPr>
          <w:rFonts w:ascii="Arial" w:cs="Arial" w:eastAsia="Arial" w:hAnsi="Arial"/>
          <w:sz w:val="18"/>
          <w:szCs w:val="18"/>
          <w:color w:val="auto"/>
        </w:rPr>
        <w:t>The Company considers operating segments to be components of its entity in which separate financial information is available that is evaluated regularly by its chief operating decision maker in deciding how to allocate resources and in assessing performance. The Company's chief operating decision maker is the Chief Executive Officer. The Chief Executive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Officer reviews financial information presented on a consolidated basis. The Company has one business activity, which entails the design, development, manufacture and sale of microinverter systems for the solar photovoltaic industry. There are no segment managers who are held accountable for operations, operating results or plans for levels or components below the consolidated unit level. Accordingly, management has determined that the Company has a single reporting segment and operating unit structure.</w:t>
      </w:r>
    </w:p>
    <w:p>
      <w:pPr>
        <w:spacing w:after="0" w:line="133"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The following tables present net revenues (based on the destination of the shipments) and long-lived assets by geographic region as of and for the periods presented (in thousands):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189,711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26,967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8,278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216,678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149,523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61,661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2011 and 2010, Canada accounted for approximately 12% and 13% of our net revenues,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China</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710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25,541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18,411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6,103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ind w:right="280" w:firstLine="446"/>
        <w:spacing w:after="0" w:line="308" w:lineRule="auto"/>
        <w:rPr>
          <w:sz w:val="20"/>
          <w:szCs w:val="20"/>
          <w:color w:val="auto"/>
        </w:rPr>
      </w:pPr>
      <w:r>
        <w:rPr>
          <w:rFonts w:ascii="Arial" w:cs="Arial" w:eastAsia="Arial" w:hAnsi="Arial"/>
          <w:sz w:val="17"/>
          <w:szCs w:val="17"/>
          <w:color w:val="auto"/>
        </w:rPr>
        <w:t>The Company recognized revenues of $16.8 million and $6.4 million in 2012 and 2011, respectively, from sales of microinverters to entities that are majority-owned by KPCB Holdings, Inc., as nominee (“KPCB”), a related party which has a significant ownership interest in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Quarterly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40"/>
              <w:spacing w:after="0"/>
              <w:rPr>
                <w:sz w:val="20"/>
                <w:szCs w:val="20"/>
                <w:color w:val="auto"/>
              </w:rPr>
            </w:pPr>
            <w:r>
              <w:rPr>
                <w:rFonts w:ascii="Arial" w:cs="Arial" w:eastAsia="Arial" w:hAnsi="Arial"/>
                <w:sz w:val="14"/>
                <w:szCs w:val="14"/>
                <w:b w:val="1"/>
                <w:bCs w:val="1"/>
                <w:color w:val="auto"/>
              </w:rPr>
              <w:t>Quarters Ended for Fiscal 2012</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3"/>
        </w:trPr>
        <w:tc>
          <w:tcPr>
            <w:tcW w:w="5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58"/>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2"/>
                <w:szCs w:val="22"/>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1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44,489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41,512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7,525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6,177</w:t>
            </w: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18,587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21,106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22,235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76"/>
        </w:trPr>
        <w:tc>
          <w:tcPr>
            <w:tcW w:w="5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Quarters Ended for Fiscal 2011</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18,069</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29,592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44,728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44,063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13,071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7,180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5,612</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4,109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(5,537)</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December 31, 2012, we have carried out an evaluation under the supervision of, and with the participation of, our management, including our Chief Executive Officer and Chief Financial Officer, of the effectiveness of the design and operation of our disclosure controls and procedures pursuant to Rule 13a-15 under the Securities Exchange Act of 1934, as amended (the "Exchange Act").</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Chief Executive Officer and Chief Financial Officer have concluded that, as of December 31, 2012, our disclosure controls and procedures are effective to ensure that the information required to be disclosed by us in the reports that we file or submit under the Exchange Act is recorded, processed, summarized and reported within the time periods specified in SEC rules and forms, and that information required to be disclosed by us in such reports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registered public accounting firm due to a transition period established by the rules of the SEC for newly public companies. We are an “emerging growth company” as defined in the Jumpstart Our Business Startups Act, or the JOBS Act. After the initial transition period provided for newly public companies, for as long as we remain an “emerging growth company”, we are exempt from the auditor attestation requirement in the assessment of the effectiveness of our internal control over financial reporting through the end of the fiscal year following the fifth anniversary of our IPO, or fiscal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the section entitled “Proposal 1-Election of Directors” in our definitive Proxy Statement for the 2013 Annual Meeting of Stockholders (our “Proxy Statement”), a copy of which will be filed with the Securities and Exchange Commission on or before April 30, 2013.</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“Section 16(a) Beneficial Ownership Reporting Compliance” in our Proxy Statement.</w:t>
      </w:r>
    </w:p>
    <w:p>
      <w:pPr>
        <w:spacing w:after="0" w:line="170"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http://investor.enphase.com/governance.cfm</w:t>
      </w:r>
      <w:r>
        <w:rPr>
          <w:rFonts w:ascii="Arial" w:cs="Arial" w:eastAsia="Arial" w:hAnsi="Arial"/>
          <w:sz w:val="18"/>
          <w:szCs w:val="18"/>
          <w:color w:val="auto"/>
        </w:rPr>
        <w:t>. A copy of our Code of Conduct may also be obtained free of charge by writing to our Assistant Secretary, Enphase Energy, Inc., 1420 N. McDowell Blvd., Petaluma, CA 94954.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contained in the sections entitled “Executive Compensation,” “Director Compensation,” “Compensation Committee Report” and “Compensation Committee Interlocks and Insider Participation” in our Proxy Statement.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“Employee Benefit Plans” in our Proxy Statement.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is incorporated herein by reference from the information contained in the sections entitled “Principal Accountant Fees and Services” and “Pre-Approval Policies and Procedures” in the section entitled “Proposal 2-Ratification of Selection of Independent Registered Public Accounting Firm” in our Proxy Statement.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Item 8, </w:t>
      </w:r>
      <w:r>
        <w:rPr>
          <w:rFonts w:ascii="Arial" w:cs="Arial" w:eastAsia="Arial" w:hAnsi="Arial"/>
          <w:sz w:val="18"/>
          <w:szCs w:val="18"/>
          <w:i w:val="1"/>
          <w:iCs w:val="1"/>
          <w:color w:val="auto"/>
        </w:rPr>
        <w:t>Consolidated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Annual Report on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5, 2013.</w:t>
      </w: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Enphase Energy, Inc.</w:t>
      </w:r>
    </w:p>
    <w:p>
      <w:pPr>
        <w:spacing w:after="0" w:line="337"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tab/>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31750</wp:posOffset>
            </wp:positionV>
            <wp:extent cx="2152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Paul B. Nahi and Kris Sennesael,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5"/>
                <w:szCs w:val="15"/>
                <w:color w:val="auto"/>
              </w:rPr>
            </w:pPr>
          </w:p>
        </w:tc>
        <w:tc>
          <w:tcPr>
            <w:tcW w:w="49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540"/>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PAUL B. NAHI</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 (Principal Executive</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Paul B. Nahi</w:t>
            </w:r>
          </w:p>
        </w:tc>
        <w:tc>
          <w:tcPr>
            <w:tcW w:w="12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Officer)</w:t>
            </w:r>
          </w:p>
        </w:tc>
        <w:tc>
          <w:tcPr>
            <w:tcW w:w="1480" w:type="dxa"/>
            <w:vAlign w:val="bottom"/>
          </w:tcPr>
          <w:p>
            <w:pPr>
              <w:spacing w:after="0"/>
              <w:rPr>
                <w:sz w:val="20"/>
                <w:szCs w:val="20"/>
                <w:color w:val="auto"/>
              </w:rPr>
            </w:pPr>
          </w:p>
        </w:tc>
      </w:tr>
      <w:tr>
        <w:trPr>
          <w:trHeight w:val="41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 SENNESAEL</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w w:val="94"/>
              </w:rPr>
              <w:t>Vice President and Chief Financial Officer (Principal Financial and</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Kris Sennesael</w:t>
            </w:r>
          </w:p>
        </w:tc>
        <w:tc>
          <w:tcPr>
            <w:tcW w:w="12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Accounting Officer)</w:t>
            </w: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6"/>
              </w:rPr>
              <w:t>/s/ RAGHUVEER R. BELUR</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1"/>
              </w:rPr>
              <w:t>Raghuveer R. Belur</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6"/>
              </w:rPr>
              <w:t>/s/ NEAL DEMPSEY</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Neal Dempsey</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STEVEN J. GOMO</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Steven J. Gomo</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7"/>
              </w:rPr>
              <w:t>/s/ BENJAMIN KORTLANG</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3"/>
              </w:rPr>
              <w:t>Benjamin Kortlang</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5"/>
              </w:rPr>
              <w:t>/s/ JAMESON J. MCJUNKIN</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8"/>
              </w:rPr>
              <w:t>Jameson J. McJunkin</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CHONG SUP PARK</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Chong Sup Park</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ROBERT SCHWARTZ</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0"/>
              </w:rPr>
              <w:t>Robert Schwartz</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92"/>
        </w:trPr>
        <w:tc>
          <w:tcPr>
            <w:tcW w:w="4800" w:type="dxa"/>
            <w:vAlign w:val="bottom"/>
          </w:tcPr>
          <w:p>
            <w:pPr>
              <w:jc w:val="center"/>
              <w:spacing w:after="0"/>
              <w:rPr>
                <w:sz w:val="20"/>
                <w:szCs w:val="20"/>
                <w:color w:val="auto"/>
              </w:rPr>
            </w:pPr>
            <w:r>
              <w:rPr>
                <w:rFonts w:ascii="Arial" w:cs="Arial" w:eastAsia="Arial" w:hAnsi="Arial"/>
                <w:sz w:val="18"/>
                <w:szCs w:val="18"/>
                <w:color w:val="auto"/>
                <w:w w:val="96"/>
              </w:rPr>
              <w:t>/s/ STODDARD M. WILSON</w:t>
            </w:r>
          </w:p>
        </w:tc>
        <w:tc>
          <w:tcPr>
            <w:tcW w:w="12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480" w:type="dxa"/>
            <w:vAlign w:val="bottom"/>
          </w:tcPr>
          <w:p>
            <w:pPr>
              <w:ind w:left="220"/>
              <w:spacing w:after="0"/>
              <w:rPr>
                <w:sz w:val="20"/>
                <w:szCs w:val="20"/>
                <w:color w:val="auto"/>
              </w:rPr>
            </w:pPr>
            <w:r>
              <w:rPr>
                <w:rFonts w:ascii="Arial" w:cs="Arial" w:eastAsia="Arial" w:hAnsi="Arial"/>
                <w:sz w:val="18"/>
                <w:szCs w:val="18"/>
                <w:color w:val="auto"/>
              </w:rPr>
              <w:t>March 5, 2013</w:t>
            </w:r>
          </w:p>
        </w:tc>
      </w:tr>
      <w:tr>
        <w:trPr>
          <w:trHeight w:val="27"/>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92"/>
              </w:rPr>
              <w:t>Stoddard M. Wilson</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4800" w:type="dxa"/>
            <w:vAlign w:val="bottom"/>
          </w:tcPr>
          <w:p>
            <w:pPr>
              <w:spacing w:after="0"/>
              <w:rPr>
                <w:sz w:val="24"/>
                <w:szCs w:val="24"/>
                <w:color w:val="auto"/>
              </w:rPr>
            </w:pPr>
          </w:p>
        </w:tc>
        <w:tc>
          <w:tcPr>
            <w:tcW w:w="5040" w:type="dxa"/>
            <w:vAlign w:val="bottom"/>
            <w:gridSpan w:val="2"/>
          </w:tcPr>
          <w:p>
            <w:pPr>
              <w:jc w:val="right"/>
              <w:ind w:right="395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561"/>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404"/>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 thereto,</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dated March 15, 2010, as amended.</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Common Stock Purchase Warrant, between Enphase Energy, Inc. and MS Solar Solutions Corp, dated March 4, 2010.</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6"/>
              </w:rPr>
              <w:t>Warrant to Purchase Stock, between Enphase Energy, Inc. and Compass Horizon Funding Company LLC, dated March 11, 2010.</w:t>
            </w:r>
            <w:r>
              <w:rPr>
                <w:rFonts w:ascii="Arial" w:cs="Arial" w:eastAsia="Arial" w:hAnsi="Arial"/>
                <w:sz w:val="25"/>
                <w:szCs w:val="25"/>
                <w:color w:val="auto"/>
                <w:w w:val="96"/>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7"/>
              </w:rPr>
              <w:t>Warrant to Purchase Stock, between Enphase Energy, Inc. and Horizon Technology Finance Corporation, dated March 25, 2011.</w:t>
            </w:r>
            <w:r>
              <w:rPr>
                <w:rFonts w:ascii="Arial" w:cs="Arial" w:eastAsia="Arial" w:hAnsi="Arial"/>
                <w:sz w:val="25"/>
                <w:szCs w:val="25"/>
                <w:color w:val="auto"/>
                <w:w w:val="97"/>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0"/>
              </w:rPr>
              <w:t>Warrant Agreement to Purchase Stock, between Enphase Energy, Inc. and Hercules Technology Growth Capital, Inc., dated June 13, 2011.</w:t>
            </w:r>
            <w:r>
              <w:rPr>
                <w:rFonts w:ascii="Arial" w:cs="Arial" w:eastAsia="Arial" w:hAnsi="Arial"/>
                <w:sz w:val="25"/>
                <w:szCs w:val="25"/>
                <w:color w:val="auto"/>
                <w:w w:val="90"/>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8"/>
              </w:rPr>
              <w:t>Form of June 2011 Warrant to Purchase Common Stock of Enphase Energy, Inc., pursuant to that certain Amended and Restated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Form of November 2011 Warrant to Purchase Common Stock of Enphase Energy, Inc., pursuant to that certain Amended and Restated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Form of Indemnification Agreement by and between Enphase Energy, Inc. and each of its directors and officers.</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2006 Equity Incentive Plan, as amended, and related documents. </w:t>
            </w:r>
            <w:r>
              <w:rPr>
                <w:rFonts w:ascii="Arial" w:cs="Arial" w:eastAsia="Arial" w:hAnsi="Arial"/>
                <w:sz w:val="25"/>
                <w:szCs w:val="25"/>
                <w:color w:val="auto"/>
                <w:vertAlign w:val="superscript"/>
              </w:rPr>
              <w:t>(4)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2011 Equity Incentive Plan and forms of agreement thereunder.</w:t>
            </w:r>
            <w:r>
              <w:rPr>
                <w:rFonts w:ascii="Arial" w:cs="Arial" w:eastAsia="Arial" w:hAnsi="Arial"/>
                <w:sz w:val="25"/>
                <w:szCs w:val="25"/>
                <w:color w:val="auto"/>
                <w:vertAlign w:val="superscript"/>
              </w:rPr>
              <w:t>(5)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2011 Employee Stock Purchase Plan.</w:t>
            </w:r>
            <w:r>
              <w:rPr>
                <w:rFonts w:ascii="Arial" w:cs="Arial" w:eastAsia="Arial" w:hAnsi="Arial"/>
                <w:sz w:val="25"/>
                <w:szCs w:val="25"/>
                <w:color w:val="auto"/>
                <w:vertAlign w:val="superscript"/>
              </w:rPr>
              <w:t>(6)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Offer Letter by and between Enphase Energy, Inc. and Paul B. Nahi, dated January 1, 2007, as amended.</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Offer Letter by and between Enphase Energy, Inc. and Jeff Loebbaka, dated April 19, 2010. </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9"/>
              </w:rPr>
              <w:t xml:space="preserve">Employment Agreement by and between Enphase Energy, Inc. and Raghuveer R. Belur, dated March 21, 2006, as amended. </w:t>
            </w:r>
            <w:r>
              <w:rPr>
                <w:rFonts w:ascii="Arial" w:cs="Arial" w:eastAsia="Arial" w:hAnsi="Arial"/>
                <w:sz w:val="25"/>
                <w:szCs w:val="25"/>
                <w:color w:val="auto"/>
                <w:w w:val="99"/>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Amended and Restated Venture Loan and Security Agreement by and between Enphase Energy, Inc., Horizon Technology Finance</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Corporation and Horizon Credit I LLC, dated March 25, 2011,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Amended and Restated Loan and Security Agreement by and between Enphase Energy, Inc., Bridge Bank, National Association and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Comerica Bank, dated March 24, 2011,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Loan and Security Agreement by and between Enphase Energy, Inc. and Hercules Technology Growth Capital, Inc., dated June 13, 2011, as</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Waterfront Office Building Full Service Lease by and between Enphase Energy, Inc. and Petaluma Theatre District, LLC, dated February 3,</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2008,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Redwood Business Park NNN Lease by and between Enphase Energy, Inc. and Sequoia Center LLC, dated June 3, 2011 (1400 North</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McDowell Boulevard),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Redwood Business Park NNN Lease by and between Enphase Energy, Inc. and Sequoia Center LLC, dated June 3, 2011 (1420 North</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McDowell Boulevard), as amended. </w:t>
            </w:r>
            <w:r>
              <w:rPr>
                <w:rFonts w:ascii="Arial" w:cs="Arial" w:eastAsia="Arial" w:hAnsi="Arial"/>
                <w:sz w:val="25"/>
                <w:szCs w:val="25"/>
                <w:color w:val="auto"/>
                <w:vertAlign w:val="superscript"/>
              </w:rPr>
              <w:t>(3)</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Cooperation Agreement “AC cabling system for solar micro-inverter” by and among Enphase Energy, Inc., and Phoenix Contact GmbH &amp;</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 KG and Phoenix Contact USA, Inc., dated December 7, 2010.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4"/>
              </w:rPr>
              <w:t xml:space="preserve">Flextronics Logistics Services Agreement by and between Enphase Energy, Inc. and Flextronics America, LLC, dated May 1, 2009. </w:t>
            </w:r>
            <w:r>
              <w:rPr>
                <w:rFonts w:ascii="Arial" w:cs="Arial" w:eastAsia="Arial" w:hAnsi="Arial"/>
                <w:sz w:val="25"/>
                <w:szCs w:val="25"/>
                <w:color w:val="auto"/>
                <w:w w:val="94"/>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Flextronics Manufacturing Services Agreement by and between Enphase Energy, Inc. and Flextronics Industrial, Ltd., dated March 1, 2009,</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as amended. </w:t>
            </w:r>
            <w:r>
              <w:rPr>
                <w:rFonts w:ascii="Arial" w:cs="Arial" w:eastAsia="Arial" w:hAnsi="Arial"/>
                <w:sz w:val="25"/>
                <w:szCs w:val="25"/>
                <w:color w:val="auto"/>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Master Development and Production Agreement by and between Enphase Energy, Inc. and Fujitsu Microelectronics America, Inc., dated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August 19, 2009.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0"/>
              </w:rPr>
              <w:t xml:space="preserve">License and Technology Transfer Agreement by and between Enphase Energy, Inc. and Ariane Controls, Inc., dated December 21, 2007. </w:t>
            </w:r>
            <w:r>
              <w:rPr>
                <w:rFonts w:ascii="Arial" w:cs="Arial" w:eastAsia="Arial" w:hAnsi="Arial"/>
                <w:sz w:val="25"/>
                <w:szCs w:val="25"/>
                <w:color w:val="auto"/>
                <w:w w:val="90"/>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Software License Agreement by and between PVI Solutions, Inc. (subsequently known as Enphase Energy, Inc.) and DCD, Digital Core</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Design, dated May 8, 2007, as amended. </w:t>
            </w:r>
            <w:r>
              <w:rPr>
                <w:rFonts w:ascii="Arial" w:cs="Arial" w:eastAsia="Arial" w:hAnsi="Arial"/>
                <w:sz w:val="25"/>
                <w:szCs w:val="25"/>
                <w:color w:val="auto"/>
                <w:vertAlign w:val="superscript"/>
              </w:rPr>
              <w:t>(3) †</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Amended and Restated Subordinated Convertible Loan Facility and Security Agreement dated as of November 16, 2011 by and between</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KPCB Holdings, Inc. as nominee (as agent and lender), certain other lenders, and Enphase Energy, Inc.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Executive Severance Agreement by and between Enphase Energy, Inc. and Paul B. Nahi, dated June 14, 2011. </w:t>
            </w:r>
            <w:r>
              <w:rPr>
                <w:rFonts w:ascii="Arial" w:cs="Arial" w:eastAsia="Arial" w:hAnsi="Arial"/>
                <w:sz w:val="25"/>
                <w:szCs w:val="25"/>
                <w:color w:val="auto"/>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7"/>
              </w:rPr>
              <w:t xml:space="preserve">Change in Control and Severance Agreement by and between Enphase Energy, Inc. and Jeff Loebbaka, dated June 14, 2011. </w:t>
            </w:r>
            <w:r>
              <w:rPr>
                <w:rFonts w:ascii="Arial" w:cs="Arial" w:eastAsia="Arial" w:hAnsi="Arial"/>
                <w:sz w:val="25"/>
                <w:szCs w:val="25"/>
                <w:color w:val="auto"/>
                <w:w w:val="97"/>
                <w:vertAlign w:val="superscript"/>
              </w:rPr>
              <w:t>(3) +</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Executive Severance Agreement by and between Enphase Energy, Inc. and Raghuveer R. Belur, dated June 14, 2011. </w:t>
            </w:r>
            <w:r>
              <w:rPr>
                <w:rFonts w:ascii="Arial" w:cs="Arial" w:eastAsia="Arial" w:hAnsi="Arial"/>
                <w:sz w:val="25"/>
                <w:szCs w:val="25"/>
                <w:color w:val="auto"/>
                <w:vertAlign w:val="superscript"/>
              </w:rPr>
              <w:t>(3) +</w:t>
            </w:r>
          </w:p>
        </w:tc>
      </w:tr>
      <w:tr>
        <w:trPr>
          <w:trHeight w:val="242"/>
        </w:trPr>
        <w:tc>
          <w:tcPr>
            <w:tcW w:w="104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 xml:space="preserve">Non-employee Director Compensation Policy. </w:t>
            </w:r>
            <w:r>
              <w:rPr>
                <w:rFonts w:ascii="Arial" w:cs="Arial" w:eastAsia="Arial" w:hAnsi="Arial"/>
                <w:sz w:val="18"/>
                <w:szCs w:val="18"/>
                <w:color w:val="auto"/>
                <w:vertAlign w:val="superscript"/>
              </w:rPr>
              <w:t>(3)</w:t>
            </w:r>
            <w:r>
              <w:rPr>
                <w:rFonts w:ascii="Arial" w:cs="Arial" w:eastAsia="Arial" w:hAnsi="Arial"/>
                <w:sz w:val="18"/>
                <w:szCs w:val="18"/>
                <w:color w:val="auto"/>
              </w:rPr>
              <w:t xml:space="preserve"> +</w:t>
            </w:r>
          </w:p>
        </w:tc>
      </w:tr>
      <w:tr>
        <w:trPr>
          <w:trHeight w:val="245"/>
        </w:trPr>
        <w:tc>
          <w:tcPr>
            <w:tcW w:w="104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First Amendment of Amended and Restated Subordinated Convertible Loan Facility and Security Agreement by and between KPCB</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Holdings, Inc. as nominee (as agent and lender), certain other lenders, and Enphase Energy, Inc., dated March 27, 2012. </w:t>
            </w:r>
            <w:r>
              <w:rPr>
                <w:rFonts w:ascii="Arial" w:cs="Arial" w:eastAsia="Arial" w:hAnsi="Arial"/>
                <w:sz w:val="25"/>
                <w:szCs w:val="25"/>
                <w:color w:val="auto"/>
                <w:vertAlign w:val="superscript"/>
              </w:rPr>
              <w:t>(3)</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2012 Performance Bonus Program Summary.</w:t>
            </w:r>
            <w:r>
              <w:rPr>
                <w:rFonts w:ascii="Arial" w:cs="Arial" w:eastAsia="Arial" w:hAnsi="Arial"/>
                <w:sz w:val="25"/>
                <w:szCs w:val="25"/>
                <w:color w:val="auto"/>
                <w:vertAlign w:val="superscript"/>
              </w:rPr>
              <w:t>(7)+</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Loan and Security Modification Agreement between Bridge Bank, National Association, Comerica Bank, and Enphase Energy, Inc. dated</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June 29, 2012. </w:t>
            </w:r>
            <w:r>
              <w:rPr>
                <w:rFonts w:ascii="Arial" w:cs="Arial" w:eastAsia="Arial" w:hAnsi="Arial"/>
                <w:sz w:val="25"/>
                <w:szCs w:val="25"/>
                <w:color w:val="auto"/>
                <w:vertAlign w:val="superscript"/>
              </w:rPr>
              <w:t>(8)</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Third Amendment of Amended and Restated Venture Loan and Security Agreement by and among Horizon Technology Finance</w:t>
            </w: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Corporation, Horizon Credit I LLC, and Enphase Energy, Inc., dated June 29,2012. </w:t>
            </w:r>
            <w:r>
              <w:rPr>
                <w:rFonts w:ascii="Arial" w:cs="Arial" w:eastAsia="Arial" w:hAnsi="Arial"/>
                <w:sz w:val="25"/>
                <w:szCs w:val="25"/>
                <w:color w:val="auto"/>
                <w:vertAlign w:val="superscript"/>
              </w:rPr>
              <w:t>(8)</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w w:val="92"/>
              </w:rPr>
              <w:t>Second Amendment to Redwood Business Park NNN Lease, between Enphase Energy, Inc. &amp; Sequoia Center LLC, dated July 3, 2012.</w:t>
            </w:r>
            <w:r>
              <w:rPr>
                <w:rFonts w:ascii="Arial" w:cs="Arial" w:eastAsia="Arial" w:hAnsi="Arial"/>
                <w:sz w:val="25"/>
                <w:szCs w:val="25"/>
                <w:color w:val="auto"/>
                <w:w w:val="92"/>
                <w:vertAlign w:val="superscript"/>
              </w:rPr>
              <w:t>(9)</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3"/>
                <w:szCs w:val="23"/>
                <w:color w:val="auto"/>
              </w:rPr>
            </w:pPr>
          </w:p>
        </w:tc>
        <w:tc>
          <w:tcPr>
            <w:tcW w:w="102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Separation Agreement, dated August 6, 2012, by and between Sanjeev Kumar and Enphase Energy, Inc. </w:t>
            </w:r>
            <w:r>
              <w:rPr>
                <w:rFonts w:ascii="Arial" w:cs="Arial" w:eastAsia="Arial" w:hAnsi="Arial"/>
                <w:sz w:val="25"/>
                <w:szCs w:val="25"/>
                <w:color w:val="auto"/>
                <w:vertAlign w:val="superscript"/>
              </w:rPr>
              <w:t>(9)+</w:t>
            </w:r>
          </w:p>
        </w:tc>
      </w:tr>
      <w:tr>
        <w:trPr>
          <w:trHeight w:val="216"/>
        </w:trPr>
        <w:tc>
          <w:tcPr>
            <w:tcW w:w="104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Amendment No. 4 to Loan and Security Agreement, dated July 27, 2012, by and between Hercules Technology Growth Capital, Inc. and</w:t>
            </w:r>
          </w:p>
        </w:tc>
      </w:tr>
      <w:tr>
        <w:trPr>
          <w:trHeight w:val="32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 xml:space="preserve">Enphase Energy, Inc. </w:t>
            </w:r>
            <w:r>
              <w:rPr>
                <w:rFonts w:ascii="Arial" w:cs="Arial" w:eastAsia="Arial" w:hAnsi="Arial"/>
                <w:sz w:val="25"/>
                <w:szCs w:val="25"/>
                <w:color w:val="auto"/>
                <w:vertAlign w:val="superscript"/>
              </w:rPr>
              <w:t>(9)</w:t>
            </w:r>
          </w:p>
        </w:tc>
      </w:tr>
    </w:tbl>
    <w:p>
      <w:pPr>
        <w:sectPr>
          <w:pgSz w:w="11900" w:h="16838" w:orient="portrait"/>
          <w:cols w:equalWidth="0" w:num="1">
            <w:col w:w="11420"/>
          </w:cols>
          <w:pgMar w:left="240" w:top="122" w:right="2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10380" w:type="dxa"/>
            <w:vAlign w:val="bottom"/>
          </w:tcPr>
          <w:p>
            <w:pPr>
              <w:ind w:left="240"/>
              <w:spacing w:after="0"/>
              <w:rPr>
                <w:sz w:val="20"/>
                <w:szCs w:val="20"/>
                <w:color w:val="auto"/>
              </w:rPr>
            </w:pPr>
            <w:r>
              <w:rPr>
                <w:rFonts w:ascii="Arial" w:cs="Arial" w:eastAsia="Arial" w:hAnsi="Arial"/>
                <w:sz w:val="18"/>
                <w:szCs w:val="18"/>
                <w:color w:val="auto"/>
              </w:rPr>
              <w:t xml:space="preserve">Offer Letter by and between Enphase Energy, Inc. and Kris Sennesael, dated September 17, 2012. </w:t>
            </w:r>
            <w:r>
              <w:rPr>
                <w:rFonts w:ascii="Arial" w:cs="Arial" w:eastAsia="Arial" w:hAnsi="Arial"/>
                <w:sz w:val="25"/>
                <w:szCs w:val="25"/>
                <w:color w:val="auto"/>
                <w:vertAlign w:val="superscript"/>
              </w:rPr>
              <w:t>(9)+</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103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Offer Letter by and between Enphase Energy, Inc. and Stephen Lapointe, dated July 31, 2012. </w:t>
            </w:r>
            <w:r>
              <w:rPr>
                <w:rFonts w:ascii="Arial" w:cs="Arial" w:eastAsia="Arial" w:hAnsi="Arial"/>
                <w:sz w:val="25"/>
                <w:szCs w:val="25"/>
                <w:color w:val="auto"/>
                <w:vertAlign w:val="superscript"/>
              </w:rPr>
              <w:t>(9)+</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10.45</w:t>
            </w:r>
          </w:p>
        </w:tc>
        <w:tc>
          <w:tcPr>
            <w:tcW w:w="103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Offer Letter by and between Enphase Energy, Inc. and Ciaran Fox, dated May 2, 2012. </w:t>
            </w:r>
            <w:r>
              <w:rPr>
                <w:rFonts w:ascii="Arial" w:cs="Arial" w:eastAsia="Arial" w:hAnsi="Arial"/>
                <w:sz w:val="25"/>
                <w:szCs w:val="25"/>
                <w:color w:val="auto"/>
                <w:vertAlign w:val="superscript"/>
              </w:rPr>
              <w:t>(9)+</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10.46</w:t>
            </w:r>
          </w:p>
        </w:tc>
        <w:tc>
          <w:tcPr>
            <w:tcW w:w="10380" w:type="dxa"/>
            <w:vAlign w:val="bottom"/>
          </w:tcPr>
          <w:p>
            <w:pPr>
              <w:ind w:left="240"/>
              <w:spacing w:after="0"/>
              <w:rPr>
                <w:sz w:val="20"/>
                <w:szCs w:val="20"/>
                <w:color w:val="auto"/>
              </w:rPr>
            </w:pPr>
            <w:r>
              <w:rPr>
                <w:rFonts w:ascii="Arial" w:cs="Arial" w:eastAsia="Arial" w:hAnsi="Arial"/>
                <w:sz w:val="18"/>
                <w:szCs w:val="18"/>
                <w:color w:val="auto"/>
                <w:w w:val="89"/>
              </w:rPr>
              <w:t>Form of Change of Control and Severance Agreement by Enphase Energy, Inc. and each of Kris Sennesael, Stephen Lapoint and Ciaran Fox</w:t>
            </w:r>
          </w:p>
        </w:tc>
      </w:tr>
      <w:tr>
        <w:trPr>
          <w:trHeight w:val="160"/>
        </w:trPr>
        <w:tc>
          <w:tcPr>
            <w:tcW w:w="900" w:type="dxa"/>
            <w:vAlign w:val="bottom"/>
          </w:tcPr>
          <w:p>
            <w:pPr>
              <w:spacing w:after="0"/>
              <w:rPr>
                <w:sz w:val="13"/>
                <w:szCs w:val="13"/>
                <w:color w:val="auto"/>
              </w:rPr>
            </w:pPr>
          </w:p>
        </w:tc>
        <w:tc>
          <w:tcPr>
            <w:tcW w:w="10380" w:type="dxa"/>
            <w:vAlign w:val="bottom"/>
          </w:tcPr>
          <w:p>
            <w:pPr>
              <w:ind w:left="240"/>
              <w:spacing w:after="0"/>
              <w:rPr>
                <w:sz w:val="20"/>
                <w:szCs w:val="20"/>
                <w:color w:val="auto"/>
              </w:rPr>
            </w:pPr>
            <w:r>
              <w:rPr>
                <w:rFonts w:ascii="Arial" w:cs="Arial" w:eastAsia="Arial" w:hAnsi="Arial"/>
                <w:sz w:val="13"/>
                <w:szCs w:val="13"/>
                <w:color w:val="auto"/>
              </w:rPr>
              <w:t>(7)+</w:t>
            </w:r>
          </w:p>
        </w:tc>
      </w:tr>
      <w:tr>
        <w:trPr>
          <w:trHeight w:val="258"/>
        </w:trPr>
        <w:tc>
          <w:tcPr>
            <w:tcW w:w="900" w:type="dxa"/>
            <w:vAlign w:val="bottom"/>
          </w:tcPr>
          <w:p>
            <w:pPr>
              <w:spacing w:after="0"/>
              <w:rPr>
                <w:sz w:val="20"/>
                <w:szCs w:val="20"/>
                <w:color w:val="auto"/>
              </w:rPr>
            </w:pPr>
            <w:r>
              <w:rPr>
                <w:rFonts w:ascii="Arial" w:cs="Arial" w:eastAsia="Arial" w:hAnsi="Arial"/>
                <w:sz w:val="18"/>
                <w:szCs w:val="18"/>
                <w:color w:val="auto"/>
              </w:rPr>
              <w:t>10.47</w:t>
            </w:r>
          </w:p>
        </w:tc>
        <w:tc>
          <w:tcPr>
            <w:tcW w:w="10380" w:type="dxa"/>
            <w:vAlign w:val="bottom"/>
          </w:tcPr>
          <w:p>
            <w:pPr>
              <w:ind w:left="240"/>
              <w:spacing w:after="0"/>
              <w:rPr>
                <w:sz w:val="20"/>
                <w:szCs w:val="20"/>
                <w:color w:val="auto"/>
              </w:rPr>
            </w:pPr>
            <w:r>
              <w:rPr>
                <w:rFonts w:ascii="Arial" w:cs="Arial" w:eastAsia="Arial" w:hAnsi="Arial"/>
                <w:sz w:val="18"/>
                <w:szCs w:val="18"/>
                <w:color w:val="auto"/>
                <w:w w:val="91"/>
              </w:rPr>
              <w:t>Credit Agreement by and among the lenders identified on the signature pages thereof, Wells Fargo Bank, N.A., as an agent for the lenders,</w:t>
            </w:r>
          </w:p>
        </w:tc>
      </w:tr>
      <w:tr>
        <w:trPr>
          <w:trHeight w:val="270"/>
        </w:trPr>
        <w:tc>
          <w:tcPr>
            <w:tcW w:w="900" w:type="dxa"/>
            <w:vAlign w:val="bottom"/>
          </w:tcPr>
          <w:p>
            <w:pPr>
              <w:spacing w:after="0"/>
              <w:rPr>
                <w:sz w:val="23"/>
                <w:szCs w:val="23"/>
                <w:color w:val="auto"/>
              </w:rPr>
            </w:pPr>
          </w:p>
        </w:tc>
        <w:tc>
          <w:tcPr>
            <w:tcW w:w="10380" w:type="dxa"/>
            <w:vAlign w:val="bottom"/>
          </w:tcPr>
          <w:p>
            <w:pPr>
              <w:ind w:left="240"/>
              <w:spacing w:after="0" w:line="270" w:lineRule="exact"/>
              <w:rPr>
                <w:sz w:val="20"/>
                <w:szCs w:val="20"/>
                <w:color w:val="auto"/>
              </w:rPr>
            </w:pPr>
            <w:r>
              <w:rPr>
                <w:rFonts w:ascii="Arial" w:cs="Arial" w:eastAsia="Arial" w:hAnsi="Arial"/>
                <w:sz w:val="18"/>
                <w:szCs w:val="18"/>
                <w:color w:val="auto"/>
              </w:rPr>
              <w:t>and Enphase Energy, Inc. dated November 7, 2012.</w:t>
            </w:r>
            <w:r>
              <w:rPr>
                <w:rFonts w:ascii="Arial" w:cs="Arial" w:eastAsia="Arial" w:hAnsi="Arial"/>
                <w:sz w:val="25"/>
                <w:szCs w:val="25"/>
                <w:color w:val="auto"/>
                <w:vertAlign w:val="superscript"/>
              </w:rPr>
              <w:t>(10)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10.48</w:t>
            </w:r>
          </w:p>
        </w:tc>
        <w:tc>
          <w:tcPr>
            <w:tcW w:w="10380" w:type="dxa"/>
            <w:vAlign w:val="bottom"/>
          </w:tcPr>
          <w:p>
            <w:pPr>
              <w:ind w:left="240"/>
              <w:spacing w:after="0"/>
              <w:rPr>
                <w:sz w:val="20"/>
                <w:szCs w:val="20"/>
                <w:color w:val="auto"/>
              </w:rPr>
            </w:pPr>
            <w:r>
              <w:rPr>
                <w:rFonts w:ascii="Arial" w:cs="Arial" w:eastAsia="Arial" w:hAnsi="Arial"/>
                <w:sz w:val="18"/>
                <w:szCs w:val="18"/>
                <w:color w:val="auto"/>
                <w:w w:val="90"/>
              </w:rPr>
              <w:t>Loan and Security Agreement by and between Enphase Energy, Inc., certain of it subsidiaries and Hercules Technology Growth Capital, Inc.</w:t>
            </w:r>
          </w:p>
        </w:tc>
      </w:tr>
      <w:tr>
        <w:trPr>
          <w:trHeight w:val="270"/>
        </w:trPr>
        <w:tc>
          <w:tcPr>
            <w:tcW w:w="900" w:type="dxa"/>
            <w:vAlign w:val="bottom"/>
          </w:tcPr>
          <w:p>
            <w:pPr>
              <w:spacing w:after="0"/>
              <w:rPr>
                <w:sz w:val="23"/>
                <w:szCs w:val="23"/>
                <w:color w:val="auto"/>
              </w:rPr>
            </w:pPr>
          </w:p>
        </w:tc>
        <w:tc>
          <w:tcPr>
            <w:tcW w:w="10380" w:type="dxa"/>
            <w:vAlign w:val="bottom"/>
          </w:tcPr>
          <w:p>
            <w:pPr>
              <w:ind w:left="240"/>
              <w:spacing w:after="0" w:line="270" w:lineRule="exact"/>
              <w:rPr>
                <w:sz w:val="20"/>
                <w:szCs w:val="20"/>
                <w:color w:val="auto"/>
              </w:rPr>
            </w:pPr>
            <w:r>
              <w:rPr>
                <w:rFonts w:ascii="Arial" w:cs="Arial" w:eastAsia="Arial" w:hAnsi="Arial"/>
                <w:sz w:val="18"/>
                <w:szCs w:val="18"/>
                <w:color w:val="auto"/>
              </w:rPr>
              <w:t>dated November 7, 2012.</w:t>
            </w:r>
            <w:r>
              <w:rPr>
                <w:rFonts w:ascii="Arial" w:cs="Arial" w:eastAsia="Arial" w:hAnsi="Arial"/>
                <w:sz w:val="25"/>
                <w:szCs w:val="25"/>
                <w:color w:val="auto"/>
                <w:vertAlign w:val="superscript"/>
              </w:rPr>
              <w:t>(11)</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10.49</w:t>
            </w:r>
          </w:p>
        </w:tc>
        <w:tc>
          <w:tcPr>
            <w:tcW w:w="10380" w:type="dxa"/>
            <w:vAlign w:val="bottom"/>
          </w:tcPr>
          <w:p>
            <w:pPr>
              <w:ind w:left="240"/>
              <w:spacing w:after="0" w:line="270" w:lineRule="exact"/>
              <w:rPr>
                <w:sz w:val="20"/>
                <w:szCs w:val="20"/>
                <w:color w:val="auto"/>
              </w:rPr>
            </w:pPr>
            <w:r>
              <w:rPr>
                <w:rFonts w:ascii="Arial" w:cs="Arial" w:eastAsia="Arial" w:hAnsi="Arial"/>
                <w:sz w:val="18"/>
                <w:szCs w:val="18"/>
                <w:color w:val="auto"/>
              </w:rPr>
              <w:t>2013 Performance Bonus Program Summary.</w:t>
            </w:r>
            <w:r>
              <w:rPr>
                <w:rFonts w:ascii="Arial" w:cs="Arial" w:eastAsia="Arial" w:hAnsi="Arial"/>
                <w:sz w:val="25"/>
                <w:szCs w:val="25"/>
                <w:color w:val="auto"/>
                <w:vertAlign w:val="superscript"/>
              </w:rPr>
              <w:t>(12) +</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380" w:type="dxa"/>
            <w:vAlign w:val="bottom"/>
          </w:tcPr>
          <w:p>
            <w:pPr>
              <w:ind w:left="240"/>
              <w:spacing w:after="0"/>
              <w:rPr>
                <w:sz w:val="20"/>
                <w:szCs w:val="20"/>
                <w:color w:val="auto"/>
              </w:rPr>
            </w:pPr>
            <w:r>
              <w:rPr>
                <w:rFonts w:ascii="Arial" w:cs="Arial" w:eastAsia="Arial" w:hAnsi="Arial"/>
                <w:sz w:val="18"/>
                <w:szCs w:val="18"/>
                <w:color w:val="auto"/>
              </w:rPr>
              <w:t>List of subsidiaries of the Registrant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tcPr>
          <w:p>
            <w:pPr>
              <w:ind w:left="24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10380" w:type="dxa"/>
            <w:vAlign w:val="bottom"/>
          </w:tcPr>
          <w:p>
            <w:pPr>
              <w:ind w:left="240"/>
              <w:spacing w:after="0"/>
              <w:rPr>
                <w:sz w:val="20"/>
                <w:szCs w:val="20"/>
                <w:color w:val="auto"/>
              </w:rPr>
            </w:pPr>
            <w:r>
              <w:rPr>
                <w:rFonts w:ascii="Arial" w:cs="Arial" w:eastAsia="Arial" w:hAnsi="Arial"/>
                <w:sz w:val="18"/>
                <w:szCs w:val="18"/>
                <w:color w:val="auto"/>
              </w:rPr>
              <w:t>Power of Attorney (incorporated by reference to the signature page of this Annual Report on Form 10-K).</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w:t>
            </w:r>
          </w:p>
        </w:tc>
      </w:tr>
      <w:tr>
        <w:trPr>
          <w:trHeight w:val="230"/>
        </w:trPr>
        <w:tc>
          <w:tcPr>
            <w:tcW w:w="900" w:type="dxa"/>
            <w:vAlign w:val="bottom"/>
          </w:tcPr>
          <w:p>
            <w:pPr>
              <w:spacing w:after="0"/>
              <w:rPr>
                <w:sz w:val="20"/>
                <w:szCs w:val="20"/>
                <w:color w:val="auto"/>
              </w:rPr>
            </w:pPr>
          </w:p>
        </w:tc>
        <w:tc>
          <w:tcPr>
            <w:tcW w:w="10380" w:type="dxa"/>
            <w:vAlign w:val="bottom"/>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ind w:left="240"/>
              <w:spacing w:after="0"/>
              <w:rPr>
                <w:sz w:val="20"/>
                <w:szCs w:val="20"/>
                <w:color w:val="auto"/>
              </w:rPr>
            </w:pPr>
            <w:r>
              <w:rPr>
                <w:rFonts w:ascii="Arial" w:cs="Arial" w:eastAsia="Arial" w:hAnsi="Arial"/>
                <w:sz w:val="18"/>
                <w:szCs w:val="18"/>
                <w:color w:val="auto"/>
              </w:rPr>
              <w:t>XBRL Taxonomy Extension Presentation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180340</wp:posOffset>
            </wp:positionV>
            <wp:extent cx="643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hanging="482"/>
        <w:spacing w:after="0" w:line="258"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1" w:lineRule="exact"/>
        <w:rPr>
          <w:rFonts w:ascii="Arial" w:cs="Arial" w:eastAsia="Arial" w:hAnsi="Arial"/>
          <w:sz w:val="18"/>
          <w:szCs w:val="18"/>
          <w:color w:val="auto"/>
        </w:rPr>
      </w:pP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99.1 to the Registration Statement on Form S-8 (File No. 333-181382), filed with the Securities and Exchange Commission on May 14, 2012, and incorporated herein by reference.</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99.2 to the Registration Statement on Form S-8 (File No. 333-181382), filed with the Securities and Exchange Commission on May 14, 2012, and incorporated herein by reference.</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99.3 to the Registration Statement on Form S-8 (File No. 333-181382), filed with the Securities and Exchange Commission on May 14, 2012, and incorporated herein by reference.</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8-K/A (File No. 001-35480), filed with the Securities and Exchange Commission on May 17, 2012, and incorporated by reference herein.</w:t>
      </w:r>
    </w:p>
    <w:p>
      <w:pPr>
        <w:ind w:left="1260" w:right="2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the like numbered exhibit to the Quarterly Report on Form 10-Q (File No. 001-35480), filed with the Securities and Exchange Commission on August 13, 2012, and incorporated by reference herein.</w:t>
      </w:r>
    </w:p>
    <w:p>
      <w:pPr>
        <w:ind w:left="1260" w:right="2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the like numbered exhibit to the Quarterly Report on Form 10-Q (File No. 001-35480), filed with the Securities and Exchange Commission on November 13, 2012, and incorporated by reference herein.</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November 13, 2012, and incorporated by reference herein.</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10.2 to the Current Report on Form 8-K (File No. 001-35480), filed with the Securities and Exchange Commission on November 13, 2012, and incorporated by reference herein.</w:t>
      </w:r>
    </w:p>
    <w:p>
      <w:pPr>
        <w:ind w:left="1260" w:hanging="482"/>
        <w:spacing w:after="0" w:line="250"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filed as Exhibit 10.1 to the Current Report on Form 8-K (File No. 001-35480), filed with the Securities and Exchange Commission on January 29, 2013, and incorporated by reference herein.</w:t>
      </w:r>
    </w:p>
    <w:p>
      <w:pPr>
        <w:spacing w:after="0" w:line="1" w:lineRule="exact"/>
        <w:rPr>
          <w:sz w:val="20"/>
          <w:szCs w:val="20"/>
          <w:color w:val="auto"/>
        </w:rPr>
      </w:pPr>
    </w:p>
    <w:p>
      <w:pPr>
        <w:ind w:left="1260" w:hanging="482"/>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9" w:lineRule="exact"/>
        <w:rPr>
          <w:sz w:val="20"/>
          <w:szCs w:val="20"/>
          <w:color w:val="auto"/>
        </w:rPr>
      </w:pPr>
    </w:p>
    <w:p>
      <w:pPr>
        <w:ind w:left="1260" w:hanging="482"/>
        <w:spacing w:after="0" w:line="265" w:lineRule="auto"/>
        <w:tabs>
          <w:tab w:leader="none" w:pos="1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Material in the exhibit marked with a “***” has been omitted pursuant to a request for confidential treatment filed with the Securities and Exchange Commission. Omitted portions have been filed separately with the Securities and Exchange Commission.</w:t>
      </w:r>
    </w:p>
    <w:p>
      <w:pPr>
        <w:jc w:val="both"/>
        <w:ind w:left="1260" w:hanging="482"/>
        <w:spacing w:after="0" w:line="250" w:lineRule="auto"/>
        <w:tabs>
          <w:tab w:leader="none" w:pos="1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1" w:lineRule="exact"/>
        <w:rPr>
          <w:sz w:val="20"/>
          <w:szCs w:val="20"/>
          <w:color w:val="auto"/>
        </w:rPr>
      </w:pPr>
    </w:p>
    <w:p>
      <w:pPr>
        <w:jc w:val="both"/>
        <w:ind w:left="1260" w:hanging="482"/>
        <w:spacing w:after="0" w:line="268" w:lineRule="auto"/>
        <w:tabs>
          <w:tab w:leader="none" w:pos="1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Pursuant to applicable securities laws and regulations, Enphase Energy, Inc. is deemed to have complied with the reporting obligation relating to the submission of interactive data files in such exhibits and are not subject to liability under any anti-fraud provisions of the federal securities laws as long as Enphase Energy, Inc. has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 registration statement or other document filed under the Securities Act of 1933, as amended, except as expressly set forth by specific reference in such filing.</w:t>
      </w:r>
    </w:p>
    <w:p>
      <w:pPr>
        <w:sectPr>
          <w:pgSz w:w="11900" w:h="16838" w:orient="portrait"/>
          <w:cols w:equalWidth="0" w:num="1">
            <w:col w:w="11380"/>
          </w:cols>
          <w:pgMar w:left="280" w:top="108" w:right="239" w:bottom="4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80"/>
          </w:cols>
          <w:pgMar w:left="280" w:top="108" w:right="239" w:bottom="474"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S.A.S., a French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S.r.l., an Italian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UK Limited, a United Kingdom corporation.</w:t>
      </w:r>
    </w:p>
    <w:p>
      <w:pPr>
        <w:sectPr>
          <w:pgSz w:w="11900" w:h="16838" w:orient="portrait"/>
          <w:cols w:equalWidth="0" w:num="1">
            <w:col w:w="11380"/>
          </w:cols>
          <w:pgMar w:left="28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7"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333-181382 on Form S-8 of our report dated March 5, 2013 relating to the consolidated financial statements of Enphase Energy, Inc. and subsidiaries, appearing in this Annual Report on Form 10-K of Enphase Energy, Inc. for the year ended December 31, 2012.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40" w:hanging="172"/>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60" w:right="60" w:firstLine="1"/>
        <w:spacing w:after="0" w:line="311" w:lineRule="auto"/>
        <w:tabs>
          <w:tab w:leader="none" w:pos="150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520" w:hanging="459"/>
        <w:spacing w:after="0"/>
        <w:tabs>
          <w:tab w:leader="none" w:pos="15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60" w:right="220" w:firstLine="1"/>
        <w:spacing w:after="0" w:line="387" w:lineRule="auto"/>
        <w:tabs>
          <w:tab w:leader="none" w:pos="150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060" w:right="160" w:firstLine="1"/>
        <w:spacing w:after="0" w:line="311" w:lineRule="auto"/>
        <w:tabs>
          <w:tab w:leader="none" w:pos="15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60" w:right="420" w:firstLine="1"/>
        <w:spacing w:after="0" w:line="357" w:lineRule="auto"/>
        <w:tabs>
          <w:tab w:leader="none" w:pos="150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1060" w:right="120" w:firstLine="1"/>
        <w:spacing w:after="0" w:line="324" w:lineRule="auto"/>
        <w:tabs>
          <w:tab w:leader="none" w:pos="15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2013</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Paul B. Nahi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7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Enphase Energy, Inc.;</w:t>
      </w:r>
    </w:p>
    <w:p>
      <w:pPr>
        <w:spacing w:after="0" w:line="171" w:lineRule="exact"/>
        <w:rPr>
          <w:rFonts w:ascii="Arial" w:cs="Arial" w:eastAsia="Arial" w:hAnsi="Arial"/>
          <w:sz w:val="18"/>
          <w:szCs w:val="18"/>
          <w:color w:val="auto"/>
        </w:rPr>
      </w:pPr>
    </w:p>
    <w:p>
      <w:pPr>
        <w:ind w:left="180" w:right="280" w:hanging="172"/>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60" w:hanging="172"/>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40" w:hanging="172"/>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60" w:right="60" w:firstLine="1"/>
        <w:spacing w:after="0" w:line="311" w:lineRule="auto"/>
        <w:tabs>
          <w:tab w:leader="none" w:pos="15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520" w:hanging="459"/>
        <w:spacing w:after="0"/>
        <w:tabs>
          <w:tab w:leader="none" w:pos="1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1060" w:right="220" w:firstLine="1"/>
        <w:spacing w:after="0" w:line="387" w:lineRule="auto"/>
        <w:tabs>
          <w:tab w:leader="none" w:pos="1503"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060" w:right="160" w:firstLine="1"/>
        <w:spacing w:after="0" w:line="311" w:lineRule="auto"/>
        <w:tabs>
          <w:tab w:leader="none" w:pos="151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180" w:right="500" w:hanging="172"/>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60" w:right="420" w:firstLine="1"/>
        <w:spacing w:after="0" w:line="357" w:lineRule="auto"/>
        <w:tabs>
          <w:tab w:leader="none" w:pos="1503"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1060" w:right="120" w:firstLine="1"/>
        <w:spacing w:after="0" w:line="324" w:lineRule="auto"/>
        <w:tabs>
          <w:tab w:leader="none" w:pos="151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2013</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Kris Sennesael</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knowledge:</w:t>
      </w:r>
    </w:p>
    <w:p>
      <w:pPr>
        <w:spacing w:after="0" w:line="93" w:lineRule="exact"/>
        <w:rPr>
          <w:sz w:val="20"/>
          <w:szCs w:val="20"/>
          <w:color w:val="auto"/>
        </w:rPr>
      </w:pPr>
    </w:p>
    <w:p>
      <w:pPr>
        <w:ind w:left="180" w:right="220" w:hanging="172"/>
        <w:spacing w:after="0" w:line="277" w:lineRule="auto"/>
        <w:tabs>
          <w:tab w:leader="none" w:pos="1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annual period ended December 31, 2012, to which this Certification is attached as Exhibit 32.1 (the "Report"), fully complies with the requirements of Section 13(a) or Section 15(d) of the Exchange Act; and</w:t>
      </w:r>
    </w:p>
    <w:p>
      <w:pPr>
        <w:spacing w:after="0" w:line="116" w:lineRule="exact"/>
        <w:rPr>
          <w:rFonts w:ascii="Arial" w:cs="Arial" w:eastAsia="Arial" w:hAnsi="Arial"/>
          <w:sz w:val="18"/>
          <w:szCs w:val="18"/>
          <w:b w:val="1"/>
          <w:bCs w:val="1"/>
          <w:color w:val="auto"/>
        </w:rPr>
      </w:pPr>
    </w:p>
    <w:p>
      <w:pPr>
        <w:ind w:left="180" w:hanging="172"/>
        <w:spacing w:after="0"/>
        <w:tabs>
          <w:tab w:leader="none" w:pos="180" w:val="left"/>
        </w:tabs>
        <w:numPr>
          <w:ilvl w:val="0"/>
          <w:numId w:val="41"/>
        </w:numPr>
        <w:rPr>
          <w:rFonts w:ascii="Arial" w:cs="Arial" w:eastAsia="Arial" w:hAnsi="Arial"/>
          <w:sz w:val="17"/>
          <w:szCs w:val="17"/>
          <w:b w:val="1"/>
          <w:bCs w:val="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5</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2013.</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 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/s/ Kris Sennesael</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22"/>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36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3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amp;"/>
      <w:numFmt w:val="bullet"/>
      <w:start w:val="1"/>
    </w:lvl>
  </w:abstractNum>
  <w:abstractNum w:abstractNumId="24">
    <w:nsid w:val="4516DDE9"/>
    <w:multiLevelType w:val="hybridMultilevel"/>
    <w:lvl w:ilvl="0">
      <w:lvlJc w:val="left"/>
      <w:lvlText w:val="(%1)"/>
      <w:numFmt w:val="lowerLetter"/>
      <w:start w:val="2"/>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lowerRoman"/>
      <w:start w:val="4"/>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lvl w:ilvl="1">
      <w:lvlJc w:val="left"/>
      <w:lvlText w:val="•"/>
      <w:numFmt w:val="bullet"/>
      <w:start w:val="1"/>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0"/>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2019-12-07T20:09:54Z</dcterms:created>
  <dcterms:modified xsi:type="dcterms:W3CDTF">2019-12-07T20:09:54Z</dcterms:modified>
</cp:coreProperties>
</file>