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713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71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9"/>
        <w:spacing w:after="0" w:line="237"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5"/>
          <w:szCs w:val="15"/>
          <w:color w:val="auto"/>
        </w:rPr>
        <w:t>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31" w:lineRule="exact"/>
        <w:rPr>
          <w:sz w:val="24"/>
          <w:szCs w:val="24"/>
          <w:color w:val="auto"/>
        </w:rPr>
      </w:pPr>
    </w:p>
    <w:p>
      <w:pPr>
        <w:ind w:left="3980"/>
        <w:spacing w:after="0"/>
        <w:rPr>
          <w:sz w:val="20"/>
          <w:szCs w:val="20"/>
          <w:color w:val="auto"/>
        </w:rPr>
      </w:pPr>
      <w:r>
        <w:rPr>
          <w:rFonts w:ascii="Arial" w:cs="Arial" w:eastAsia="Arial" w:hAnsi="Arial"/>
          <w:sz w:val="15"/>
          <w:szCs w:val="15"/>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07" w:lineRule="exact"/>
        <w:rPr>
          <w:sz w:val="24"/>
          <w:szCs w:val="24"/>
          <w:color w:val="auto"/>
        </w:rPr>
      </w:pPr>
    </w:p>
    <w:p>
      <w:pPr>
        <w:ind w:left="720" w:hanging="689"/>
        <w:spacing w:after="0"/>
        <w:tabs>
          <w:tab w:leader="none" w:pos="7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For the quarterly period ended September 30, 2016</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or</w:t>
      </w:r>
    </w:p>
    <w:p>
      <w:pPr>
        <w:spacing w:after="0" w:line="128" w:lineRule="exact"/>
        <w:rPr>
          <w:sz w:val="24"/>
          <w:szCs w:val="24"/>
          <w:color w:val="auto"/>
        </w:rPr>
      </w:pPr>
    </w:p>
    <w:p>
      <w:pPr>
        <w:ind w:left="720" w:hanging="689"/>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0" w:lineRule="exact"/>
        <w:rPr>
          <w:sz w:val="24"/>
          <w:szCs w:val="24"/>
          <w:color w:val="auto"/>
        </w:rPr>
      </w:pPr>
    </w:p>
    <w:p>
      <w:pPr>
        <w:ind w:left="4080"/>
        <w:spacing w:after="0"/>
        <w:tabs>
          <w:tab w:leader="none" w:pos="670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5" w:lineRule="exact"/>
        <w:rPr>
          <w:sz w:val="24"/>
          <w:szCs w:val="24"/>
          <w:color w:val="auto"/>
        </w:rPr>
      </w:pPr>
    </w:p>
    <w:tbl>
      <w:tblPr>
        <w:tblLayout w:type="fixed"/>
        <w:tblInd w:w="166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5260" w:type="dxa"/>
            <w:vAlign w:val="bottom"/>
          </w:tcPr>
          <w:p>
            <w:pPr>
              <w:jc w:val="center"/>
              <w:ind w:right="1526"/>
              <w:spacing w:after="0"/>
              <w:rPr>
                <w:sz w:val="20"/>
                <w:szCs w:val="20"/>
                <w:color w:val="auto"/>
              </w:rPr>
            </w:pPr>
            <w:r>
              <w:rPr>
                <w:rFonts w:ascii="Arial" w:cs="Arial" w:eastAsia="Arial" w:hAnsi="Arial"/>
                <w:sz w:val="15"/>
                <w:szCs w:val="15"/>
                <w:b w:val="1"/>
                <w:bCs w:val="1"/>
                <w:color w:val="auto"/>
                <w:w w:val="98"/>
              </w:rPr>
              <w:t>Commission File Number: 001-35480</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5260" w:type="dxa"/>
            <w:vAlign w:val="bottom"/>
          </w:tcPr>
          <w:p>
            <w:pPr>
              <w:jc w:val="center"/>
              <w:ind w:right="1466"/>
              <w:spacing w:after="0" w:line="121" w:lineRule="exact"/>
              <w:rPr>
                <w:sz w:val="20"/>
                <w:szCs w:val="20"/>
                <w:color w:val="auto"/>
              </w:rPr>
            </w:pPr>
            <w:r>
              <w:rPr>
                <w:rFonts w:ascii="Arial" w:cs="Arial" w:eastAsia="Arial" w:hAnsi="Arial"/>
                <w:sz w:val="12"/>
                <w:szCs w:val="12"/>
                <w:color w:val="auto"/>
                <w:w w:val="98"/>
              </w:rPr>
              <w:t>____________________________________________</w:t>
            </w:r>
          </w:p>
        </w:tc>
        <w:tc>
          <w:tcPr>
            <w:tcW w:w="0" w:type="dxa"/>
            <w:vAlign w:val="bottom"/>
          </w:tcPr>
          <w:p>
            <w:pPr>
              <w:spacing w:after="0"/>
              <w:rPr>
                <w:sz w:val="1"/>
                <w:szCs w:val="1"/>
                <w:color w:val="auto"/>
              </w:rPr>
            </w:pPr>
          </w:p>
        </w:tc>
      </w:tr>
      <w:tr>
        <w:trPr>
          <w:trHeight w:val="502"/>
        </w:trPr>
        <w:tc>
          <w:tcPr>
            <w:tcW w:w="2240" w:type="dxa"/>
            <w:vAlign w:val="bottom"/>
          </w:tcPr>
          <w:p>
            <w:pPr>
              <w:spacing w:after="0"/>
              <w:rPr>
                <w:sz w:val="24"/>
                <w:szCs w:val="24"/>
                <w:color w:val="auto"/>
              </w:rPr>
            </w:pPr>
          </w:p>
        </w:tc>
        <w:tc>
          <w:tcPr>
            <w:tcW w:w="5260" w:type="dxa"/>
            <w:vAlign w:val="bottom"/>
          </w:tcPr>
          <w:p>
            <w:pPr>
              <w:ind w:left="80"/>
              <w:spacing w:after="0"/>
              <w:rPr>
                <w:sz w:val="20"/>
                <w:szCs w:val="20"/>
                <w:color w:val="auto"/>
              </w:rPr>
            </w:pPr>
            <w:r>
              <w:rPr>
                <w:rFonts w:ascii="Arial" w:cs="Arial" w:eastAsia="Arial" w:hAnsi="Arial"/>
                <w:sz w:val="35"/>
                <w:szCs w:val="35"/>
                <w:b w:val="1"/>
                <w:bCs w:val="1"/>
                <w:color w:val="auto"/>
              </w:rPr>
              <w:t>Enphase Energy, Inc.</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5260" w:type="dxa"/>
            <w:vAlign w:val="bottom"/>
          </w:tcPr>
          <w:p>
            <w:pPr>
              <w:jc w:val="center"/>
              <w:ind w:right="1526"/>
              <w:spacing w:after="0"/>
              <w:rPr>
                <w:sz w:val="20"/>
                <w:szCs w:val="20"/>
                <w:color w:val="auto"/>
              </w:rPr>
            </w:pPr>
            <w:r>
              <w:rPr>
                <w:rFonts w:ascii="Arial" w:cs="Arial" w:eastAsia="Arial" w:hAnsi="Arial"/>
                <w:sz w:val="15"/>
                <w:szCs w:val="15"/>
                <w:b w:val="1"/>
                <w:bCs w:val="1"/>
                <w:color w:val="auto"/>
                <w:w w:val="98"/>
              </w:rPr>
              <w:t>(Exact name of registrant as specified in its charter)</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5260" w:type="dxa"/>
            <w:vAlign w:val="bottom"/>
          </w:tcPr>
          <w:p>
            <w:pPr>
              <w:jc w:val="center"/>
              <w:ind w:right="1486"/>
              <w:spacing w:after="0"/>
              <w:rPr>
                <w:sz w:val="20"/>
                <w:szCs w:val="20"/>
                <w:color w:val="auto"/>
              </w:rPr>
            </w:pPr>
            <w:r>
              <w:rPr>
                <w:rFonts w:ascii="Arial" w:cs="Arial" w:eastAsia="Arial" w:hAnsi="Arial"/>
                <w:sz w:val="12"/>
                <w:szCs w:val="12"/>
                <w:color w:val="auto"/>
                <w:w w:val="98"/>
              </w:rPr>
              <w:t>____________________________________________</w:t>
            </w:r>
          </w:p>
        </w:tc>
        <w:tc>
          <w:tcPr>
            <w:tcW w:w="0" w:type="dxa"/>
            <w:vAlign w:val="bottom"/>
          </w:tcPr>
          <w:p>
            <w:pPr>
              <w:spacing w:after="0"/>
              <w:rPr>
                <w:sz w:val="1"/>
                <w:szCs w:val="1"/>
                <w:color w:val="auto"/>
              </w:rPr>
            </w:pPr>
          </w:p>
        </w:tc>
      </w:tr>
      <w:tr>
        <w:trPr>
          <w:trHeight w:val="259"/>
        </w:trPr>
        <w:tc>
          <w:tcPr>
            <w:tcW w:w="2240" w:type="dxa"/>
            <w:vAlign w:val="bottom"/>
          </w:tcPr>
          <w:p>
            <w:pPr>
              <w:jc w:val="center"/>
              <w:spacing w:after="0"/>
              <w:rPr>
                <w:sz w:val="20"/>
                <w:szCs w:val="20"/>
                <w:color w:val="auto"/>
              </w:rPr>
            </w:pPr>
            <w:r>
              <w:rPr>
                <w:rFonts w:ascii="Arial" w:cs="Arial" w:eastAsia="Arial" w:hAnsi="Arial"/>
                <w:sz w:val="15"/>
                <w:szCs w:val="15"/>
                <w:b w:val="1"/>
                <w:bCs w:val="1"/>
                <w:color w:val="auto"/>
                <w:w w:val="97"/>
              </w:rPr>
              <w:t>Delaware</w:t>
            </w:r>
          </w:p>
        </w:tc>
        <w:tc>
          <w:tcPr>
            <w:tcW w:w="5260" w:type="dxa"/>
            <w:vAlign w:val="bottom"/>
          </w:tcPr>
          <w:p>
            <w:pPr>
              <w:jc w:val="right"/>
              <w:ind w:right="26"/>
              <w:spacing w:after="0"/>
              <w:rPr>
                <w:sz w:val="20"/>
                <w:szCs w:val="20"/>
                <w:color w:val="auto"/>
              </w:rPr>
            </w:pPr>
            <w:r>
              <w:rPr>
                <w:rFonts w:ascii="Arial" w:cs="Arial" w:eastAsia="Arial" w:hAnsi="Arial"/>
                <w:sz w:val="15"/>
                <w:szCs w:val="15"/>
                <w:b w:val="1"/>
                <w:bCs w:val="1"/>
                <w:color w:val="auto"/>
              </w:rPr>
              <w:t>20-4645388</w:t>
            </w:r>
          </w:p>
        </w:tc>
        <w:tc>
          <w:tcPr>
            <w:tcW w:w="0" w:type="dxa"/>
            <w:vAlign w:val="bottom"/>
          </w:tcPr>
          <w:p>
            <w:pPr>
              <w:spacing w:after="0"/>
              <w:rPr>
                <w:sz w:val="1"/>
                <w:szCs w:val="1"/>
                <w:color w:val="auto"/>
              </w:rPr>
            </w:pPr>
          </w:p>
        </w:tc>
      </w:tr>
      <w:tr>
        <w:trPr>
          <w:trHeight w:val="133"/>
        </w:trPr>
        <w:tc>
          <w:tcPr>
            <w:tcW w:w="22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(State or other jurisdiction of</w:t>
            </w:r>
          </w:p>
        </w:tc>
        <w:tc>
          <w:tcPr>
            <w:tcW w:w="5260" w:type="dxa"/>
            <w:vAlign w:val="bottom"/>
          </w:tcPr>
          <w:p>
            <w:pPr>
              <w:jc w:val="center"/>
              <w:ind w:left="4166"/>
              <w:spacing w:after="0" w:line="133" w:lineRule="exact"/>
              <w:rPr>
                <w:sz w:val="20"/>
                <w:szCs w:val="20"/>
                <w:color w:val="auto"/>
              </w:rPr>
            </w:pPr>
            <w:r>
              <w:rPr>
                <w:rFonts w:ascii="Arial" w:cs="Arial" w:eastAsia="Arial" w:hAnsi="Arial"/>
                <w:sz w:val="12"/>
                <w:szCs w:val="12"/>
                <w:b w:val="1"/>
                <w:bCs w:val="1"/>
                <w:color w:val="auto"/>
                <w:w w:val="97"/>
              </w:rPr>
              <w:t>(I.R.S. Employer</w:t>
            </w:r>
          </w:p>
        </w:tc>
        <w:tc>
          <w:tcPr>
            <w:tcW w:w="0" w:type="dxa"/>
            <w:vAlign w:val="bottom"/>
          </w:tcPr>
          <w:p>
            <w:pPr>
              <w:spacing w:after="0"/>
              <w:rPr>
                <w:sz w:val="1"/>
                <w:szCs w:val="1"/>
                <w:color w:val="auto"/>
              </w:rPr>
            </w:pPr>
          </w:p>
        </w:tc>
      </w:tr>
      <w:tr>
        <w:trPr>
          <w:trHeight w:val="167"/>
        </w:trPr>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98"/>
              </w:rPr>
              <w:t>incorporation or organization)</w:t>
            </w:r>
          </w:p>
        </w:tc>
        <w:tc>
          <w:tcPr>
            <w:tcW w:w="5260" w:type="dxa"/>
            <w:vAlign w:val="bottom"/>
          </w:tcPr>
          <w:p>
            <w:pPr>
              <w:jc w:val="center"/>
              <w:ind w:left="4186"/>
              <w:spacing w:after="0"/>
              <w:rPr>
                <w:sz w:val="20"/>
                <w:szCs w:val="20"/>
                <w:color w:val="auto"/>
              </w:rPr>
            </w:pPr>
            <w:r>
              <w:rPr>
                <w:rFonts w:ascii="Arial" w:cs="Arial" w:eastAsia="Arial" w:hAnsi="Arial"/>
                <w:sz w:val="12"/>
                <w:szCs w:val="12"/>
                <w:b w:val="1"/>
                <w:bCs w:val="1"/>
                <w:color w:val="auto"/>
                <w:w w:val="98"/>
              </w:rPr>
              <w:t>Identification No.)</w:t>
            </w:r>
          </w:p>
        </w:tc>
        <w:tc>
          <w:tcPr>
            <w:tcW w:w="0" w:type="dxa"/>
            <w:vAlign w:val="bottom"/>
          </w:tcPr>
          <w:p>
            <w:pPr>
              <w:spacing w:after="0"/>
              <w:rPr>
                <w:sz w:val="1"/>
                <w:szCs w:val="1"/>
                <w:color w:val="auto"/>
              </w:rPr>
            </w:pPr>
          </w:p>
        </w:tc>
      </w:tr>
      <w:tr>
        <w:trPr>
          <w:trHeight w:val="267"/>
        </w:trPr>
        <w:tc>
          <w:tcPr>
            <w:tcW w:w="2240" w:type="dxa"/>
            <w:vAlign w:val="bottom"/>
          </w:tcPr>
          <w:p>
            <w:pPr>
              <w:jc w:val="center"/>
              <w:spacing w:after="0"/>
              <w:rPr>
                <w:sz w:val="20"/>
                <w:szCs w:val="20"/>
                <w:color w:val="auto"/>
              </w:rPr>
            </w:pPr>
            <w:r>
              <w:rPr>
                <w:rFonts w:ascii="Arial" w:cs="Arial" w:eastAsia="Arial" w:hAnsi="Arial"/>
                <w:sz w:val="15"/>
                <w:szCs w:val="15"/>
                <w:b w:val="1"/>
                <w:bCs w:val="1"/>
                <w:color w:val="auto"/>
                <w:w w:val="98"/>
              </w:rPr>
              <w:t>1420 N. McDowell Blvd.</w:t>
            </w:r>
          </w:p>
        </w:tc>
        <w:tc>
          <w:tcPr>
            <w:tcW w:w="5260" w:type="dxa"/>
            <w:vAlign w:val="bottom"/>
            <w:vMerge w:val="restart"/>
          </w:tcPr>
          <w:p>
            <w:pPr>
              <w:jc w:val="right"/>
              <w:ind w:right="226"/>
              <w:spacing w:after="0"/>
              <w:rPr>
                <w:sz w:val="20"/>
                <w:szCs w:val="20"/>
                <w:color w:val="auto"/>
              </w:rPr>
            </w:pPr>
            <w:r>
              <w:rPr>
                <w:rFonts w:ascii="Arial" w:cs="Arial" w:eastAsia="Arial" w:hAnsi="Arial"/>
                <w:sz w:val="15"/>
                <w:szCs w:val="15"/>
                <w:b w:val="1"/>
                <w:bCs w:val="1"/>
                <w:color w:val="auto"/>
              </w:rPr>
              <w:t>94954</w:t>
            </w:r>
          </w:p>
        </w:tc>
        <w:tc>
          <w:tcPr>
            <w:tcW w:w="0" w:type="dxa"/>
            <w:vAlign w:val="bottom"/>
          </w:tcPr>
          <w:p>
            <w:pPr>
              <w:spacing w:after="0"/>
              <w:rPr>
                <w:sz w:val="1"/>
                <w:szCs w:val="1"/>
                <w:color w:val="auto"/>
              </w:rPr>
            </w:pPr>
          </w:p>
        </w:tc>
      </w:tr>
      <w:tr>
        <w:trPr>
          <w:trHeight w:val="207"/>
        </w:trPr>
        <w:tc>
          <w:tcPr>
            <w:tcW w:w="2240" w:type="dxa"/>
            <w:vAlign w:val="bottom"/>
          </w:tcPr>
          <w:p>
            <w:pPr>
              <w:jc w:val="center"/>
              <w:spacing w:after="0"/>
              <w:rPr>
                <w:sz w:val="20"/>
                <w:szCs w:val="20"/>
                <w:color w:val="auto"/>
              </w:rPr>
            </w:pPr>
            <w:r>
              <w:rPr>
                <w:rFonts w:ascii="Arial" w:cs="Arial" w:eastAsia="Arial" w:hAnsi="Arial"/>
                <w:sz w:val="15"/>
                <w:szCs w:val="15"/>
                <w:b w:val="1"/>
                <w:bCs w:val="1"/>
                <w:color w:val="auto"/>
                <w:w w:val="97"/>
              </w:rPr>
              <w:t>Petaluma, California</w:t>
            </w: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240" w:type="dxa"/>
            <w:vAlign w:val="bottom"/>
          </w:tcPr>
          <w:p>
            <w:pPr>
              <w:jc w:val="center"/>
              <w:spacing w:after="0"/>
              <w:rPr>
                <w:sz w:val="20"/>
                <w:szCs w:val="20"/>
                <w:color w:val="auto"/>
              </w:rPr>
            </w:pPr>
            <w:r>
              <w:rPr>
                <w:rFonts w:ascii="Arial" w:cs="Arial" w:eastAsia="Arial" w:hAnsi="Arial"/>
                <w:sz w:val="12"/>
                <w:szCs w:val="12"/>
                <w:b w:val="1"/>
                <w:bCs w:val="1"/>
                <w:color w:val="auto"/>
                <w:w w:val="98"/>
              </w:rPr>
              <w:t>(Address of principal executive offices)</w:t>
            </w:r>
          </w:p>
        </w:tc>
        <w:tc>
          <w:tcPr>
            <w:tcW w:w="5260" w:type="dxa"/>
            <w:vAlign w:val="bottom"/>
          </w:tcPr>
          <w:p>
            <w:pPr>
              <w:jc w:val="center"/>
              <w:ind w:left="4166"/>
              <w:spacing w:after="0"/>
              <w:rPr>
                <w:sz w:val="20"/>
                <w:szCs w:val="20"/>
                <w:color w:val="auto"/>
              </w:rPr>
            </w:pPr>
            <w:r>
              <w:rPr>
                <w:rFonts w:ascii="Arial" w:cs="Arial" w:eastAsia="Arial" w:hAnsi="Arial"/>
                <w:sz w:val="12"/>
                <w:szCs w:val="12"/>
                <w:b w:val="1"/>
                <w:bCs w:val="1"/>
                <w:color w:val="auto"/>
                <w:w w:val="97"/>
              </w:rPr>
              <w:t>(Zip Code)</w:t>
            </w:r>
          </w:p>
        </w:tc>
        <w:tc>
          <w:tcPr>
            <w:tcW w:w="0" w:type="dxa"/>
            <w:vAlign w:val="bottom"/>
          </w:tcPr>
          <w:p>
            <w:pPr>
              <w:spacing w:after="0"/>
              <w:rPr>
                <w:sz w:val="1"/>
                <w:szCs w:val="1"/>
                <w:color w:val="auto"/>
              </w:rPr>
            </w:pPr>
          </w:p>
        </w:tc>
      </w:tr>
      <w:tr>
        <w:trPr>
          <w:trHeight w:val="275"/>
        </w:trPr>
        <w:tc>
          <w:tcPr>
            <w:tcW w:w="2240" w:type="dxa"/>
            <w:vAlign w:val="bottom"/>
          </w:tcPr>
          <w:p>
            <w:pPr>
              <w:spacing w:after="0"/>
              <w:rPr>
                <w:sz w:val="23"/>
                <w:szCs w:val="23"/>
                <w:color w:val="auto"/>
              </w:rPr>
            </w:pPr>
          </w:p>
        </w:tc>
        <w:tc>
          <w:tcPr>
            <w:tcW w:w="5260" w:type="dxa"/>
            <w:vAlign w:val="bottom"/>
          </w:tcPr>
          <w:p>
            <w:pPr>
              <w:jc w:val="center"/>
              <w:ind w:right="1506"/>
              <w:spacing w:after="0"/>
              <w:rPr>
                <w:sz w:val="20"/>
                <w:szCs w:val="20"/>
                <w:color w:val="auto"/>
              </w:rPr>
            </w:pPr>
            <w:r>
              <w:rPr>
                <w:rFonts w:ascii="Arial" w:cs="Arial" w:eastAsia="Arial" w:hAnsi="Arial"/>
                <w:sz w:val="15"/>
                <w:szCs w:val="15"/>
                <w:b w:val="1"/>
                <w:bCs w:val="1"/>
                <w:color w:val="auto"/>
                <w:w w:val="97"/>
              </w:rPr>
              <w:t>(707) 774-7000</w:t>
            </w: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5260" w:type="dxa"/>
            <w:vAlign w:val="bottom"/>
          </w:tcPr>
          <w:p>
            <w:pPr>
              <w:jc w:val="center"/>
              <w:ind w:right="1526"/>
              <w:spacing w:after="0" w:line="124" w:lineRule="exact"/>
              <w:rPr>
                <w:sz w:val="20"/>
                <w:szCs w:val="20"/>
                <w:color w:val="auto"/>
              </w:rPr>
            </w:pPr>
            <w:r>
              <w:rPr>
                <w:rFonts w:ascii="Arial" w:cs="Arial" w:eastAsia="Arial" w:hAnsi="Arial"/>
                <w:sz w:val="12"/>
                <w:szCs w:val="12"/>
                <w:b w:val="1"/>
                <w:bCs w:val="1"/>
                <w:color w:val="auto"/>
                <w:w w:val="97"/>
              </w:rPr>
              <w:t>(Registrant’s telephone number, including area code)</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5260" w:type="dxa"/>
            <w:vAlign w:val="bottom"/>
          </w:tcPr>
          <w:p>
            <w:pPr>
              <w:jc w:val="center"/>
              <w:ind w:right="1486"/>
              <w:spacing w:after="0"/>
              <w:rPr>
                <w:sz w:val="20"/>
                <w:szCs w:val="20"/>
                <w:color w:val="auto"/>
              </w:rPr>
            </w:pPr>
            <w:r>
              <w:rPr>
                <w:rFonts w:ascii="Arial" w:cs="Arial" w:eastAsia="Arial" w:hAnsi="Arial"/>
                <w:sz w:val="12"/>
                <w:szCs w:val="12"/>
                <w:color w:val="auto"/>
                <w:w w:val="98"/>
              </w:rPr>
              <w:t>____________________________________________</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15"/>
          <w:szCs w:val="15"/>
          <w:color w:val="auto"/>
        </w:rPr>
        <w:t>x</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320"/>
        <w:spacing w:after="0" w:line="28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20" w:top="209" w:right="259" w:bottom="1440" w:gutter="0" w:footer="0" w:header="0"/>
        </w:sectPr>
      </w:pPr>
    </w:p>
    <w:p>
      <w:pPr>
        <w:spacing w:after="0" w:line="95"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125" w:lineRule="exact"/>
        <w:rPr>
          <w:sz w:val="24"/>
          <w:szCs w:val="24"/>
          <w:color w:val="auto"/>
        </w:rPr>
      </w:pPr>
    </w:p>
    <w:p>
      <w:pPr>
        <w:sectPr>
          <w:pgSz w:w="11900" w:h="16838" w:orient="portrait"/>
          <w:cols w:equalWidth="0" w:num="4">
            <w:col w:w="1960" w:space="720"/>
            <w:col w:w="4540" w:space="720"/>
            <w:col w:w="2480" w:space="720"/>
            <w:col w:w="280"/>
          </w:cols>
          <w:pgMar w:left="220" w:top="209" w:right="2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5" w:lineRule="exact"/>
        <w:rPr>
          <w:sz w:val="24"/>
          <w:szCs w:val="24"/>
          <w:color w:val="auto"/>
        </w:rPr>
      </w:pPr>
    </w:p>
    <w:p>
      <w:pPr>
        <w:sectPr>
          <w:pgSz w:w="11900" w:h="16838" w:orient="portrait"/>
          <w:cols w:equalWidth="0" w:num="5">
            <w:col w:w="1960" w:space="720"/>
            <w:col w:w="120" w:space="40"/>
            <w:col w:w="4380" w:space="720"/>
            <w:col w:w="2480" w:space="720"/>
            <w:col w:w="280"/>
          </w:cols>
          <w:pgMar w:left="220" w:top="209" w:right="25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x</w:t>
      </w:r>
    </w:p>
    <w:p>
      <w:pPr>
        <w:spacing w:after="0" w:line="101" w:lineRule="exact"/>
        <w:rPr>
          <w:sz w:val="24"/>
          <w:szCs w:val="24"/>
          <w:color w:val="auto"/>
        </w:rPr>
      </w:pPr>
    </w:p>
    <w:p>
      <w:pPr>
        <w:sectPr>
          <w:pgSz w:w="11900" w:h="16838" w:orient="portrait"/>
          <w:cols w:equalWidth="0" w:num="5">
            <w:col w:w="7380" w:space="160"/>
            <w:col w:w="240" w:space="60"/>
            <w:col w:w="140" w:space="140"/>
            <w:col w:w="200" w:space="80"/>
            <w:col w:w="3020"/>
          </w:cols>
          <w:pgMar w:left="220" w:top="209" w:right="259" w:bottom="1440" w:gutter="0" w:footer="0" w:header="0"/>
          <w:type w:val="continuous"/>
        </w:sectPr>
      </w:pPr>
    </w:p>
    <w:p>
      <w:pPr>
        <w:spacing w:after="0"/>
        <w:rPr>
          <w:sz w:val="20"/>
          <w:szCs w:val="20"/>
          <w:color w:val="auto"/>
        </w:rPr>
      </w:pPr>
      <w:r>
        <w:rPr>
          <w:rFonts w:ascii="Arial" w:cs="Arial" w:eastAsia="Arial" w:hAnsi="Arial"/>
          <w:sz w:val="14"/>
          <w:szCs w:val="14"/>
          <w:color w:val="auto"/>
        </w:rPr>
        <w:t>As of October 31, 2016, there were 61,909,348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71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71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ectPr>
          <w:pgSz w:w="11900" w:h="16838" w:orient="portrait"/>
          <w:cols w:equalWidth="0" w:num="1">
            <w:col w:w="11420"/>
          </w:cols>
          <w:pgMar w:left="220" w:top="209" w:right="259" w:bottom="1440"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ENPHASE ENERGY,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10-Q FOR THE QUARTERLY PERIOD ENDED SEPTEMBER 30, 2016</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80" w:type="dxa"/>
            <w:vAlign w:val="bottom"/>
            <w:tcBorders>
              <w:bottom w:val="single" w:sz="8" w:color="auto"/>
            </w:tcBorders>
            <w:gridSpan w:val="4"/>
          </w:tcPr>
          <w:p>
            <w:pPr>
              <w:ind w:left="5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20" w:type="dxa"/>
            <w:vAlign w:val="bottom"/>
            <w:tcBorders>
              <w:bottom w:val="single" w:sz="8" w:color="0000EE"/>
            </w:tcBorders>
            <w:gridSpan w:val="9"/>
          </w:tcPr>
          <w:p>
            <w:pPr>
              <w:jc w:val="center"/>
              <w:spacing w:after="0" w:line="146" w:lineRule="exact"/>
              <w:rPr>
                <w:rFonts w:ascii="Arial" w:cs="Arial" w:eastAsia="Arial" w:hAnsi="Arial"/>
                <w:sz w:val="15"/>
                <w:szCs w:val="15"/>
                <w:b w:val="1"/>
                <w:bCs w:val="1"/>
                <w:color w:val="0000EE"/>
                <w:w w:val="97"/>
              </w:rPr>
            </w:pPr>
            <w:hyperlink w:anchor="page3">
              <w:r>
                <w:rPr>
                  <w:rFonts w:ascii="Arial" w:cs="Arial" w:eastAsia="Arial" w:hAnsi="Arial"/>
                  <w:sz w:val="15"/>
                  <w:szCs w:val="15"/>
                  <w:b w:val="1"/>
                  <w:bCs w:val="1"/>
                  <w:color w:val="0000EE"/>
                  <w:w w:val="97"/>
                </w:rPr>
                <w:t>PART I. FINANCIAL INFORMATION</w:t>
              </w:r>
            </w:hyperlink>
          </w:p>
        </w:tc>
        <w:tc>
          <w:tcPr>
            <w:tcW w:w="33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900" w:type="dxa"/>
            <w:vAlign w:val="bottom"/>
          </w:tcPr>
          <w:p>
            <w:pPr>
              <w:spacing w:after="0"/>
              <w:rPr>
                <w:sz w:val="20"/>
                <w:szCs w:val="20"/>
                <w:color w:val="auto"/>
              </w:rPr>
            </w:pPr>
            <w:r>
              <w:rPr>
                <w:rFonts w:ascii="Arial" w:cs="Arial" w:eastAsia="Arial" w:hAnsi="Arial"/>
                <w:sz w:val="15"/>
                <w:szCs w:val="15"/>
                <w:color w:val="auto"/>
              </w:rPr>
              <w:t>Item 1.</w:t>
            </w:r>
          </w:p>
        </w:tc>
        <w:tc>
          <w:tcPr>
            <w:tcW w:w="2200" w:type="dxa"/>
            <w:vAlign w:val="bottom"/>
            <w:gridSpan w:val="8"/>
          </w:tcPr>
          <w:p>
            <w:pPr>
              <w:spacing w:after="0"/>
              <w:rPr>
                <w:rFonts w:ascii="Arial" w:cs="Arial" w:eastAsia="Arial" w:hAnsi="Arial"/>
                <w:sz w:val="15"/>
                <w:szCs w:val="15"/>
                <w:color w:val="0000EE"/>
                <w:w w:val="97"/>
              </w:rPr>
            </w:pPr>
            <w:hyperlink w:anchor="page3">
              <w:r>
                <w:rPr>
                  <w:rFonts w:ascii="Arial" w:cs="Arial" w:eastAsia="Arial" w:hAnsi="Arial"/>
                  <w:sz w:val="15"/>
                  <w:szCs w:val="15"/>
                  <w:color w:val="0000EE"/>
                  <w:w w:val="97"/>
                </w:rPr>
                <w:t>Financial Statements (Unaudited)</w:t>
              </w:r>
            </w:hyperlink>
          </w:p>
        </w:tc>
        <w:tc>
          <w:tcPr>
            <w:tcW w:w="6940" w:type="dxa"/>
            <w:vAlign w:val="bottom"/>
            <w:gridSpan w:val="13"/>
          </w:tcPr>
          <w:p>
            <w:pPr>
              <w:spacing w:after="0"/>
              <w:rPr>
                <w:sz w:val="24"/>
                <w:szCs w:val="24"/>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3">
              <w:r>
                <w:rPr>
                  <w:rFonts w:ascii="Arial" w:cs="Arial" w:eastAsia="Arial" w:hAnsi="Arial"/>
                  <w:sz w:val="15"/>
                  <w:szCs w:val="15"/>
                  <w:color w:val="0000EE"/>
                </w:rPr>
                <w:t>3</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16"/>
                <w:szCs w:val="16"/>
                <w:color w:val="auto"/>
              </w:rPr>
            </w:pPr>
          </w:p>
        </w:tc>
        <w:tc>
          <w:tcPr>
            <w:tcW w:w="2740" w:type="dxa"/>
            <w:vAlign w:val="bottom"/>
            <w:tcBorders>
              <w:bottom w:val="single" w:sz="8" w:color="0000EE"/>
            </w:tcBorders>
            <w:gridSpan w:val="9"/>
          </w:tcPr>
          <w:p>
            <w:pPr>
              <w:spacing w:after="0"/>
              <w:rPr>
                <w:rFonts w:ascii="Arial" w:cs="Arial" w:eastAsia="Arial" w:hAnsi="Arial"/>
                <w:sz w:val="15"/>
                <w:szCs w:val="15"/>
                <w:color w:val="0000EE"/>
                <w:w w:val="97"/>
              </w:rPr>
            </w:pPr>
            <w:hyperlink w:anchor="page3">
              <w:r>
                <w:rPr>
                  <w:rFonts w:ascii="Arial" w:cs="Arial" w:eastAsia="Arial" w:hAnsi="Arial"/>
                  <w:sz w:val="15"/>
                  <w:szCs w:val="15"/>
                  <w:color w:val="0000EE"/>
                  <w:w w:val="97"/>
                </w:rPr>
                <w:t>Condensed Consolidated Balance Sheets</w:t>
              </w:r>
            </w:hyperlink>
          </w:p>
        </w:tc>
        <w:tc>
          <w:tcPr>
            <w:tcW w:w="6400" w:type="dxa"/>
            <w:vAlign w:val="bottom"/>
            <w:gridSpan w:val="12"/>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3">
              <w:r>
                <w:rPr>
                  <w:rFonts w:ascii="Arial" w:cs="Arial" w:eastAsia="Arial" w:hAnsi="Arial"/>
                  <w:sz w:val="15"/>
                  <w:szCs w:val="15"/>
                  <w:color w:val="0000EE"/>
                </w:rPr>
                <w:t>3</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380" w:type="dxa"/>
            <w:vAlign w:val="bottom"/>
            <w:gridSpan w:val="11"/>
            <w:vMerge w:val="restart"/>
          </w:tcPr>
          <w:p>
            <w:pPr>
              <w:spacing w:after="0"/>
              <w:rPr>
                <w:rFonts w:ascii="Arial" w:cs="Arial" w:eastAsia="Arial" w:hAnsi="Arial"/>
                <w:sz w:val="15"/>
                <w:szCs w:val="15"/>
                <w:color w:val="0000EE"/>
                <w:w w:val="98"/>
              </w:rPr>
            </w:pPr>
            <w:hyperlink w:anchor="page4">
              <w:r>
                <w:rPr>
                  <w:rFonts w:ascii="Arial" w:cs="Arial" w:eastAsia="Arial" w:hAnsi="Arial"/>
                  <w:sz w:val="15"/>
                  <w:szCs w:val="15"/>
                  <w:color w:val="0000EE"/>
                  <w:w w:val="98"/>
                </w:rPr>
                <w:t>Condensed Consolidated Statements of Operations</w:t>
              </w:r>
            </w:hyperlink>
          </w:p>
        </w:tc>
        <w:tc>
          <w:tcPr>
            <w:tcW w:w="5760" w:type="dxa"/>
            <w:vAlign w:val="bottom"/>
            <w:gridSpan w:val="10"/>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0" w:type="dxa"/>
            <w:vAlign w:val="bottom"/>
          </w:tcPr>
          <w:p>
            <w:pPr>
              <w:spacing w:after="0"/>
              <w:rPr>
                <w:sz w:val="15"/>
                <w:szCs w:val="15"/>
                <w:color w:val="auto"/>
              </w:rPr>
            </w:pPr>
          </w:p>
        </w:tc>
        <w:tc>
          <w:tcPr>
            <w:tcW w:w="3380" w:type="dxa"/>
            <w:vAlign w:val="bottom"/>
            <w:tcBorders>
              <w:bottom w:val="single" w:sz="8" w:color="0000EE"/>
            </w:tcBorders>
            <w:gridSpan w:val="11"/>
            <w:vMerge w:val="continue"/>
          </w:tcPr>
          <w:p>
            <w:pPr>
              <w:spacing w:after="0"/>
              <w:rPr>
                <w:sz w:val="15"/>
                <w:szCs w:val="15"/>
                <w:color w:val="auto"/>
              </w:rPr>
            </w:pPr>
          </w:p>
        </w:tc>
        <w:tc>
          <w:tcPr>
            <w:tcW w:w="5760" w:type="dxa"/>
            <w:vAlign w:val="bottom"/>
            <w:gridSpan w:val="10"/>
            <w:vMerge w:val="continue"/>
          </w:tcPr>
          <w:p>
            <w:pPr>
              <w:spacing w:after="0"/>
              <w:rPr>
                <w:sz w:val="15"/>
                <w:szCs w:val="15"/>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4">
              <w:r>
                <w:rPr>
                  <w:rFonts w:ascii="Arial" w:cs="Arial" w:eastAsia="Arial" w:hAnsi="Arial"/>
                  <w:sz w:val="15"/>
                  <w:szCs w:val="15"/>
                  <w:color w:val="0000EE"/>
                </w:rPr>
                <w:t>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660" w:type="dxa"/>
            <w:vAlign w:val="bottom"/>
            <w:gridSpan w:val="17"/>
            <w:vMerge w:val="restart"/>
          </w:tcPr>
          <w:p>
            <w:pPr>
              <w:spacing w:after="0"/>
              <w:rPr>
                <w:rFonts w:ascii="Arial" w:cs="Arial" w:eastAsia="Arial" w:hAnsi="Arial"/>
                <w:sz w:val="15"/>
                <w:szCs w:val="15"/>
                <w:color w:val="0000EE"/>
                <w:w w:val="97"/>
              </w:rPr>
            </w:pPr>
            <w:hyperlink w:anchor="page5">
              <w:r>
                <w:rPr>
                  <w:rFonts w:ascii="Arial" w:cs="Arial" w:eastAsia="Arial" w:hAnsi="Arial"/>
                  <w:sz w:val="15"/>
                  <w:szCs w:val="15"/>
                  <w:color w:val="0000EE"/>
                  <w:w w:val="97"/>
                </w:rPr>
                <w:t>Condensed Consolidated Statements of Comprehensive Income (Loss)</w:t>
              </w:r>
            </w:hyperlink>
          </w:p>
        </w:tc>
        <w:tc>
          <w:tcPr>
            <w:tcW w:w="4480" w:type="dxa"/>
            <w:vAlign w:val="bottom"/>
            <w:gridSpan w:val="4"/>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00" w:type="dxa"/>
            <w:vAlign w:val="bottom"/>
          </w:tcPr>
          <w:p>
            <w:pPr>
              <w:spacing w:after="0"/>
              <w:rPr>
                <w:sz w:val="15"/>
                <w:szCs w:val="15"/>
                <w:color w:val="auto"/>
              </w:rPr>
            </w:pPr>
          </w:p>
        </w:tc>
        <w:tc>
          <w:tcPr>
            <w:tcW w:w="4660" w:type="dxa"/>
            <w:vAlign w:val="bottom"/>
            <w:tcBorders>
              <w:bottom w:val="single" w:sz="8" w:color="0000EE"/>
            </w:tcBorders>
            <w:gridSpan w:val="17"/>
            <w:vMerge w:val="continue"/>
          </w:tcPr>
          <w:p>
            <w:pPr>
              <w:spacing w:after="0"/>
              <w:rPr>
                <w:sz w:val="15"/>
                <w:szCs w:val="15"/>
                <w:color w:val="auto"/>
              </w:rPr>
            </w:pPr>
          </w:p>
        </w:tc>
        <w:tc>
          <w:tcPr>
            <w:tcW w:w="4480" w:type="dxa"/>
            <w:vAlign w:val="bottom"/>
            <w:gridSpan w:val="4"/>
            <w:vMerge w:val="continue"/>
          </w:tcPr>
          <w:p>
            <w:pPr>
              <w:spacing w:after="0"/>
              <w:rPr>
                <w:sz w:val="15"/>
                <w:szCs w:val="15"/>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
              <w:r>
                <w:rPr>
                  <w:rFonts w:ascii="Arial" w:cs="Arial" w:eastAsia="Arial" w:hAnsi="Arial"/>
                  <w:sz w:val="15"/>
                  <w:szCs w:val="15"/>
                  <w:color w:val="0000EE"/>
                </w:rPr>
                <w:t>5</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140" w:type="dxa"/>
            <w:vAlign w:val="bottom"/>
            <w:gridSpan w:val="21"/>
            <w:vMerge w:val="restart"/>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00" w:type="dxa"/>
            <w:vAlign w:val="bottom"/>
          </w:tcPr>
          <w:p>
            <w:pPr>
              <w:spacing w:after="0"/>
              <w:rPr>
                <w:sz w:val="15"/>
                <w:szCs w:val="15"/>
                <w:color w:val="auto"/>
              </w:rPr>
            </w:pPr>
          </w:p>
        </w:tc>
        <w:tc>
          <w:tcPr>
            <w:tcW w:w="9140" w:type="dxa"/>
            <w:vAlign w:val="bottom"/>
            <w:gridSpan w:val="21"/>
            <w:vMerge w:val="continue"/>
          </w:tcPr>
          <w:p>
            <w:pPr>
              <w:spacing w:after="0"/>
              <w:rPr>
                <w:sz w:val="15"/>
                <w:szCs w:val="15"/>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6">
              <w:r>
                <w:rPr>
                  <w:rFonts w:ascii="Arial" w:cs="Arial" w:eastAsia="Arial" w:hAnsi="Arial"/>
                  <w:sz w:val="15"/>
                  <w:szCs w:val="15"/>
                  <w:color w:val="0000EE"/>
                </w:rPr>
                <w:t>6</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00" w:type="dxa"/>
            <w:vAlign w:val="bottom"/>
          </w:tcPr>
          <w:p>
            <w:pPr>
              <w:spacing w:after="0"/>
              <w:rPr>
                <w:sz w:val="15"/>
                <w:szCs w:val="15"/>
                <w:color w:val="auto"/>
              </w:rPr>
            </w:pPr>
          </w:p>
        </w:tc>
        <w:tc>
          <w:tcPr>
            <w:tcW w:w="3860" w:type="dxa"/>
            <w:vAlign w:val="bottom"/>
            <w:gridSpan w:val="15"/>
          </w:tcPr>
          <w:p>
            <w:pPr>
              <w:spacing w:after="0" w:line="170"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5280" w:type="dxa"/>
            <w:vAlign w:val="bottom"/>
            <w:gridSpan w:val="6"/>
          </w:tcPr>
          <w:p>
            <w:pPr>
              <w:spacing w:after="0"/>
              <w:rPr>
                <w:sz w:val="15"/>
                <w:szCs w:val="15"/>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7">
              <w:r>
                <w:rPr>
                  <w:rFonts w:ascii="Arial" w:cs="Arial" w:eastAsia="Arial" w:hAnsi="Arial"/>
                  <w:sz w:val="15"/>
                  <w:szCs w:val="15"/>
                  <w:color w:val="0000EE"/>
                </w:rPr>
                <w:t>7</w:t>
              </w:r>
            </w:hyperlink>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0" w:type="dxa"/>
            <w:vAlign w:val="bottom"/>
          </w:tcPr>
          <w:p>
            <w:pPr>
              <w:spacing w:after="0"/>
              <w:rPr>
                <w:sz w:val="20"/>
                <w:szCs w:val="20"/>
                <w:color w:val="auto"/>
              </w:rPr>
            </w:pPr>
            <w:r>
              <w:rPr>
                <w:rFonts w:ascii="Arial" w:cs="Arial" w:eastAsia="Arial" w:hAnsi="Arial"/>
                <w:sz w:val="15"/>
                <w:szCs w:val="15"/>
                <w:color w:val="auto"/>
              </w:rPr>
              <w:t>Item 2.</w:t>
            </w:r>
          </w:p>
        </w:tc>
        <w:tc>
          <w:tcPr>
            <w:tcW w:w="9140" w:type="dxa"/>
            <w:vAlign w:val="bottom"/>
            <w:gridSpan w:val="21"/>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Management’s Discussion and Analysis of Financial Condition and Results of Operations</w:t>
              </w:r>
            </w:hyperlink>
          </w:p>
        </w:tc>
        <w:tc>
          <w:tcPr>
            <w:tcW w:w="1380" w:type="dxa"/>
            <w:vAlign w:val="bottom"/>
            <w:gridSpan w:val="4"/>
          </w:tcPr>
          <w:p>
            <w:pPr>
              <w:jc w:val="right"/>
              <w:ind w:right="20"/>
              <w:spacing w:after="0"/>
              <w:rPr>
                <w:rFonts w:ascii="Arial" w:cs="Arial" w:eastAsia="Arial" w:hAnsi="Arial"/>
                <w:sz w:val="15"/>
                <w:szCs w:val="15"/>
                <w:color w:val="0000EE"/>
              </w:rPr>
            </w:pPr>
            <w:hyperlink w:anchor="page19">
              <w:r>
                <w:rPr>
                  <w:rFonts w:ascii="Arial" w:cs="Arial" w:eastAsia="Arial" w:hAnsi="Arial"/>
                  <w:sz w:val="15"/>
                  <w:szCs w:val="15"/>
                  <w:color w:val="0000EE"/>
                </w:rPr>
                <w:t>19</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3.</w:t>
            </w:r>
          </w:p>
        </w:tc>
        <w:tc>
          <w:tcPr>
            <w:tcW w:w="5800" w:type="dxa"/>
            <w:vAlign w:val="bottom"/>
            <w:gridSpan w:val="20"/>
          </w:tcPr>
          <w:p>
            <w:pPr>
              <w:spacing w:after="0"/>
              <w:rPr>
                <w:rFonts w:ascii="Arial" w:cs="Arial" w:eastAsia="Arial" w:hAnsi="Arial"/>
                <w:sz w:val="15"/>
                <w:szCs w:val="15"/>
                <w:color w:val="0000EE"/>
              </w:rPr>
            </w:pPr>
            <w:hyperlink w:anchor="page28">
              <w:r>
                <w:rPr>
                  <w:rFonts w:ascii="Arial" w:cs="Arial" w:eastAsia="Arial" w:hAnsi="Arial"/>
                  <w:sz w:val="15"/>
                  <w:szCs w:val="15"/>
                  <w:color w:val="0000EE"/>
                </w:rPr>
                <w:t>Quantitative and Qualitative Disclosures About Market Risk</w:t>
              </w:r>
            </w:hyperlink>
          </w:p>
        </w:tc>
        <w:tc>
          <w:tcPr>
            <w:tcW w:w="3340" w:type="dxa"/>
            <w:vAlign w:val="bottom"/>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28">
              <w:r>
                <w:rPr>
                  <w:rFonts w:ascii="Arial" w:cs="Arial" w:eastAsia="Arial" w:hAnsi="Arial"/>
                  <w:sz w:val="15"/>
                  <w:szCs w:val="15"/>
                  <w:color w:val="0000EE"/>
                </w:rPr>
                <w:t>28</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4.</w:t>
            </w:r>
          </w:p>
        </w:tc>
        <w:tc>
          <w:tcPr>
            <w:tcW w:w="3860" w:type="dxa"/>
            <w:vAlign w:val="bottom"/>
            <w:gridSpan w:val="15"/>
          </w:tcPr>
          <w:p>
            <w:pPr>
              <w:spacing w:after="0"/>
              <w:rPr>
                <w:rFonts w:ascii="Arial" w:cs="Arial" w:eastAsia="Arial" w:hAnsi="Arial"/>
                <w:sz w:val="15"/>
                <w:szCs w:val="15"/>
                <w:color w:val="0000EE"/>
              </w:rPr>
            </w:pPr>
            <w:hyperlink w:anchor="page28">
              <w:r>
                <w:rPr>
                  <w:rFonts w:ascii="Arial" w:cs="Arial" w:eastAsia="Arial" w:hAnsi="Arial"/>
                  <w:sz w:val="15"/>
                  <w:szCs w:val="15"/>
                  <w:color w:val="0000EE"/>
                </w:rPr>
                <w:t>Controls and Procedures</w:t>
              </w:r>
            </w:hyperlink>
          </w:p>
        </w:tc>
        <w:tc>
          <w:tcPr>
            <w:tcW w:w="5280" w:type="dxa"/>
            <w:vAlign w:val="bottom"/>
            <w:gridSpan w:val="6"/>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28">
              <w:r>
                <w:rPr>
                  <w:rFonts w:ascii="Arial" w:cs="Arial" w:eastAsia="Arial" w:hAnsi="Arial"/>
                  <w:sz w:val="15"/>
                  <w:szCs w:val="15"/>
                  <w:color w:val="0000EE"/>
                </w:rPr>
                <w:t>28</w:t>
              </w:r>
            </w:hyperlink>
          </w:p>
        </w:tc>
        <w:tc>
          <w:tcPr>
            <w:tcW w:w="0" w:type="dxa"/>
            <w:vAlign w:val="bottom"/>
          </w:tcPr>
          <w:p>
            <w:pPr>
              <w:spacing w:after="0"/>
              <w:rPr>
                <w:sz w:val="1"/>
                <w:szCs w:val="1"/>
                <w:color w:val="auto"/>
              </w:rPr>
            </w:pPr>
          </w:p>
        </w:tc>
      </w:tr>
      <w:tr>
        <w:trPr>
          <w:trHeight w:val="289"/>
        </w:trPr>
        <w:tc>
          <w:tcPr>
            <w:tcW w:w="9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9"/>
          </w:tcPr>
          <w:p>
            <w:pPr>
              <w:jc w:val="center"/>
              <w:ind w:right="3420"/>
              <w:spacing w:after="0"/>
              <w:rPr>
                <w:rFonts w:ascii="Arial" w:cs="Arial" w:eastAsia="Arial" w:hAnsi="Arial"/>
                <w:sz w:val="15"/>
                <w:szCs w:val="15"/>
                <w:b w:val="1"/>
                <w:bCs w:val="1"/>
                <w:color w:val="0000EE"/>
                <w:w w:val="97"/>
              </w:rPr>
            </w:pPr>
            <w:hyperlink w:anchor="page29">
              <w:r>
                <w:rPr>
                  <w:rFonts w:ascii="Arial" w:cs="Arial" w:eastAsia="Arial" w:hAnsi="Arial"/>
                  <w:sz w:val="15"/>
                  <w:szCs w:val="15"/>
                  <w:b w:val="1"/>
                  <w:bCs w:val="1"/>
                  <w:color w:val="0000EE"/>
                  <w:w w:val="97"/>
                </w:rPr>
                <w:t>PART II. OTHER INFORMATION</w:t>
              </w:r>
            </w:hyperlink>
          </w:p>
        </w:tc>
        <w:tc>
          <w:tcPr>
            <w:tcW w:w="1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900" w:type="dxa"/>
            <w:vAlign w:val="bottom"/>
          </w:tcPr>
          <w:p>
            <w:pPr>
              <w:spacing w:after="0"/>
              <w:rPr>
                <w:sz w:val="20"/>
                <w:szCs w:val="20"/>
                <w:color w:val="auto"/>
              </w:rPr>
            </w:pPr>
            <w:r>
              <w:rPr>
                <w:rFonts w:ascii="Arial" w:cs="Arial" w:eastAsia="Arial" w:hAnsi="Arial"/>
                <w:sz w:val="15"/>
                <w:szCs w:val="15"/>
                <w:color w:val="auto"/>
              </w:rPr>
              <w:t>Item 1.</w:t>
            </w:r>
          </w:p>
        </w:tc>
        <w:tc>
          <w:tcPr>
            <w:tcW w:w="3480" w:type="dxa"/>
            <w:vAlign w:val="bottom"/>
            <w:gridSpan w:val="13"/>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Legal Proceedings</w:t>
              </w:r>
            </w:hyperlink>
          </w:p>
        </w:tc>
        <w:tc>
          <w:tcPr>
            <w:tcW w:w="2180" w:type="dxa"/>
            <w:vAlign w:val="bottom"/>
            <w:tcBorders>
              <w:top w:val="single" w:sz="8" w:color="0000EE"/>
            </w:tcBorders>
            <w:gridSpan w:val="5"/>
          </w:tcPr>
          <w:p>
            <w:pPr>
              <w:spacing w:after="0"/>
              <w:rPr>
                <w:sz w:val="24"/>
                <w:szCs w:val="24"/>
                <w:color w:val="auto"/>
              </w:rPr>
            </w:pPr>
          </w:p>
        </w:tc>
        <w:tc>
          <w:tcPr>
            <w:tcW w:w="3480" w:type="dxa"/>
            <w:vAlign w:val="bottom"/>
            <w:gridSpan w:val="3"/>
          </w:tcPr>
          <w:p>
            <w:pPr>
              <w:spacing w:after="0"/>
              <w:rPr>
                <w:sz w:val="24"/>
                <w:szCs w:val="24"/>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29">
              <w:r>
                <w:rPr>
                  <w:rFonts w:ascii="Arial" w:cs="Arial" w:eastAsia="Arial" w:hAnsi="Arial"/>
                  <w:sz w:val="15"/>
                  <w:szCs w:val="15"/>
                  <w:color w:val="0000EE"/>
                </w:rPr>
                <w:t>29</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1A.</w:t>
            </w:r>
          </w:p>
        </w:tc>
        <w:tc>
          <w:tcPr>
            <w:tcW w:w="1160" w:type="dxa"/>
            <w:vAlign w:val="bottom"/>
            <w:gridSpan w:val="4"/>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Risk Factors</w:t>
              </w:r>
            </w:hyperlink>
          </w:p>
        </w:tc>
        <w:tc>
          <w:tcPr>
            <w:tcW w:w="7980" w:type="dxa"/>
            <w:vAlign w:val="bottom"/>
            <w:gridSpan w:val="17"/>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29">
              <w:r>
                <w:rPr>
                  <w:rFonts w:ascii="Arial" w:cs="Arial" w:eastAsia="Arial" w:hAnsi="Arial"/>
                  <w:sz w:val="15"/>
                  <w:szCs w:val="15"/>
                  <w:color w:val="0000EE"/>
                </w:rPr>
                <w:t>29</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2.</w:t>
            </w:r>
          </w:p>
        </w:tc>
        <w:tc>
          <w:tcPr>
            <w:tcW w:w="3980" w:type="dxa"/>
            <w:vAlign w:val="bottom"/>
            <w:gridSpan w:val="16"/>
          </w:tcPr>
          <w:p>
            <w:pPr>
              <w:spacing w:after="0"/>
              <w:rPr>
                <w:rFonts w:ascii="Arial" w:cs="Arial" w:eastAsia="Arial" w:hAnsi="Arial"/>
                <w:sz w:val="15"/>
                <w:szCs w:val="15"/>
                <w:color w:val="0000EE"/>
                <w:w w:val="97"/>
              </w:rPr>
            </w:pPr>
            <w:hyperlink w:anchor="page50">
              <w:r>
                <w:rPr>
                  <w:rFonts w:ascii="Arial" w:cs="Arial" w:eastAsia="Arial" w:hAnsi="Arial"/>
                  <w:sz w:val="15"/>
                  <w:szCs w:val="15"/>
                  <w:color w:val="0000EE"/>
                  <w:w w:val="97"/>
                </w:rPr>
                <w:t>Unregistered Sales of Equity Securities and Use of Proceeds</w:t>
              </w:r>
            </w:hyperlink>
          </w:p>
        </w:tc>
        <w:tc>
          <w:tcPr>
            <w:tcW w:w="5160" w:type="dxa"/>
            <w:vAlign w:val="bottom"/>
            <w:gridSpan w:val="5"/>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0">
              <w:r>
                <w:rPr>
                  <w:rFonts w:ascii="Arial" w:cs="Arial" w:eastAsia="Arial" w:hAnsi="Arial"/>
                  <w:sz w:val="15"/>
                  <w:szCs w:val="15"/>
                  <w:color w:val="0000EE"/>
                </w:rPr>
                <w:t>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gridSpan w:val="9"/>
            <w:shd w:val="clear" w:color="auto" w:fill="0000EE"/>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3.</w:t>
            </w:r>
          </w:p>
        </w:tc>
        <w:tc>
          <w:tcPr>
            <w:tcW w:w="2100" w:type="dxa"/>
            <w:vAlign w:val="bottom"/>
            <w:gridSpan w:val="7"/>
          </w:tcPr>
          <w:p>
            <w:pPr>
              <w:spacing w:after="0"/>
              <w:rPr>
                <w:rFonts w:ascii="Arial" w:cs="Arial" w:eastAsia="Arial" w:hAnsi="Arial"/>
                <w:sz w:val="15"/>
                <w:szCs w:val="15"/>
                <w:color w:val="0000EE"/>
                <w:w w:val="97"/>
              </w:rPr>
            </w:pPr>
            <w:hyperlink w:anchor="page50">
              <w:r>
                <w:rPr>
                  <w:rFonts w:ascii="Arial" w:cs="Arial" w:eastAsia="Arial" w:hAnsi="Arial"/>
                  <w:sz w:val="15"/>
                  <w:szCs w:val="15"/>
                  <w:color w:val="0000EE"/>
                  <w:w w:val="97"/>
                </w:rPr>
                <w:t>Defaults Upon Senior Securities</w:t>
              </w:r>
            </w:hyperlink>
          </w:p>
        </w:tc>
        <w:tc>
          <w:tcPr>
            <w:tcW w:w="1880" w:type="dxa"/>
            <w:vAlign w:val="bottom"/>
            <w:gridSpan w:val="9"/>
          </w:tcPr>
          <w:p>
            <w:pPr>
              <w:spacing w:after="0"/>
              <w:rPr>
                <w:sz w:val="16"/>
                <w:szCs w:val="16"/>
                <w:color w:val="auto"/>
              </w:rPr>
            </w:pPr>
          </w:p>
        </w:tc>
        <w:tc>
          <w:tcPr>
            <w:tcW w:w="5160" w:type="dxa"/>
            <w:vAlign w:val="bottom"/>
            <w:gridSpan w:val="5"/>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0">
              <w:r>
                <w:rPr>
                  <w:rFonts w:ascii="Arial" w:cs="Arial" w:eastAsia="Arial" w:hAnsi="Arial"/>
                  <w:sz w:val="15"/>
                  <w:szCs w:val="15"/>
                  <w:color w:val="0000EE"/>
                </w:rPr>
                <w:t>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40" w:type="dxa"/>
            <w:vAlign w:val="bottom"/>
            <w:gridSpan w:val="1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4.</w:t>
            </w:r>
          </w:p>
        </w:tc>
        <w:tc>
          <w:tcPr>
            <w:tcW w:w="2100" w:type="dxa"/>
            <w:vAlign w:val="bottom"/>
            <w:gridSpan w:val="7"/>
          </w:tcPr>
          <w:p>
            <w:pPr>
              <w:spacing w:after="0"/>
              <w:rPr>
                <w:rFonts w:ascii="Arial" w:cs="Arial" w:eastAsia="Arial" w:hAnsi="Arial"/>
                <w:sz w:val="15"/>
                <w:szCs w:val="15"/>
                <w:color w:val="0000EE"/>
              </w:rPr>
            </w:pPr>
            <w:hyperlink w:anchor="page50">
              <w:r>
                <w:rPr>
                  <w:rFonts w:ascii="Arial" w:cs="Arial" w:eastAsia="Arial" w:hAnsi="Arial"/>
                  <w:sz w:val="15"/>
                  <w:szCs w:val="15"/>
                  <w:color w:val="0000EE"/>
                </w:rPr>
                <w:t>Mine Safety Disclosures</w:t>
              </w:r>
            </w:hyperlink>
          </w:p>
        </w:tc>
        <w:tc>
          <w:tcPr>
            <w:tcW w:w="7040" w:type="dxa"/>
            <w:vAlign w:val="bottom"/>
            <w:gridSpan w:val="14"/>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0">
              <w:r>
                <w:rPr>
                  <w:rFonts w:ascii="Arial" w:cs="Arial" w:eastAsia="Arial" w:hAnsi="Arial"/>
                  <w:sz w:val="15"/>
                  <w:szCs w:val="15"/>
                  <w:color w:val="0000EE"/>
                </w:rPr>
                <w:t>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5.</w:t>
            </w:r>
          </w:p>
        </w:tc>
        <w:tc>
          <w:tcPr>
            <w:tcW w:w="1160" w:type="dxa"/>
            <w:vAlign w:val="bottom"/>
            <w:gridSpan w:val="4"/>
          </w:tcPr>
          <w:p>
            <w:pPr>
              <w:spacing w:after="0"/>
              <w:rPr>
                <w:rFonts w:ascii="Arial" w:cs="Arial" w:eastAsia="Arial" w:hAnsi="Arial"/>
                <w:sz w:val="15"/>
                <w:szCs w:val="15"/>
                <w:color w:val="0000EE"/>
                <w:w w:val="95"/>
              </w:rPr>
            </w:pPr>
            <w:hyperlink w:anchor="page50">
              <w:r>
                <w:rPr>
                  <w:rFonts w:ascii="Arial" w:cs="Arial" w:eastAsia="Arial" w:hAnsi="Arial"/>
                  <w:sz w:val="15"/>
                  <w:szCs w:val="15"/>
                  <w:color w:val="0000EE"/>
                  <w:w w:val="95"/>
                </w:rPr>
                <w:t>Other Information</w:t>
              </w:r>
            </w:hyperlink>
          </w:p>
        </w:tc>
        <w:tc>
          <w:tcPr>
            <w:tcW w:w="420" w:type="dxa"/>
            <w:vAlign w:val="bottom"/>
          </w:tcPr>
          <w:p>
            <w:pPr>
              <w:spacing w:after="0"/>
              <w:rPr>
                <w:sz w:val="16"/>
                <w:szCs w:val="16"/>
                <w:color w:val="auto"/>
              </w:rPr>
            </w:pPr>
          </w:p>
        </w:tc>
        <w:tc>
          <w:tcPr>
            <w:tcW w:w="7560" w:type="dxa"/>
            <w:vAlign w:val="bottom"/>
            <w:gridSpan w:val="16"/>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0">
              <w:r>
                <w:rPr>
                  <w:rFonts w:ascii="Arial" w:cs="Arial" w:eastAsia="Arial" w:hAnsi="Arial"/>
                  <w:sz w:val="15"/>
                  <w:szCs w:val="15"/>
                  <w:color w:val="0000EE"/>
                </w:rPr>
                <w:t>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98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20"/>
                <w:szCs w:val="20"/>
                <w:color w:val="auto"/>
              </w:rPr>
            </w:pPr>
            <w:r>
              <w:rPr>
                <w:rFonts w:ascii="Arial" w:cs="Arial" w:eastAsia="Arial" w:hAnsi="Arial"/>
                <w:sz w:val="15"/>
                <w:szCs w:val="15"/>
                <w:color w:val="auto"/>
              </w:rPr>
              <w:t>Item 6.</w:t>
            </w:r>
          </w:p>
        </w:tc>
        <w:tc>
          <w:tcPr>
            <w:tcW w:w="1160" w:type="dxa"/>
            <w:vAlign w:val="bottom"/>
            <w:gridSpan w:val="4"/>
          </w:tcPr>
          <w:p>
            <w:pPr>
              <w:spacing w:after="0"/>
              <w:rPr>
                <w:rFonts w:ascii="Arial" w:cs="Arial" w:eastAsia="Arial" w:hAnsi="Arial"/>
                <w:sz w:val="15"/>
                <w:szCs w:val="15"/>
                <w:color w:val="0000EE"/>
              </w:rPr>
            </w:pPr>
            <w:hyperlink w:anchor="page50">
              <w:r>
                <w:rPr>
                  <w:rFonts w:ascii="Arial" w:cs="Arial" w:eastAsia="Arial" w:hAnsi="Arial"/>
                  <w:sz w:val="15"/>
                  <w:szCs w:val="15"/>
                  <w:color w:val="0000EE"/>
                </w:rPr>
                <w:t>Exhibits</w:t>
              </w:r>
            </w:hyperlink>
          </w:p>
        </w:tc>
        <w:tc>
          <w:tcPr>
            <w:tcW w:w="7980" w:type="dxa"/>
            <w:vAlign w:val="bottom"/>
            <w:gridSpan w:val="17"/>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0">
              <w:r>
                <w:rPr>
                  <w:rFonts w:ascii="Arial" w:cs="Arial" w:eastAsia="Arial" w:hAnsi="Arial"/>
                  <w:sz w:val="15"/>
                  <w:szCs w:val="15"/>
                  <w:color w:val="0000EE"/>
                </w:rPr>
                <w:t>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 w:type="dxa"/>
            <w:vAlign w:val="bottom"/>
          </w:tcPr>
          <w:p>
            <w:pPr>
              <w:spacing w:after="0"/>
              <w:rPr>
                <w:sz w:val="16"/>
                <w:szCs w:val="16"/>
                <w:color w:val="auto"/>
              </w:rPr>
            </w:pPr>
          </w:p>
        </w:tc>
        <w:tc>
          <w:tcPr>
            <w:tcW w:w="640" w:type="dxa"/>
            <w:vAlign w:val="bottom"/>
            <w:gridSpan w:val="2"/>
          </w:tcPr>
          <w:p>
            <w:pPr>
              <w:spacing w:after="0"/>
              <w:rPr>
                <w:rFonts w:ascii="Arial" w:cs="Arial" w:eastAsia="Arial" w:hAnsi="Arial"/>
                <w:sz w:val="15"/>
                <w:szCs w:val="15"/>
                <w:color w:val="0000EE"/>
                <w:w w:val="96"/>
              </w:rPr>
            </w:pPr>
            <w:hyperlink w:anchor="page51">
              <w:r>
                <w:rPr>
                  <w:rFonts w:ascii="Arial" w:cs="Arial" w:eastAsia="Arial" w:hAnsi="Arial"/>
                  <w:sz w:val="15"/>
                  <w:szCs w:val="15"/>
                  <w:color w:val="0000EE"/>
                  <w:w w:val="96"/>
                </w:rPr>
                <w:t>Signature</w:t>
              </w:r>
            </w:hyperlink>
          </w:p>
        </w:tc>
        <w:tc>
          <w:tcPr>
            <w:tcW w:w="8500" w:type="dxa"/>
            <w:vAlign w:val="bottom"/>
            <w:gridSpan w:val="19"/>
          </w:tcPr>
          <w:p>
            <w:pPr>
              <w:spacing w:after="0"/>
              <w:rPr>
                <w:sz w:val="16"/>
                <w:szCs w:val="16"/>
                <w:color w:val="auto"/>
              </w:rPr>
            </w:pPr>
          </w:p>
        </w:tc>
        <w:tc>
          <w:tcPr>
            <w:tcW w:w="1380" w:type="dxa"/>
            <w:vAlign w:val="bottom"/>
            <w:gridSpan w:val="4"/>
          </w:tcPr>
          <w:p>
            <w:pPr>
              <w:jc w:val="right"/>
              <w:ind w:right="20"/>
              <w:spacing w:after="0"/>
              <w:rPr>
                <w:rFonts w:ascii="Arial" w:cs="Arial" w:eastAsia="Arial" w:hAnsi="Arial"/>
                <w:sz w:val="15"/>
                <w:szCs w:val="15"/>
                <w:color w:val="0000EE"/>
              </w:rPr>
            </w:pPr>
            <w:hyperlink w:anchor="page51">
              <w:r>
                <w:rPr>
                  <w:rFonts w:ascii="Arial" w:cs="Arial" w:eastAsia="Arial" w:hAnsi="Arial"/>
                  <w:sz w:val="15"/>
                  <w:szCs w:val="15"/>
                  <w:color w:val="0000EE"/>
                </w:rPr>
                <w:t>51</w:t>
              </w:r>
            </w:hyperlink>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12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380" w:type="dxa"/>
            <w:vAlign w:val="bottom"/>
            <w:gridSpan w:val="3"/>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Table of Contents</w:t>
              </w:r>
            </w:hyperlink>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20" w:type="dxa"/>
            <w:vAlign w:val="bottom"/>
          </w:tcPr>
          <w:p>
            <w:pPr>
              <w:jc w:val="center"/>
              <w:ind w:left="1846"/>
              <w:spacing w:after="0"/>
              <w:rPr>
                <w:sz w:val="20"/>
                <w:szCs w:val="20"/>
                <w:color w:val="auto"/>
              </w:rPr>
            </w:pPr>
            <w:r>
              <w:rPr>
                <w:rFonts w:ascii="Arial" w:cs="Arial" w:eastAsia="Arial" w:hAnsi="Arial"/>
                <w:sz w:val="15"/>
                <w:szCs w:val="15"/>
                <w:b w:val="1"/>
                <w:bCs w:val="1"/>
                <w:color w:val="auto"/>
                <w:w w:val="97"/>
              </w:rPr>
              <w:t>PART I. FINANCIAL INFORMATION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040" w:type="dxa"/>
            <w:vAlign w:val="bottom"/>
          </w:tcPr>
          <w:p>
            <w:pPr>
              <w:ind w:left="40"/>
              <w:spacing w:after="0"/>
              <w:rPr>
                <w:sz w:val="20"/>
                <w:szCs w:val="20"/>
                <w:color w:val="auto"/>
              </w:rPr>
            </w:pPr>
            <w:r>
              <w:rPr>
                <w:rFonts w:ascii="Arial" w:cs="Arial" w:eastAsia="Arial" w:hAnsi="Arial"/>
                <w:sz w:val="15"/>
                <w:szCs w:val="15"/>
                <w:b w:val="1"/>
                <w:bCs w:val="1"/>
                <w:color w:val="auto"/>
              </w:rPr>
              <w:t>Item 1.</w:t>
            </w:r>
          </w:p>
        </w:tc>
        <w:tc>
          <w:tcPr>
            <w:tcW w:w="7340" w:type="dxa"/>
            <w:vAlign w:val="bottom"/>
            <w:gridSpan w:val="2"/>
          </w:tcPr>
          <w:p>
            <w:pPr>
              <w:ind w:left="20"/>
              <w:spacing w:after="0"/>
              <w:rPr>
                <w:sz w:val="20"/>
                <w:szCs w:val="20"/>
                <w:color w:val="auto"/>
              </w:rPr>
            </w:pPr>
            <w:r>
              <w:rPr>
                <w:rFonts w:ascii="Arial" w:cs="Arial" w:eastAsia="Arial" w:hAnsi="Arial"/>
                <w:sz w:val="15"/>
                <w:szCs w:val="15"/>
                <w:b w:val="1"/>
                <w:bCs w:val="1"/>
                <w:color w:val="auto"/>
              </w:rPr>
              <w:t>Financial Statements (Unaudited)</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Pr>
          <w:p>
            <w:pPr>
              <w:jc w:val="center"/>
              <w:ind w:left="1846"/>
              <w:spacing w:after="0"/>
              <w:rPr>
                <w:sz w:val="20"/>
                <w:szCs w:val="20"/>
                <w:color w:val="auto"/>
              </w:rPr>
            </w:pPr>
            <w:r>
              <w:rPr>
                <w:rFonts w:ascii="Arial" w:cs="Arial" w:eastAsia="Arial" w:hAnsi="Arial"/>
                <w:sz w:val="15"/>
                <w:szCs w:val="15"/>
                <w:b w:val="1"/>
                <w:bCs w:val="1"/>
                <w:color w:val="auto"/>
                <w:w w:val="97"/>
              </w:rPr>
              <w:t>ENPHASE ENERGY,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20" w:type="dxa"/>
            <w:vAlign w:val="bottom"/>
          </w:tcPr>
          <w:p>
            <w:pPr>
              <w:jc w:val="center"/>
              <w:ind w:left="1846"/>
              <w:spacing w:after="0"/>
              <w:rPr>
                <w:sz w:val="20"/>
                <w:szCs w:val="20"/>
                <w:color w:val="auto"/>
              </w:rPr>
            </w:pPr>
            <w:r>
              <w:rPr>
                <w:rFonts w:ascii="Arial" w:cs="Arial" w:eastAsia="Arial" w:hAnsi="Arial"/>
                <w:sz w:val="15"/>
                <w:szCs w:val="15"/>
                <w:b w:val="1"/>
                <w:bCs w:val="1"/>
                <w:color w:val="auto"/>
                <w:w w:val="97"/>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20" w:type="dxa"/>
            <w:vAlign w:val="bottom"/>
          </w:tcPr>
          <w:p>
            <w:pPr>
              <w:jc w:val="center"/>
              <w:ind w:left="1846"/>
              <w:spacing w:after="0"/>
              <w:rPr>
                <w:sz w:val="20"/>
                <w:szCs w:val="20"/>
                <w:color w:val="auto"/>
              </w:rPr>
            </w:pPr>
            <w:r>
              <w:rPr>
                <w:rFonts w:ascii="Arial" w:cs="Arial" w:eastAsia="Arial" w:hAnsi="Arial"/>
                <w:sz w:val="15"/>
                <w:szCs w:val="15"/>
                <w:b w:val="1"/>
                <w:bCs w:val="1"/>
                <w:color w:val="auto"/>
                <w:w w:val="98"/>
              </w:rPr>
              <w:t>(In thousands, except par value)</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20" w:type="dxa"/>
            <w:vAlign w:val="bottom"/>
          </w:tcPr>
          <w:p>
            <w:pPr>
              <w:jc w:val="center"/>
              <w:ind w:left="1846"/>
              <w:spacing w:after="0"/>
              <w:rPr>
                <w:sz w:val="20"/>
                <w:szCs w:val="20"/>
                <w:color w:val="auto"/>
              </w:rPr>
            </w:pPr>
            <w:r>
              <w:rPr>
                <w:rFonts w:ascii="Arial" w:cs="Arial" w:eastAsia="Arial" w:hAnsi="Arial"/>
                <w:sz w:val="15"/>
                <w:szCs w:val="15"/>
                <w:b w:val="1"/>
                <w:bCs w:val="1"/>
                <w:color w:val="auto"/>
                <w:w w:val="98"/>
              </w:rPr>
              <w:t>(Unaudited)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21"/>
                <w:szCs w:val="21"/>
                <w:color w:val="auto"/>
              </w:rPr>
            </w:pPr>
          </w:p>
        </w:tc>
        <w:tc>
          <w:tcPr>
            <w:tcW w:w="1260" w:type="dxa"/>
            <w:vAlign w:val="bottom"/>
          </w:tcPr>
          <w:p>
            <w:pPr>
              <w:jc w:val="right"/>
              <w:ind w:right="287"/>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7"/>
        </w:trPr>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12"/>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20" w:type="dxa"/>
            <w:vAlign w:val="bottom"/>
            <w:shd w:val="clear" w:color="auto" w:fill="CCEEFF"/>
          </w:tcPr>
          <w:p>
            <w:pPr>
              <w:jc w:val="center"/>
              <w:ind w:right="1086"/>
              <w:spacing w:after="0"/>
              <w:rPr>
                <w:sz w:val="20"/>
                <w:szCs w:val="20"/>
                <w:color w:val="auto"/>
              </w:rPr>
            </w:pPr>
            <w:r>
              <w:rPr>
                <w:rFonts w:ascii="Arial" w:cs="Arial" w:eastAsia="Arial" w:hAnsi="Arial"/>
                <w:sz w:val="15"/>
                <w:szCs w:val="15"/>
                <w:b w:val="1"/>
                <w:bCs w:val="1"/>
                <w:color w:val="auto"/>
                <w:w w:val="96"/>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40" w:type="dxa"/>
            <w:vAlign w:val="bottom"/>
          </w:tcPr>
          <w:p>
            <w:pPr>
              <w:ind w:left="40"/>
              <w:spacing w:after="0"/>
              <w:rPr>
                <w:sz w:val="20"/>
                <w:szCs w:val="20"/>
                <w:color w:val="auto"/>
              </w:rPr>
            </w:pPr>
            <w:r>
              <w:rPr>
                <w:rFonts w:ascii="Arial" w:cs="Arial" w:eastAsia="Arial" w:hAnsi="Arial"/>
                <w:sz w:val="15"/>
                <w:szCs w:val="15"/>
                <w:color w:val="auto"/>
                <w:w w:val="96"/>
              </w:rPr>
              <w:t>Current assets:</w:t>
            </w:r>
          </w:p>
        </w:tc>
        <w:tc>
          <w:tcPr>
            <w:tcW w:w="1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24,112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28,452</w:t>
            </w: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w w:val="98"/>
              </w:rPr>
              <w:t>Accounts receivable, net of allowances of $5,002 and $1,808 at September 30, 2016 and December 31, 2015, respectively</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59,482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46,099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Inventory</w:t>
            </w:r>
          </w:p>
        </w:tc>
        <w:tc>
          <w:tcPr>
            <w:tcW w:w="120" w:type="dxa"/>
            <w:vAlign w:val="bottom"/>
            <w:tcBorders>
              <w:bottom w:val="single" w:sz="8" w:color="CCEEFF"/>
            </w:tcBorders>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39,101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40,800</w:t>
            </w: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Prepaid expenses and other assets</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7,187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6,417</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gridSpan w:val="2"/>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38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129,882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121,768</w:t>
            </w:r>
          </w:p>
        </w:tc>
        <w:tc>
          <w:tcPr>
            <w:tcW w:w="0" w:type="dxa"/>
            <w:vAlign w:val="bottom"/>
          </w:tcPr>
          <w:p>
            <w:pPr>
              <w:spacing w:after="0"/>
              <w:rPr>
                <w:sz w:val="1"/>
                <w:szCs w:val="1"/>
                <w:color w:val="auto"/>
              </w:rPr>
            </w:pPr>
          </w:p>
        </w:tc>
      </w:tr>
      <w:tr>
        <w:trPr>
          <w:trHeight w:val="201"/>
        </w:trPr>
        <w:tc>
          <w:tcPr>
            <w:tcW w:w="8380" w:type="dxa"/>
            <w:vAlign w:val="bottom"/>
            <w:gridSpan w:val="3"/>
          </w:tcPr>
          <w:p>
            <w:pPr>
              <w:ind w:left="40"/>
              <w:spacing w:after="0"/>
              <w:rPr>
                <w:sz w:val="20"/>
                <w:szCs w:val="20"/>
                <w:color w:val="auto"/>
              </w:rPr>
            </w:pPr>
            <w:r>
              <w:rPr>
                <w:rFonts w:ascii="Arial" w:cs="Arial" w:eastAsia="Arial" w:hAnsi="Arial"/>
                <w:sz w:val="15"/>
                <w:szCs w:val="15"/>
                <w:color w:val="auto"/>
              </w:rPr>
              <w:t>Property and equipment, net</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32,453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32,118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120" w:type="dxa"/>
            <w:vAlign w:val="bottom"/>
            <w:tcBorders>
              <w:bottom w:val="single" w:sz="8" w:color="CCEEFF"/>
            </w:tcBorders>
            <w:shd w:val="clear" w:color="auto" w:fill="CCEEFF"/>
          </w:tcPr>
          <w:p>
            <w:pPr>
              <w:spacing w:after="0"/>
              <w:rPr>
                <w:sz w:val="17"/>
                <w:szCs w:val="17"/>
                <w:color w:val="auto"/>
              </w:rPr>
            </w:pPr>
          </w:p>
        </w:tc>
        <w:tc>
          <w:tcPr>
            <w:tcW w:w="7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3,745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3,745</w:t>
            </w:r>
          </w:p>
        </w:tc>
        <w:tc>
          <w:tcPr>
            <w:tcW w:w="0" w:type="dxa"/>
            <w:vAlign w:val="bottom"/>
          </w:tcPr>
          <w:p>
            <w:pPr>
              <w:spacing w:after="0"/>
              <w:rPr>
                <w:sz w:val="1"/>
                <w:szCs w:val="1"/>
                <w:color w:val="auto"/>
              </w:rPr>
            </w:pPr>
          </w:p>
        </w:tc>
      </w:tr>
      <w:tr>
        <w:trPr>
          <w:trHeight w:val="201"/>
        </w:trPr>
        <w:tc>
          <w:tcPr>
            <w:tcW w:w="1040" w:type="dxa"/>
            <w:vAlign w:val="bottom"/>
          </w:tcPr>
          <w:p>
            <w:pPr>
              <w:ind w:left="40"/>
              <w:spacing w:after="0"/>
              <w:rPr>
                <w:sz w:val="20"/>
                <w:szCs w:val="20"/>
                <w:color w:val="auto"/>
              </w:rPr>
            </w:pPr>
            <w:r>
              <w:rPr>
                <w:rFonts w:ascii="Arial" w:cs="Arial" w:eastAsia="Arial" w:hAnsi="Arial"/>
                <w:sz w:val="15"/>
                <w:szCs w:val="15"/>
                <w:color w:val="auto"/>
                <w:w w:val="96"/>
              </w:rPr>
              <w:t>Intangibles, net</w:t>
            </w:r>
          </w:p>
        </w:tc>
        <w:tc>
          <w:tcPr>
            <w:tcW w:w="1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1,669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2,220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8,679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5,677</w:t>
            </w:r>
          </w:p>
        </w:tc>
        <w:tc>
          <w:tcPr>
            <w:tcW w:w="0" w:type="dxa"/>
            <w:vAlign w:val="bottom"/>
          </w:tcPr>
          <w:p>
            <w:pPr>
              <w:spacing w:after="0"/>
              <w:rPr>
                <w:sz w:val="1"/>
                <w:szCs w:val="1"/>
                <w:color w:val="auto"/>
              </w:rPr>
            </w:pPr>
          </w:p>
        </w:tc>
      </w:tr>
      <w:tr>
        <w:trPr>
          <w:trHeight w:val="236"/>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CCEEFF"/>
            </w:tcBorders>
          </w:tcPr>
          <w:p>
            <w:pPr>
              <w:spacing w:after="0"/>
              <w:rPr>
                <w:sz w:val="20"/>
                <w:szCs w:val="20"/>
                <w:color w:val="auto"/>
              </w:rPr>
            </w:pPr>
          </w:p>
        </w:tc>
        <w:tc>
          <w:tcPr>
            <w:tcW w:w="7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176,428</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165,528</w:t>
            </w:r>
          </w:p>
        </w:tc>
        <w:tc>
          <w:tcPr>
            <w:tcW w:w="0" w:type="dxa"/>
            <w:vAlign w:val="bottom"/>
          </w:tcPr>
          <w:p>
            <w:pPr>
              <w:spacing w:after="0"/>
              <w:rPr>
                <w:sz w:val="1"/>
                <w:szCs w:val="1"/>
                <w:color w:val="auto"/>
              </w:rPr>
            </w:pPr>
          </w:p>
        </w:tc>
      </w:tr>
      <w:tr>
        <w:trPr>
          <w:trHeight w:val="179"/>
        </w:trPr>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20" w:type="dxa"/>
            <w:vAlign w:val="bottom"/>
            <w:tcBorders>
              <w:bottom w:val="single" w:sz="8" w:color="CCEEFF"/>
            </w:tcBorders>
            <w:shd w:val="clear" w:color="auto" w:fill="CCEEFF"/>
          </w:tcPr>
          <w:p>
            <w:pPr>
              <w:jc w:val="center"/>
              <w:ind w:right="1086"/>
              <w:spacing w:after="0"/>
              <w:rPr>
                <w:sz w:val="20"/>
                <w:szCs w:val="20"/>
                <w:color w:val="auto"/>
              </w:rPr>
            </w:pPr>
            <w:r>
              <w:rPr>
                <w:rFonts w:ascii="Arial" w:cs="Arial" w:eastAsia="Arial" w:hAnsi="Arial"/>
                <w:sz w:val="15"/>
                <w:szCs w:val="15"/>
                <w:b w:val="1"/>
                <w:bCs w:val="1"/>
                <w:color w:val="auto"/>
                <w:w w:val="97"/>
              </w:rPr>
              <w:t>LIABILITIES AND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380" w:type="dxa"/>
            <w:vAlign w:val="bottom"/>
            <w:gridSpan w:val="3"/>
          </w:tcPr>
          <w:p>
            <w:pPr>
              <w:ind w:left="40"/>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Accounts payable</w:t>
            </w:r>
          </w:p>
        </w:tc>
        <w:tc>
          <w:tcPr>
            <w:tcW w:w="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32,551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25,569</w:t>
            </w: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Accrued liabilities</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26,667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19,292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Deferred revenues, current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5,942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3,915</w:t>
            </w:r>
          </w:p>
        </w:tc>
        <w:tc>
          <w:tcPr>
            <w:tcW w:w="0" w:type="dxa"/>
            <w:vAlign w:val="bottom"/>
          </w:tcPr>
          <w:p>
            <w:pPr>
              <w:spacing w:after="0"/>
              <w:rPr>
                <w:sz w:val="1"/>
                <w:szCs w:val="1"/>
                <w:color w:val="auto"/>
              </w:rPr>
            </w:pPr>
          </w:p>
        </w:tc>
      </w:tr>
      <w:tr>
        <w:trPr>
          <w:trHeight w:val="169"/>
        </w:trPr>
        <w:tc>
          <w:tcPr>
            <w:tcW w:w="8380" w:type="dxa"/>
            <w:vAlign w:val="bottom"/>
            <w:gridSpan w:val="3"/>
          </w:tcPr>
          <w:p>
            <w:pPr>
              <w:ind w:left="320"/>
              <w:spacing w:after="0" w:line="169" w:lineRule="exact"/>
              <w:rPr>
                <w:sz w:val="20"/>
                <w:szCs w:val="20"/>
                <w:color w:val="auto"/>
              </w:rPr>
            </w:pPr>
            <w:r>
              <w:rPr>
                <w:rFonts w:ascii="Arial" w:cs="Arial" w:eastAsia="Arial" w:hAnsi="Arial"/>
                <w:sz w:val="15"/>
                <w:szCs w:val="15"/>
                <w:color w:val="auto"/>
              </w:rPr>
              <w:t>Warranty obligations, current (includes $3,500 and $2,601 measured at fair value at September 30, 2016 and December</w:t>
            </w:r>
          </w:p>
        </w:tc>
        <w:tc>
          <w:tcPr>
            <w:tcW w:w="220" w:type="dxa"/>
            <w:vAlign w:val="bottom"/>
          </w:tcPr>
          <w:p>
            <w:pPr>
              <w:spacing w:after="0"/>
              <w:rPr>
                <w:sz w:val="14"/>
                <w:szCs w:val="14"/>
                <w:color w:val="auto"/>
              </w:rPr>
            </w:pPr>
          </w:p>
        </w:tc>
        <w:tc>
          <w:tcPr>
            <w:tcW w:w="1280" w:type="dxa"/>
            <w:vAlign w:val="bottom"/>
            <w:vMerge w:val="restart"/>
          </w:tcPr>
          <w:p>
            <w:pPr>
              <w:jc w:val="right"/>
              <w:ind w:right="47"/>
              <w:spacing w:after="0"/>
              <w:rPr>
                <w:sz w:val="20"/>
                <w:szCs w:val="20"/>
                <w:color w:val="auto"/>
              </w:rPr>
            </w:pPr>
            <w:r>
              <w:rPr>
                <w:rFonts w:ascii="Arial" w:cs="Arial" w:eastAsia="Arial" w:hAnsi="Arial"/>
                <w:sz w:val="15"/>
                <w:szCs w:val="15"/>
                <w:color w:val="auto"/>
              </w:rPr>
              <w:t>6,761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47"/>
              <w:spacing w:after="0"/>
              <w:rPr>
                <w:sz w:val="20"/>
                <w:szCs w:val="20"/>
                <w:color w:val="auto"/>
              </w:rPr>
            </w:pPr>
            <w:r>
              <w:rPr>
                <w:rFonts w:ascii="Arial" w:cs="Arial" w:eastAsia="Arial" w:hAnsi="Arial"/>
                <w:sz w:val="15"/>
                <w:szCs w:val="15"/>
                <w:color w:val="auto"/>
              </w:rPr>
              <w:t>7,072</w:t>
            </w:r>
          </w:p>
        </w:tc>
        <w:tc>
          <w:tcPr>
            <w:tcW w:w="0" w:type="dxa"/>
            <w:vAlign w:val="bottom"/>
          </w:tcPr>
          <w:p>
            <w:pPr>
              <w:spacing w:after="0"/>
              <w:rPr>
                <w:sz w:val="1"/>
                <w:szCs w:val="1"/>
                <w:color w:val="auto"/>
              </w:rPr>
            </w:pPr>
          </w:p>
        </w:tc>
      </w:tr>
      <w:tr>
        <w:trPr>
          <w:trHeight w:val="109"/>
        </w:trPr>
        <w:tc>
          <w:tcPr>
            <w:tcW w:w="8380" w:type="dxa"/>
            <w:vAlign w:val="bottom"/>
            <w:gridSpan w:val="3"/>
            <w:vMerge w:val="restart"/>
          </w:tcPr>
          <w:p>
            <w:pPr>
              <w:ind w:left="380"/>
              <w:spacing w:after="0"/>
              <w:rPr>
                <w:sz w:val="20"/>
                <w:szCs w:val="20"/>
                <w:color w:val="auto"/>
              </w:rPr>
            </w:pPr>
            <w:r>
              <w:rPr>
                <w:rFonts w:ascii="Arial" w:cs="Arial" w:eastAsia="Arial" w:hAnsi="Arial"/>
                <w:sz w:val="15"/>
                <w:szCs w:val="15"/>
                <w:color w:val="auto"/>
              </w:rPr>
              <w:t>31, 2015, respectively)</w:t>
            </w:r>
          </w:p>
        </w:tc>
        <w:tc>
          <w:tcPr>
            <w:tcW w:w="2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83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Revolving credit facility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12,450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17,000</w:t>
            </w: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Current portion of term loan</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1,197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gridSpan w:val="2"/>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38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85,568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72,848</w:t>
            </w:r>
          </w:p>
        </w:tc>
        <w:tc>
          <w:tcPr>
            <w:tcW w:w="0" w:type="dxa"/>
            <w:vAlign w:val="bottom"/>
          </w:tcPr>
          <w:p>
            <w:pPr>
              <w:spacing w:after="0"/>
              <w:rPr>
                <w:sz w:val="1"/>
                <w:szCs w:val="1"/>
                <w:color w:val="auto"/>
              </w:rPr>
            </w:pPr>
          </w:p>
        </w:tc>
      </w:tr>
      <w:tr>
        <w:trPr>
          <w:trHeight w:val="192"/>
        </w:trPr>
        <w:tc>
          <w:tcPr>
            <w:tcW w:w="8380" w:type="dxa"/>
            <w:vAlign w:val="bottom"/>
            <w:gridSpan w:val="3"/>
          </w:tcPr>
          <w:p>
            <w:pPr>
              <w:ind w:left="40"/>
              <w:spacing w:after="0"/>
              <w:rPr>
                <w:sz w:val="20"/>
                <w:szCs w:val="20"/>
                <w:color w:val="auto"/>
              </w:rPr>
            </w:pPr>
            <w:r>
              <w:rPr>
                <w:rFonts w:ascii="Arial" w:cs="Arial" w:eastAsia="Arial" w:hAnsi="Arial"/>
                <w:sz w:val="15"/>
                <w:szCs w:val="15"/>
                <w:color w:val="auto"/>
              </w:rPr>
              <w:t>Long-term liabilities: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Deferred revenues, noncurrent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31,827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25,115</w:t>
            </w:r>
          </w:p>
        </w:tc>
        <w:tc>
          <w:tcPr>
            <w:tcW w:w="0" w:type="dxa"/>
            <w:vAlign w:val="bottom"/>
          </w:tcPr>
          <w:p>
            <w:pPr>
              <w:spacing w:after="0"/>
              <w:rPr>
                <w:sz w:val="1"/>
                <w:szCs w:val="1"/>
                <w:color w:val="auto"/>
              </w:rPr>
            </w:pPr>
          </w:p>
        </w:tc>
      </w:tr>
      <w:tr>
        <w:trPr>
          <w:trHeight w:val="169"/>
        </w:trPr>
        <w:tc>
          <w:tcPr>
            <w:tcW w:w="8380" w:type="dxa"/>
            <w:vAlign w:val="bottom"/>
            <w:gridSpan w:val="3"/>
          </w:tcPr>
          <w:p>
            <w:pPr>
              <w:ind w:left="320"/>
              <w:spacing w:after="0" w:line="169" w:lineRule="exact"/>
              <w:rPr>
                <w:sz w:val="20"/>
                <w:szCs w:val="20"/>
                <w:color w:val="auto"/>
              </w:rPr>
            </w:pPr>
            <w:r>
              <w:rPr>
                <w:rFonts w:ascii="Arial" w:cs="Arial" w:eastAsia="Arial" w:hAnsi="Arial"/>
                <w:sz w:val="15"/>
                <w:szCs w:val="15"/>
                <w:color w:val="auto"/>
              </w:rPr>
              <w:t>Warranty obligations, noncurrent (includes $6,015 and $3,581 measured at fair value at September 30, 2016 and</w:t>
            </w:r>
          </w:p>
        </w:tc>
        <w:tc>
          <w:tcPr>
            <w:tcW w:w="220" w:type="dxa"/>
            <w:vAlign w:val="bottom"/>
          </w:tcPr>
          <w:p>
            <w:pPr>
              <w:spacing w:after="0"/>
              <w:rPr>
                <w:sz w:val="14"/>
                <w:szCs w:val="14"/>
                <w:color w:val="auto"/>
              </w:rPr>
            </w:pPr>
          </w:p>
        </w:tc>
        <w:tc>
          <w:tcPr>
            <w:tcW w:w="1280" w:type="dxa"/>
            <w:vAlign w:val="bottom"/>
            <w:vMerge w:val="restart"/>
          </w:tcPr>
          <w:p>
            <w:pPr>
              <w:jc w:val="right"/>
              <w:ind w:right="47"/>
              <w:spacing w:after="0"/>
              <w:rPr>
                <w:sz w:val="20"/>
                <w:szCs w:val="20"/>
                <w:color w:val="auto"/>
              </w:rPr>
            </w:pPr>
            <w:r>
              <w:rPr>
                <w:rFonts w:ascii="Arial" w:cs="Arial" w:eastAsia="Arial" w:hAnsi="Arial"/>
                <w:sz w:val="15"/>
                <w:szCs w:val="15"/>
                <w:color w:val="auto"/>
              </w:rPr>
              <w:t>23,588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47"/>
              <w:spacing w:after="0"/>
              <w:rPr>
                <w:sz w:val="20"/>
                <w:szCs w:val="20"/>
                <w:color w:val="auto"/>
              </w:rPr>
            </w:pPr>
            <w:r>
              <w:rPr>
                <w:rFonts w:ascii="Arial" w:cs="Arial" w:eastAsia="Arial" w:hAnsi="Arial"/>
                <w:sz w:val="15"/>
                <w:szCs w:val="15"/>
                <w:color w:val="auto"/>
              </w:rPr>
              <w:t>23,475</w:t>
            </w:r>
          </w:p>
        </w:tc>
        <w:tc>
          <w:tcPr>
            <w:tcW w:w="0" w:type="dxa"/>
            <w:vAlign w:val="bottom"/>
          </w:tcPr>
          <w:p>
            <w:pPr>
              <w:spacing w:after="0"/>
              <w:rPr>
                <w:sz w:val="1"/>
                <w:szCs w:val="1"/>
                <w:color w:val="auto"/>
              </w:rPr>
            </w:pPr>
          </w:p>
        </w:tc>
      </w:tr>
      <w:tr>
        <w:trPr>
          <w:trHeight w:val="109"/>
        </w:trPr>
        <w:tc>
          <w:tcPr>
            <w:tcW w:w="8380" w:type="dxa"/>
            <w:vAlign w:val="bottom"/>
            <w:gridSpan w:val="3"/>
            <w:vMerge w:val="restart"/>
          </w:tcPr>
          <w:p>
            <w:pPr>
              <w:ind w:left="380"/>
              <w:spacing w:after="0"/>
              <w:rPr>
                <w:sz w:val="20"/>
                <w:szCs w:val="20"/>
                <w:color w:val="auto"/>
              </w:rPr>
            </w:pPr>
            <w:r>
              <w:rPr>
                <w:rFonts w:ascii="Arial" w:cs="Arial" w:eastAsia="Arial" w:hAnsi="Arial"/>
                <w:sz w:val="15"/>
                <w:szCs w:val="15"/>
                <w:color w:val="auto"/>
              </w:rPr>
              <w:t>December 31, 2015, respectively)</w:t>
            </w:r>
          </w:p>
        </w:tc>
        <w:tc>
          <w:tcPr>
            <w:tcW w:w="2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83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2,408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2,641</w:t>
            </w: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Term loan, less current portion</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22,808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gridSpan w:val="2"/>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38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166,199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124,079</w:t>
            </w:r>
          </w:p>
        </w:tc>
        <w:tc>
          <w:tcPr>
            <w:tcW w:w="0" w:type="dxa"/>
            <w:vAlign w:val="bottom"/>
          </w:tcPr>
          <w:p>
            <w:pPr>
              <w:spacing w:after="0"/>
              <w:rPr>
                <w:sz w:val="1"/>
                <w:szCs w:val="1"/>
                <w:color w:val="auto"/>
              </w:rPr>
            </w:pPr>
          </w:p>
        </w:tc>
      </w:tr>
      <w:tr>
        <w:trPr>
          <w:trHeight w:val="181"/>
        </w:trPr>
        <w:tc>
          <w:tcPr>
            <w:tcW w:w="8380" w:type="dxa"/>
            <w:vAlign w:val="bottom"/>
            <w:gridSpan w:val="3"/>
          </w:tcPr>
          <w:p>
            <w:pPr>
              <w:ind w:left="40"/>
              <w:spacing w:after="0"/>
              <w:rPr>
                <w:sz w:val="20"/>
                <w:szCs w:val="20"/>
                <w:color w:val="auto"/>
              </w:rPr>
            </w:pPr>
            <w:r>
              <w:rPr>
                <w:rFonts w:ascii="Arial" w:cs="Arial" w:eastAsia="Arial" w:hAnsi="Arial"/>
                <w:sz w:val="15"/>
                <w:szCs w:val="15"/>
                <w:color w:val="auto"/>
              </w:rPr>
              <w:t>Commitments and contingencies</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Preferred stock, $0.00001 par value, 10,000 shares authorized; none issued and outstanding</w:t>
            </w:r>
          </w:p>
        </w:tc>
        <w:tc>
          <w:tcPr>
            <w:tcW w:w="22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80" w:type="dxa"/>
            <w:vAlign w:val="bottom"/>
            <w:gridSpan w:val="3"/>
            <w:shd w:val="clear" w:color="auto" w:fill="CCEEFF"/>
          </w:tcPr>
          <w:p>
            <w:pPr>
              <w:ind w:left="320"/>
              <w:spacing w:after="0" w:line="169" w:lineRule="exact"/>
              <w:rPr>
                <w:sz w:val="20"/>
                <w:szCs w:val="20"/>
                <w:color w:val="auto"/>
              </w:rPr>
            </w:pPr>
            <w:r>
              <w:rPr>
                <w:rFonts w:ascii="Arial" w:cs="Arial" w:eastAsia="Arial" w:hAnsi="Arial"/>
                <w:sz w:val="15"/>
                <w:szCs w:val="15"/>
                <w:color w:val="auto"/>
              </w:rPr>
              <w:t>Common stock, $0.00001 par value, 100,000 shares authorized; 59,958 and 45,821 shares issued and outstanding at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9"/>
        </w:trPr>
        <w:tc>
          <w:tcPr>
            <w:tcW w:w="8380" w:type="dxa"/>
            <w:vAlign w:val="bottom"/>
            <w:gridSpan w:val="3"/>
            <w:vMerge w:val="restart"/>
            <w:shd w:val="clear" w:color="auto" w:fill="CCEEFF"/>
          </w:tcPr>
          <w:p>
            <w:pPr>
              <w:ind w:left="380"/>
              <w:spacing w:after="0"/>
              <w:rPr>
                <w:sz w:val="20"/>
                <w:szCs w:val="20"/>
                <w:color w:val="auto"/>
              </w:rPr>
            </w:pPr>
            <w:r>
              <w:rPr>
                <w:rFonts w:ascii="Arial" w:cs="Arial" w:eastAsia="Arial" w:hAnsi="Arial"/>
                <w:sz w:val="15"/>
                <w:szCs w:val="15"/>
                <w:color w:val="auto"/>
              </w:rPr>
              <w:t>September 30, 2016 and December 31, 2015, respectively</w:t>
            </w:r>
          </w:p>
        </w:tc>
        <w:tc>
          <w:tcPr>
            <w:tcW w:w="220" w:type="dxa"/>
            <w:vAlign w:val="bottom"/>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380" w:type="dxa"/>
            <w:vAlign w:val="bottom"/>
            <w:gridSpan w:val="3"/>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280" w:type="dxa"/>
            <w:vAlign w:val="bottom"/>
          </w:tcPr>
          <w:p>
            <w:pPr>
              <w:jc w:val="right"/>
              <w:ind w:right="47"/>
              <w:spacing w:after="0"/>
              <w:rPr>
                <w:sz w:val="20"/>
                <w:szCs w:val="20"/>
                <w:color w:val="auto"/>
              </w:rPr>
            </w:pPr>
            <w:r>
              <w:rPr>
                <w:rFonts w:ascii="Arial" w:cs="Arial" w:eastAsia="Arial" w:hAnsi="Arial"/>
                <w:sz w:val="15"/>
                <w:szCs w:val="15"/>
                <w:color w:val="auto"/>
              </w:rPr>
              <w:t>247,829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224,732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5"/>
                <w:szCs w:val="15"/>
                <w:color w:val="auto"/>
              </w:rPr>
              <w:t>Accumulated deficit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(237,347)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(183,073)</w:t>
            </w:r>
          </w:p>
        </w:tc>
        <w:tc>
          <w:tcPr>
            <w:tcW w:w="0" w:type="dxa"/>
            <w:vAlign w:val="bottom"/>
          </w:tcPr>
          <w:p>
            <w:pPr>
              <w:spacing w:after="0"/>
              <w:rPr>
                <w:sz w:val="1"/>
                <w:szCs w:val="1"/>
                <w:color w:val="auto"/>
              </w:rPr>
            </w:pPr>
          </w:p>
        </w:tc>
      </w:tr>
      <w:tr>
        <w:trPr>
          <w:trHeight w:val="201"/>
        </w:trPr>
        <w:tc>
          <w:tcPr>
            <w:tcW w:w="8380" w:type="dxa"/>
            <w:vAlign w:val="bottom"/>
            <w:gridSpan w:val="3"/>
          </w:tcPr>
          <w:p>
            <w:pPr>
              <w:ind w:left="3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spacing w:after="0"/>
              <w:rPr>
                <w:sz w:val="17"/>
                <w:szCs w:val="17"/>
                <w:color w:val="auto"/>
              </w:rPr>
            </w:pP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gridSpan w:val="2"/>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380" w:type="dxa"/>
            <w:vAlign w:val="bottom"/>
            <w:gridSpan w:val="3"/>
            <w:shd w:val="clear" w:color="auto" w:fill="CCEEFF"/>
          </w:tcPr>
          <w:p>
            <w:pPr>
              <w:ind w:left="58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10,229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41,449</w:t>
            </w:r>
          </w:p>
        </w:tc>
        <w:tc>
          <w:tcPr>
            <w:tcW w:w="0" w:type="dxa"/>
            <w:vAlign w:val="bottom"/>
          </w:tcPr>
          <w:p>
            <w:pPr>
              <w:spacing w:after="0"/>
              <w:rPr>
                <w:sz w:val="1"/>
                <w:szCs w:val="1"/>
                <w:color w:val="auto"/>
              </w:rPr>
            </w:pPr>
          </w:p>
        </w:tc>
      </w:tr>
      <w:tr>
        <w:trPr>
          <w:trHeight w:val="196"/>
        </w:trPr>
        <w:tc>
          <w:tcPr>
            <w:tcW w:w="8380" w:type="dxa"/>
            <w:vAlign w:val="bottom"/>
            <w:gridSpan w:val="3"/>
          </w:tcPr>
          <w:p>
            <w:pPr>
              <w:ind w:left="4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176,428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165,528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111"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ENPHASE ENERGY, INC.</w:t>
      </w:r>
    </w:p>
    <w:p>
      <w:pPr>
        <w:spacing w:after="0" w:line="137"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5"/>
          </w:tcPr>
          <w:p>
            <w:pPr>
              <w:ind w:left="38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2100" w:type="dxa"/>
            <w:vAlign w:val="bottom"/>
            <w:gridSpan w:val="4"/>
          </w:tcPr>
          <w:p>
            <w:pPr>
              <w:jc w:val="right"/>
              <w:ind w:right="547"/>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01"/>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88,684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102,874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231,990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291,620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Cost of revenues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72,805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71,408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190,215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199,103</w:t>
            </w:r>
          </w:p>
        </w:tc>
        <w:tc>
          <w:tcPr>
            <w:tcW w:w="0" w:type="dxa"/>
            <w:vAlign w:val="bottom"/>
          </w:tcPr>
          <w:p>
            <w:pPr>
              <w:spacing w:after="0"/>
              <w:rPr>
                <w:sz w:val="1"/>
                <w:szCs w:val="1"/>
                <w:color w:val="auto"/>
              </w:rPr>
            </w:pPr>
          </w:p>
        </w:tc>
      </w:tr>
      <w:tr>
        <w:trPr>
          <w:trHeight w:val="206"/>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15,879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31,466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41,775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92,517</w:t>
            </w:r>
          </w:p>
        </w:tc>
        <w:tc>
          <w:tcPr>
            <w:tcW w:w="0" w:type="dxa"/>
            <w:vAlign w:val="bottom"/>
          </w:tcPr>
          <w:p>
            <w:pPr>
              <w:spacing w:after="0"/>
              <w:rPr>
                <w:sz w:val="1"/>
                <w:szCs w:val="1"/>
                <w:color w:val="auto"/>
              </w:rPr>
            </w:pPr>
          </w:p>
        </w:tc>
      </w:tr>
      <w:tr>
        <w:trPr>
          <w:trHeight w:val="207"/>
        </w:trPr>
        <w:tc>
          <w:tcPr>
            <w:tcW w:w="6540" w:type="dxa"/>
            <w:vAlign w:val="bottom"/>
          </w:tcPr>
          <w:p>
            <w:pPr>
              <w:ind w:left="4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13,169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12,059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39,326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38,275</w:t>
            </w:r>
          </w:p>
        </w:tc>
        <w:tc>
          <w:tcPr>
            <w:tcW w:w="0" w:type="dxa"/>
            <w:vAlign w:val="bottom"/>
          </w:tcPr>
          <w:p>
            <w:pPr>
              <w:spacing w:after="0"/>
              <w:rPr>
                <w:sz w:val="1"/>
                <w:szCs w:val="1"/>
                <w:color w:val="auto"/>
              </w:rPr>
            </w:pPr>
          </w:p>
        </w:tc>
      </w:tr>
      <w:tr>
        <w:trPr>
          <w:trHeight w:val="216"/>
        </w:trPr>
        <w:tc>
          <w:tcPr>
            <w:tcW w:w="654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11,016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10,510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5"/>
                <w:szCs w:val="15"/>
                <w:color w:val="auto"/>
              </w:rPr>
              <w:t>31,218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34,955</w:t>
            </w: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6,708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7,118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21,121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23,425</w:t>
            </w:r>
          </w:p>
        </w:tc>
        <w:tc>
          <w:tcPr>
            <w:tcW w:w="0" w:type="dxa"/>
            <w:vAlign w:val="bottom"/>
          </w:tcPr>
          <w:p>
            <w:pPr>
              <w:spacing w:after="0"/>
              <w:rPr>
                <w:sz w:val="1"/>
                <w:szCs w:val="1"/>
                <w:color w:val="auto"/>
              </w:rPr>
            </w:pPr>
          </w:p>
        </w:tc>
      </w:tr>
      <w:tr>
        <w:trPr>
          <w:trHeight w:val="216"/>
        </w:trPr>
        <w:tc>
          <w:tcPr>
            <w:tcW w:w="6540" w:type="dxa"/>
            <w:vAlign w:val="bottom"/>
          </w:tcPr>
          <w:p>
            <w:pPr>
              <w:ind w:left="320"/>
              <w:spacing w:after="0"/>
              <w:rPr>
                <w:sz w:val="20"/>
                <w:szCs w:val="20"/>
                <w:color w:val="auto"/>
              </w:rPr>
            </w:pPr>
            <w:r>
              <w:rPr>
                <w:rFonts w:ascii="Arial" w:cs="Arial" w:eastAsia="Arial" w:hAnsi="Arial"/>
                <w:sz w:val="15"/>
                <w:szCs w:val="15"/>
                <w:color w:val="auto"/>
              </w:rPr>
              <w:t>Restructuring charges</w:t>
            </w: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2,717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5"/>
                <w:szCs w:val="15"/>
                <w:color w:val="auto"/>
              </w:rPr>
              <w:t>2,717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65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33,610</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29,687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94,382</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96,655</w:t>
            </w:r>
          </w:p>
        </w:tc>
        <w:tc>
          <w:tcPr>
            <w:tcW w:w="0" w:type="dxa"/>
            <w:vAlign w:val="bottom"/>
          </w:tcPr>
          <w:p>
            <w:pPr>
              <w:spacing w:after="0"/>
              <w:rPr>
                <w:sz w:val="1"/>
                <w:szCs w:val="1"/>
                <w:color w:val="auto"/>
              </w:rPr>
            </w:pPr>
          </w:p>
        </w:tc>
      </w:tr>
      <w:tr>
        <w:trPr>
          <w:trHeight w:val="196"/>
        </w:trPr>
        <w:tc>
          <w:tcPr>
            <w:tcW w:w="6540" w:type="dxa"/>
            <w:vAlign w:val="bottom"/>
          </w:tcPr>
          <w:p>
            <w:pPr>
              <w:ind w:left="40"/>
              <w:spacing w:after="0"/>
              <w:rPr>
                <w:sz w:val="20"/>
                <w:szCs w:val="20"/>
                <w:color w:val="auto"/>
              </w:rPr>
            </w:pPr>
            <w:r>
              <w:rPr>
                <w:rFonts w:ascii="Arial" w:cs="Arial" w:eastAsia="Arial" w:hAnsi="Arial"/>
                <w:sz w:val="15"/>
                <w:szCs w:val="15"/>
                <w:color w:val="auto"/>
              </w:rPr>
              <w:t>Income (loss) from operations</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(17,731)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1,779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(52,607)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(4,138)</w:t>
            </w: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20"/>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5"/>
                <w:szCs w:val="15"/>
                <w:color w:val="auto"/>
              </w:rPr>
              <w:t>(1,234)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655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(1,152)</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ind w:left="580"/>
              <w:spacing w:after="0"/>
              <w:rPr>
                <w:sz w:val="20"/>
                <w:szCs w:val="20"/>
                <w:color w:val="auto"/>
              </w:rPr>
            </w:pPr>
            <w:r>
              <w:rPr>
                <w:rFonts w:ascii="Arial" w:cs="Arial" w:eastAsia="Arial" w:hAnsi="Arial"/>
                <w:sz w:val="15"/>
                <w:szCs w:val="15"/>
                <w:color w:val="auto"/>
              </w:rPr>
              <w:t>Total other expense, net</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(881)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(1,457)</w:t>
            </w:r>
          </w:p>
        </w:tc>
        <w:tc>
          <w:tcPr>
            <w:tcW w:w="0" w:type="dxa"/>
            <w:vAlign w:val="bottom"/>
          </w:tcPr>
          <w:p>
            <w:pPr>
              <w:spacing w:after="0"/>
              <w:rPr>
                <w:sz w:val="1"/>
                <w:szCs w:val="1"/>
                <w:color w:val="auto"/>
              </w:rPr>
            </w:pPr>
          </w:p>
        </w:tc>
      </w:tr>
      <w:tr>
        <w:trPr>
          <w:trHeight w:val="206"/>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(loss) before income taxes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(18,612)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(144)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w:t>
            </w:r>
          </w:p>
        </w:tc>
        <w:tc>
          <w:tcPr>
            <w:tcW w:w="0" w:type="dxa"/>
            <w:vAlign w:val="bottom"/>
          </w:tcPr>
          <w:p>
            <w:pPr>
              <w:spacing w:after="0"/>
              <w:rPr>
                <w:sz w:val="1"/>
                <w:szCs w:val="1"/>
                <w:color w:val="auto"/>
              </w:rPr>
            </w:pPr>
          </w:p>
        </w:tc>
      </w:tr>
      <w:tr>
        <w:trPr>
          <w:trHeight w:val="20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(18,756)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624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(54,274)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0"/>
              <w:spacing w:after="0"/>
              <w:rPr>
                <w:sz w:val="20"/>
                <w:szCs w:val="20"/>
                <w:color w:val="auto"/>
              </w:rPr>
            </w:pPr>
            <w:r>
              <w:rPr>
                <w:rFonts w:ascii="Arial" w:cs="Arial" w:eastAsia="Arial" w:hAnsi="Arial"/>
                <w:sz w:val="15"/>
                <w:szCs w:val="15"/>
                <w:color w:val="auto"/>
              </w:rPr>
              <w:t>Net income (loss) per share: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Basic and diluted</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(0.40)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0"/>
              <w:spacing w:after="0"/>
              <w:rPr>
                <w:sz w:val="20"/>
                <w:szCs w:val="20"/>
                <w:color w:val="auto"/>
              </w:rPr>
            </w:pPr>
            <w:r>
              <w:rPr>
                <w:rFonts w:ascii="Arial" w:cs="Arial" w:eastAsia="Arial" w:hAnsi="Arial"/>
                <w:sz w:val="15"/>
                <w:szCs w:val="15"/>
                <w:color w:val="auto"/>
              </w:rPr>
              <w:t>Shares used in per share calculation: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Basic</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47,278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44,734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46,704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44,339</w:t>
            </w:r>
          </w:p>
        </w:tc>
        <w:tc>
          <w:tcPr>
            <w:tcW w:w="0" w:type="dxa"/>
            <w:vAlign w:val="bottom"/>
          </w:tcPr>
          <w:p>
            <w:pPr>
              <w:spacing w:after="0"/>
              <w:rPr>
                <w:sz w:val="1"/>
                <w:szCs w:val="1"/>
                <w:color w:val="auto"/>
              </w:rPr>
            </w:pPr>
          </w:p>
        </w:tc>
      </w:tr>
      <w:tr>
        <w:trPr>
          <w:trHeight w:val="212"/>
        </w:trPr>
        <w:tc>
          <w:tcPr>
            <w:tcW w:w="6540" w:type="dxa"/>
            <w:vAlign w:val="bottom"/>
          </w:tcPr>
          <w:p>
            <w:pPr>
              <w:ind w:left="320"/>
              <w:spacing w:after="0"/>
              <w:rPr>
                <w:sz w:val="20"/>
                <w:szCs w:val="20"/>
                <w:color w:val="auto"/>
              </w:rPr>
            </w:pPr>
            <w:r>
              <w:rPr>
                <w:rFonts w:ascii="Arial" w:cs="Arial" w:eastAsia="Arial" w:hAnsi="Arial"/>
                <w:sz w:val="15"/>
                <w:szCs w:val="15"/>
                <w:color w:val="auto"/>
              </w:rPr>
              <w:t>Diluted</w:t>
            </w: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5"/>
                <w:szCs w:val="15"/>
                <w:color w:val="auto"/>
              </w:rPr>
              <w:t>47,278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47"/>
              <w:spacing w:after="0"/>
              <w:rPr>
                <w:sz w:val="20"/>
                <w:szCs w:val="20"/>
                <w:color w:val="auto"/>
              </w:rPr>
            </w:pPr>
            <w:r>
              <w:rPr>
                <w:rFonts w:ascii="Arial" w:cs="Arial" w:eastAsia="Arial" w:hAnsi="Arial"/>
                <w:sz w:val="15"/>
                <w:szCs w:val="15"/>
                <w:color w:val="auto"/>
              </w:rPr>
              <w:t>47,996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5"/>
                <w:szCs w:val="15"/>
                <w:color w:val="auto"/>
              </w:rPr>
              <w:t>46,704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47"/>
              <w:spacing w:after="0"/>
              <w:rPr>
                <w:sz w:val="20"/>
                <w:szCs w:val="20"/>
                <w:color w:val="auto"/>
              </w:rPr>
            </w:pPr>
            <w:r>
              <w:rPr>
                <w:rFonts w:ascii="Arial" w:cs="Arial" w:eastAsia="Arial" w:hAnsi="Arial"/>
                <w:sz w:val="15"/>
                <w:szCs w:val="15"/>
                <w:color w:val="auto"/>
              </w:rPr>
              <w:t>44,339</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120"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ENPHASE ENERGY, INC.</w:t>
      </w:r>
    </w:p>
    <w:p>
      <w:pPr>
        <w:spacing w:after="0" w:line="137"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CONDENSED CONSOLIDATED STATEMENTS OF COMPREHENSIVE INCOME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right"/>
              <w:ind w:right="151"/>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2"/>
                <w:szCs w:val="12"/>
                <w:b w:val="1"/>
                <w:bCs w:val="1"/>
                <w:color w:val="auto"/>
              </w:rPr>
              <w:t>Nine Months Ended</w:t>
            </w:r>
          </w:p>
        </w:tc>
      </w:tr>
      <w:tr>
        <w:trPr>
          <w:trHeight w:val="167"/>
        </w:trPr>
        <w:tc>
          <w:tcPr>
            <w:tcW w:w="6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2"/>
                <w:szCs w:val="12"/>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4"/>
                <w:szCs w:val="14"/>
                <w:color w:val="auto"/>
              </w:rPr>
            </w:pPr>
          </w:p>
        </w:tc>
      </w:tr>
      <w:tr>
        <w:trPr>
          <w:trHeight w:val="212"/>
        </w:trPr>
        <w:tc>
          <w:tcPr>
            <w:tcW w:w="6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2015</w:t>
            </w:r>
          </w:p>
        </w:tc>
      </w:tr>
      <w:tr>
        <w:trPr>
          <w:trHeight w:val="201"/>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rPr>
              <w:t>(18,756)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91"/>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(54,274)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(6,299)</w:t>
            </w:r>
          </w:p>
        </w:tc>
      </w:tr>
      <w:tr>
        <w:trPr>
          <w:trHeight w:val="201"/>
        </w:trPr>
        <w:tc>
          <w:tcPr>
            <w:tcW w:w="6540" w:type="dxa"/>
            <w:vAlign w:val="bottom"/>
          </w:tcPr>
          <w:p>
            <w:pPr>
              <w:ind w:left="4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1"/>
        </w:trPr>
        <w:tc>
          <w:tcPr>
            <w:tcW w:w="6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r>
      <w:tr>
        <w:trPr>
          <w:trHeight w:val="196"/>
        </w:trPr>
        <w:tc>
          <w:tcPr>
            <w:tcW w:w="6540" w:type="dxa"/>
            <w:vAlign w:val="bottom"/>
          </w:tcPr>
          <w:p>
            <w:pPr>
              <w:ind w:left="40"/>
              <w:spacing w:after="0"/>
              <w:rPr>
                <w:sz w:val="20"/>
                <w:szCs w:val="20"/>
                <w:color w:val="auto"/>
              </w:rPr>
            </w:pPr>
            <w:r>
              <w:rPr>
                <w:rFonts w:ascii="Arial" w:cs="Arial" w:eastAsia="Arial" w:hAnsi="Arial"/>
                <w:sz w:val="15"/>
                <w:szCs w:val="15"/>
                <w:color w:val="auto"/>
              </w:rPr>
              <w:t>Comprehensive income (loss)</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rPr>
              <w:t>(18,702)</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591"/>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811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(54,318)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(6,431)</w:t>
            </w: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60"/>
          </w:cols>
          <w:pgMar w:left="220" w:top="120"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ENPHASE ENERGY, INC.</w:t>
      </w:r>
    </w:p>
    <w:p>
      <w:pPr>
        <w:spacing w:after="0" w:line="137"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26" w:lineRule="exact"/>
        <w:rPr>
          <w:sz w:val="20"/>
          <w:szCs w:val="20"/>
          <w:color w:val="auto"/>
        </w:rPr>
      </w:pPr>
    </w:p>
    <w:p>
      <w:pPr>
        <w:jc w:val="center"/>
        <w:ind w:left="8620"/>
        <w:spacing w:after="0"/>
        <w:rPr>
          <w:sz w:val="20"/>
          <w:szCs w:val="20"/>
          <w:color w:val="auto"/>
        </w:rPr>
      </w:pPr>
      <w:r>
        <w:rPr>
          <w:rFonts w:ascii="Arial" w:cs="Arial" w:eastAsia="Arial" w:hAnsi="Arial"/>
          <w:sz w:val="12"/>
          <w:szCs w:val="12"/>
          <w:b w:val="1"/>
          <w:bCs w:val="1"/>
          <w:color w:val="auto"/>
        </w:rPr>
        <w:t>Nine Months Ended</w:t>
      </w:r>
    </w:p>
    <w:p>
      <w:pPr>
        <w:spacing w:after="0" w:line="11" w:lineRule="exact"/>
        <w:rPr>
          <w:sz w:val="20"/>
          <w:szCs w:val="20"/>
          <w:color w:val="auto"/>
        </w:rPr>
      </w:pPr>
    </w:p>
    <w:p>
      <w:pPr>
        <w:jc w:val="center"/>
        <w:ind w:left="862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8255</wp:posOffset>
            </wp:positionV>
            <wp:extent cx="18110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1020" cy="698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2"/>
                <w:szCs w:val="12"/>
                <w:b w:val="1"/>
                <w:bCs w:val="1"/>
                <w:color w:val="auto"/>
              </w:rPr>
              <w:t>2015</w:t>
            </w:r>
          </w:p>
        </w:tc>
      </w:tr>
      <w:tr>
        <w:trPr>
          <w:trHeight w:val="212"/>
        </w:trPr>
        <w:tc>
          <w:tcPr>
            <w:tcW w:w="86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4"/>
        </w:trPr>
        <w:tc>
          <w:tcPr>
            <w:tcW w:w="8600" w:type="dxa"/>
            <w:vAlign w:val="bottom"/>
          </w:tcPr>
          <w:p>
            <w:pPr>
              <w:ind w:left="320"/>
              <w:spacing w:after="0"/>
              <w:rPr>
                <w:sz w:val="20"/>
                <w:szCs w:val="20"/>
                <w:color w:val="auto"/>
              </w:rPr>
            </w:pPr>
            <w:r>
              <w:rPr>
                <w:rFonts w:ascii="Arial" w:cs="Arial" w:eastAsia="Arial" w:hAnsi="Arial"/>
                <w:sz w:val="13"/>
                <w:szCs w:val="13"/>
                <w:color w:val="auto"/>
              </w:rPr>
              <w:t>Net loss</w:t>
            </w:r>
          </w:p>
        </w:tc>
        <w:tc>
          <w:tcPr>
            <w:tcW w:w="820" w:type="dxa"/>
            <w:vAlign w:val="bottom"/>
          </w:tcPr>
          <w:p>
            <w:pPr>
              <w:jc w:val="right"/>
              <w:ind w:right="65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9"/>
              </w:rPr>
              <w:t>(54,274)</w:t>
            </w:r>
          </w:p>
        </w:tc>
        <w:tc>
          <w:tcPr>
            <w:tcW w:w="120" w:type="dxa"/>
            <w:vAlign w:val="bottom"/>
          </w:tcPr>
          <w:p>
            <w:pPr>
              <w:spacing w:after="0"/>
              <w:rPr>
                <w:sz w:val="18"/>
                <w:szCs w:val="18"/>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(6,299)</w:t>
            </w:r>
          </w:p>
        </w:tc>
      </w:tr>
      <w:tr>
        <w:trPr>
          <w:trHeight w:val="228"/>
        </w:trPr>
        <w:tc>
          <w:tcPr>
            <w:tcW w:w="86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4"/>
        </w:trPr>
        <w:tc>
          <w:tcPr>
            <w:tcW w:w="8600" w:type="dxa"/>
            <w:vAlign w:val="bottom"/>
          </w:tcPr>
          <w:p>
            <w:pPr>
              <w:ind w:left="580"/>
              <w:spacing w:after="0"/>
              <w:rPr>
                <w:sz w:val="20"/>
                <w:szCs w:val="20"/>
                <w:color w:val="auto"/>
              </w:rPr>
            </w:pPr>
            <w:r>
              <w:rPr>
                <w:rFonts w:ascii="Arial" w:cs="Arial" w:eastAsia="Arial" w:hAnsi="Arial"/>
                <w:sz w:val="13"/>
                <w:szCs w:val="13"/>
                <w:color w:val="auto"/>
              </w:rPr>
              <w:t>Depreciation and amortization</w:t>
            </w:r>
          </w:p>
        </w:tc>
        <w:tc>
          <w:tcPr>
            <w:tcW w:w="82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8,039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7,704</w:t>
            </w:r>
          </w:p>
        </w:tc>
      </w:tr>
      <w:tr>
        <w:trPr>
          <w:trHeight w:val="228"/>
        </w:trPr>
        <w:tc>
          <w:tcPr>
            <w:tcW w:w="86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Provision for doubtful accounts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344</w:t>
            </w:r>
          </w:p>
        </w:tc>
      </w:tr>
      <w:tr>
        <w:trPr>
          <w:trHeight w:val="214"/>
        </w:trPr>
        <w:tc>
          <w:tcPr>
            <w:tcW w:w="8600" w:type="dxa"/>
            <w:vAlign w:val="bottom"/>
          </w:tcPr>
          <w:p>
            <w:pPr>
              <w:ind w:left="580"/>
              <w:spacing w:after="0"/>
              <w:rPr>
                <w:sz w:val="20"/>
                <w:szCs w:val="20"/>
                <w:color w:val="auto"/>
              </w:rPr>
            </w:pPr>
            <w:r>
              <w:rPr>
                <w:rFonts w:ascii="Arial" w:cs="Arial" w:eastAsia="Arial" w:hAnsi="Arial"/>
                <w:sz w:val="13"/>
                <w:szCs w:val="13"/>
                <w:color w:val="auto"/>
              </w:rPr>
              <w:t>Asset impairment charges</w:t>
            </w:r>
          </w:p>
        </w:tc>
        <w:tc>
          <w:tcPr>
            <w:tcW w:w="82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1,440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479</w:t>
            </w:r>
          </w:p>
        </w:tc>
      </w:tr>
      <w:tr>
        <w:trPr>
          <w:trHeight w:val="228"/>
        </w:trPr>
        <w:tc>
          <w:tcPr>
            <w:tcW w:w="86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Amortization of debt issuance costs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120</w:t>
            </w:r>
          </w:p>
        </w:tc>
      </w:tr>
      <w:tr>
        <w:trPr>
          <w:trHeight w:val="214"/>
        </w:trPr>
        <w:tc>
          <w:tcPr>
            <w:tcW w:w="8600" w:type="dxa"/>
            <w:vAlign w:val="bottom"/>
          </w:tcPr>
          <w:p>
            <w:pPr>
              <w:ind w:left="580"/>
              <w:spacing w:after="0"/>
              <w:rPr>
                <w:sz w:val="20"/>
                <w:szCs w:val="20"/>
                <w:color w:val="auto"/>
              </w:rPr>
            </w:pPr>
            <w:r>
              <w:rPr>
                <w:rFonts w:ascii="Arial" w:cs="Arial" w:eastAsia="Arial" w:hAnsi="Arial"/>
                <w:sz w:val="13"/>
                <w:szCs w:val="13"/>
                <w:color w:val="auto"/>
              </w:rPr>
              <w:t>Stock-based compensation</w:t>
            </w:r>
          </w:p>
        </w:tc>
        <w:tc>
          <w:tcPr>
            <w:tcW w:w="82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8,239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9,579</w:t>
            </w:r>
          </w:p>
        </w:tc>
      </w:tr>
      <w:tr>
        <w:trPr>
          <w:trHeight w:val="228"/>
        </w:trPr>
        <w:tc>
          <w:tcPr>
            <w:tcW w:w="86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Revaluation of contingent consideration liability</w:t>
            </w: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r>
      <w:tr>
        <w:trPr>
          <w:trHeight w:val="214"/>
        </w:trPr>
        <w:tc>
          <w:tcPr>
            <w:tcW w:w="8600" w:type="dxa"/>
            <w:vAlign w:val="bottom"/>
          </w:tcPr>
          <w:p>
            <w:pPr>
              <w:ind w:left="580"/>
              <w:spacing w:after="0"/>
              <w:rPr>
                <w:sz w:val="20"/>
                <w:szCs w:val="20"/>
                <w:color w:val="auto"/>
              </w:rPr>
            </w:pPr>
            <w:r>
              <w:rPr>
                <w:rFonts w:ascii="Arial" w:cs="Arial" w:eastAsia="Arial" w:hAnsi="Arial"/>
                <w:sz w:val="13"/>
                <w:szCs w:val="13"/>
                <w:color w:val="auto"/>
              </w:rPr>
              <w:t>Changes in operating assets and liabilities: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86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Accounts receivable</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(16,577)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(30,547)</w:t>
            </w:r>
          </w:p>
        </w:tc>
      </w:tr>
      <w:tr>
        <w:trPr>
          <w:trHeight w:val="214"/>
        </w:trPr>
        <w:tc>
          <w:tcPr>
            <w:tcW w:w="8600" w:type="dxa"/>
            <w:vAlign w:val="bottom"/>
          </w:tcPr>
          <w:p>
            <w:pPr>
              <w:ind w:left="940"/>
              <w:spacing w:after="0"/>
              <w:rPr>
                <w:sz w:val="20"/>
                <w:szCs w:val="20"/>
                <w:color w:val="auto"/>
              </w:rPr>
            </w:pPr>
            <w:r>
              <w:rPr>
                <w:rFonts w:ascii="Arial" w:cs="Arial" w:eastAsia="Arial" w:hAnsi="Arial"/>
                <w:sz w:val="13"/>
                <w:szCs w:val="13"/>
                <w:color w:val="auto"/>
              </w:rPr>
              <w:t>Inventory</w:t>
            </w:r>
          </w:p>
        </w:tc>
        <w:tc>
          <w:tcPr>
            <w:tcW w:w="82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1,699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(15,127)</w:t>
            </w:r>
          </w:p>
        </w:tc>
      </w:tr>
      <w:tr>
        <w:trPr>
          <w:trHeight w:val="228"/>
        </w:trPr>
        <w:tc>
          <w:tcPr>
            <w:tcW w:w="86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Prepaid expenses and other assets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(5,008)</w:t>
            </w:r>
          </w:p>
        </w:tc>
      </w:tr>
      <w:tr>
        <w:trPr>
          <w:trHeight w:val="214"/>
        </w:trPr>
        <w:tc>
          <w:tcPr>
            <w:tcW w:w="8600" w:type="dxa"/>
            <w:vAlign w:val="bottom"/>
          </w:tcPr>
          <w:p>
            <w:pPr>
              <w:ind w:left="940"/>
              <w:spacing w:after="0"/>
              <w:rPr>
                <w:sz w:val="20"/>
                <w:szCs w:val="20"/>
                <w:color w:val="auto"/>
              </w:rPr>
            </w:pPr>
            <w:r>
              <w:rPr>
                <w:rFonts w:ascii="Arial" w:cs="Arial" w:eastAsia="Arial" w:hAnsi="Arial"/>
                <w:sz w:val="13"/>
                <w:szCs w:val="13"/>
                <w:color w:val="auto"/>
              </w:rPr>
              <w:t>Accounts payable, accrued and other liabilities</w:t>
            </w:r>
          </w:p>
        </w:tc>
        <w:tc>
          <w:tcPr>
            <w:tcW w:w="82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14,867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5,004</w:t>
            </w:r>
          </w:p>
        </w:tc>
      </w:tr>
      <w:tr>
        <w:trPr>
          <w:trHeight w:val="228"/>
        </w:trPr>
        <w:tc>
          <w:tcPr>
            <w:tcW w:w="86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Warranty obligations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r>
      <w:tr>
        <w:trPr>
          <w:trHeight w:val="214"/>
        </w:trPr>
        <w:tc>
          <w:tcPr>
            <w:tcW w:w="8600" w:type="dxa"/>
            <w:vAlign w:val="bottom"/>
            <w:tcBorders>
              <w:bottom w:val="single" w:sz="8" w:color="CCEEFF"/>
            </w:tcBorders>
          </w:tcPr>
          <w:p>
            <w:pPr>
              <w:ind w:left="940"/>
              <w:spacing w:after="0"/>
              <w:rPr>
                <w:sz w:val="20"/>
                <w:szCs w:val="20"/>
                <w:color w:val="auto"/>
              </w:rPr>
            </w:pPr>
            <w:r>
              <w:rPr>
                <w:rFonts w:ascii="Arial" w:cs="Arial" w:eastAsia="Arial" w:hAnsi="Arial"/>
                <w:sz w:val="13"/>
                <w:szCs w:val="13"/>
                <w:color w:val="auto"/>
              </w:rPr>
              <w:t>Deferred revenues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8,739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7,176</w:t>
            </w:r>
          </w:p>
        </w:tc>
      </w:tr>
      <w:tr>
        <w:trPr>
          <w:trHeight w:val="208"/>
        </w:trPr>
        <w:tc>
          <w:tcPr>
            <w:tcW w:w="86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Net cash used in operating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(28,588)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(29,309)</w:t>
            </w:r>
          </w:p>
        </w:tc>
      </w:tr>
      <w:tr>
        <w:trPr>
          <w:trHeight w:val="208"/>
        </w:trPr>
        <w:tc>
          <w:tcPr>
            <w:tcW w:w="860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86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Purchases of property and equipment</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(9,682)</w:t>
            </w:r>
          </w:p>
        </w:tc>
      </w:tr>
      <w:tr>
        <w:trPr>
          <w:trHeight w:val="214"/>
        </w:trPr>
        <w:tc>
          <w:tcPr>
            <w:tcW w:w="86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Purchases of intangible assets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r>
      <w:tr>
        <w:trPr>
          <w:trHeight w:val="208"/>
        </w:trPr>
        <w:tc>
          <w:tcPr>
            <w:tcW w:w="86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Net cash used in investing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(10,285)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(9,682)</w:t>
            </w:r>
          </w:p>
        </w:tc>
      </w:tr>
      <w:tr>
        <w:trPr>
          <w:trHeight w:val="208"/>
        </w:trPr>
        <w:tc>
          <w:tcPr>
            <w:tcW w:w="860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86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public offering of common stock, net of underwriting fees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14,593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14"/>
        </w:trPr>
        <w:tc>
          <w:tcPr>
            <w:tcW w:w="8600" w:type="dxa"/>
            <w:vAlign w:val="bottom"/>
          </w:tcPr>
          <w:p>
            <w:pPr>
              <w:ind w:left="320"/>
              <w:spacing w:after="0"/>
              <w:rPr>
                <w:sz w:val="20"/>
                <w:szCs w:val="20"/>
                <w:color w:val="auto"/>
              </w:rPr>
            </w:pPr>
            <w:r>
              <w:rPr>
                <w:rFonts w:ascii="Arial" w:cs="Arial" w:eastAsia="Arial" w:hAnsi="Arial"/>
                <w:sz w:val="13"/>
                <w:szCs w:val="13"/>
                <w:color w:val="auto"/>
              </w:rPr>
              <w:t>Proceeds from term loan</w:t>
            </w:r>
          </w:p>
        </w:tc>
        <w:tc>
          <w:tcPr>
            <w:tcW w:w="82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24,175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28"/>
        </w:trPr>
        <w:tc>
          <w:tcPr>
            <w:tcW w:w="86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borrowings under revolving credit facility</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34,000</w:t>
            </w:r>
          </w:p>
        </w:tc>
      </w:tr>
      <w:tr>
        <w:trPr>
          <w:trHeight w:val="214"/>
        </w:trPr>
        <w:tc>
          <w:tcPr>
            <w:tcW w:w="8600" w:type="dxa"/>
            <w:vAlign w:val="bottom"/>
          </w:tcPr>
          <w:p>
            <w:pPr>
              <w:ind w:left="320"/>
              <w:spacing w:after="0"/>
              <w:rPr>
                <w:sz w:val="20"/>
                <w:szCs w:val="20"/>
                <w:color w:val="auto"/>
              </w:rPr>
            </w:pPr>
            <w:r>
              <w:rPr>
                <w:rFonts w:ascii="Arial" w:cs="Arial" w:eastAsia="Arial" w:hAnsi="Arial"/>
                <w:sz w:val="13"/>
                <w:szCs w:val="13"/>
                <w:color w:val="auto"/>
              </w:rPr>
              <w:t>Payments under revolving credit facility</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(14,550)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(17,000)</w:t>
            </w:r>
          </w:p>
        </w:tc>
      </w:tr>
      <w:tr>
        <w:trPr>
          <w:trHeight w:val="228"/>
        </w:trPr>
        <w:tc>
          <w:tcPr>
            <w:tcW w:w="86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Payments for debt issuance costs and offering costs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14"/>
        </w:trPr>
        <w:tc>
          <w:tcPr>
            <w:tcW w:w="8600" w:type="dxa"/>
            <w:vAlign w:val="bottom"/>
          </w:tcPr>
          <w:p>
            <w:pPr>
              <w:ind w:left="320"/>
              <w:spacing w:after="0"/>
              <w:rPr>
                <w:sz w:val="20"/>
                <w:szCs w:val="20"/>
                <w:color w:val="auto"/>
              </w:rPr>
            </w:pPr>
            <w:r>
              <w:rPr>
                <w:rFonts w:ascii="Arial" w:cs="Arial" w:eastAsia="Arial" w:hAnsi="Arial"/>
                <w:sz w:val="13"/>
                <w:szCs w:val="13"/>
                <w:color w:val="auto"/>
              </w:rPr>
              <w:t>Contingent consideration payment related to prior acquisition</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21"/>
        </w:trPr>
        <w:tc>
          <w:tcPr>
            <w:tcW w:w="86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issuance of common stock under employee stock plans</w:t>
            </w: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852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2,866</w:t>
            </w:r>
          </w:p>
        </w:tc>
      </w:tr>
      <w:tr>
        <w:trPr>
          <w:trHeight w:val="201"/>
        </w:trPr>
        <w:tc>
          <w:tcPr>
            <w:tcW w:w="8600" w:type="dxa"/>
            <w:vAlign w:val="bottom"/>
            <w:tcBorders>
              <w:bottom w:val="single" w:sz="8" w:color="CCEEFF"/>
            </w:tcBorders>
          </w:tcPr>
          <w:p>
            <w:pPr>
              <w:ind w:left="1200"/>
              <w:spacing w:after="0"/>
              <w:rPr>
                <w:sz w:val="20"/>
                <w:szCs w:val="20"/>
                <w:color w:val="auto"/>
              </w:rPr>
            </w:pPr>
            <w:r>
              <w:rPr>
                <w:rFonts w:ascii="Arial" w:cs="Arial" w:eastAsia="Arial" w:hAnsi="Arial"/>
                <w:sz w:val="13"/>
                <w:szCs w:val="13"/>
                <w:color w:val="auto"/>
              </w:rPr>
              <w:t>Net cash provided by financing activities</w:t>
            </w: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34,640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19,866</w:t>
            </w:r>
          </w:p>
        </w:tc>
      </w:tr>
      <w:tr>
        <w:trPr>
          <w:trHeight w:val="201"/>
        </w:trPr>
        <w:tc>
          <w:tcPr>
            <w:tcW w:w="86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Effect of exchange rate changes on cash</w:t>
            </w:r>
          </w:p>
        </w:tc>
        <w:tc>
          <w:tcPr>
            <w:tcW w:w="8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w:t>
            </w:r>
          </w:p>
        </w:tc>
      </w:tr>
      <w:tr>
        <w:trPr>
          <w:trHeight w:val="201"/>
        </w:trPr>
        <w:tc>
          <w:tcPr>
            <w:tcW w:w="8600" w:type="dxa"/>
            <w:vAlign w:val="bottom"/>
          </w:tcPr>
          <w:p>
            <w:pPr>
              <w:ind w:left="40"/>
              <w:spacing w:after="0"/>
              <w:rPr>
                <w:sz w:val="20"/>
                <w:szCs w:val="20"/>
                <w:color w:val="auto"/>
              </w:rPr>
            </w:pPr>
            <w:r>
              <w:rPr>
                <w:rFonts w:ascii="Arial" w:cs="Arial" w:eastAsia="Arial" w:hAnsi="Arial"/>
                <w:sz w:val="13"/>
                <w:szCs w:val="13"/>
                <w:color w:val="auto"/>
              </w:rPr>
              <w:t>Net decrease in cash and cash equivalents</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(19,541)</w:t>
            </w:r>
          </w:p>
        </w:tc>
      </w:tr>
      <w:tr>
        <w:trPr>
          <w:trHeight w:val="221"/>
        </w:trPr>
        <w:tc>
          <w:tcPr>
            <w:tcW w:w="8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equivalents—Beginning of period</w:t>
            </w: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28,452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42,032</w:t>
            </w:r>
          </w:p>
        </w:tc>
      </w:tr>
      <w:tr>
        <w:trPr>
          <w:trHeight w:val="236"/>
        </w:trPr>
        <w:tc>
          <w:tcPr>
            <w:tcW w:w="86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equivalents—End of period</w:t>
            </w:r>
          </w:p>
        </w:tc>
        <w:tc>
          <w:tcPr>
            <w:tcW w:w="8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24,112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22,491</w:t>
            </w:r>
          </w:p>
        </w:tc>
      </w:tr>
      <w:tr>
        <w:trPr>
          <w:trHeight w:val="195"/>
        </w:trPr>
        <w:tc>
          <w:tcPr>
            <w:tcW w:w="8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Supplemental disclosures of non-cash investing and financing activities:</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49"/>
        </w:trPr>
        <w:tc>
          <w:tcPr>
            <w:tcW w:w="86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Purchases of fixed and intangible assets included in accounts payable</w:t>
            </w:r>
          </w:p>
        </w:tc>
        <w:tc>
          <w:tcPr>
            <w:tcW w:w="82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584</w:t>
            </w:r>
          </w:p>
        </w:tc>
      </w:tr>
      <w:tr>
        <w:trPr>
          <w:trHeight w:val="172"/>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Deferred public offering costs included in accounts payable</w:t>
            </w:r>
          </w:p>
        </w:tc>
        <w:tc>
          <w:tcPr>
            <w:tcW w:w="82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446</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0"/>
        </w:trPr>
        <w:tc>
          <w:tcPr>
            <w:tcW w:w="8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120"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ENPHASE ENERGY, INC.</w:t>
      </w:r>
    </w:p>
    <w:p>
      <w:pPr>
        <w:spacing w:after="0" w:line="137" w:lineRule="exact"/>
        <w:rPr>
          <w:sz w:val="20"/>
          <w:szCs w:val="20"/>
          <w:color w:val="auto"/>
        </w:rPr>
      </w:pPr>
    </w:p>
    <w:p>
      <w:pPr>
        <w:ind w:left="334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DESCRIPTION OF BUSINESS AND BASIS OF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Description of Business</w:t>
      </w:r>
    </w:p>
    <w:p>
      <w:pPr>
        <w:spacing w:after="0" w:line="93" w:lineRule="exact"/>
        <w:rPr>
          <w:sz w:val="20"/>
          <w:szCs w:val="20"/>
          <w:color w:val="auto"/>
        </w:rPr>
      </w:pPr>
    </w:p>
    <w:p>
      <w:pPr>
        <w:ind w:right="100" w:firstLine="365"/>
        <w:spacing w:after="0" w:line="254" w:lineRule="auto"/>
        <w:rPr>
          <w:sz w:val="20"/>
          <w:szCs w:val="20"/>
          <w:color w:val="auto"/>
        </w:rPr>
      </w:pPr>
      <w:r>
        <w:rPr>
          <w:rFonts w:ascii="Arial" w:cs="Arial" w:eastAsia="Arial" w:hAnsi="Arial"/>
          <w:sz w:val="15"/>
          <w:szCs w:val="15"/>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over 12.6 million microinverters representing over 3 gigawatts of solar PV generating capacity, and more than 540,000 Enphase residential and commercial systems have been deployed in over 100 countries.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137" w:lineRule="exact"/>
        <w:rPr>
          <w:sz w:val="20"/>
          <w:szCs w:val="20"/>
          <w:color w:val="auto"/>
        </w:rPr>
      </w:pPr>
    </w:p>
    <w:p>
      <w:pPr>
        <w:ind w:right="160" w:firstLine="354"/>
        <w:spacing w:after="0" w:line="263" w:lineRule="auto"/>
        <w:rPr>
          <w:sz w:val="20"/>
          <w:szCs w:val="20"/>
          <w:color w:val="auto"/>
        </w:rPr>
      </w:pPr>
      <w:r>
        <w:rPr>
          <w:rFonts w:ascii="Arial" w:cs="Arial" w:eastAsia="Arial" w:hAnsi="Arial"/>
          <w:sz w:val="15"/>
          <w:szCs w:val="15"/>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Interim Financial Information</w:t>
      </w:r>
    </w:p>
    <w:p>
      <w:pPr>
        <w:spacing w:after="0" w:line="137" w:lineRule="exact"/>
        <w:rPr>
          <w:sz w:val="20"/>
          <w:szCs w:val="20"/>
          <w:color w:val="auto"/>
        </w:rPr>
      </w:pPr>
    </w:p>
    <w:p>
      <w:pPr>
        <w:ind w:right="40" w:firstLine="354"/>
        <w:spacing w:after="0" w:line="251" w:lineRule="auto"/>
        <w:rPr>
          <w:sz w:val="20"/>
          <w:szCs w:val="20"/>
          <w:color w:val="auto"/>
        </w:rPr>
      </w:pPr>
      <w:r>
        <w:rPr>
          <w:rFonts w:ascii="Arial" w:cs="Arial" w:eastAsia="Arial" w:hAnsi="Arial"/>
          <w:sz w:val="15"/>
          <w:szCs w:val="15"/>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and nine months ended September 30, 2016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2015.</w:t>
      </w:r>
    </w:p>
    <w:p>
      <w:pPr>
        <w:spacing w:after="0" w:line="108" w:lineRule="exact"/>
        <w:rPr>
          <w:sz w:val="20"/>
          <w:szCs w:val="20"/>
          <w:color w:val="auto"/>
        </w:rPr>
      </w:pPr>
    </w:p>
    <w:p>
      <w:pPr>
        <w:ind w:right="40" w:firstLine="354"/>
        <w:spacing w:after="0" w:line="263" w:lineRule="auto"/>
        <w:rPr>
          <w:sz w:val="20"/>
          <w:szCs w:val="20"/>
          <w:color w:val="auto"/>
        </w:rPr>
      </w:pPr>
      <w:r>
        <w:rPr>
          <w:rFonts w:ascii="Arial" w:cs="Arial" w:eastAsia="Arial" w:hAnsi="Arial"/>
          <w:sz w:val="15"/>
          <w:szCs w:val="15"/>
          <w:color w:val="auto"/>
        </w:rPr>
        <w:t>There have been no material changes in the Company’s significant accounting policies during the nine months ended September 30, 2016, as compared to the significant accounting policies described in the Company’s Annual Report on Form 10-K for the year ended December 31, 2015. Reference is made to the disclosures therein for a summary of all of the Company’s significant accounting policies.</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3" w:lineRule="exact"/>
        <w:rPr>
          <w:sz w:val="20"/>
          <w:szCs w:val="20"/>
          <w:color w:val="auto"/>
        </w:rPr>
      </w:pPr>
    </w:p>
    <w:p>
      <w:pPr>
        <w:ind w:firstLine="354"/>
        <w:spacing w:after="0" w:line="25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Issued Accounting Pronouncements Not Yet Effective</w:t>
      </w:r>
    </w:p>
    <w:p>
      <w:pPr>
        <w:spacing w:after="0" w:line="93" w:lineRule="exact"/>
        <w:rPr>
          <w:sz w:val="20"/>
          <w:szCs w:val="20"/>
          <w:color w:val="auto"/>
        </w:rPr>
      </w:pPr>
    </w:p>
    <w:p>
      <w:pPr>
        <w:ind w:right="120" w:firstLine="354"/>
        <w:spacing w:after="0" w:line="254" w:lineRule="auto"/>
        <w:rPr>
          <w:sz w:val="20"/>
          <w:szCs w:val="20"/>
          <w:color w:val="auto"/>
        </w:rPr>
      </w:pPr>
      <w:r>
        <w:rPr>
          <w:rFonts w:ascii="Arial" w:cs="Arial" w:eastAsia="Arial" w:hAnsi="Arial"/>
          <w:sz w:val="15"/>
          <w:szCs w:val="15"/>
          <w:color w:val="auto"/>
        </w:rPr>
        <w:t>In May 2014, the Financial Accounting Standards Board (“FASB”) issued Accounting Standards Update (“ASU”) 2014-09,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20" w:top="120" w:right="2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3" w:lineRule="exact"/>
        <w:rPr>
          <w:sz w:val="20"/>
          <w:szCs w:val="20"/>
          <w:color w:val="auto"/>
        </w:rPr>
      </w:pPr>
    </w:p>
    <w:p>
      <w:pPr>
        <w:jc w:val="both"/>
        <w:ind w:right="220"/>
        <w:spacing w:after="0" w:line="272" w:lineRule="auto"/>
        <w:rPr>
          <w:sz w:val="20"/>
          <w:szCs w:val="20"/>
          <w:color w:val="auto"/>
        </w:rPr>
      </w:pPr>
      <w:r>
        <w:rPr>
          <w:rFonts w:ascii="Arial" w:cs="Arial" w:eastAsia="Arial" w:hAnsi="Arial"/>
          <w:sz w:val="14"/>
          <w:szCs w:val="14"/>
          <w:color w:val="auto"/>
        </w:rPr>
        <w:t>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In March 2016, the FASB issued ASU 2016-</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08, “Revenue from Contracts with Customers: Principal versus Agent Considerations (Reporting Revenue Gross versus Net),” which clarifies the guidance in ASU 2014-09 and has the same effective date as the original standard. During the three months ended June 30, 2016, the FASB issued ASU 2016-10, “Revenue from Contracts with Customers: Identifying Performance Obligations and Licensing”; ASU 2016-11, “Rescission of SEC Guidance Because of Accounting Standards Updates 2014-09 and 2014-16 Pursuant to Staff Announcements at the March 3, 2016 EITF Meeting”; and ASU 2016-12, “Revenue from Contracts with Customers: Narrow-Scope Improvements and Practical Expedients.” These amendments are intended to improve and clarify the implementation guidance of ASU 2014-09 and have the same effective date as the original standard. The Company has not yet selected a transition method and is currently evaluating the impact of adoption on the consolidated financial statements.</w:t>
      </w:r>
    </w:p>
    <w:p>
      <w:pPr>
        <w:spacing w:after="0" w:line="66" w:lineRule="exact"/>
        <w:rPr>
          <w:sz w:val="20"/>
          <w:szCs w:val="20"/>
          <w:color w:val="auto"/>
        </w:rPr>
      </w:pPr>
    </w:p>
    <w:p>
      <w:pPr>
        <w:ind w:right="120" w:firstLine="354"/>
        <w:spacing w:after="0" w:line="277" w:lineRule="auto"/>
        <w:rPr>
          <w:sz w:val="20"/>
          <w:szCs w:val="20"/>
          <w:color w:val="auto"/>
        </w:rPr>
      </w:pPr>
      <w:r>
        <w:rPr>
          <w:rFonts w:ascii="Arial" w:cs="Arial" w:eastAsia="Arial" w:hAnsi="Arial"/>
          <w:sz w:val="14"/>
          <w:szCs w:val="14"/>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this update are effective for the annual period ending after December 15, 2016 and for annual and interim periods thereafter. The Company is currently evaluating the impact of adoption on the consolidated financial statements.</w:t>
      </w:r>
    </w:p>
    <w:p>
      <w:pPr>
        <w:spacing w:after="0" w:line="44" w:lineRule="exact"/>
        <w:rPr>
          <w:sz w:val="20"/>
          <w:szCs w:val="20"/>
          <w:color w:val="auto"/>
        </w:rPr>
      </w:pPr>
    </w:p>
    <w:p>
      <w:pPr>
        <w:ind w:right="80" w:firstLine="354"/>
        <w:spacing w:after="0" w:line="251" w:lineRule="auto"/>
        <w:rPr>
          <w:sz w:val="20"/>
          <w:szCs w:val="20"/>
          <w:color w:val="auto"/>
        </w:rPr>
      </w:pPr>
      <w:r>
        <w:rPr>
          <w:rFonts w:ascii="Arial" w:cs="Arial" w:eastAsia="Arial" w:hAnsi="Arial"/>
          <w:sz w:val="15"/>
          <w:szCs w:val="15"/>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The Company is currently evaluating the impact of adoption on the consolidated financial statements.</w:t>
      </w:r>
    </w:p>
    <w:p>
      <w:pPr>
        <w:spacing w:after="0" w:line="64" w:lineRule="exact"/>
        <w:rPr>
          <w:sz w:val="20"/>
          <w:szCs w:val="20"/>
          <w:color w:val="auto"/>
        </w:rPr>
      </w:pPr>
    </w:p>
    <w:p>
      <w:pPr>
        <w:ind w:firstLine="395"/>
        <w:spacing w:after="0" w:line="249" w:lineRule="auto"/>
        <w:rPr>
          <w:sz w:val="20"/>
          <w:szCs w:val="20"/>
          <w:color w:val="auto"/>
        </w:rPr>
      </w:pPr>
      <w:r>
        <w:rPr>
          <w:rFonts w:ascii="Arial" w:cs="Arial" w:eastAsia="Arial" w:hAnsi="Arial"/>
          <w:sz w:val="15"/>
          <w:szCs w:val="15"/>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of adoption on the consolidated financial statements.</w:t>
      </w:r>
    </w:p>
    <w:p>
      <w:pPr>
        <w:spacing w:after="0" w:line="67" w:lineRule="exact"/>
        <w:rPr>
          <w:sz w:val="20"/>
          <w:szCs w:val="20"/>
          <w:color w:val="auto"/>
        </w:rPr>
      </w:pPr>
    </w:p>
    <w:p>
      <w:pPr>
        <w:jc w:val="both"/>
        <w:ind w:right="500" w:firstLine="354"/>
        <w:spacing w:after="0" w:line="290" w:lineRule="auto"/>
        <w:rPr>
          <w:sz w:val="20"/>
          <w:szCs w:val="20"/>
          <w:color w:val="auto"/>
        </w:rPr>
      </w:pPr>
      <w:r>
        <w:rPr>
          <w:rFonts w:ascii="Arial" w:cs="Arial" w:eastAsia="Arial" w:hAnsi="Arial"/>
          <w:sz w:val="14"/>
          <w:szCs w:val="14"/>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The Company is currently evaluating the impact of adoption on the consolidated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20" w:top="120" w:right="2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INVENTORY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Inventory as of September 30, 2016 and December 31, 2015 consists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1260" w:type="dxa"/>
            <w:vAlign w:val="bottom"/>
          </w:tcPr>
          <w:p>
            <w:pPr>
              <w:jc w:val="right"/>
              <w:ind w:right="292"/>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8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2015</w:t>
            </w:r>
          </w:p>
        </w:tc>
      </w:tr>
      <w:tr>
        <w:trPr>
          <w:trHeight w:val="201"/>
        </w:trPr>
        <w:tc>
          <w:tcPr>
            <w:tcW w:w="8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Raw materials</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4,677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2,202</w:t>
            </w:r>
          </w:p>
        </w:tc>
      </w:tr>
      <w:tr>
        <w:trPr>
          <w:trHeight w:val="216"/>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Finished goods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rPr>
              <w:t>34,424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rPr>
              <w:t>38,598</w:t>
            </w:r>
          </w:p>
        </w:tc>
      </w:tr>
      <w:tr>
        <w:trPr>
          <w:trHeight w:val="201"/>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inventory</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39,101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40,800</w:t>
            </w: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WARRANTY OBLIGATIONS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Company’s warranty activities during the three and nine months ended September 30, 2016 and 2015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5"/>
          </w:tcPr>
          <w:p>
            <w:pPr>
              <w:ind w:left="380"/>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2"/>
                <w:szCs w:val="12"/>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2"/>
                <w:szCs w:val="12"/>
                <w:b w:val="1"/>
                <w:bCs w:val="1"/>
                <w:color w:val="auto"/>
              </w:rPr>
              <w:t>Nine Months Ended</w:t>
            </w:r>
          </w:p>
        </w:tc>
      </w:tr>
      <w:tr>
        <w:trPr>
          <w:trHeight w:val="167"/>
        </w:trPr>
        <w:tc>
          <w:tcPr>
            <w:tcW w:w="6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40" w:type="dxa"/>
            <w:vAlign w:val="bottom"/>
            <w:tcBorders>
              <w:bottom w:val="single" w:sz="8" w:color="auto"/>
            </w:tcBorders>
          </w:tcPr>
          <w:p>
            <w:pPr>
              <w:spacing w:after="0"/>
              <w:rPr>
                <w:sz w:val="14"/>
                <w:szCs w:val="14"/>
                <w:color w:val="auto"/>
              </w:rPr>
            </w:pPr>
          </w:p>
        </w:tc>
      </w:tr>
      <w:tr>
        <w:trPr>
          <w:trHeight w:val="212"/>
        </w:trPr>
        <w:tc>
          <w:tcPr>
            <w:tcW w:w="6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2015</w:t>
            </w:r>
          </w:p>
        </w:tc>
      </w:tr>
      <w:tr>
        <w:trPr>
          <w:trHeight w:val="201"/>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Warranty obligations, beginning of period</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30,066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33,763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30,547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33,940</w:t>
            </w:r>
          </w:p>
        </w:tc>
      </w:tr>
      <w:tr>
        <w:trPr>
          <w:trHeight w:val="216"/>
        </w:trPr>
        <w:tc>
          <w:tcPr>
            <w:tcW w:w="6540" w:type="dxa"/>
            <w:vAlign w:val="bottom"/>
          </w:tcPr>
          <w:p>
            <w:pPr>
              <w:ind w:left="220"/>
              <w:spacing w:after="0"/>
              <w:rPr>
                <w:sz w:val="20"/>
                <w:szCs w:val="20"/>
                <w:color w:val="auto"/>
              </w:rPr>
            </w:pPr>
            <w:r>
              <w:rPr>
                <w:rFonts w:ascii="Arial" w:cs="Arial" w:eastAsia="Arial" w:hAnsi="Arial"/>
                <w:sz w:val="15"/>
                <w:szCs w:val="15"/>
                <w:color w:val="auto"/>
              </w:rPr>
              <w:t>Accruals for warranties issued during period</w:t>
            </w: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5"/>
                <w:szCs w:val="15"/>
                <w:color w:val="auto"/>
              </w:rPr>
              <w:t>1,194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5"/>
                <w:szCs w:val="15"/>
                <w:color w:val="auto"/>
              </w:rPr>
              <w:t>1,400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2,931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5"/>
                <w:szCs w:val="15"/>
                <w:color w:val="auto"/>
              </w:rPr>
              <w:t>3,707</w:t>
            </w:r>
          </w:p>
        </w:tc>
      </w:tr>
      <w:tr>
        <w:trPr>
          <w:trHeight w:val="226"/>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 estimates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783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1,548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736</w:t>
            </w:r>
          </w:p>
        </w:tc>
      </w:tr>
      <w:tr>
        <w:trPr>
          <w:trHeight w:val="216"/>
        </w:trPr>
        <w:tc>
          <w:tcPr>
            <w:tcW w:w="6540" w:type="dxa"/>
            <w:vAlign w:val="bottom"/>
          </w:tcPr>
          <w:p>
            <w:pPr>
              <w:ind w:left="220"/>
              <w:spacing w:after="0"/>
              <w:rPr>
                <w:sz w:val="20"/>
                <w:szCs w:val="20"/>
                <w:color w:val="auto"/>
              </w:rPr>
            </w:pPr>
            <w:r>
              <w:rPr>
                <w:rFonts w:ascii="Arial" w:cs="Arial" w:eastAsia="Arial" w:hAnsi="Arial"/>
                <w:sz w:val="15"/>
                <w:szCs w:val="15"/>
                <w:color w:val="auto"/>
              </w:rPr>
              <w:t>Settlements</w:t>
            </w:r>
          </w:p>
        </w:tc>
        <w:tc>
          <w:tcPr>
            <w:tcW w:w="28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5"/>
                <w:szCs w:val="15"/>
                <w:color w:val="auto"/>
              </w:rPr>
              <w:t>(2,561)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(6,517)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(5,480)</w:t>
            </w:r>
          </w:p>
        </w:tc>
      </w:tr>
      <w:tr>
        <w:trPr>
          <w:trHeight w:val="226"/>
        </w:trPr>
        <w:tc>
          <w:tcPr>
            <w:tcW w:w="65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Increase due to accretion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461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1,279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643</w:t>
            </w:r>
          </w:p>
        </w:tc>
      </w:tr>
      <w:tr>
        <w:trPr>
          <w:trHeight w:val="216"/>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406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561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(740)</w:t>
            </w:r>
          </w:p>
        </w:tc>
      </w:tr>
      <w:tr>
        <w:trPr>
          <w:trHeight w:val="206"/>
        </w:trPr>
        <w:tc>
          <w:tcPr>
            <w:tcW w:w="6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Warranty obligations, end of period</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30,349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32,806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30,349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32,806</w:t>
            </w:r>
          </w:p>
        </w:tc>
      </w:tr>
      <w:tr>
        <w:trPr>
          <w:trHeight w:val="216"/>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current portion</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(6,612)</w:t>
            </w:r>
          </w:p>
        </w:tc>
      </w:tr>
      <w:tr>
        <w:trPr>
          <w:trHeight w:val="201"/>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Noncurrent</w:t>
            </w: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23,588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26,194</w:t>
            </w:r>
          </w:p>
        </w:tc>
      </w:tr>
      <w:tr>
        <w:trPr>
          <w:trHeight w:val="20"/>
        </w:trPr>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right="600" w:firstLine="531"/>
        <w:spacing w:after="0" w:line="280" w:lineRule="auto"/>
        <w:rPr>
          <w:sz w:val="20"/>
          <w:szCs w:val="20"/>
          <w:color w:val="auto"/>
        </w:rPr>
      </w:pPr>
      <w:r>
        <w:rPr>
          <w:rFonts w:ascii="Arial" w:cs="Arial" w:eastAsia="Arial" w:hAnsi="Arial"/>
          <w:sz w:val="15"/>
          <w:szCs w:val="15"/>
          <w:color w:val="auto"/>
        </w:rPr>
        <w:t>As of September 30, 2016, the $30.3 million of warranty obligations included $9.5 million measured at fair value. As of December 31, 2015, the $30.5 million of warranty obligations included $6.2 million measured at fair value. See Note 4, “Fair Value Measurements”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39" w:lineRule="exact"/>
        <w:rPr>
          <w:sz w:val="20"/>
          <w:szCs w:val="20"/>
          <w:color w:val="auto"/>
        </w:rPr>
      </w:pPr>
    </w:p>
    <w:p>
      <w:pPr>
        <w:ind w:right="80" w:firstLine="365"/>
        <w:spacing w:after="0" w:line="257" w:lineRule="auto"/>
        <w:rPr>
          <w:sz w:val="20"/>
          <w:szCs w:val="20"/>
          <w:color w:val="auto"/>
        </w:rPr>
      </w:pPr>
      <w:r>
        <w:rPr>
          <w:rFonts w:ascii="Arial" w:cs="Arial" w:eastAsia="Arial" w:hAnsi="Arial"/>
          <w:sz w:val="15"/>
          <w:szCs w:val="15"/>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1" w:lineRule="exact"/>
        <w:rPr>
          <w:sz w:val="20"/>
          <w:szCs w:val="20"/>
          <w:color w:val="auto"/>
        </w:rPr>
      </w:pPr>
    </w:p>
    <w:p>
      <w:pPr>
        <w:ind w:right="20" w:firstLine="365"/>
        <w:spacing w:after="0" w:line="263" w:lineRule="auto"/>
        <w:rPr>
          <w:sz w:val="20"/>
          <w:szCs w:val="20"/>
          <w:color w:val="auto"/>
        </w:rPr>
      </w:pPr>
      <w:r>
        <w:rPr>
          <w:rFonts w:ascii="Arial" w:cs="Arial" w:eastAsia="Arial" w:hAnsi="Arial"/>
          <w:sz w:val="15"/>
          <w:szCs w:val="15"/>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30" w:lineRule="exact"/>
        <w:rPr>
          <w:sz w:val="20"/>
          <w:szCs w:val="20"/>
          <w:color w:val="auto"/>
        </w:rPr>
      </w:pPr>
    </w:p>
    <w:p>
      <w:pPr>
        <w:ind w:left="800" w:right="220" w:hanging="394"/>
        <w:spacing w:after="0" w:line="313" w:lineRule="auto"/>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ind w:left="800" w:hanging="394"/>
        <w:spacing w:after="0"/>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Level 2—Valuations based on one or more quoted prices in markets that are not active or for which all significant inputs are observable, either directly or indirectly.</w:t>
      </w:r>
    </w:p>
    <w:p>
      <w:pPr>
        <w:spacing w:after="0" w:line="82" w:lineRule="exact"/>
        <w:rPr>
          <w:rFonts w:ascii="Arial" w:cs="Arial" w:eastAsia="Arial" w:hAnsi="Arial"/>
          <w:sz w:val="14"/>
          <w:szCs w:val="14"/>
          <w:color w:val="auto"/>
        </w:rPr>
      </w:pPr>
    </w:p>
    <w:p>
      <w:pPr>
        <w:ind w:left="800" w:hanging="394"/>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Level 3—Valuations based on inputs that are unobservable and significant to the overall fair value measurement.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120"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20" w:firstLine="365"/>
        <w:spacing w:after="0" w:line="280" w:lineRule="auto"/>
        <w:rPr>
          <w:sz w:val="20"/>
          <w:szCs w:val="20"/>
          <w:color w:val="auto"/>
        </w:rPr>
      </w:pPr>
      <w:r>
        <w:rPr>
          <w:rFonts w:ascii="Arial" w:cs="Arial" w:eastAsia="Arial" w:hAnsi="Arial"/>
          <w:sz w:val="15"/>
          <w:szCs w:val="15"/>
          <w:color w:val="auto"/>
        </w:rPr>
        <w:t>The following table presents the Company’s assets and liabilities that were measured at fair value on a recurring basis and its categorization within the fair value hierarchy at September 30, 2016 and December 31, 2015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120" w:type="dxa"/>
            <w:vAlign w:val="bottom"/>
          </w:tcPr>
          <w:p>
            <w:pPr>
              <w:spacing w:after="0"/>
              <w:rPr>
                <w:sz w:val="12"/>
                <w:szCs w:val="1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Fair Value</w:t>
            </w:r>
          </w:p>
        </w:tc>
        <w:tc>
          <w:tcPr>
            <w:tcW w:w="180" w:type="dxa"/>
            <w:vAlign w:val="bottom"/>
          </w:tcPr>
          <w:p>
            <w:pPr>
              <w:spacing w:after="0"/>
              <w:rPr>
                <w:sz w:val="12"/>
                <w:szCs w:val="12"/>
                <w:color w:val="auto"/>
              </w:rPr>
            </w:pP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1160" w:type="dxa"/>
            <w:vAlign w:val="bottom"/>
          </w:tcPr>
          <w:p>
            <w:pPr>
              <w:jc w:val="right"/>
              <w:ind w:right="251"/>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7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Hierarchy</w:t>
            </w:r>
          </w:p>
        </w:tc>
        <w:tc>
          <w:tcPr>
            <w:tcW w:w="180" w:type="dxa"/>
            <w:vAlign w:val="bottom"/>
          </w:tcPr>
          <w:p>
            <w:pPr>
              <w:spacing w:after="0"/>
              <w:rPr>
                <w:sz w:val="14"/>
                <w:szCs w:val="14"/>
                <w:color w:val="auto"/>
              </w:rPr>
            </w:pPr>
          </w:p>
        </w:tc>
        <w:tc>
          <w:tcPr>
            <w:tcW w:w="1180" w:type="dxa"/>
            <w:vAlign w:val="bottom"/>
          </w:tcPr>
          <w:p>
            <w:pPr>
              <w:jc w:val="right"/>
              <w:ind w:right="47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71"/>
              <w:spacing w:after="0"/>
              <w:rPr>
                <w:sz w:val="20"/>
                <w:szCs w:val="20"/>
                <w:color w:val="auto"/>
              </w:rPr>
            </w:pPr>
            <w:r>
              <w:rPr>
                <w:rFonts w:ascii="Arial" w:cs="Arial" w:eastAsia="Arial" w:hAnsi="Arial"/>
                <w:sz w:val="12"/>
                <w:szCs w:val="12"/>
                <w:b w:val="1"/>
                <w:bCs w:val="1"/>
                <w:color w:val="auto"/>
              </w:rPr>
              <w:t>2015</w:t>
            </w:r>
          </w:p>
        </w:tc>
      </w:tr>
      <w:tr>
        <w:trPr>
          <w:trHeight w:val="212"/>
        </w:trPr>
        <w:tc>
          <w:tcPr>
            <w:tcW w:w="7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7120" w:type="dxa"/>
            <w:vAlign w:val="bottom"/>
          </w:tcPr>
          <w:p>
            <w:pPr>
              <w:ind w:left="40"/>
              <w:spacing w:after="0"/>
              <w:rPr>
                <w:sz w:val="20"/>
                <w:szCs w:val="20"/>
                <w:color w:val="auto"/>
              </w:rPr>
            </w:pPr>
            <w:r>
              <w:rPr>
                <w:rFonts w:ascii="Arial" w:cs="Arial" w:eastAsia="Arial" w:hAnsi="Arial"/>
                <w:sz w:val="15"/>
                <w:szCs w:val="15"/>
                <w:color w:val="auto"/>
              </w:rPr>
              <w:t>Foreign currency forward contracts</w:t>
            </w:r>
          </w:p>
        </w:tc>
        <w:tc>
          <w:tcPr>
            <w:tcW w:w="1500" w:type="dxa"/>
            <w:vAlign w:val="bottom"/>
            <w:gridSpan w:val="2"/>
          </w:tcPr>
          <w:p>
            <w:pPr>
              <w:jc w:val="center"/>
              <w:ind w:right="140"/>
              <w:spacing w:after="0"/>
              <w:rPr>
                <w:sz w:val="20"/>
                <w:szCs w:val="20"/>
                <w:color w:val="auto"/>
              </w:rPr>
            </w:pPr>
            <w:r>
              <w:rPr>
                <w:rFonts w:ascii="Arial" w:cs="Arial" w:eastAsia="Arial" w:hAnsi="Arial"/>
                <w:sz w:val="15"/>
                <w:szCs w:val="15"/>
                <w:color w:val="auto"/>
                <w:w w:val="99"/>
              </w:rPr>
              <w:t>Level 2</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1"/>
              <w:spacing w:after="0"/>
              <w:rPr>
                <w:sz w:val="20"/>
                <w:szCs w:val="20"/>
                <w:color w:val="auto"/>
              </w:rPr>
            </w:pPr>
            <w:r>
              <w:rPr>
                <w:rFonts w:ascii="Arial" w:cs="Arial" w:eastAsia="Arial" w:hAnsi="Arial"/>
                <w:sz w:val="15"/>
                <w:szCs w:val="15"/>
                <w:color w:val="auto"/>
              </w:rPr>
              <w:t>86</w:t>
            </w:r>
          </w:p>
        </w:tc>
      </w:tr>
      <w:tr>
        <w:trPr>
          <w:trHeight w:val="248"/>
        </w:trPr>
        <w:tc>
          <w:tcPr>
            <w:tcW w:w="7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0"/>
        </w:trPr>
        <w:tc>
          <w:tcPr>
            <w:tcW w:w="7120" w:type="dxa"/>
            <w:vAlign w:val="bottom"/>
          </w:tcPr>
          <w:p>
            <w:pPr>
              <w:ind w:left="40"/>
              <w:spacing w:after="0"/>
              <w:rPr>
                <w:sz w:val="20"/>
                <w:szCs w:val="20"/>
                <w:color w:val="auto"/>
              </w:rPr>
            </w:pPr>
            <w:r>
              <w:rPr>
                <w:rFonts w:ascii="Arial" w:cs="Arial" w:eastAsia="Arial" w:hAnsi="Arial"/>
                <w:sz w:val="15"/>
                <w:szCs w:val="15"/>
                <w:b w:val="1"/>
                <w:bCs w:val="1"/>
                <w:color w:val="auto"/>
              </w:rPr>
              <w:t>Liabilities: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2"/>
        </w:trPr>
        <w:tc>
          <w:tcPr>
            <w:tcW w:w="7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Foreign currency forward contracts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9"/>
              </w:rPr>
              <w:t>Level 2</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9</w:t>
            </w:r>
          </w:p>
        </w:tc>
      </w:tr>
      <w:tr>
        <w:trPr>
          <w:trHeight w:val="216"/>
        </w:trPr>
        <w:tc>
          <w:tcPr>
            <w:tcW w:w="7120" w:type="dxa"/>
            <w:vAlign w:val="bottom"/>
          </w:tcPr>
          <w:p>
            <w:pPr>
              <w:ind w:left="40"/>
              <w:spacing w:after="0"/>
              <w:rPr>
                <w:sz w:val="20"/>
                <w:szCs w:val="20"/>
                <w:color w:val="auto"/>
              </w:rPr>
            </w:pPr>
            <w:r>
              <w:rPr>
                <w:rFonts w:ascii="Arial" w:cs="Arial" w:eastAsia="Arial" w:hAnsi="Arial"/>
                <w:sz w:val="15"/>
                <w:szCs w:val="15"/>
                <w:color w:val="auto"/>
              </w:rPr>
              <w:t>Warranty obligations</w:t>
            </w:r>
          </w:p>
        </w:tc>
        <w:tc>
          <w:tcPr>
            <w:tcW w:w="1500" w:type="dxa"/>
            <w:vAlign w:val="bottom"/>
            <w:gridSpan w:val="2"/>
          </w:tcPr>
          <w:p>
            <w:pPr>
              <w:jc w:val="center"/>
              <w:ind w:right="140"/>
              <w:spacing w:after="0"/>
              <w:rPr>
                <w:sz w:val="20"/>
                <w:szCs w:val="20"/>
                <w:color w:val="auto"/>
              </w:rPr>
            </w:pPr>
            <w:r>
              <w:rPr>
                <w:rFonts w:ascii="Arial" w:cs="Arial" w:eastAsia="Arial" w:hAnsi="Arial"/>
                <w:sz w:val="15"/>
                <w:szCs w:val="15"/>
                <w:color w:val="auto"/>
                <w:w w:val="99"/>
              </w:rPr>
              <w:t>Level 3</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5"/>
                <w:szCs w:val="15"/>
                <w:color w:val="auto"/>
              </w:rPr>
              <w:t>9,515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5"/>
                <w:szCs w:val="15"/>
                <w:color w:val="auto"/>
              </w:rPr>
              <w:t>6,182</w:t>
            </w:r>
          </w:p>
        </w:tc>
      </w:tr>
      <w:tr>
        <w:trPr>
          <w:trHeight w:val="226"/>
        </w:trPr>
        <w:tc>
          <w:tcPr>
            <w:tcW w:w="7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Contingent consideration</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9"/>
              </w:rPr>
              <w:t>Level 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444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473</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Derivative Instruments</w:t>
      </w:r>
    </w:p>
    <w:p>
      <w:pPr>
        <w:spacing w:after="0" w:line="139" w:lineRule="exact"/>
        <w:rPr>
          <w:sz w:val="20"/>
          <w:szCs w:val="20"/>
          <w:color w:val="auto"/>
        </w:rPr>
      </w:pPr>
    </w:p>
    <w:p>
      <w:pPr>
        <w:ind w:right="100" w:firstLine="365"/>
        <w:spacing w:after="0" w:line="257" w:lineRule="auto"/>
        <w:rPr>
          <w:sz w:val="20"/>
          <w:szCs w:val="20"/>
          <w:color w:val="auto"/>
        </w:rPr>
      </w:pPr>
      <w:r>
        <w:rPr>
          <w:rFonts w:ascii="Arial" w:cs="Arial" w:eastAsia="Arial" w:hAnsi="Arial"/>
          <w:sz w:val="15"/>
          <w:szCs w:val="15"/>
          <w:color w:val="auto"/>
        </w:rPr>
        <w:t>The Company utilizes foreign currency forward contracts from time to time to reduce the impact of foreign currency fluctuations arising from both sales and purchases denominated in Euros and the British Pound Sterling. At September 30, 2016, the Company did not have any outstanding foreign currency forward contracts. At December 31, 2015, the notional amount of the Company’s foreign currency forward contracts outstanding was $2.4 million. For the three and nine months ended September 30, 2016 and 2015, gains and losses from foreign currency forward contracts recorded in other income (expense), net were insignificant.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Option for Warranty Obligations Related to Microinverters Sold Since January 1, 2014</w:t>
      </w:r>
    </w:p>
    <w:p>
      <w:pPr>
        <w:spacing w:after="0" w:line="139" w:lineRule="exact"/>
        <w:rPr>
          <w:sz w:val="20"/>
          <w:szCs w:val="20"/>
          <w:color w:val="auto"/>
        </w:rPr>
      </w:pPr>
    </w:p>
    <w:p>
      <w:pPr>
        <w:ind w:right="100" w:firstLine="365"/>
        <w:spacing w:after="0" w:line="254" w:lineRule="auto"/>
        <w:rPr>
          <w:sz w:val="20"/>
          <w:szCs w:val="20"/>
          <w:color w:val="auto"/>
        </w:rPr>
      </w:pPr>
      <w:r>
        <w:rPr>
          <w:rFonts w:ascii="Arial" w:cs="Arial" w:eastAsia="Arial" w:hAnsi="Arial"/>
          <w:sz w:val="15"/>
          <w:szCs w:val="15"/>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04" w:lineRule="exact"/>
        <w:rPr>
          <w:sz w:val="20"/>
          <w:szCs w:val="20"/>
          <w:color w:val="auto"/>
        </w:rPr>
      </w:pPr>
    </w:p>
    <w:p>
      <w:pPr>
        <w:ind w:right="160" w:firstLine="365"/>
        <w:spacing w:after="0" w:line="254" w:lineRule="auto"/>
        <w:rPr>
          <w:sz w:val="20"/>
          <w:szCs w:val="20"/>
          <w:color w:val="auto"/>
        </w:rPr>
      </w:pPr>
      <w:r>
        <w:rPr>
          <w:rFonts w:ascii="Arial" w:cs="Arial" w:eastAsia="Arial" w:hAnsi="Arial"/>
          <w:sz w:val="15"/>
          <w:szCs w:val="15"/>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60"/>
          </w:cols>
          <w:pgMar w:left="220" w:top="120"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3" w:lineRule="exact"/>
        <w:rPr>
          <w:sz w:val="20"/>
          <w:szCs w:val="20"/>
          <w:color w:val="auto"/>
        </w:rPr>
      </w:pPr>
    </w:p>
    <w:p>
      <w:pPr>
        <w:ind w:right="180" w:firstLine="365"/>
        <w:spacing w:after="0" w:line="280" w:lineRule="auto"/>
        <w:rPr>
          <w:sz w:val="20"/>
          <w:szCs w:val="20"/>
          <w:color w:val="auto"/>
        </w:rPr>
      </w:pPr>
      <w:r>
        <w:rPr>
          <w:rFonts w:ascii="Arial" w:cs="Arial" w:eastAsia="Arial" w:hAnsi="Arial"/>
          <w:sz w:val="15"/>
          <w:szCs w:val="15"/>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5"/>
          </w:tcPr>
          <w:p>
            <w:pPr>
              <w:ind w:left="28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1900" w:type="dxa"/>
            <w:vAlign w:val="bottom"/>
            <w:gridSpan w:val="4"/>
          </w:tcPr>
          <w:p>
            <w:pPr>
              <w:jc w:val="right"/>
              <w:ind w:right="448"/>
              <w:spacing w:after="0"/>
              <w:rPr>
                <w:sz w:val="20"/>
                <w:szCs w:val="20"/>
                <w:color w:val="auto"/>
              </w:rPr>
            </w:pPr>
            <w:r>
              <w:rPr>
                <w:rFonts w:ascii="Arial" w:cs="Arial" w:eastAsia="Arial" w:hAnsi="Arial"/>
                <w:sz w:val="12"/>
                <w:szCs w:val="12"/>
                <w:b w:val="1"/>
                <w:bCs w:val="1"/>
                <w:color w:val="auto"/>
              </w:rPr>
              <w:t>Nine Months Ended</w:t>
            </w:r>
          </w:p>
        </w:tc>
      </w:tr>
      <w:tr>
        <w:trPr>
          <w:trHeight w:val="167"/>
        </w:trPr>
        <w:tc>
          <w:tcPr>
            <w:tcW w:w="7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40" w:type="dxa"/>
            <w:vAlign w:val="bottom"/>
            <w:tcBorders>
              <w:bottom w:val="single" w:sz="8" w:color="auto"/>
            </w:tcBorders>
          </w:tcPr>
          <w:p>
            <w:pPr>
              <w:spacing w:after="0"/>
              <w:rPr>
                <w:sz w:val="14"/>
                <w:szCs w:val="14"/>
                <w:color w:val="auto"/>
              </w:rPr>
            </w:pPr>
          </w:p>
        </w:tc>
      </w:tr>
      <w:tr>
        <w:trPr>
          <w:trHeight w:val="212"/>
        </w:trPr>
        <w:tc>
          <w:tcPr>
            <w:tcW w:w="7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w w:val="89"/>
              </w:rPr>
              <w:t>2015</w:t>
            </w:r>
          </w:p>
        </w:tc>
      </w:tr>
      <w:tr>
        <w:trPr>
          <w:trHeight w:val="197"/>
        </w:trPr>
        <w:tc>
          <w:tcPr>
            <w:tcW w:w="7000" w:type="dxa"/>
            <w:vAlign w:val="bottom"/>
          </w:tcPr>
          <w:p>
            <w:pPr>
              <w:ind w:left="40"/>
              <w:spacing w:after="0"/>
              <w:rPr>
                <w:sz w:val="20"/>
                <w:szCs w:val="20"/>
                <w:color w:val="auto"/>
              </w:rPr>
            </w:pPr>
            <w:r>
              <w:rPr>
                <w:rFonts w:ascii="Arial" w:cs="Arial" w:eastAsia="Arial" w:hAnsi="Arial"/>
                <w:sz w:val="15"/>
                <w:szCs w:val="15"/>
                <w:color w:val="auto"/>
              </w:rPr>
              <w:t>Balance at beginning of period</w:t>
            </w: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1"/>
              <w:spacing w:after="0"/>
              <w:rPr>
                <w:sz w:val="20"/>
                <w:szCs w:val="20"/>
                <w:color w:val="auto"/>
              </w:rPr>
            </w:pPr>
            <w:r>
              <w:rPr>
                <w:rFonts w:ascii="Arial" w:cs="Arial" w:eastAsia="Arial" w:hAnsi="Arial"/>
                <w:sz w:val="15"/>
                <w:szCs w:val="15"/>
                <w:color w:val="auto"/>
              </w:rPr>
              <w:t>8,053</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5,803</w:t>
            </w:r>
          </w:p>
        </w:tc>
        <w:tc>
          <w:tcPr>
            <w:tcW w:w="120" w:type="dxa"/>
            <w:vAlign w:val="bottom"/>
          </w:tcPr>
          <w:p>
            <w:pPr>
              <w:spacing w:after="0"/>
              <w:rPr>
                <w:sz w:val="17"/>
                <w:szCs w:val="17"/>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51"/>
              <w:spacing w:after="0"/>
              <w:rPr>
                <w:sz w:val="20"/>
                <w:szCs w:val="20"/>
                <w:color w:val="auto"/>
              </w:rPr>
            </w:pPr>
            <w:r>
              <w:rPr>
                <w:rFonts w:ascii="Arial" w:cs="Arial" w:eastAsia="Arial" w:hAnsi="Arial"/>
                <w:sz w:val="15"/>
                <w:szCs w:val="15"/>
                <w:color w:val="auto"/>
              </w:rPr>
              <w:t>6,182</w:t>
            </w:r>
          </w:p>
        </w:tc>
        <w:tc>
          <w:tcPr>
            <w:tcW w:w="10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3,562</w:t>
            </w:r>
          </w:p>
        </w:tc>
      </w:tr>
      <w:tr>
        <w:trPr>
          <w:trHeight w:val="226"/>
        </w:trPr>
        <w:tc>
          <w:tcPr>
            <w:tcW w:w="7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Accruals for warranties issued during period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1,185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1,327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2,898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3,510</w:t>
            </w:r>
          </w:p>
        </w:tc>
      </w:tr>
      <w:tr>
        <w:trPr>
          <w:trHeight w:val="216"/>
        </w:trPr>
        <w:tc>
          <w:tcPr>
            <w:tcW w:w="7000" w:type="dxa"/>
            <w:vAlign w:val="bottom"/>
          </w:tcPr>
          <w:p>
            <w:pPr>
              <w:ind w:left="140"/>
              <w:spacing w:after="0"/>
              <w:rPr>
                <w:sz w:val="20"/>
                <w:szCs w:val="20"/>
                <w:color w:val="auto"/>
              </w:rPr>
            </w:pPr>
            <w:r>
              <w:rPr>
                <w:rFonts w:ascii="Arial" w:cs="Arial" w:eastAsia="Arial" w:hAnsi="Arial"/>
                <w:sz w:val="15"/>
                <w:szCs w:val="15"/>
                <w:color w:val="auto"/>
              </w:rPr>
              <w:t>Changes in estimates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6"/>
        </w:trPr>
        <w:tc>
          <w:tcPr>
            <w:tcW w:w="7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Settlements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216"/>
        </w:trPr>
        <w:tc>
          <w:tcPr>
            <w:tcW w:w="7000" w:type="dxa"/>
            <w:vAlign w:val="bottom"/>
          </w:tcPr>
          <w:p>
            <w:pPr>
              <w:ind w:left="140"/>
              <w:spacing w:after="0"/>
              <w:rPr>
                <w:sz w:val="20"/>
                <w:szCs w:val="20"/>
                <w:color w:val="auto"/>
              </w:rPr>
            </w:pPr>
            <w:r>
              <w:rPr>
                <w:rFonts w:ascii="Arial" w:cs="Arial" w:eastAsia="Arial" w:hAnsi="Arial"/>
                <w:sz w:val="15"/>
                <w:szCs w:val="15"/>
                <w:color w:val="auto"/>
              </w:rPr>
              <w:t>Increase due to accretion expense</w:t>
            </w:r>
          </w:p>
        </w:tc>
        <w:tc>
          <w:tcPr>
            <w:tcW w:w="24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5"/>
                <w:szCs w:val="15"/>
                <w:color w:val="auto"/>
              </w:rPr>
              <w:t>461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5"/>
                <w:szCs w:val="15"/>
                <w:color w:val="auto"/>
              </w:rPr>
              <w:t>272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5"/>
                <w:szCs w:val="15"/>
                <w:color w:val="auto"/>
              </w:rPr>
              <w:t>1,279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5"/>
                <w:szCs w:val="15"/>
                <w:color w:val="auto"/>
              </w:rPr>
              <w:t>643</w:t>
            </w:r>
          </w:p>
        </w:tc>
      </w:tr>
      <w:tr>
        <w:trPr>
          <w:trHeight w:val="221"/>
        </w:trPr>
        <w:tc>
          <w:tcPr>
            <w:tcW w:w="7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406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560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w:t>
            </w:r>
          </w:p>
        </w:tc>
      </w:tr>
      <w:tr>
        <w:trPr>
          <w:trHeight w:val="206"/>
        </w:trPr>
        <w:tc>
          <w:tcPr>
            <w:tcW w:w="7000" w:type="dxa"/>
            <w:vAlign w:val="bottom"/>
          </w:tcPr>
          <w:p>
            <w:pPr>
              <w:ind w:left="40"/>
              <w:spacing w:after="0"/>
              <w:rPr>
                <w:sz w:val="20"/>
                <w:szCs w:val="20"/>
                <w:color w:val="auto"/>
              </w:rPr>
            </w:pPr>
            <w:r>
              <w:rPr>
                <w:rFonts w:ascii="Arial" w:cs="Arial" w:eastAsia="Arial" w:hAnsi="Arial"/>
                <w:sz w:val="15"/>
                <w:szCs w:val="15"/>
                <w:color w:val="auto"/>
              </w:rPr>
              <w:t>Balance at end of period</w:t>
            </w: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9,515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6,816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9,515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6,816</w:t>
            </w: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Consideration Liability</w:t>
      </w:r>
    </w:p>
    <w:p>
      <w:pPr>
        <w:spacing w:after="0" w:line="95" w:lineRule="exact"/>
        <w:rPr>
          <w:sz w:val="20"/>
          <w:szCs w:val="20"/>
          <w:color w:val="auto"/>
        </w:rPr>
      </w:pPr>
    </w:p>
    <w:p>
      <w:pPr>
        <w:ind w:right="600" w:firstLine="365"/>
        <w:spacing w:after="0" w:line="280" w:lineRule="auto"/>
        <w:rPr>
          <w:sz w:val="20"/>
          <w:szCs w:val="20"/>
          <w:color w:val="auto"/>
        </w:rPr>
      </w:pPr>
      <w:r>
        <w:rPr>
          <w:rFonts w:ascii="Arial" w:cs="Arial" w:eastAsia="Arial" w:hAnsi="Arial"/>
          <w:sz w:val="15"/>
          <w:szCs w:val="15"/>
          <w:color w:val="auto"/>
        </w:rPr>
        <w:t>The following table provides information regarding changes in financial liabilities related to the contingent consideration liability arising from a previous acquisition measured at fair value on a recurring basis using significant unobservable inputs (Level 3) for the periods indicated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2320" w:type="dxa"/>
            <w:vAlign w:val="bottom"/>
            <w:gridSpan w:val="6"/>
          </w:tcPr>
          <w:p>
            <w:pPr>
              <w:ind w:left="52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2"/>
                <w:szCs w:val="12"/>
                <w:color w:val="auto"/>
              </w:rPr>
            </w:pPr>
          </w:p>
        </w:tc>
        <w:tc>
          <w:tcPr>
            <w:tcW w:w="1900" w:type="dxa"/>
            <w:vAlign w:val="bottom"/>
            <w:gridSpan w:val="4"/>
          </w:tcPr>
          <w:p>
            <w:pPr>
              <w:jc w:val="right"/>
              <w:ind w:right="449"/>
              <w:spacing w:after="0"/>
              <w:rPr>
                <w:sz w:val="20"/>
                <w:szCs w:val="20"/>
                <w:color w:val="auto"/>
              </w:rPr>
            </w:pPr>
            <w:r>
              <w:rPr>
                <w:rFonts w:ascii="Arial" w:cs="Arial" w:eastAsia="Arial" w:hAnsi="Arial"/>
                <w:sz w:val="12"/>
                <w:szCs w:val="12"/>
                <w:b w:val="1"/>
                <w:bCs w:val="1"/>
                <w:color w:val="auto"/>
              </w:rPr>
              <w:t>Nine Months Ended</w:t>
            </w:r>
          </w:p>
        </w:tc>
      </w:tr>
      <w:tr>
        <w:trPr>
          <w:trHeight w:val="167"/>
        </w:trPr>
        <w:tc>
          <w:tcPr>
            <w:tcW w:w="7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40" w:type="dxa"/>
            <w:vAlign w:val="bottom"/>
            <w:tcBorders>
              <w:bottom w:val="single" w:sz="8" w:color="auto"/>
            </w:tcBorders>
          </w:tcPr>
          <w:p>
            <w:pPr>
              <w:spacing w:after="0"/>
              <w:rPr>
                <w:sz w:val="14"/>
                <w:szCs w:val="14"/>
                <w:color w:val="auto"/>
              </w:rPr>
            </w:pPr>
          </w:p>
        </w:tc>
      </w:tr>
      <w:tr>
        <w:trPr>
          <w:trHeight w:val="212"/>
        </w:trPr>
        <w:tc>
          <w:tcPr>
            <w:tcW w:w="70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w w:val="89"/>
              </w:rPr>
              <w:t>2015</w:t>
            </w:r>
          </w:p>
        </w:tc>
      </w:tr>
      <w:tr>
        <w:trPr>
          <w:trHeight w:val="197"/>
        </w:trPr>
        <w:tc>
          <w:tcPr>
            <w:tcW w:w="7000" w:type="dxa"/>
            <w:vAlign w:val="bottom"/>
          </w:tcPr>
          <w:p>
            <w:pPr>
              <w:ind w:left="40"/>
              <w:spacing w:after="0"/>
              <w:rPr>
                <w:sz w:val="20"/>
                <w:szCs w:val="20"/>
                <w:color w:val="auto"/>
              </w:rPr>
            </w:pPr>
            <w:r>
              <w:rPr>
                <w:rFonts w:ascii="Arial" w:cs="Arial" w:eastAsia="Arial" w:hAnsi="Arial"/>
                <w:sz w:val="15"/>
                <w:szCs w:val="15"/>
                <w:color w:val="auto"/>
              </w:rPr>
              <w:t>Balance at beginning of period</w:t>
            </w:r>
          </w:p>
        </w:tc>
        <w:tc>
          <w:tcPr>
            <w:tcW w:w="660" w:type="dxa"/>
            <w:vAlign w:val="bottom"/>
          </w:tcPr>
          <w:p>
            <w:pPr>
              <w:jc w:val="right"/>
              <w:ind w:right="494"/>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ind w:right="49"/>
              <w:spacing w:after="0"/>
              <w:rPr>
                <w:sz w:val="20"/>
                <w:szCs w:val="20"/>
                <w:color w:val="auto"/>
              </w:rPr>
            </w:pPr>
            <w:r>
              <w:rPr>
                <w:rFonts w:ascii="Arial" w:cs="Arial" w:eastAsia="Arial" w:hAnsi="Arial"/>
                <w:sz w:val="15"/>
                <w:szCs w:val="15"/>
                <w:color w:val="auto"/>
                <w:w w:val="95"/>
              </w:rPr>
              <w:t>444</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9"/>
              <w:spacing w:after="0"/>
              <w:rPr>
                <w:sz w:val="20"/>
                <w:szCs w:val="20"/>
                <w:color w:val="auto"/>
              </w:rPr>
            </w:pPr>
            <w:r>
              <w:rPr>
                <w:rFonts w:ascii="Arial" w:cs="Arial" w:eastAsia="Arial" w:hAnsi="Arial"/>
                <w:sz w:val="15"/>
                <w:szCs w:val="15"/>
                <w:color w:val="auto"/>
              </w:rPr>
              <w:t>1,400</w:t>
            </w:r>
          </w:p>
        </w:tc>
        <w:tc>
          <w:tcPr>
            <w:tcW w:w="120" w:type="dxa"/>
            <w:vAlign w:val="bottom"/>
          </w:tcPr>
          <w:p>
            <w:pPr>
              <w:spacing w:after="0"/>
              <w:rPr>
                <w:sz w:val="17"/>
                <w:szCs w:val="17"/>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53"/>
              <w:spacing w:after="0"/>
              <w:rPr>
                <w:sz w:val="20"/>
                <w:szCs w:val="20"/>
                <w:color w:val="auto"/>
              </w:rPr>
            </w:pPr>
            <w:r>
              <w:rPr>
                <w:rFonts w:ascii="Arial" w:cs="Arial" w:eastAsia="Arial" w:hAnsi="Arial"/>
                <w:sz w:val="15"/>
                <w:szCs w:val="15"/>
                <w:color w:val="auto"/>
              </w:rPr>
              <w:t>473</w:t>
            </w:r>
          </w:p>
        </w:tc>
        <w:tc>
          <w:tcPr>
            <w:tcW w:w="10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9"/>
              <w:spacing w:after="0"/>
              <w:rPr>
                <w:sz w:val="20"/>
                <w:szCs w:val="20"/>
                <w:color w:val="auto"/>
              </w:rPr>
            </w:pPr>
            <w:r>
              <w:rPr>
                <w:rFonts w:ascii="Arial" w:cs="Arial" w:eastAsia="Arial" w:hAnsi="Arial"/>
                <w:sz w:val="15"/>
                <w:szCs w:val="15"/>
                <w:color w:val="auto"/>
              </w:rPr>
              <w:t>2,300</w:t>
            </w:r>
          </w:p>
        </w:tc>
      </w:tr>
      <w:tr>
        <w:trPr>
          <w:trHeight w:val="226"/>
        </w:trPr>
        <w:tc>
          <w:tcPr>
            <w:tcW w:w="7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Revaluations</w:t>
            </w:r>
          </w:p>
        </w:tc>
        <w:tc>
          <w:tcPr>
            <w:tcW w:w="6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w:t>
            </w:r>
          </w:p>
        </w:tc>
      </w:tr>
      <w:tr>
        <w:trPr>
          <w:trHeight w:val="216"/>
        </w:trPr>
        <w:tc>
          <w:tcPr>
            <w:tcW w:w="7000" w:type="dxa"/>
            <w:vAlign w:val="bottom"/>
          </w:tcPr>
          <w:p>
            <w:pPr>
              <w:ind w:left="140"/>
              <w:spacing w:after="0"/>
              <w:rPr>
                <w:sz w:val="20"/>
                <w:szCs w:val="20"/>
                <w:color w:val="auto"/>
              </w:rPr>
            </w:pPr>
            <w:r>
              <w:rPr>
                <w:rFonts w:ascii="Arial" w:cs="Arial" w:eastAsia="Arial" w:hAnsi="Arial"/>
                <w:sz w:val="15"/>
                <w:szCs w:val="15"/>
                <w:color w:val="auto"/>
              </w:rPr>
              <w:t>Contingent consideration payment</w:t>
            </w:r>
          </w:p>
        </w:tc>
        <w:tc>
          <w:tcPr>
            <w:tcW w:w="66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49"/>
              <w:spacing w:after="0"/>
              <w:rPr>
                <w:sz w:val="20"/>
                <w:szCs w:val="20"/>
                <w:color w:val="auto"/>
              </w:rPr>
            </w:pPr>
            <w:r>
              <w:rPr>
                <w:rFonts w:ascii="Arial" w:cs="Arial" w:eastAsia="Arial" w:hAnsi="Arial"/>
                <w:sz w:val="15"/>
                <w:szCs w:val="15"/>
                <w:color w:val="auto"/>
              </w:rPr>
              <w:t>—</w:t>
            </w:r>
          </w:p>
        </w:tc>
      </w:tr>
      <w:tr>
        <w:trPr>
          <w:trHeight w:val="206"/>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Balance at end of period</w:t>
            </w:r>
          </w:p>
        </w:tc>
        <w:tc>
          <w:tcPr>
            <w:tcW w:w="6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95"/>
              </w:rPr>
              <w:t>444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rPr>
              <w:t>700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5"/>
                <w:szCs w:val="15"/>
                <w:color w:val="auto"/>
              </w:rPr>
              <w:t>444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700</w:t>
            </w:r>
          </w:p>
        </w:tc>
      </w:tr>
      <w:tr>
        <w:trPr>
          <w:trHeight w:val="20"/>
        </w:trPr>
        <w:tc>
          <w:tcPr>
            <w:tcW w:w="7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Information about Level 3 Fair Value Measurements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September 30, 2016, the significant unobservable inputs used in the fair value measurement of the Company’s liabilities designated as Level 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Item Measured at Fair Value</w:t>
            </w:r>
          </w:p>
        </w:tc>
        <w:tc>
          <w:tcPr>
            <w:tcW w:w="120" w:type="dxa"/>
            <w:vAlign w:val="bottom"/>
            <w:vMerge w:val="restart"/>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Valuation Technique</w:t>
            </w:r>
          </w:p>
        </w:tc>
        <w:tc>
          <w:tcPr>
            <w:tcW w:w="120" w:type="dxa"/>
            <w:vAlign w:val="bottom"/>
          </w:tcPr>
          <w:p>
            <w:pPr>
              <w:spacing w:after="0"/>
              <w:rPr>
                <w:sz w:val="11"/>
                <w:szCs w:val="11"/>
                <w:color w:val="auto"/>
              </w:rPr>
            </w:pPr>
          </w:p>
        </w:tc>
        <w:tc>
          <w:tcPr>
            <w:tcW w:w="42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Description of Significant Unobservable Input</w:t>
            </w:r>
          </w:p>
        </w:tc>
        <w:tc>
          <w:tcPr>
            <w:tcW w:w="120" w:type="dxa"/>
            <w:vAlign w:val="bottom"/>
            <w:vMerge w:val="restart"/>
          </w:tcPr>
          <w:p>
            <w:pPr>
              <w:spacing w:after="0"/>
              <w:rPr>
                <w:sz w:val="11"/>
                <w:szCs w:val="11"/>
                <w:color w:val="auto"/>
              </w:rPr>
            </w:pP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6"/>
              </w:rPr>
              <w:t>Percent Used</w:t>
            </w:r>
          </w:p>
        </w:tc>
        <w:tc>
          <w:tcPr>
            <w:tcW w:w="0" w:type="dxa"/>
            <w:vAlign w:val="bottom"/>
          </w:tcPr>
          <w:p>
            <w:pPr>
              <w:spacing w:after="0"/>
              <w:rPr>
                <w:sz w:val="1"/>
                <w:szCs w:val="1"/>
                <w:color w:val="auto"/>
              </w:rPr>
            </w:pPr>
          </w:p>
        </w:tc>
      </w:tr>
      <w:tr>
        <w:trPr>
          <w:trHeight w:val="167"/>
        </w:trPr>
        <w:tc>
          <w:tcPr>
            <w:tcW w:w="2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(Weighted-Average)</w:t>
            </w:r>
          </w:p>
        </w:tc>
        <w:tc>
          <w:tcPr>
            <w:tcW w:w="0" w:type="dxa"/>
            <w:vAlign w:val="bottom"/>
          </w:tcPr>
          <w:p>
            <w:pPr>
              <w:spacing w:after="0"/>
              <w:rPr>
                <w:sz w:val="1"/>
                <w:szCs w:val="1"/>
                <w:color w:val="auto"/>
              </w:rPr>
            </w:pPr>
          </w:p>
        </w:tc>
      </w:tr>
      <w:tr>
        <w:trPr>
          <w:trHeight w:val="201"/>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Warranty obligations for microinverters</w:t>
            </w:r>
          </w:p>
        </w:tc>
        <w:tc>
          <w:tcPr>
            <w:tcW w:w="2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Discounted cash flows</w:t>
            </w:r>
          </w:p>
        </w:tc>
        <w:tc>
          <w:tcPr>
            <w:tcW w:w="12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17%</w:t>
            </w:r>
          </w:p>
        </w:tc>
        <w:tc>
          <w:tcPr>
            <w:tcW w:w="0" w:type="dxa"/>
            <w:vAlign w:val="bottom"/>
          </w:tcPr>
          <w:p>
            <w:pPr>
              <w:spacing w:after="0"/>
              <w:rPr>
                <w:sz w:val="1"/>
                <w:szCs w:val="1"/>
                <w:color w:val="auto"/>
              </w:rPr>
            </w:pPr>
          </w:p>
        </w:tc>
      </w:tr>
      <w:tr>
        <w:trPr>
          <w:trHeight w:val="86"/>
        </w:trPr>
        <w:tc>
          <w:tcPr>
            <w:tcW w:w="278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sold since January 1, 2014</w:t>
            </w:r>
          </w:p>
        </w:tc>
        <w:tc>
          <w:tcPr>
            <w:tcW w:w="24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3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21%</w:t>
            </w:r>
          </w:p>
        </w:tc>
        <w:tc>
          <w:tcPr>
            <w:tcW w:w="0" w:type="dxa"/>
            <w:vAlign w:val="bottom"/>
          </w:tcPr>
          <w:p>
            <w:pPr>
              <w:spacing w:after="0"/>
              <w:rPr>
                <w:sz w:val="1"/>
                <w:szCs w:val="1"/>
                <w:color w:val="auto"/>
              </w:rPr>
            </w:pPr>
          </w:p>
        </w:tc>
      </w:tr>
      <w:tr>
        <w:trPr>
          <w:trHeight w:val="115"/>
        </w:trPr>
        <w:tc>
          <w:tcPr>
            <w:tcW w:w="2780" w:type="dxa"/>
            <w:vAlign w:val="bottom"/>
            <w:tcBorders>
              <w:bottom w:val="single" w:sz="8" w:color="CCEEFF"/>
            </w:tcBorders>
            <w:gridSpan w:val="2"/>
            <w:vMerge w:val="continue"/>
            <w:shd w:val="clear" w:color="auto" w:fill="CCEEFF"/>
          </w:tcPr>
          <w:p>
            <w:pPr>
              <w:spacing w:after="0"/>
              <w:rPr>
                <w:sz w:val="9"/>
                <w:szCs w:val="9"/>
                <w:color w:val="auto"/>
              </w:rPr>
            </w:pPr>
          </w:p>
        </w:tc>
        <w:tc>
          <w:tcPr>
            <w:tcW w:w="24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340" w:type="dxa"/>
            <w:vAlign w:val="bottom"/>
            <w:tcBorders>
              <w:bottom w:val="single" w:sz="8" w:color="CCEEFF"/>
            </w:tcBorders>
            <w:gridSpan w:val="2"/>
            <w:vMerge w:val="continue"/>
            <w:shd w:val="clear" w:color="auto" w:fill="CCEEFF"/>
          </w:tcPr>
          <w:p>
            <w:pPr>
              <w:spacing w:after="0"/>
              <w:rPr>
                <w:sz w:val="9"/>
                <w:szCs w:val="9"/>
                <w:color w:val="auto"/>
              </w:rPr>
            </w:pPr>
          </w:p>
        </w:tc>
        <w:tc>
          <w:tcPr>
            <w:tcW w:w="18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780" w:type="dxa"/>
            <w:vAlign w:val="bottom"/>
            <w:gridSpan w:val="2"/>
            <w:vMerge w:val="restart"/>
          </w:tcPr>
          <w:p>
            <w:pPr>
              <w:ind w:left="100"/>
              <w:spacing w:after="0"/>
              <w:rPr>
                <w:sz w:val="20"/>
                <w:szCs w:val="20"/>
                <w:color w:val="auto"/>
              </w:rPr>
            </w:pPr>
            <w:r>
              <w:rPr>
                <w:rFonts w:ascii="Arial" w:cs="Arial" w:eastAsia="Arial" w:hAnsi="Arial"/>
                <w:sz w:val="13"/>
                <w:szCs w:val="13"/>
                <w:color w:val="auto"/>
              </w:rPr>
              <w:t>Contingent consideration liability</w:t>
            </w:r>
          </w:p>
        </w:tc>
        <w:tc>
          <w:tcPr>
            <w:tcW w:w="2400" w:type="dxa"/>
            <w:vAlign w:val="bottom"/>
          </w:tcPr>
          <w:p>
            <w:pPr>
              <w:jc w:val="center"/>
              <w:spacing w:after="0"/>
              <w:rPr>
                <w:sz w:val="20"/>
                <w:szCs w:val="20"/>
                <w:color w:val="auto"/>
              </w:rPr>
            </w:pPr>
            <w:r>
              <w:rPr>
                <w:rFonts w:ascii="Arial" w:cs="Arial" w:eastAsia="Arial" w:hAnsi="Arial"/>
                <w:sz w:val="13"/>
                <w:szCs w:val="13"/>
                <w:color w:val="auto"/>
              </w:rPr>
              <w:t>Probability-weighted discounted cash</w:t>
            </w:r>
          </w:p>
        </w:tc>
        <w:tc>
          <w:tcPr>
            <w:tcW w:w="120" w:type="dxa"/>
            <w:vAlign w:val="bottom"/>
          </w:tcPr>
          <w:p>
            <w:pPr>
              <w:spacing w:after="0"/>
              <w:rPr>
                <w:sz w:val="24"/>
                <w:szCs w:val="24"/>
                <w:color w:val="auto"/>
              </w:rPr>
            </w:pPr>
          </w:p>
        </w:tc>
        <w:tc>
          <w:tcPr>
            <w:tcW w:w="434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rPr>
              <w:t>Risk-adjusted discount rate</w:t>
            </w:r>
          </w:p>
        </w:tc>
        <w:tc>
          <w:tcPr>
            <w:tcW w:w="1820" w:type="dxa"/>
            <w:vAlign w:val="bottom"/>
            <w:vMerge w:val="restart"/>
          </w:tcPr>
          <w:p>
            <w:pPr>
              <w:jc w:val="center"/>
              <w:spacing w:after="0"/>
              <w:rPr>
                <w:sz w:val="20"/>
                <w:szCs w:val="20"/>
                <w:color w:val="auto"/>
              </w:rPr>
            </w:pPr>
            <w:r>
              <w:rPr>
                <w:rFonts w:ascii="Arial" w:cs="Arial" w:eastAsia="Arial" w:hAnsi="Arial"/>
                <w:sz w:val="13"/>
                <w:szCs w:val="13"/>
                <w:color w:val="auto"/>
                <w:w w:val="99"/>
              </w:rPr>
              <w:t>17%</w:t>
            </w:r>
          </w:p>
        </w:tc>
        <w:tc>
          <w:tcPr>
            <w:tcW w:w="0" w:type="dxa"/>
            <w:vAlign w:val="bottom"/>
          </w:tcPr>
          <w:p>
            <w:pPr>
              <w:spacing w:after="0"/>
              <w:rPr>
                <w:sz w:val="1"/>
                <w:szCs w:val="1"/>
                <w:color w:val="auto"/>
              </w:rPr>
            </w:pPr>
          </w:p>
        </w:tc>
      </w:tr>
      <w:tr>
        <w:trPr>
          <w:trHeight w:val="101"/>
        </w:trPr>
        <w:tc>
          <w:tcPr>
            <w:tcW w:w="2780" w:type="dxa"/>
            <w:vAlign w:val="bottom"/>
            <w:gridSpan w:val="2"/>
            <w:vMerge w:val="continue"/>
          </w:tcPr>
          <w:p>
            <w:pPr>
              <w:spacing w:after="0"/>
              <w:rPr>
                <w:sz w:val="8"/>
                <w:szCs w:val="8"/>
                <w:color w:val="auto"/>
              </w:rPr>
            </w:pPr>
          </w:p>
        </w:tc>
        <w:tc>
          <w:tcPr>
            <w:tcW w:w="2400" w:type="dxa"/>
            <w:vAlign w:val="bottom"/>
            <w:vMerge w:val="restart"/>
          </w:tcPr>
          <w:p>
            <w:pPr>
              <w:jc w:val="center"/>
              <w:spacing w:after="0"/>
              <w:rPr>
                <w:sz w:val="20"/>
                <w:szCs w:val="20"/>
                <w:color w:val="auto"/>
              </w:rPr>
            </w:pPr>
            <w:r>
              <w:rPr>
                <w:rFonts w:ascii="Arial" w:cs="Arial" w:eastAsia="Arial" w:hAnsi="Arial"/>
                <w:sz w:val="13"/>
                <w:szCs w:val="13"/>
                <w:color w:val="auto"/>
              </w:rPr>
              <w:t>flows</w:t>
            </w:r>
          </w:p>
        </w:tc>
        <w:tc>
          <w:tcPr>
            <w:tcW w:w="120" w:type="dxa"/>
            <w:vAlign w:val="bottom"/>
          </w:tcPr>
          <w:p>
            <w:pPr>
              <w:spacing w:after="0"/>
              <w:rPr>
                <w:sz w:val="8"/>
                <w:szCs w:val="8"/>
                <w:color w:val="auto"/>
              </w:rPr>
            </w:pPr>
          </w:p>
        </w:tc>
        <w:tc>
          <w:tcPr>
            <w:tcW w:w="434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December 31, 2015, the significant unobservable inputs used in the fair value measurement of the Company’s liabilities designated as Level 3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Item Measured at Fair Value</w:t>
            </w:r>
          </w:p>
        </w:tc>
        <w:tc>
          <w:tcPr>
            <w:tcW w:w="120" w:type="dxa"/>
            <w:vAlign w:val="bottom"/>
            <w:vMerge w:val="restart"/>
          </w:tcPr>
          <w:p>
            <w:pPr>
              <w:spacing w:after="0"/>
              <w:rPr>
                <w:sz w:val="12"/>
                <w:szCs w:val="12"/>
                <w:color w:val="auto"/>
              </w:rPr>
            </w:pPr>
          </w:p>
        </w:tc>
        <w:tc>
          <w:tcPr>
            <w:tcW w:w="2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Valuation Technique</w:t>
            </w:r>
          </w:p>
        </w:tc>
        <w:tc>
          <w:tcPr>
            <w:tcW w:w="120" w:type="dxa"/>
            <w:vAlign w:val="bottom"/>
          </w:tcPr>
          <w:p>
            <w:pPr>
              <w:spacing w:after="0"/>
              <w:rPr>
                <w:sz w:val="12"/>
                <w:szCs w:val="12"/>
                <w:color w:val="auto"/>
              </w:rPr>
            </w:pPr>
          </w:p>
        </w:tc>
        <w:tc>
          <w:tcPr>
            <w:tcW w:w="42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Description of Significant Unobservable Input</w:t>
            </w:r>
          </w:p>
        </w:tc>
        <w:tc>
          <w:tcPr>
            <w:tcW w:w="120" w:type="dxa"/>
            <w:vAlign w:val="bottom"/>
            <w:vMerge w:val="restart"/>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6"/>
              </w:rPr>
              <w:t>Percent Used</w:t>
            </w:r>
          </w:p>
        </w:tc>
        <w:tc>
          <w:tcPr>
            <w:tcW w:w="0" w:type="dxa"/>
            <w:vAlign w:val="bottom"/>
          </w:tcPr>
          <w:p>
            <w:pPr>
              <w:spacing w:after="0"/>
              <w:rPr>
                <w:sz w:val="1"/>
                <w:szCs w:val="1"/>
                <w:color w:val="auto"/>
              </w:rPr>
            </w:pPr>
          </w:p>
        </w:tc>
      </w:tr>
      <w:tr>
        <w:trPr>
          <w:trHeight w:val="167"/>
        </w:trPr>
        <w:tc>
          <w:tcPr>
            <w:tcW w:w="2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(Weighted-Average)</w:t>
            </w:r>
          </w:p>
        </w:tc>
        <w:tc>
          <w:tcPr>
            <w:tcW w:w="0" w:type="dxa"/>
            <w:vAlign w:val="bottom"/>
          </w:tcPr>
          <w:p>
            <w:pPr>
              <w:spacing w:after="0"/>
              <w:rPr>
                <w:sz w:val="1"/>
                <w:szCs w:val="1"/>
                <w:color w:val="auto"/>
              </w:rPr>
            </w:pPr>
          </w:p>
        </w:tc>
      </w:tr>
      <w:tr>
        <w:trPr>
          <w:trHeight w:val="201"/>
        </w:trPr>
        <w:tc>
          <w:tcPr>
            <w:tcW w:w="27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Warranty obligations for microinverters</w:t>
            </w:r>
          </w:p>
        </w:tc>
        <w:tc>
          <w:tcPr>
            <w:tcW w:w="2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Discounted cash flows</w:t>
            </w:r>
          </w:p>
        </w:tc>
        <w:tc>
          <w:tcPr>
            <w:tcW w:w="12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17%</w:t>
            </w:r>
          </w:p>
        </w:tc>
        <w:tc>
          <w:tcPr>
            <w:tcW w:w="0" w:type="dxa"/>
            <w:vAlign w:val="bottom"/>
          </w:tcPr>
          <w:p>
            <w:pPr>
              <w:spacing w:after="0"/>
              <w:rPr>
                <w:sz w:val="1"/>
                <w:szCs w:val="1"/>
                <w:color w:val="auto"/>
              </w:rPr>
            </w:pPr>
          </w:p>
        </w:tc>
      </w:tr>
      <w:tr>
        <w:trPr>
          <w:trHeight w:val="86"/>
        </w:trPr>
        <w:tc>
          <w:tcPr>
            <w:tcW w:w="278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sold since January 1, 2014</w:t>
            </w:r>
          </w:p>
        </w:tc>
        <w:tc>
          <w:tcPr>
            <w:tcW w:w="24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3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9"/>
              </w:rPr>
              <w:t>25%</w:t>
            </w:r>
          </w:p>
        </w:tc>
        <w:tc>
          <w:tcPr>
            <w:tcW w:w="0" w:type="dxa"/>
            <w:vAlign w:val="bottom"/>
          </w:tcPr>
          <w:p>
            <w:pPr>
              <w:spacing w:after="0"/>
              <w:rPr>
                <w:sz w:val="1"/>
                <w:szCs w:val="1"/>
                <w:color w:val="auto"/>
              </w:rPr>
            </w:pPr>
          </w:p>
        </w:tc>
      </w:tr>
      <w:tr>
        <w:trPr>
          <w:trHeight w:val="115"/>
        </w:trPr>
        <w:tc>
          <w:tcPr>
            <w:tcW w:w="2780" w:type="dxa"/>
            <w:vAlign w:val="bottom"/>
            <w:tcBorders>
              <w:bottom w:val="single" w:sz="8" w:color="CCEEFF"/>
            </w:tcBorders>
            <w:gridSpan w:val="2"/>
            <w:vMerge w:val="continue"/>
            <w:shd w:val="clear" w:color="auto" w:fill="CCEEFF"/>
          </w:tcPr>
          <w:p>
            <w:pPr>
              <w:spacing w:after="0"/>
              <w:rPr>
                <w:sz w:val="9"/>
                <w:szCs w:val="9"/>
                <w:color w:val="auto"/>
              </w:rPr>
            </w:pPr>
          </w:p>
        </w:tc>
        <w:tc>
          <w:tcPr>
            <w:tcW w:w="24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340" w:type="dxa"/>
            <w:vAlign w:val="bottom"/>
            <w:tcBorders>
              <w:bottom w:val="single" w:sz="8" w:color="CCEEFF"/>
            </w:tcBorders>
            <w:gridSpan w:val="2"/>
            <w:vMerge w:val="continue"/>
            <w:shd w:val="clear" w:color="auto" w:fill="CCEEFF"/>
          </w:tcPr>
          <w:p>
            <w:pPr>
              <w:spacing w:after="0"/>
              <w:rPr>
                <w:sz w:val="9"/>
                <w:szCs w:val="9"/>
                <w:color w:val="auto"/>
              </w:rPr>
            </w:pPr>
          </w:p>
        </w:tc>
        <w:tc>
          <w:tcPr>
            <w:tcW w:w="18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780" w:type="dxa"/>
            <w:vAlign w:val="bottom"/>
            <w:gridSpan w:val="2"/>
            <w:vMerge w:val="restart"/>
          </w:tcPr>
          <w:p>
            <w:pPr>
              <w:ind w:left="100"/>
              <w:spacing w:after="0"/>
              <w:rPr>
                <w:sz w:val="20"/>
                <w:szCs w:val="20"/>
                <w:color w:val="auto"/>
              </w:rPr>
            </w:pPr>
            <w:r>
              <w:rPr>
                <w:rFonts w:ascii="Arial" w:cs="Arial" w:eastAsia="Arial" w:hAnsi="Arial"/>
                <w:sz w:val="13"/>
                <w:szCs w:val="13"/>
                <w:color w:val="auto"/>
              </w:rPr>
              <w:t>Contingent consideration liability</w:t>
            </w:r>
          </w:p>
        </w:tc>
        <w:tc>
          <w:tcPr>
            <w:tcW w:w="2400" w:type="dxa"/>
            <w:vAlign w:val="bottom"/>
          </w:tcPr>
          <w:p>
            <w:pPr>
              <w:jc w:val="center"/>
              <w:spacing w:after="0"/>
              <w:rPr>
                <w:sz w:val="20"/>
                <w:szCs w:val="20"/>
                <w:color w:val="auto"/>
              </w:rPr>
            </w:pPr>
            <w:r>
              <w:rPr>
                <w:rFonts w:ascii="Arial" w:cs="Arial" w:eastAsia="Arial" w:hAnsi="Arial"/>
                <w:sz w:val="13"/>
                <w:szCs w:val="13"/>
                <w:color w:val="auto"/>
              </w:rPr>
              <w:t>Probability-weighted discounted cash</w:t>
            </w:r>
          </w:p>
        </w:tc>
        <w:tc>
          <w:tcPr>
            <w:tcW w:w="120" w:type="dxa"/>
            <w:vAlign w:val="bottom"/>
          </w:tcPr>
          <w:p>
            <w:pPr>
              <w:spacing w:after="0"/>
              <w:rPr>
                <w:sz w:val="24"/>
                <w:szCs w:val="24"/>
                <w:color w:val="auto"/>
              </w:rPr>
            </w:pPr>
          </w:p>
        </w:tc>
        <w:tc>
          <w:tcPr>
            <w:tcW w:w="434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rPr>
              <w:t>Risk-adjusted discount rate</w:t>
            </w:r>
          </w:p>
        </w:tc>
        <w:tc>
          <w:tcPr>
            <w:tcW w:w="1820" w:type="dxa"/>
            <w:vAlign w:val="bottom"/>
            <w:vMerge w:val="restart"/>
          </w:tcPr>
          <w:p>
            <w:pPr>
              <w:jc w:val="center"/>
              <w:spacing w:after="0"/>
              <w:rPr>
                <w:sz w:val="20"/>
                <w:szCs w:val="20"/>
                <w:color w:val="auto"/>
              </w:rPr>
            </w:pPr>
            <w:r>
              <w:rPr>
                <w:rFonts w:ascii="Arial" w:cs="Arial" w:eastAsia="Arial" w:hAnsi="Arial"/>
                <w:sz w:val="13"/>
                <w:szCs w:val="13"/>
                <w:color w:val="auto"/>
                <w:w w:val="99"/>
              </w:rPr>
              <w:t>17%</w:t>
            </w:r>
          </w:p>
        </w:tc>
        <w:tc>
          <w:tcPr>
            <w:tcW w:w="0" w:type="dxa"/>
            <w:vAlign w:val="bottom"/>
          </w:tcPr>
          <w:p>
            <w:pPr>
              <w:spacing w:after="0"/>
              <w:rPr>
                <w:sz w:val="1"/>
                <w:szCs w:val="1"/>
                <w:color w:val="auto"/>
              </w:rPr>
            </w:pPr>
          </w:p>
        </w:tc>
      </w:tr>
      <w:tr>
        <w:trPr>
          <w:trHeight w:val="101"/>
        </w:trPr>
        <w:tc>
          <w:tcPr>
            <w:tcW w:w="2780" w:type="dxa"/>
            <w:vAlign w:val="bottom"/>
            <w:gridSpan w:val="2"/>
            <w:vMerge w:val="continue"/>
          </w:tcPr>
          <w:p>
            <w:pPr>
              <w:spacing w:after="0"/>
              <w:rPr>
                <w:sz w:val="8"/>
                <w:szCs w:val="8"/>
                <w:color w:val="auto"/>
              </w:rPr>
            </w:pPr>
          </w:p>
        </w:tc>
        <w:tc>
          <w:tcPr>
            <w:tcW w:w="2400" w:type="dxa"/>
            <w:vAlign w:val="bottom"/>
            <w:vMerge w:val="restart"/>
          </w:tcPr>
          <w:p>
            <w:pPr>
              <w:jc w:val="center"/>
              <w:spacing w:after="0"/>
              <w:rPr>
                <w:sz w:val="20"/>
                <w:szCs w:val="20"/>
                <w:color w:val="auto"/>
              </w:rPr>
            </w:pPr>
            <w:r>
              <w:rPr>
                <w:rFonts w:ascii="Arial" w:cs="Arial" w:eastAsia="Arial" w:hAnsi="Arial"/>
                <w:sz w:val="13"/>
                <w:szCs w:val="13"/>
                <w:color w:val="auto"/>
              </w:rPr>
              <w:t>flows</w:t>
            </w:r>
          </w:p>
        </w:tc>
        <w:tc>
          <w:tcPr>
            <w:tcW w:w="120" w:type="dxa"/>
            <w:vAlign w:val="bottom"/>
          </w:tcPr>
          <w:p>
            <w:pPr>
              <w:spacing w:after="0"/>
              <w:rPr>
                <w:sz w:val="8"/>
                <w:szCs w:val="8"/>
                <w:color w:val="auto"/>
              </w:rPr>
            </w:pPr>
          </w:p>
        </w:tc>
        <w:tc>
          <w:tcPr>
            <w:tcW w:w="4340" w:type="dxa"/>
            <w:vAlign w:val="bottom"/>
            <w:gridSpan w:val="2"/>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60"/>
          </w:cols>
          <w:pgMar w:left="220" w:top="120"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Sensitivity of Level 3 Inputs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Warranty Obligations</w:t>
      </w:r>
    </w:p>
    <w:p>
      <w:pPr>
        <w:spacing w:after="0" w:line="139" w:lineRule="exact"/>
        <w:rPr>
          <w:sz w:val="20"/>
          <w:szCs w:val="20"/>
          <w:color w:val="auto"/>
        </w:rPr>
      </w:pPr>
    </w:p>
    <w:p>
      <w:pPr>
        <w:ind w:right="220" w:firstLine="398"/>
        <w:spacing w:after="0" w:line="254" w:lineRule="auto"/>
        <w:rPr>
          <w:sz w:val="20"/>
          <w:szCs w:val="20"/>
          <w:color w:val="auto"/>
        </w:rPr>
      </w:pPr>
      <w:r>
        <w:rPr>
          <w:rFonts w:ascii="Arial" w:cs="Arial" w:eastAsia="Arial" w:hAnsi="Arial"/>
          <w:sz w:val="15"/>
          <w:szCs w:val="15"/>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$0.3 million reduction of the liability. Decreasing the discount rate by 100 basis points would result in a $0.3 million increase to the liability.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Contingent Consideration Liability</w:t>
      </w:r>
    </w:p>
    <w:p>
      <w:pPr>
        <w:spacing w:after="0" w:line="139" w:lineRule="exact"/>
        <w:rPr>
          <w:sz w:val="20"/>
          <w:szCs w:val="20"/>
          <w:color w:val="auto"/>
        </w:rPr>
      </w:pPr>
    </w:p>
    <w:p>
      <w:pPr>
        <w:ind w:right="40" w:firstLine="398"/>
        <w:spacing w:after="0" w:line="257" w:lineRule="auto"/>
        <w:rPr>
          <w:sz w:val="20"/>
          <w:szCs w:val="20"/>
          <w:color w:val="auto"/>
        </w:rPr>
      </w:pPr>
      <w:r>
        <w:rPr>
          <w:rFonts w:ascii="Arial" w:cs="Arial" w:eastAsia="Arial" w:hAnsi="Arial"/>
          <w:sz w:val="15"/>
          <w:szCs w:val="15"/>
          <w:color w:val="auto"/>
        </w:rPr>
        <w:t>Changes in assumed probability adjustments with respect to achievement of target metrics can materially impact the fair value measurement of contingent consideration as of the acquisition date and for each subsequent period. Assumptions about the probability and amount of payout require less subjectivity over the course of the earnout period as management refines estimates based on actual events. Due to the short duration of the remaining earnout period, increasing or decreasing the risk-adjusted discount rate by 100 basis points would not have a material impact on the fair value measurement of the contingent consideration liability.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GOODWILL AND INTANGIBLE ASSETS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the details of the Company’s goodwill and purchased intangible assets as of September 30, 2016 and December 31, 2015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8"/>
              </w:rPr>
              <w:t>September 30, 2016</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8"/>
              </w:rPr>
              <w:t>December 31, 2015</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29"/>
              <w:spacing w:after="0"/>
              <w:rPr>
                <w:sz w:val="20"/>
                <w:szCs w:val="20"/>
                <w:color w:val="auto"/>
              </w:rPr>
            </w:pPr>
            <w:r>
              <w:rPr>
                <w:rFonts w:ascii="Arial" w:cs="Arial" w:eastAsia="Arial" w:hAnsi="Arial"/>
                <w:sz w:val="12"/>
                <w:szCs w:val="12"/>
                <w:b w:val="1"/>
                <w:bCs w:val="1"/>
                <w:color w:val="auto"/>
              </w:rPr>
              <w:t>Gross</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98"/>
              </w:rPr>
              <w:t>Accumulated</w:t>
            </w:r>
          </w:p>
        </w:tc>
        <w:tc>
          <w:tcPr>
            <w:tcW w:w="300" w:type="dxa"/>
            <w:vAlign w:val="bottom"/>
          </w:tcPr>
          <w:p>
            <w:pPr>
              <w:spacing w:after="0"/>
              <w:rPr>
                <w:sz w:val="11"/>
                <w:szCs w:val="11"/>
                <w:color w:val="auto"/>
              </w:rPr>
            </w:pPr>
          </w:p>
        </w:tc>
        <w:tc>
          <w:tcPr>
            <w:tcW w:w="860" w:type="dxa"/>
            <w:vAlign w:val="bottom"/>
            <w:vMerge w:val="restart"/>
          </w:tcPr>
          <w:p>
            <w:pPr>
              <w:jc w:val="right"/>
              <w:ind w:right="409"/>
              <w:spacing w:after="0"/>
              <w:rPr>
                <w:sz w:val="20"/>
                <w:szCs w:val="20"/>
                <w:color w:val="auto"/>
              </w:rPr>
            </w:pPr>
            <w:r>
              <w:rPr>
                <w:rFonts w:ascii="Arial" w:cs="Arial" w:eastAsia="Arial" w:hAnsi="Arial"/>
                <w:sz w:val="12"/>
                <w:szCs w:val="12"/>
                <w:b w:val="1"/>
                <w:bCs w:val="1"/>
                <w:color w:val="auto"/>
              </w:rPr>
              <w:t>Net</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29"/>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98"/>
              </w:rPr>
              <w:t>Accumulated</w:t>
            </w:r>
          </w:p>
        </w:tc>
        <w:tc>
          <w:tcPr>
            <w:tcW w:w="280" w:type="dxa"/>
            <w:vAlign w:val="bottom"/>
          </w:tcPr>
          <w:p>
            <w:pPr>
              <w:spacing w:after="0"/>
              <w:rPr>
                <w:sz w:val="11"/>
                <w:szCs w:val="11"/>
                <w:color w:val="auto"/>
              </w:rPr>
            </w:pPr>
          </w:p>
        </w:tc>
        <w:tc>
          <w:tcPr>
            <w:tcW w:w="840" w:type="dxa"/>
            <w:vAlign w:val="bottom"/>
            <w:vMerge w:val="restart"/>
          </w:tcPr>
          <w:p>
            <w:pPr>
              <w:jc w:val="right"/>
              <w:ind w:right="389"/>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67"/>
        </w:trPr>
        <w:tc>
          <w:tcPr>
            <w:tcW w:w="3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3,745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3,745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3,745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3,745</w:t>
            </w:r>
          </w:p>
        </w:tc>
        <w:tc>
          <w:tcPr>
            <w:tcW w:w="0" w:type="dxa"/>
            <w:vAlign w:val="bottom"/>
          </w:tcPr>
          <w:p>
            <w:pPr>
              <w:spacing w:after="0"/>
              <w:rPr>
                <w:sz w:val="1"/>
                <w:szCs w:val="1"/>
                <w:color w:val="auto"/>
              </w:rPr>
            </w:pPr>
          </w:p>
        </w:tc>
      </w:tr>
      <w:tr>
        <w:trPr>
          <w:trHeight w:val="265"/>
        </w:trPr>
        <w:tc>
          <w:tcPr>
            <w:tcW w:w="3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indefinite-lived intangibles</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65"/>
        </w:trPr>
        <w:tc>
          <w:tcPr>
            <w:tcW w:w="3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Intangible assets with finite lives: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9"/>
              <w:spacing w:after="0"/>
              <w:rPr>
                <w:sz w:val="20"/>
                <w:szCs w:val="20"/>
                <w:color w:val="auto"/>
              </w:rPr>
            </w:pPr>
            <w:r>
              <w:rPr>
                <w:rFonts w:ascii="Arial" w:cs="Arial" w:eastAsia="Arial" w:hAnsi="Arial"/>
                <w:sz w:val="15"/>
                <w:szCs w:val="15"/>
                <w:color w:val="auto"/>
              </w:rPr>
              <w:t>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18"/>
                <w:szCs w:val="18"/>
                <w:color w:val="auto"/>
              </w:rPr>
            </w:pPr>
          </w:p>
        </w:tc>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9"/>
              <w:spacing w:after="0"/>
              <w:rPr>
                <w:sz w:val="20"/>
                <w:szCs w:val="20"/>
                <w:color w:val="auto"/>
              </w:rPr>
            </w:pPr>
            <w:r>
              <w:rPr>
                <w:rFonts w:ascii="Arial" w:cs="Arial" w:eastAsia="Arial" w:hAnsi="Arial"/>
                <w:sz w:val="15"/>
                <w:szCs w:val="15"/>
                <w:color w:val="auto"/>
              </w:rPr>
              <w:t>585</w:t>
            </w:r>
          </w:p>
        </w:tc>
        <w:tc>
          <w:tcPr>
            <w:tcW w:w="100" w:type="dxa"/>
            <w:vAlign w:val="bottom"/>
          </w:tcPr>
          <w:p>
            <w:pPr>
              <w:spacing w:after="0"/>
              <w:rPr>
                <w:sz w:val="18"/>
                <w:szCs w:val="18"/>
                <w:color w:val="auto"/>
              </w:rPr>
            </w:pP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9"/>
              <w:spacing w:after="0"/>
              <w:rPr>
                <w:sz w:val="20"/>
                <w:szCs w:val="20"/>
                <w:color w:val="auto"/>
              </w:rPr>
            </w:pPr>
            <w:r>
              <w:rPr>
                <w:rFonts w:ascii="Arial" w:cs="Arial" w:eastAsia="Arial" w:hAnsi="Arial"/>
                <w:sz w:val="15"/>
                <w:szCs w:val="15"/>
                <w:color w:val="auto"/>
              </w:rPr>
              <w:t>900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18"/>
                <w:szCs w:val="18"/>
                <w:color w:val="auto"/>
              </w:rPr>
            </w:pP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49"/>
              <w:spacing w:after="0"/>
              <w:rPr>
                <w:sz w:val="20"/>
                <w:szCs w:val="20"/>
                <w:color w:val="auto"/>
              </w:rPr>
            </w:pPr>
            <w:r>
              <w:rPr>
                <w:rFonts w:ascii="Arial" w:cs="Arial" w:eastAsia="Arial" w:hAnsi="Arial"/>
                <w:sz w:val="15"/>
                <w:szCs w:val="15"/>
                <w:color w:val="auto"/>
              </w:rPr>
              <w:t>720</w:t>
            </w: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Patents and licensed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1,665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798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1,665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206"/>
        </w:trPr>
        <w:tc>
          <w:tcPr>
            <w:tcW w:w="3560" w:type="dxa"/>
            <w:vAlign w:val="bottom"/>
          </w:tcPr>
          <w:p>
            <w:pPr>
              <w:ind w:left="2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2,565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1,383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2,565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1,934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right="40" w:firstLine="398"/>
        <w:spacing w:after="0" w:line="263" w:lineRule="auto"/>
        <w:rPr>
          <w:sz w:val="20"/>
          <w:szCs w:val="20"/>
          <w:color w:val="auto"/>
        </w:rPr>
      </w:pPr>
      <w:r>
        <w:rPr>
          <w:rFonts w:ascii="Arial" w:cs="Arial" w:eastAsia="Arial" w:hAnsi="Arial"/>
          <w:sz w:val="15"/>
          <w:szCs w:val="15"/>
          <w:color w:val="auto"/>
        </w:rPr>
        <w:t>In July 2014, the Company purchased certain patents related to system interconnection and photovoltaic AC module construction. The patents are being amortized over their legal life of 3 years. The customer relationship intangible asset associated with a prior acquisition is being amortized on a straight-line basis over its estimated useful life of 5 years. In October 2015, the Company licensed certain technology related to ASIC development for a 3 year term, which is also its estimated useful life.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120"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right="620" w:firstLine="398"/>
        <w:spacing w:after="0" w:line="280" w:lineRule="auto"/>
        <w:rPr>
          <w:sz w:val="20"/>
          <w:szCs w:val="20"/>
          <w:color w:val="auto"/>
        </w:rPr>
      </w:pPr>
      <w:r>
        <w:rPr>
          <w:rFonts w:ascii="Arial" w:cs="Arial" w:eastAsia="Arial" w:hAnsi="Arial"/>
          <w:sz w:val="15"/>
          <w:szCs w:val="15"/>
          <w:color w:val="auto"/>
        </w:rPr>
        <w:t>For the nine months ended September 30, 2016, amortization expense related to intangible assets was $0.6 million. As of September 30, 2016, estimated future amortization expense related to finite-lived intangible assets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0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w:t>
            </w:r>
          </w:p>
        </w:tc>
        <w:tc>
          <w:tcPr>
            <w:tcW w:w="380" w:type="dxa"/>
            <w:vAlign w:val="bottom"/>
          </w:tcPr>
          <w:p>
            <w:pPr>
              <w:spacing w:after="0"/>
              <w:rPr>
                <w:sz w:val="14"/>
                <w:szCs w:val="14"/>
                <w:color w:val="auto"/>
              </w:rPr>
            </w:pPr>
          </w:p>
        </w:tc>
        <w:tc>
          <w:tcPr>
            <w:tcW w:w="1780" w:type="dxa"/>
            <w:vAlign w:val="bottom"/>
          </w:tcPr>
          <w:p>
            <w:pPr>
              <w:jc w:val="right"/>
              <w:ind w:right="609"/>
              <w:spacing w:after="0"/>
              <w:rPr>
                <w:sz w:val="20"/>
                <w:szCs w:val="20"/>
                <w:color w:val="auto"/>
              </w:rPr>
            </w:pPr>
            <w:r>
              <w:rPr>
                <w:rFonts w:ascii="Arial" w:cs="Arial" w:eastAsia="Arial" w:hAnsi="Arial"/>
                <w:sz w:val="12"/>
                <w:szCs w:val="12"/>
                <w:b w:val="1"/>
                <w:bCs w:val="1"/>
                <w:color w:val="auto"/>
              </w:rPr>
              <w:t>(In thousands)</w:t>
            </w:r>
          </w:p>
        </w:tc>
      </w:tr>
      <w:tr>
        <w:trPr>
          <w:trHeight w:val="201"/>
        </w:trPr>
        <w:tc>
          <w:tcPr>
            <w:tcW w:w="9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2016</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184</w:t>
            </w:r>
          </w:p>
        </w:tc>
      </w:tr>
      <w:tr>
        <w:trPr>
          <w:trHeight w:val="216"/>
        </w:trPr>
        <w:tc>
          <w:tcPr>
            <w:tcW w:w="9180" w:type="dxa"/>
            <w:vAlign w:val="bottom"/>
          </w:tcPr>
          <w:p>
            <w:pPr>
              <w:ind w:left="40"/>
              <w:spacing w:after="0"/>
              <w:rPr>
                <w:sz w:val="20"/>
                <w:szCs w:val="20"/>
                <w:color w:val="auto"/>
              </w:rPr>
            </w:pPr>
            <w:r>
              <w:rPr>
                <w:rFonts w:ascii="Arial" w:cs="Arial" w:eastAsia="Arial" w:hAnsi="Arial"/>
                <w:sz w:val="15"/>
                <w:szCs w:val="15"/>
                <w:color w:val="auto"/>
              </w:rPr>
              <w:t>2017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right"/>
              <w:ind w:right="49"/>
              <w:spacing w:after="0"/>
              <w:rPr>
                <w:sz w:val="20"/>
                <w:szCs w:val="20"/>
                <w:color w:val="auto"/>
              </w:rPr>
            </w:pPr>
            <w:r>
              <w:rPr>
                <w:rFonts w:ascii="Arial" w:cs="Arial" w:eastAsia="Arial" w:hAnsi="Arial"/>
                <w:sz w:val="15"/>
                <w:szCs w:val="15"/>
                <w:color w:val="auto"/>
              </w:rPr>
              <w:t>610</w:t>
            </w:r>
          </w:p>
        </w:tc>
      </w:tr>
      <w:tr>
        <w:trPr>
          <w:trHeight w:val="226"/>
        </w:trPr>
        <w:tc>
          <w:tcPr>
            <w:tcW w:w="9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409</w:t>
            </w:r>
          </w:p>
        </w:tc>
      </w:tr>
      <w:tr>
        <w:trPr>
          <w:trHeight w:val="216"/>
        </w:trPr>
        <w:tc>
          <w:tcPr>
            <w:tcW w:w="91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180</w:t>
            </w:r>
          </w:p>
        </w:tc>
      </w:tr>
      <w:tr>
        <w:trPr>
          <w:trHeight w:val="206"/>
        </w:trPr>
        <w:tc>
          <w:tcPr>
            <w:tcW w:w="9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1,383</w:t>
            </w:r>
          </w:p>
        </w:tc>
      </w:tr>
      <w:tr>
        <w:trPr>
          <w:trHeight w:val="20"/>
        </w:trPr>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RESTRUCTURING</w:t>
      </w:r>
    </w:p>
    <w:p>
      <w:pPr>
        <w:spacing w:after="0" w:line="183" w:lineRule="exact"/>
        <w:rPr>
          <w:sz w:val="20"/>
          <w:szCs w:val="20"/>
          <w:color w:val="auto"/>
        </w:rPr>
      </w:pPr>
    </w:p>
    <w:p>
      <w:pPr>
        <w:ind w:firstLine="398"/>
        <w:spacing w:after="0" w:line="263" w:lineRule="auto"/>
        <w:rPr>
          <w:sz w:val="20"/>
          <w:szCs w:val="20"/>
          <w:color w:val="auto"/>
        </w:rPr>
      </w:pPr>
      <w:r>
        <w:rPr>
          <w:rFonts w:ascii="Arial" w:cs="Arial" w:eastAsia="Arial" w:hAnsi="Arial"/>
          <w:sz w:val="15"/>
          <w:szCs w:val="15"/>
          <w:color w:val="auto"/>
        </w:rPr>
        <w:t>In the third quarter of 2016, the Company implemented a restructuring plan to lower its operating expenses. The restructuring plan led to a reduction of its workforce globally by approximately 11% of total headcount throughout all areas of the organization and an elimination of certain non-core projects. The restructuring actions are expected to be completed by the end of the fourth quarter of 2016.</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the details of the Company’s restructuring charges for the periods indicated (in thousands):</w:t>
      </w:r>
    </w:p>
    <w:p>
      <w:pPr>
        <w:spacing w:after="0" w:line="144" w:lineRule="exact"/>
        <w:rPr>
          <w:sz w:val="20"/>
          <w:szCs w:val="20"/>
          <w:color w:val="auto"/>
        </w:rPr>
      </w:pPr>
    </w:p>
    <w:p>
      <w:pPr>
        <w:jc w:val="center"/>
        <w:ind w:left="7940"/>
        <w:spacing w:after="0"/>
        <w:rPr>
          <w:sz w:val="20"/>
          <w:szCs w:val="20"/>
          <w:color w:val="auto"/>
        </w:rPr>
      </w:pPr>
      <w:r>
        <w:rPr>
          <w:rFonts w:ascii="Arial" w:cs="Arial" w:eastAsia="Arial" w:hAnsi="Arial"/>
          <w:sz w:val="12"/>
          <w:szCs w:val="12"/>
          <w:b w:val="1"/>
          <w:bCs w:val="1"/>
          <w:color w:val="auto"/>
        </w:rPr>
        <w:t>Three Months Ended</w:t>
      </w:r>
    </w:p>
    <w:p>
      <w:pPr>
        <w:spacing w:after="0" w:line="11" w:lineRule="exact"/>
        <w:rPr>
          <w:sz w:val="20"/>
          <w:szCs w:val="20"/>
          <w:color w:val="auto"/>
        </w:rPr>
      </w:pPr>
    </w:p>
    <w:p>
      <w:pPr>
        <w:jc w:val="center"/>
        <w:ind w:left="794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8255</wp:posOffset>
            </wp:positionV>
            <wp:extent cx="22529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2980" cy="698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2016</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2"/>
                <w:szCs w:val="12"/>
                <w:b w:val="1"/>
                <w:bCs w:val="1"/>
                <w:color w:val="auto"/>
              </w:rPr>
              <w:t>2015</w:t>
            </w:r>
          </w:p>
        </w:tc>
      </w:tr>
      <w:tr>
        <w:trPr>
          <w:trHeight w:val="201"/>
        </w:trPr>
        <w:tc>
          <w:tcPr>
            <w:tcW w:w="7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Employee severance and benefit arrangements</w:t>
            </w:r>
          </w:p>
        </w:tc>
        <w:tc>
          <w:tcPr>
            <w:tcW w:w="1120" w:type="dxa"/>
            <w:vAlign w:val="bottom"/>
            <w:shd w:val="clear" w:color="auto" w:fill="CCEEFF"/>
          </w:tcPr>
          <w:p>
            <w:pPr>
              <w:jc w:val="right"/>
              <w:ind w:right="951"/>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1,308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w:t>
            </w:r>
          </w:p>
        </w:tc>
      </w:tr>
      <w:tr>
        <w:trPr>
          <w:trHeight w:val="216"/>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Asset impairments</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1,409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5"/>
                <w:szCs w:val="15"/>
                <w:color w:val="auto"/>
              </w:rPr>
              <w:t>—</w:t>
            </w:r>
          </w:p>
        </w:tc>
      </w:tr>
      <w:tr>
        <w:trPr>
          <w:trHeight w:val="206"/>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restructuring and asset impairment charges</w:t>
            </w:r>
          </w:p>
        </w:tc>
        <w:tc>
          <w:tcPr>
            <w:tcW w:w="1120" w:type="dxa"/>
            <w:vAlign w:val="bottom"/>
            <w:tcBorders>
              <w:bottom w:val="single" w:sz="8" w:color="auto"/>
            </w:tcBorders>
            <w:shd w:val="clear" w:color="auto" w:fill="CCEEFF"/>
          </w:tcPr>
          <w:p>
            <w:pPr>
              <w:jc w:val="right"/>
              <w:ind w:right="951"/>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2,717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5"/>
                <w:szCs w:val="15"/>
                <w:color w:val="auto"/>
              </w:rPr>
              <w:t>—</w:t>
            </w:r>
          </w:p>
        </w:tc>
      </w:tr>
      <w:tr>
        <w:trPr>
          <w:trHeight w:val="20"/>
        </w:trPr>
        <w:tc>
          <w:tcPr>
            <w:tcW w:w="7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provides information regarding changes in the Company’s accrued restructuring balance for the periods indicated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ind w:left="20"/>
              <w:spacing w:after="0"/>
              <w:rPr>
                <w:sz w:val="20"/>
                <w:szCs w:val="20"/>
                <w:color w:val="auto"/>
              </w:rPr>
            </w:pPr>
            <w:r>
              <w:rPr>
                <w:rFonts w:ascii="Arial" w:cs="Arial" w:eastAsia="Arial" w:hAnsi="Arial"/>
                <w:sz w:val="12"/>
                <w:szCs w:val="12"/>
                <w:b w:val="1"/>
                <w:bCs w:val="1"/>
                <w:color w:val="auto"/>
              </w:rPr>
              <w:t>Employee Severance and</w:t>
            </w:r>
          </w:p>
        </w:tc>
        <w:tc>
          <w:tcPr>
            <w:tcW w:w="220" w:type="dxa"/>
            <w:vAlign w:val="bottom"/>
          </w:tcPr>
          <w:p>
            <w:pPr>
              <w:spacing w:after="0"/>
              <w:rPr>
                <w:sz w:val="12"/>
                <w:szCs w:val="12"/>
                <w:color w:val="auto"/>
              </w:rPr>
            </w:pPr>
          </w:p>
        </w:tc>
        <w:tc>
          <w:tcPr>
            <w:tcW w:w="1480" w:type="dxa"/>
            <w:vAlign w:val="bottom"/>
            <w:vMerge w:val="restart"/>
          </w:tcPr>
          <w:p>
            <w:pPr>
              <w:jc w:val="right"/>
              <w:ind w:right="249"/>
              <w:spacing w:after="0"/>
              <w:rPr>
                <w:sz w:val="20"/>
                <w:szCs w:val="20"/>
                <w:color w:val="auto"/>
              </w:rPr>
            </w:pPr>
            <w:r>
              <w:rPr>
                <w:rFonts w:ascii="Arial" w:cs="Arial" w:eastAsia="Arial" w:hAnsi="Arial"/>
                <w:sz w:val="12"/>
                <w:szCs w:val="12"/>
                <w:b w:val="1"/>
                <w:bCs w:val="1"/>
                <w:color w:val="auto"/>
              </w:rPr>
              <w:t>Asset Impairments</w:t>
            </w:r>
          </w:p>
        </w:tc>
        <w:tc>
          <w:tcPr>
            <w:tcW w:w="1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restart"/>
          </w:tcPr>
          <w:p>
            <w:pPr>
              <w:jc w:val="right"/>
              <w:ind w:right="64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60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71"/>
              <w:spacing w:after="0"/>
              <w:rPr>
                <w:sz w:val="20"/>
                <w:szCs w:val="20"/>
                <w:color w:val="auto"/>
              </w:rPr>
            </w:pPr>
            <w:r>
              <w:rPr>
                <w:rFonts w:ascii="Arial" w:cs="Arial" w:eastAsia="Arial" w:hAnsi="Arial"/>
                <w:sz w:val="12"/>
                <w:szCs w:val="12"/>
                <w:b w:val="1"/>
                <w:bCs w:val="1"/>
                <w:color w:val="auto"/>
              </w:rPr>
              <w:t>Benefits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at beginning of period as of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5"/>
                <w:szCs w:val="15"/>
                <w:color w:val="auto"/>
              </w:rPr>
              <w:t>Charges</w:t>
            </w:r>
          </w:p>
        </w:tc>
        <w:tc>
          <w:tcPr>
            <w:tcW w:w="140" w:type="dxa"/>
            <w:vAlign w:val="bottom"/>
          </w:tcPr>
          <w:p>
            <w:pPr>
              <w:spacing w:after="0"/>
              <w:rPr>
                <w:sz w:val="18"/>
                <w:szCs w:val="18"/>
                <w:color w:val="auto"/>
              </w:rPr>
            </w:pPr>
          </w:p>
        </w:tc>
        <w:tc>
          <w:tcPr>
            <w:tcW w:w="1600" w:type="dxa"/>
            <w:vAlign w:val="bottom"/>
          </w:tcPr>
          <w:p>
            <w:pPr>
              <w:jc w:val="right"/>
              <w:ind w:right="51"/>
              <w:spacing w:after="0"/>
              <w:rPr>
                <w:sz w:val="20"/>
                <w:szCs w:val="20"/>
                <w:color w:val="auto"/>
              </w:rPr>
            </w:pPr>
            <w:r>
              <w:rPr>
                <w:rFonts w:ascii="Arial" w:cs="Arial" w:eastAsia="Arial" w:hAnsi="Arial"/>
                <w:sz w:val="15"/>
                <w:szCs w:val="15"/>
                <w:color w:val="auto"/>
              </w:rPr>
              <w:t>1,308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9"/>
              <w:spacing w:after="0"/>
              <w:rPr>
                <w:sz w:val="20"/>
                <w:szCs w:val="20"/>
                <w:color w:val="auto"/>
              </w:rPr>
            </w:pPr>
            <w:r>
              <w:rPr>
                <w:rFonts w:ascii="Arial" w:cs="Arial" w:eastAsia="Arial" w:hAnsi="Arial"/>
                <w:sz w:val="15"/>
                <w:szCs w:val="15"/>
                <w:color w:val="auto"/>
              </w:rPr>
              <w:t>1,409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49"/>
              <w:spacing w:after="0"/>
              <w:rPr>
                <w:sz w:val="20"/>
                <w:szCs w:val="20"/>
                <w:color w:val="auto"/>
              </w:rPr>
            </w:pPr>
            <w:r>
              <w:rPr>
                <w:rFonts w:ascii="Arial" w:cs="Arial" w:eastAsia="Arial" w:hAnsi="Arial"/>
                <w:sz w:val="15"/>
                <w:szCs w:val="15"/>
                <w:color w:val="auto"/>
              </w:rPr>
              <w:t>2,717</w:t>
            </w:r>
          </w:p>
        </w:tc>
        <w:tc>
          <w:tcPr>
            <w:tcW w:w="0" w:type="dxa"/>
            <w:vAlign w:val="bottom"/>
          </w:tcPr>
          <w:p>
            <w:pPr>
              <w:spacing w:after="0"/>
              <w:rPr>
                <w:sz w:val="1"/>
                <w:szCs w:val="1"/>
                <w:color w:val="auto"/>
              </w:rPr>
            </w:pPr>
          </w:p>
        </w:tc>
      </w:tr>
      <w:tr>
        <w:trPr>
          <w:trHeight w:val="226"/>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payments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Non-cash settlement</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at end of period as of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1,223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1,223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DEBT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137" w:lineRule="exact"/>
        <w:rPr>
          <w:sz w:val="20"/>
          <w:szCs w:val="20"/>
          <w:color w:val="auto"/>
        </w:rPr>
      </w:pPr>
    </w:p>
    <w:p>
      <w:pPr>
        <w:ind w:right="100" w:firstLine="354"/>
        <w:spacing w:after="0" w:line="257" w:lineRule="auto"/>
        <w:rPr>
          <w:sz w:val="20"/>
          <w:szCs w:val="20"/>
          <w:color w:val="auto"/>
        </w:rPr>
      </w:pPr>
      <w:r>
        <w:rPr>
          <w:rFonts w:ascii="Arial" w:cs="Arial" w:eastAsia="Arial" w:hAnsi="Arial"/>
          <w:sz w:val="15"/>
          <w:szCs w:val="15"/>
          <w:color w:val="auto"/>
        </w:rPr>
        <w:t>The Company maintains a $50.0 million revolving credit facility with Wells Fargo Bank, N.A. (“Wells Fargo”) that was entered into in November 2012, as first amended on February 14, 2014.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w:t>
      </w:r>
    </w:p>
    <w:p>
      <w:pPr>
        <w:spacing w:after="0" w:line="101" w:lineRule="exact"/>
        <w:rPr>
          <w:sz w:val="20"/>
          <w:szCs w:val="20"/>
          <w:color w:val="auto"/>
        </w:rPr>
      </w:pPr>
    </w:p>
    <w:p>
      <w:pPr>
        <w:ind w:right="40" w:firstLine="354"/>
        <w:spacing w:after="0" w:line="257" w:lineRule="auto"/>
        <w:rPr>
          <w:sz w:val="20"/>
          <w:szCs w:val="20"/>
          <w:color w:val="auto"/>
        </w:rPr>
      </w:pPr>
      <w:r>
        <w:rPr>
          <w:rFonts w:ascii="Arial" w:cs="Arial" w:eastAsia="Arial" w:hAnsi="Arial"/>
          <w:sz w:val="15"/>
          <w:szCs w:val="15"/>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the Company’s option, either LIBOR or a “base rate” that is comprised of, among other things, the prime rate, plus a margin that is between 1.0% and 3.75% depending on the currency borrowed and the specific term of repayment. The Revolver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60"/>
          </w:cols>
          <w:pgMar w:left="220" w:top="120" w:right="2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requires the Company to pay an unused line fee between 0.25% and 0.375% based on the average daily unused portion of the revolving credit commitment.</w:t>
      </w:r>
    </w:p>
    <w:p>
      <w:pPr>
        <w:spacing w:after="0" w:line="137" w:lineRule="exact"/>
        <w:rPr>
          <w:sz w:val="20"/>
          <w:szCs w:val="20"/>
          <w:color w:val="auto"/>
        </w:rPr>
      </w:pPr>
    </w:p>
    <w:p>
      <w:pPr>
        <w:ind w:right="20" w:firstLine="354"/>
        <w:spacing w:after="0" w:line="274" w:lineRule="auto"/>
        <w:rPr>
          <w:sz w:val="20"/>
          <w:szCs w:val="20"/>
          <w:color w:val="auto"/>
        </w:rPr>
      </w:pPr>
      <w:r>
        <w:rPr>
          <w:rFonts w:ascii="Arial" w:cs="Arial" w:eastAsia="Arial" w:hAnsi="Arial"/>
          <w:sz w:val="14"/>
          <w:szCs w:val="14"/>
          <w:color w:val="auto"/>
        </w:rPr>
        <w:t>The Revolver is secured by a first-priority security interest on substantially all assets of the Company other than intellectual property and contains customary affirmative and negative covenants (including restrictions on the Company’s ability to make dividend payments) and events of default. In addition, the Revolver requires the Company to maintain at least $15.0 million of liquidity at all times, consisting of cash on hand and undrawn availability under the Revolver (defined as borrowing base less outstanding borrowings under the Revolver) of at least $5.0 million. In July 2016, the Company entered into an amendment to the Revolver with Wells Fargo. The amendment, among other things, allowed the Company to incur indebtedness related to a term loan (described below} and increased the amount of undrawn availability that must be maintained as part of the Revolver’s $15.0 million minimum liquidity covenant from $5.0 million to $12.5 million. The Company was in compliance with such covenants as of September 30, 2016.</w:t>
      </w:r>
    </w:p>
    <w:p>
      <w:pPr>
        <w:spacing w:after="0" w:line="113" w:lineRule="exact"/>
        <w:rPr>
          <w:sz w:val="20"/>
          <w:szCs w:val="20"/>
          <w:color w:val="auto"/>
        </w:rPr>
      </w:pPr>
    </w:p>
    <w:p>
      <w:pPr>
        <w:jc w:val="center"/>
        <w:ind w:right="100"/>
        <w:spacing w:after="0" w:line="344" w:lineRule="auto"/>
        <w:rPr>
          <w:sz w:val="20"/>
          <w:szCs w:val="20"/>
          <w:color w:val="auto"/>
        </w:rPr>
      </w:pPr>
      <w:r>
        <w:rPr>
          <w:rFonts w:ascii="Arial" w:cs="Arial" w:eastAsia="Arial" w:hAnsi="Arial"/>
          <w:sz w:val="14"/>
          <w:szCs w:val="14"/>
          <w:color w:val="auto"/>
        </w:rPr>
        <w:t xml:space="preserve">As of September 30, 2016, outstanding borrowings under the Revolver were $12.5 million. Based upon its eligible borrowing base, net of the restrictions concerning minimum liquidity requirement, the Company could </w:t>
      </w:r>
      <w:r>
        <w:rPr>
          <w:rFonts w:ascii="Times New Roman" w:cs="Times New Roman" w:eastAsia="Times New Roman" w:hAnsi="Times New Roman"/>
          <w:sz w:val="16"/>
          <w:szCs w:val="16"/>
          <w:color w:val="auto"/>
        </w:rPr>
        <w:t>ha</w:t>
      </w:r>
      <w:r>
        <w:rPr>
          <w:rFonts w:ascii="Arial" w:cs="Arial" w:eastAsia="Arial" w:hAnsi="Arial"/>
          <w:sz w:val="14"/>
          <w:szCs w:val="14"/>
          <w:color w:val="auto"/>
        </w:rPr>
        <w:t>ve borrowed an additional $8.8 million. The weighted-average interest rate related to the outstanding balance was 5.0%.</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 Loan</w:t>
      </w:r>
    </w:p>
    <w:p>
      <w:pPr>
        <w:spacing w:after="0" w:line="137" w:lineRule="exact"/>
        <w:rPr>
          <w:sz w:val="20"/>
          <w:szCs w:val="20"/>
          <w:color w:val="auto"/>
        </w:rPr>
      </w:pPr>
    </w:p>
    <w:p>
      <w:pPr>
        <w:jc w:val="both"/>
        <w:ind w:right="120" w:firstLine="354"/>
        <w:spacing w:after="0" w:line="263" w:lineRule="auto"/>
        <w:rPr>
          <w:sz w:val="20"/>
          <w:szCs w:val="20"/>
          <w:color w:val="auto"/>
        </w:rPr>
      </w:pPr>
      <w:r>
        <w:rPr>
          <w:rFonts w:ascii="Arial" w:cs="Arial" w:eastAsia="Arial" w:hAnsi="Arial"/>
          <w:sz w:val="15"/>
          <w:szCs w:val="15"/>
          <w:color w:val="auto"/>
        </w:rPr>
        <w:t>In July 2016, the Company entered into a Term Loan Agreement with lenders that are affiliates of Tennenbaum Capital Partners, LLC. Under the agreement, the lenders committed to advance a term loan in an aggregate principal amount of up to $25.0 million with a maturity date of July 1, 2020. The Company borrowed the entire $25.0 million of term loan commitments on the loan closing date.</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Monthly payments due through June 30, 2017 are interest only, followed by consecutive equal monthly payments of principal plus accrued interest beginning on July 1,</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2017 and continuing through the maturity date. The term loan provides for an interest rate per annum equal to the higher of (i) 10.25% or (ii) LIBOR plus 9.5625%, subject to a 1.0% reduction if we achieve minimum levels of Revenue and EBITDA (each as defined in the Term Loan Agreement) for the twelve 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108" w:lineRule="exact"/>
        <w:rPr>
          <w:sz w:val="20"/>
          <w:szCs w:val="20"/>
          <w:color w:val="auto"/>
        </w:rPr>
      </w:pPr>
    </w:p>
    <w:p>
      <w:pPr>
        <w:ind w:right="60" w:firstLine="354"/>
        <w:spacing w:after="0" w:line="252" w:lineRule="auto"/>
        <w:rPr>
          <w:sz w:val="20"/>
          <w:szCs w:val="20"/>
          <w:color w:val="auto"/>
        </w:rPr>
      </w:pPr>
      <w:r>
        <w:rPr>
          <w:rFonts w:ascii="Arial" w:cs="Arial" w:eastAsia="Arial" w:hAnsi="Arial"/>
          <w:sz w:val="15"/>
          <w:szCs w:val="15"/>
          <w:color w:val="auto"/>
        </w:rPr>
        <w:t>The term loan is secured by a second-priority security interest on substantially all our assets except intellectual property. The Term Loan Agreement does not contain any financial covenants, but is subject to customary affirmative and negative covenants including restrictions on creation of liens, dispositions of assets, dividends, mergers, or changing the nature of the Company’s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20" w:top="120" w:right="2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Long-term debt was comprised of the following at September 30, 2016 and December 31, 2015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0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8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2015</w:t>
            </w:r>
          </w:p>
        </w:tc>
      </w:tr>
      <w:tr>
        <w:trPr>
          <w:trHeight w:val="197"/>
        </w:trPr>
        <w:tc>
          <w:tcPr>
            <w:tcW w:w="8220" w:type="dxa"/>
            <w:vAlign w:val="bottom"/>
          </w:tcPr>
          <w:p>
            <w:pPr>
              <w:ind w:left="40"/>
              <w:spacing w:after="0"/>
              <w:rPr>
                <w:sz w:val="20"/>
                <w:szCs w:val="20"/>
                <w:color w:val="auto"/>
              </w:rPr>
            </w:pPr>
            <w:r>
              <w:rPr>
                <w:rFonts w:ascii="Arial" w:cs="Arial" w:eastAsia="Arial" w:hAnsi="Arial"/>
                <w:sz w:val="15"/>
                <w:szCs w:val="15"/>
                <w:color w:val="auto"/>
              </w:rPr>
              <w:t>Term loan</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51"/>
              <w:spacing w:after="0"/>
              <w:rPr>
                <w:sz w:val="20"/>
                <w:szCs w:val="20"/>
                <w:color w:val="auto"/>
              </w:rPr>
            </w:pPr>
            <w:r>
              <w:rPr>
                <w:rFonts w:ascii="Arial" w:cs="Arial" w:eastAsia="Arial" w:hAnsi="Arial"/>
                <w:sz w:val="15"/>
                <w:szCs w:val="15"/>
                <w:color w:val="auto"/>
              </w:rPr>
              <w:t>25,000</w:t>
            </w:r>
          </w:p>
        </w:tc>
        <w:tc>
          <w:tcPr>
            <w:tcW w:w="10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980"/>
              <w:spacing w:after="0"/>
              <w:rPr>
                <w:sz w:val="20"/>
                <w:szCs w:val="20"/>
                <w:color w:val="auto"/>
              </w:rPr>
            </w:pPr>
            <w:r>
              <w:rPr>
                <w:rFonts w:ascii="Arial" w:cs="Arial" w:eastAsia="Arial" w:hAnsi="Arial"/>
                <w:sz w:val="15"/>
                <w:szCs w:val="15"/>
                <w:color w:val="auto"/>
              </w:rPr>
              <w:t>—</w:t>
            </w:r>
          </w:p>
        </w:tc>
      </w:tr>
      <w:tr>
        <w:trPr>
          <w:trHeight w:val="226"/>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 unamortized discount and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rPr>
              <w:t>(995)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rPr>
              <w:t>—</w:t>
            </w:r>
          </w:p>
        </w:tc>
      </w:tr>
      <w:tr>
        <w:trPr>
          <w:trHeight w:val="196"/>
        </w:trPr>
        <w:tc>
          <w:tcPr>
            <w:tcW w:w="8220" w:type="dxa"/>
            <w:vAlign w:val="bottom"/>
          </w:tcPr>
          <w:p>
            <w:pPr>
              <w:ind w:left="220"/>
              <w:spacing w:after="0"/>
              <w:rPr>
                <w:sz w:val="20"/>
                <w:szCs w:val="20"/>
                <w:color w:val="auto"/>
              </w:rPr>
            </w:pPr>
            <w:r>
              <w:rPr>
                <w:rFonts w:ascii="Arial" w:cs="Arial" w:eastAsia="Arial" w:hAnsi="Arial"/>
                <w:sz w:val="15"/>
                <w:szCs w:val="15"/>
                <w:color w:val="auto"/>
              </w:rPr>
              <w:t>Carrying amount of debt</w:t>
            </w:r>
          </w:p>
        </w:tc>
        <w:tc>
          <w:tcPr>
            <w:tcW w:w="2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5"/>
                <w:szCs w:val="15"/>
                <w:color w:val="auto"/>
              </w:rPr>
              <w:t>24,005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ind w:left="980"/>
              <w:spacing w:after="0"/>
              <w:rPr>
                <w:sz w:val="20"/>
                <w:szCs w:val="20"/>
                <w:color w:val="auto"/>
              </w:rPr>
            </w:pPr>
            <w:r>
              <w:rPr>
                <w:rFonts w:ascii="Arial" w:cs="Arial" w:eastAsia="Arial" w:hAnsi="Arial"/>
                <w:sz w:val="15"/>
                <w:szCs w:val="15"/>
                <w:color w:val="auto"/>
              </w:rPr>
              <w:t>—</w:t>
            </w:r>
          </w:p>
        </w:tc>
      </w:tr>
      <w:tr>
        <w:trPr>
          <w:trHeight w:val="221"/>
        </w:trPr>
        <w:tc>
          <w:tcPr>
            <w:tcW w:w="8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rPr>
              <w:t>(1,197)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5"/>
                <w:szCs w:val="15"/>
                <w:color w:val="auto"/>
              </w:rPr>
              <w:t>—</w:t>
            </w:r>
          </w:p>
        </w:tc>
      </w:tr>
      <w:tr>
        <w:trPr>
          <w:trHeight w:val="206"/>
        </w:trPr>
        <w:tc>
          <w:tcPr>
            <w:tcW w:w="8220" w:type="dxa"/>
            <w:vAlign w:val="bottom"/>
          </w:tcPr>
          <w:p>
            <w:pPr>
              <w:ind w:left="40"/>
              <w:spacing w:after="0"/>
              <w:rPr>
                <w:sz w:val="20"/>
                <w:szCs w:val="20"/>
                <w:color w:val="auto"/>
              </w:rPr>
            </w:pPr>
            <w:r>
              <w:rPr>
                <w:rFonts w:ascii="Arial" w:cs="Arial" w:eastAsia="Arial" w:hAnsi="Arial"/>
                <w:sz w:val="15"/>
                <w:szCs w:val="15"/>
                <w:color w:val="auto"/>
              </w:rPr>
              <w:t>Long-term debt</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22,808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September 30, 2016, the amount of scheduled principal payments due on the term loan is as follows (in thousands):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0" w:type="dxa"/>
            <w:vAlign w:val="bottom"/>
            <w:shd w:val="clear" w:color="auto" w:fill="CCEEFF"/>
          </w:tcPr>
          <w:p>
            <w:pPr>
              <w:spacing w:after="0"/>
              <w:rPr>
                <w:sz w:val="14"/>
                <w:szCs w:val="14"/>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Year</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46"/>
              <w:spacing w:after="0"/>
              <w:rPr>
                <w:sz w:val="20"/>
                <w:szCs w:val="20"/>
                <w:color w:val="auto"/>
              </w:rPr>
            </w:pPr>
            <w:r>
              <w:rPr>
                <w:rFonts w:ascii="Arial" w:cs="Arial" w:eastAsia="Arial" w:hAnsi="Arial"/>
                <w:sz w:val="15"/>
                <w:szCs w:val="15"/>
                <w:b w:val="1"/>
                <w:bCs w:val="1"/>
                <w:color w:val="auto"/>
              </w:rPr>
              <w:t>Amounts</w:t>
            </w:r>
          </w:p>
        </w:tc>
      </w:tr>
      <w:tr>
        <w:trPr>
          <w:trHeight w:val="24"/>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94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bottom w:val="single" w:sz="8" w:color="auto"/>
            </w:tcBorders>
            <w:shd w:val="clear" w:color="auto" w:fill="CCEEFF"/>
          </w:tcPr>
          <w:p>
            <w:pPr>
              <w:spacing w:after="0"/>
              <w:rPr>
                <w:sz w:val="2"/>
                <w:szCs w:val="2"/>
                <w:color w:val="auto"/>
              </w:rPr>
            </w:pPr>
          </w:p>
        </w:tc>
        <w:tc>
          <w:tcPr>
            <w:tcW w:w="1200" w:type="dxa"/>
            <w:vAlign w:val="bottom"/>
            <w:tcBorders>
              <w:top w:val="single" w:sz="8" w:color="CCEEFF"/>
              <w:bottom w:val="single" w:sz="8" w:color="auto"/>
            </w:tcBorders>
            <w:shd w:val="clear" w:color="auto" w:fill="CCEEFF"/>
          </w:tcPr>
          <w:p>
            <w:pPr>
              <w:spacing w:after="0"/>
              <w:rPr>
                <w:sz w:val="2"/>
                <w:szCs w:val="2"/>
                <w:color w:val="auto"/>
              </w:rPr>
            </w:pPr>
          </w:p>
        </w:tc>
      </w:tr>
      <w:tr>
        <w:trPr>
          <w:trHeight w:val="196"/>
        </w:trPr>
        <w:tc>
          <w:tcPr>
            <w:tcW w:w="9780" w:type="dxa"/>
            <w:vAlign w:val="bottom"/>
            <w:gridSpan w:val="3"/>
          </w:tcPr>
          <w:p>
            <w:pPr>
              <w:ind w:left="20"/>
              <w:spacing w:after="0"/>
              <w:rPr>
                <w:sz w:val="20"/>
                <w:szCs w:val="20"/>
                <w:color w:val="auto"/>
              </w:rPr>
            </w:pPr>
            <w:r>
              <w:rPr>
                <w:rFonts w:ascii="Arial" w:cs="Arial" w:eastAsia="Arial" w:hAnsi="Arial"/>
                <w:sz w:val="15"/>
                <w:szCs w:val="15"/>
                <w:color w:val="auto"/>
              </w:rPr>
              <w:t>2016</w:t>
            </w:r>
          </w:p>
        </w:tc>
        <w:tc>
          <w:tcPr>
            <w:tcW w:w="260" w:type="dxa"/>
            <w:vAlign w:val="bottom"/>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215"/>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3,032</w:t>
            </w:r>
          </w:p>
        </w:tc>
      </w:tr>
      <w:tr>
        <w:trPr>
          <w:trHeight w:val="205"/>
        </w:trPr>
        <w:tc>
          <w:tcPr>
            <w:tcW w:w="9780" w:type="dxa"/>
            <w:vAlign w:val="bottom"/>
            <w:gridSpan w:val="3"/>
          </w:tcPr>
          <w:p>
            <w:pPr>
              <w:ind w:left="20"/>
              <w:spacing w:after="0"/>
              <w:rPr>
                <w:sz w:val="20"/>
                <w:szCs w:val="20"/>
                <w:color w:val="auto"/>
              </w:rPr>
            </w:pPr>
            <w:r>
              <w:rPr>
                <w:rFonts w:ascii="Arial" w:cs="Arial" w:eastAsia="Arial" w:hAnsi="Arial"/>
                <w:sz w:val="15"/>
                <w:szCs w:val="15"/>
                <w:color w:val="auto"/>
              </w:rPr>
              <w:t>2018</w:t>
            </w:r>
          </w:p>
        </w:tc>
        <w:tc>
          <w:tcPr>
            <w:tcW w:w="260" w:type="dxa"/>
            <w:vAlign w:val="bottom"/>
          </w:tcPr>
          <w:p>
            <w:pPr>
              <w:spacing w:after="0"/>
              <w:rPr>
                <w:sz w:val="17"/>
                <w:szCs w:val="17"/>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7,824</w:t>
            </w:r>
          </w:p>
        </w:tc>
      </w:tr>
      <w:tr>
        <w:trPr>
          <w:trHeight w:val="215"/>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8,665</w:t>
            </w:r>
          </w:p>
        </w:tc>
      </w:tr>
      <w:tr>
        <w:trPr>
          <w:trHeight w:val="205"/>
        </w:trPr>
        <w:tc>
          <w:tcPr>
            <w:tcW w:w="978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2020</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5,479</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25,000</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COMMITMENTS AND CONTINGENCIES</w:t>
      </w:r>
    </w:p>
    <w:p>
      <w:pPr>
        <w:spacing w:after="0" w:line="139" w:lineRule="exact"/>
        <w:rPr>
          <w:sz w:val="20"/>
          <w:szCs w:val="20"/>
          <w:color w:val="auto"/>
        </w:rPr>
      </w:pPr>
    </w:p>
    <w:p>
      <w:pPr>
        <w:jc w:val="both"/>
        <w:ind w:right="160" w:firstLine="365"/>
        <w:spacing w:after="0" w:line="263" w:lineRule="auto"/>
        <w:rPr>
          <w:sz w:val="20"/>
          <w:szCs w:val="20"/>
          <w:color w:val="auto"/>
        </w:rPr>
      </w:pPr>
      <w:r>
        <w:rPr>
          <w:rFonts w:ascii="Arial" w:cs="Arial" w:eastAsia="Arial" w:hAnsi="Arial"/>
          <w:sz w:val="15"/>
          <w:szCs w:val="15"/>
          <w:color w:val="auto"/>
        </w:rPr>
        <w:t>The Company is not currently involved in any material legal proceedings. The Company may become involved in various legal 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52" w:lineRule="exact"/>
        <w:rPr>
          <w:sz w:val="20"/>
          <w:szCs w:val="20"/>
          <w:color w:val="auto"/>
        </w:rPr>
      </w:pPr>
    </w:p>
    <w:p>
      <w:pPr>
        <w:ind w:right="40" w:firstLine="354"/>
        <w:spacing w:after="0" w:line="274" w:lineRule="auto"/>
        <w:rPr>
          <w:sz w:val="20"/>
          <w:szCs w:val="20"/>
          <w:color w:val="auto"/>
        </w:rPr>
      </w:pPr>
      <w:r>
        <w:rPr>
          <w:rFonts w:ascii="Arial" w:cs="Arial" w:eastAsia="Arial" w:hAnsi="Arial"/>
          <w:sz w:val="14"/>
          <w:szCs w:val="14"/>
          <w:color w:val="auto"/>
        </w:rPr>
        <w:t>The Company believes its cash on hand of $24.1 million as of September 30, 2016, its reduced cost structure as a result of its restructuring initiatives implemented in the third quarter of 2016, together with borrowings expected to be available under the Revolver, will be sufficient to fund its operations and satisfy its working capital needs, capital asset purchases, indebtedness payments and outstanding commitments for at least the next 12 months. If the Company is unable to meet its projected performance targets or manage its inventory levels to align with anticipated demand, its liquidity could be adversely impacted and it may need to seek additional sources of liquidity. If additional sources of liquidity are needed, the Company may consider new debt or equity offerings, but there is no assurance that such transactions could be consummated on acceptable terms or at all. Failure to raise sufficient capital when needed could have a material adverse effect on its business, results of operations and financial position.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SALE OF COMMON STOCK</w:t>
      </w:r>
    </w:p>
    <w:p>
      <w:pPr>
        <w:spacing w:after="0" w:line="139" w:lineRule="exact"/>
        <w:rPr>
          <w:sz w:val="20"/>
          <w:szCs w:val="20"/>
          <w:color w:val="auto"/>
        </w:rPr>
      </w:pPr>
    </w:p>
    <w:p>
      <w:pPr>
        <w:ind w:right="20" w:firstLine="332"/>
        <w:spacing w:after="0" w:line="263" w:lineRule="auto"/>
        <w:rPr>
          <w:sz w:val="20"/>
          <w:szCs w:val="20"/>
          <w:color w:val="auto"/>
        </w:rPr>
      </w:pPr>
      <w:r>
        <w:rPr>
          <w:rFonts w:ascii="Arial" w:cs="Arial" w:eastAsia="Arial" w:hAnsi="Arial"/>
          <w:sz w:val="15"/>
          <w:szCs w:val="15"/>
          <w:color w:val="auto"/>
        </w:rPr>
        <w:t>On September 28, 2016, the Company completed a public offering of 13,000,000 shares of its common stock at a price to the public of $1.20 per share. Net proceeds realized were approximately $14.0 million after deducting underwriting fees and estimated offering costs. The Company intends to use the net proceeds for working capital and general corporate purposes.</w:t>
      </w:r>
    </w:p>
    <w:p>
      <w:pPr>
        <w:spacing w:after="0" w:line="96" w:lineRule="exact"/>
        <w:rPr>
          <w:sz w:val="20"/>
          <w:szCs w:val="20"/>
          <w:color w:val="auto"/>
        </w:rPr>
      </w:pPr>
    </w:p>
    <w:p>
      <w:pPr>
        <w:ind w:firstLine="332"/>
        <w:spacing w:after="0" w:line="263" w:lineRule="auto"/>
        <w:rPr>
          <w:sz w:val="20"/>
          <w:szCs w:val="20"/>
          <w:color w:val="auto"/>
        </w:rPr>
      </w:pPr>
      <w:r>
        <w:rPr>
          <w:rFonts w:ascii="Arial" w:cs="Arial" w:eastAsia="Arial" w:hAnsi="Arial"/>
          <w:sz w:val="15"/>
          <w:szCs w:val="15"/>
          <w:color w:val="auto"/>
        </w:rPr>
        <w:t>On October 11, 2016, the underwriter for the offering exercised in full an over-allotment option to purchase an additional 1,950,000 shares of the Company’s common stock, which generated additional net proceeds of approximately $2.2 million. The sale of the additional shares occurred subsequent to the quarter ended September 30, 2016, and the effect of the sale is not reflected in these condensed consolidated financial statements.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00"/>
          </w:cols>
          <w:pgMar w:left="220" w:top="120" w:right="27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STOCK-BASED COMPENSATION</w:t>
      </w:r>
    </w:p>
    <w:p>
      <w:pPr>
        <w:spacing w:after="0" w:line="139" w:lineRule="exact"/>
        <w:rPr>
          <w:sz w:val="20"/>
          <w:szCs w:val="20"/>
          <w:color w:val="auto"/>
        </w:rPr>
      </w:pPr>
    </w:p>
    <w:p>
      <w:pPr>
        <w:ind w:right="440" w:firstLine="332"/>
        <w:spacing w:after="0" w:line="280" w:lineRule="auto"/>
        <w:rPr>
          <w:sz w:val="20"/>
          <w:szCs w:val="20"/>
          <w:color w:val="auto"/>
        </w:rPr>
      </w:pPr>
      <w:r>
        <w:rPr>
          <w:rFonts w:ascii="Arial" w:cs="Arial" w:eastAsia="Arial" w:hAnsi="Arial"/>
          <w:sz w:val="15"/>
          <w:szCs w:val="15"/>
          <w:color w:val="auto"/>
        </w:rPr>
        <w:t>The Company has adopted certain equity incentive and stock purchase plans as described in the consolidated financial statements and related notes included in the Company’s Annual Report on Form 10-K for the year ended December 31, 2015.</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Awards Activity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Options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is a summary of stock option activity for the nine months ended September 30, 2016 (in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33"/>
        </w:trPr>
        <w:tc>
          <w:tcPr>
            <w:tcW w:w="83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3"/>
              <w:spacing w:after="0" w:line="133"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33"/>
        </w:trPr>
        <w:tc>
          <w:tcPr>
            <w:tcW w:w="838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53"/>
              <w:spacing w:after="0" w:line="133" w:lineRule="exact"/>
              <w:rPr>
                <w:sz w:val="20"/>
                <w:szCs w:val="20"/>
                <w:color w:val="auto"/>
              </w:rPr>
            </w:pPr>
            <w:r>
              <w:rPr>
                <w:rFonts w:ascii="Arial" w:cs="Arial" w:eastAsia="Arial" w:hAnsi="Arial"/>
                <w:sz w:val="12"/>
                <w:szCs w:val="12"/>
                <w:b w:val="1"/>
                <w:bCs w:val="1"/>
                <w:color w:val="auto"/>
                <w:w w:val="97"/>
              </w:rPr>
              <w:t>Exercise Price</w:t>
            </w:r>
          </w:p>
        </w:tc>
        <w:tc>
          <w:tcPr>
            <w:tcW w:w="0" w:type="dxa"/>
            <w:vAlign w:val="bottom"/>
          </w:tcPr>
          <w:p>
            <w:pPr>
              <w:spacing w:after="0"/>
              <w:rPr>
                <w:sz w:val="1"/>
                <w:szCs w:val="1"/>
                <w:color w:val="auto"/>
              </w:rPr>
            </w:pPr>
          </w:p>
        </w:tc>
      </w:tr>
      <w:tr>
        <w:trPr>
          <w:trHeight w:val="167"/>
        </w:trPr>
        <w:tc>
          <w:tcPr>
            <w:tcW w:w="83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Outstanding</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w w:val="97"/>
              </w:rPr>
              <w:t>per Share</w:t>
            </w:r>
          </w:p>
        </w:tc>
        <w:tc>
          <w:tcPr>
            <w:tcW w:w="0" w:type="dxa"/>
            <w:vAlign w:val="bottom"/>
          </w:tcPr>
          <w:p>
            <w:pPr>
              <w:spacing w:after="0"/>
              <w:rPr>
                <w:sz w:val="1"/>
                <w:szCs w:val="1"/>
                <w:color w:val="auto"/>
              </w:rPr>
            </w:pPr>
          </w:p>
        </w:tc>
      </w:tr>
      <w:tr>
        <w:trPr>
          <w:trHeight w:val="201"/>
        </w:trPr>
        <w:tc>
          <w:tcPr>
            <w:tcW w:w="8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Outstanding at December 31, 2015</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8,173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5"/>
                <w:szCs w:val="15"/>
                <w:color w:val="auto"/>
              </w:rPr>
              <w:t>5.36</w:t>
            </w: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5"/>
                <w:szCs w:val="15"/>
                <w:color w:val="auto"/>
              </w:rPr>
              <w:t>Granted</w:t>
            </w:r>
          </w:p>
        </w:tc>
        <w:tc>
          <w:tcPr>
            <w:tcW w:w="1500" w:type="dxa"/>
            <w:vAlign w:val="bottom"/>
          </w:tcPr>
          <w:p>
            <w:pPr>
              <w:jc w:val="right"/>
              <w:ind w:right="52"/>
              <w:spacing w:after="0"/>
              <w:rPr>
                <w:sz w:val="20"/>
                <w:szCs w:val="20"/>
                <w:color w:val="auto"/>
              </w:rPr>
            </w:pPr>
            <w:r>
              <w:rPr>
                <w:rFonts w:ascii="Arial" w:cs="Arial" w:eastAsia="Arial" w:hAnsi="Arial"/>
                <w:sz w:val="15"/>
                <w:szCs w:val="15"/>
                <w:color w:val="auto"/>
              </w:rPr>
              <w:t>2,367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Canceled</w:t>
            </w: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5"/>
                <w:szCs w:val="15"/>
                <w:color w:val="auto"/>
              </w:rPr>
              <w:t>(831)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53"/>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206"/>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Outstanding at September 30, 2016</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9,335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right="700" w:firstLine="354"/>
        <w:spacing w:after="0" w:line="280" w:lineRule="auto"/>
        <w:rPr>
          <w:sz w:val="20"/>
          <w:szCs w:val="20"/>
          <w:color w:val="auto"/>
        </w:rPr>
      </w:pPr>
      <w:r>
        <w:rPr>
          <w:rFonts w:ascii="Arial" w:cs="Arial" w:eastAsia="Arial" w:hAnsi="Arial"/>
          <w:sz w:val="15"/>
          <w:szCs w:val="15"/>
          <w:color w:val="auto"/>
        </w:rPr>
        <w:t>The intrinsic value of options exercised in the nine months ended September 30, 2016 was $0.7 million. As of September 30, 2016, the intrinsic value of options outstanding was $1.1 million based on the closing price of the Company’s stock as of September 30, 2016.</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Units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is a summary of restricted stock unit activity for the nine months ended September 30, 2016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ind w:right="171"/>
              <w:spacing w:after="0"/>
              <w:rPr>
                <w:sz w:val="20"/>
                <w:szCs w:val="20"/>
                <w:color w:val="auto"/>
              </w:rPr>
            </w:pPr>
            <w:r>
              <w:rPr>
                <w:rFonts w:ascii="Arial" w:cs="Arial" w:eastAsia="Arial" w:hAnsi="Arial"/>
                <w:sz w:val="12"/>
                <w:szCs w:val="12"/>
                <w:b w:val="1"/>
                <w:bCs w:val="1"/>
                <w:color w:val="auto"/>
              </w:rPr>
              <w:t>Weighted Average</w:t>
            </w:r>
          </w:p>
        </w:tc>
        <w:tc>
          <w:tcPr>
            <w:tcW w:w="0" w:type="dxa"/>
            <w:vAlign w:val="bottom"/>
          </w:tcPr>
          <w:p>
            <w:pPr>
              <w:spacing w:after="0"/>
              <w:rPr>
                <w:sz w:val="1"/>
                <w:szCs w:val="1"/>
                <w:color w:val="auto"/>
              </w:rPr>
            </w:pPr>
          </w:p>
        </w:tc>
      </w:tr>
      <w:tr>
        <w:trPr>
          <w:trHeight w:val="133"/>
        </w:trPr>
        <w:tc>
          <w:tcPr>
            <w:tcW w:w="8380" w:type="dxa"/>
            <w:vAlign w:val="bottom"/>
          </w:tcPr>
          <w:p>
            <w:pPr>
              <w:spacing w:after="0"/>
              <w:rPr>
                <w:sz w:val="11"/>
                <w:szCs w:val="11"/>
                <w:color w:val="auto"/>
              </w:rPr>
            </w:pPr>
          </w:p>
        </w:tc>
        <w:tc>
          <w:tcPr>
            <w:tcW w:w="960" w:type="dxa"/>
            <w:vAlign w:val="bottom"/>
            <w:vMerge w:val="restart"/>
          </w:tcPr>
          <w:p>
            <w:pPr>
              <w:ind w:left="600"/>
              <w:spacing w:after="0"/>
              <w:rPr>
                <w:sz w:val="20"/>
                <w:szCs w:val="20"/>
                <w:color w:val="auto"/>
              </w:rPr>
            </w:pPr>
            <w:r>
              <w:rPr>
                <w:rFonts w:ascii="Arial" w:cs="Arial" w:eastAsia="Arial" w:hAnsi="Arial"/>
                <w:sz w:val="12"/>
                <w:szCs w:val="12"/>
                <w:b w:val="1"/>
                <w:bCs w:val="1"/>
                <w:color w:val="auto"/>
              </w:rPr>
              <w:t>RSUs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right"/>
              <w:ind w:right="51"/>
              <w:spacing w:after="0" w:line="133" w:lineRule="exact"/>
              <w:rPr>
                <w:sz w:val="20"/>
                <w:szCs w:val="20"/>
                <w:color w:val="auto"/>
              </w:rPr>
            </w:pPr>
            <w:r>
              <w:rPr>
                <w:rFonts w:ascii="Arial" w:cs="Arial" w:eastAsia="Arial" w:hAnsi="Arial"/>
                <w:sz w:val="12"/>
                <w:szCs w:val="12"/>
                <w:b w:val="1"/>
                <w:bCs w:val="1"/>
                <w:color w:val="auto"/>
              </w:rPr>
              <w:t>Fair Value per Share at</w:t>
            </w:r>
          </w:p>
        </w:tc>
        <w:tc>
          <w:tcPr>
            <w:tcW w:w="0" w:type="dxa"/>
            <w:vAlign w:val="bottom"/>
          </w:tcPr>
          <w:p>
            <w:pPr>
              <w:spacing w:after="0"/>
              <w:rPr>
                <w:sz w:val="1"/>
                <w:szCs w:val="1"/>
                <w:color w:val="auto"/>
              </w:rPr>
            </w:pPr>
          </w:p>
        </w:tc>
      </w:tr>
      <w:tr>
        <w:trPr>
          <w:trHeight w:val="167"/>
        </w:trPr>
        <w:tc>
          <w:tcPr>
            <w:tcW w:w="83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201"/>
        </w:trPr>
        <w:tc>
          <w:tcPr>
            <w:tcW w:w="9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Outstanding at December 31, 2015</w:t>
            </w: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1,313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9.31</w:t>
            </w:r>
          </w:p>
        </w:tc>
        <w:tc>
          <w:tcPr>
            <w:tcW w:w="0" w:type="dxa"/>
            <w:vAlign w:val="bottom"/>
          </w:tcPr>
          <w:p>
            <w:pPr>
              <w:spacing w:after="0"/>
              <w:rPr>
                <w:sz w:val="1"/>
                <w:szCs w:val="1"/>
                <w:color w:val="auto"/>
              </w:rPr>
            </w:pPr>
          </w:p>
        </w:tc>
      </w:tr>
      <w:tr>
        <w:trPr>
          <w:trHeight w:val="216"/>
        </w:trPr>
        <w:tc>
          <w:tcPr>
            <w:tcW w:w="9340" w:type="dxa"/>
            <w:vAlign w:val="bottom"/>
            <w:gridSpan w:val="2"/>
          </w:tcPr>
          <w:p>
            <w:pPr>
              <w:ind w:left="140"/>
              <w:spacing w:after="0"/>
              <w:rPr>
                <w:sz w:val="20"/>
                <w:szCs w:val="20"/>
                <w:color w:val="auto"/>
              </w:rPr>
            </w:pPr>
            <w:r>
              <w:rPr>
                <w:rFonts w:ascii="Arial" w:cs="Arial" w:eastAsia="Arial" w:hAnsi="Arial"/>
                <w:sz w:val="15"/>
                <w:szCs w:val="15"/>
                <w:color w:val="auto"/>
              </w:rPr>
              <w:t>Granted</w:t>
            </w:r>
          </w:p>
        </w:tc>
        <w:tc>
          <w:tcPr>
            <w:tcW w:w="540" w:type="dxa"/>
            <w:vAlign w:val="bottom"/>
          </w:tcPr>
          <w:p>
            <w:pPr>
              <w:jc w:val="right"/>
              <w:ind w:right="46"/>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26"/>
        </w:trPr>
        <w:tc>
          <w:tcPr>
            <w:tcW w:w="93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Canceled</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ind w:right="51"/>
              <w:spacing w:after="0"/>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06"/>
        </w:trPr>
        <w:tc>
          <w:tcPr>
            <w:tcW w:w="9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Outstanding at September 30, 2016</w:t>
            </w: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9.41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right="140" w:firstLine="354"/>
        <w:spacing w:after="0" w:line="280" w:lineRule="auto"/>
        <w:rPr>
          <w:sz w:val="20"/>
          <w:szCs w:val="20"/>
          <w:color w:val="auto"/>
        </w:rPr>
      </w:pPr>
      <w:r>
        <w:rPr>
          <w:rFonts w:ascii="Arial" w:cs="Arial" w:eastAsia="Arial" w:hAnsi="Arial"/>
          <w:sz w:val="15"/>
          <w:szCs w:val="15"/>
          <w:color w:val="auto"/>
        </w:rPr>
        <w:t>The total intrinsic value of restricted stock units that were vested in the nine months ended September 30, 2016 was $0.8 million. As of September 30, 2016, the intrinsic value of restricted stock units outstanding was $0.9 million based on the closing price of the Company’s stock as of September 30, 2016.</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 Expense</w:t>
      </w:r>
    </w:p>
    <w:p>
      <w:pPr>
        <w:spacing w:after="0" w:line="137" w:lineRule="exact"/>
        <w:rPr>
          <w:sz w:val="20"/>
          <w:szCs w:val="20"/>
          <w:color w:val="auto"/>
        </w:rPr>
      </w:pPr>
    </w:p>
    <w:p>
      <w:pPr>
        <w:ind w:right="20" w:firstLine="354"/>
        <w:spacing w:after="0" w:line="263" w:lineRule="auto"/>
        <w:rPr>
          <w:sz w:val="20"/>
          <w:szCs w:val="20"/>
          <w:color w:val="auto"/>
        </w:rPr>
      </w:pPr>
      <w:r>
        <w:rPr>
          <w:rFonts w:ascii="Arial" w:cs="Arial" w:eastAsia="Arial" w:hAnsi="Arial"/>
          <w:sz w:val="15"/>
          <w:szCs w:val="15"/>
          <w:color w:val="auto"/>
        </w:rPr>
        <w:t xml:space="preserve">Compensation expense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5"/>
          <w:szCs w:val="15"/>
          <w:color w:val="010202"/>
        </w:rPr>
        <w:t>in the condensed consolidated statements of operations for the periods</w:t>
      </w:r>
      <w:r>
        <w:rPr>
          <w:rFonts w:ascii="Arial" w:cs="Arial" w:eastAsia="Arial" w:hAnsi="Arial"/>
          <w:sz w:val="15"/>
          <w:szCs w:val="15"/>
          <w:color w:val="auto"/>
        </w:rPr>
        <w:t xml:space="preserve"> </w:t>
      </w:r>
      <w:r>
        <w:rPr>
          <w:rFonts w:ascii="Arial" w:cs="Arial" w:eastAsia="Arial" w:hAnsi="Arial"/>
          <w:sz w:val="15"/>
          <w:szCs w:val="15"/>
          <w:color w:val="010202"/>
        </w:rPr>
        <w:t xml:space="preserve">presented (in </w:t>
      </w:r>
      <w:r>
        <w:rPr>
          <w:rFonts w:ascii="Arial" w:cs="Arial" w:eastAsia="Arial" w:hAnsi="Arial"/>
          <w:sz w:val="15"/>
          <w:szCs w:val="15"/>
          <w:color w:val="000000"/>
        </w:rPr>
        <w:t>thousands):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60"/>
          </w:cols>
          <w:pgMar w:left="220" w:top="120"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920" w:type="dxa"/>
            <w:vAlign w:val="bottom"/>
          </w:tcPr>
          <w:p>
            <w:pPr>
              <w:spacing w:after="0"/>
              <w:rPr>
                <w:sz w:val="12"/>
                <w:szCs w:val="12"/>
                <w:color w:val="auto"/>
              </w:rPr>
            </w:pPr>
          </w:p>
        </w:tc>
      </w:tr>
      <w:tr>
        <w:trPr>
          <w:trHeight w:val="167"/>
        </w:trPr>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4"/>
                <w:szCs w:val="14"/>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2015</w:t>
            </w:r>
          </w:p>
        </w:tc>
      </w:tr>
      <w:tr>
        <w:trPr>
          <w:trHeight w:val="201"/>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Cost of revenues</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295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331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907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913</w:t>
            </w:r>
          </w:p>
        </w:tc>
      </w:tr>
      <w:tr>
        <w:trPr>
          <w:trHeight w:val="216"/>
        </w:trPr>
        <w:tc>
          <w:tcPr>
            <w:tcW w:w="5180" w:type="dxa"/>
            <w:vAlign w:val="bottom"/>
          </w:tcPr>
          <w:p>
            <w:pPr>
              <w:ind w:left="40"/>
              <w:spacing w:after="0"/>
              <w:rPr>
                <w:sz w:val="20"/>
                <w:szCs w:val="20"/>
                <w:color w:val="auto"/>
              </w:rPr>
            </w:pPr>
            <w:r>
              <w:rPr>
                <w:rFonts w:ascii="Arial" w:cs="Arial" w:eastAsia="Arial" w:hAnsi="Arial"/>
                <w:sz w:val="15"/>
                <w:szCs w:val="15"/>
                <w:color w:val="auto"/>
              </w:rPr>
              <w:t>Research and development</w:t>
            </w:r>
          </w:p>
        </w:tc>
        <w:tc>
          <w:tcPr>
            <w:tcW w:w="36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5"/>
                <w:szCs w:val="15"/>
                <w:color w:val="auto"/>
              </w:rPr>
              <w:t>941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1,141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5"/>
                <w:szCs w:val="15"/>
                <w:color w:val="auto"/>
              </w:rPr>
              <w:t>3,047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3,379</w:t>
            </w:r>
          </w:p>
        </w:tc>
      </w:tr>
      <w:tr>
        <w:trPr>
          <w:trHeight w:val="226"/>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Sales and marketing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560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5"/>
                <w:szCs w:val="15"/>
                <w:color w:val="auto"/>
              </w:rPr>
              <w:t>1,760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2,510</w:t>
            </w:r>
          </w:p>
        </w:tc>
      </w:tr>
      <w:tr>
        <w:trPr>
          <w:trHeight w:val="216"/>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rPr>
              <w:t>736</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1,008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5"/>
                <w:szCs w:val="15"/>
                <w:color w:val="auto"/>
              </w:rPr>
              <w:t>2,525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2,777</w:t>
            </w:r>
          </w:p>
        </w:tc>
      </w:tr>
      <w:tr>
        <w:trPr>
          <w:trHeight w:val="201"/>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2,532</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3,283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rPr>
              <w:t>8,239</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9,579</w:t>
            </w:r>
          </w:p>
        </w:tc>
      </w:tr>
      <w:tr>
        <w:trPr>
          <w:trHeight w:val="20"/>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various types of stock-based compensation expense for the periods presented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ind w:left="640"/>
              <w:spacing w:after="0"/>
              <w:rPr>
                <w:sz w:val="20"/>
                <w:szCs w:val="20"/>
                <w:color w:val="auto"/>
              </w:rPr>
            </w:pPr>
            <w:r>
              <w:rPr>
                <w:rFonts w:ascii="Arial" w:cs="Arial" w:eastAsia="Arial" w:hAnsi="Arial"/>
                <w:sz w:val="12"/>
                <w:szCs w:val="12"/>
                <w:b w:val="1"/>
                <w:bCs w:val="1"/>
                <w:color w:val="auto"/>
                <w:w w:val="99"/>
              </w:rPr>
              <w:t>Nine Months Ended</w:t>
            </w:r>
          </w:p>
        </w:tc>
        <w:tc>
          <w:tcPr>
            <w:tcW w:w="920" w:type="dxa"/>
            <w:vAlign w:val="bottom"/>
          </w:tcPr>
          <w:p>
            <w:pPr>
              <w:spacing w:after="0"/>
              <w:rPr>
                <w:sz w:val="12"/>
                <w:szCs w:val="12"/>
                <w:color w:val="auto"/>
              </w:rPr>
            </w:pPr>
          </w:p>
        </w:tc>
      </w:tr>
      <w:tr>
        <w:trPr>
          <w:trHeight w:val="167"/>
        </w:trPr>
        <w:tc>
          <w:tcPr>
            <w:tcW w:w="5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4"/>
                <w:szCs w:val="14"/>
                <w:color w:val="auto"/>
              </w:rPr>
            </w:pPr>
          </w:p>
        </w:tc>
      </w:tr>
      <w:tr>
        <w:trPr>
          <w:trHeight w:val="212"/>
        </w:trPr>
        <w:tc>
          <w:tcPr>
            <w:tcW w:w="5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2015</w:t>
            </w:r>
          </w:p>
        </w:tc>
      </w:tr>
      <w:tr>
        <w:trPr>
          <w:trHeight w:val="201"/>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options and restricted stock units</w:t>
            </w: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rPr>
              <w:t>1,983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2,753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6,703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5"/>
                <w:szCs w:val="15"/>
                <w:color w:val="auto"/>
              </w:rPr>
              <w:t>8,153</w:t>
            </w:r>
          </w:p>
        </w:tc>
      </w:tr>
      <w:tr>
        <w:trPr>
          <w:trHeight w:val="216"/>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Employee stock purchase plan</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5"/>
                <w:szCs w:val="15"/>
                <w:color w:val="auto"/>
              </w:rPr>
              <w:t>549</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530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1,536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1,426</w:t>
            </w:r>
          </w:p>
        </w:tc>
      </w:tr>
      <w:tr>
        <w:trPr>
          <w:trHeight w:val="201"/>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rPr>
              <w:t>2,532</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3,283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5"/>
                <w:szCs w:val="15"/>
                <w:color w:val="auto"/>
              </w:rPr>
              <w:t>8,239</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rPr>
              <w:t>9,579</w:t>
            </w:r>
          </w:p>
        </w:tc>
      </w:tr>
      <w:tr>
        <w:trPr>
          <w:trHeight w:val="20"/>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right="180" w:firstLine="354"/>
        <w:spacing w:after="0" w:line="280" w:lineRule="auto"/>
        <w:rPr>
          <w:sz w:val="20"/>
          <w:szCs w:val="20"/>
          <w:color w:val="auto"/>
        </w:rPr>
      </w:pPr>
      <w:r>
        <w:rPr>
          <w:rFonts w:ascii="Arial" w:cs="Arial" w:eastAsia="Arial" w:hAnsi="Arial"/>
          <w:sz w:val="15"/>
          <w:szCs w:val="15"/>
          <w:color w:val="auto"/>
        </w:rPr>
        <w:t>The following table presents the weighted-average grant date fair value of options granted for the periods presented and the assumptions used to estimate those values using a Black-Scholes option pricing model: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gridSpan w:val="3"/>
          </w:tcPr>
          <w:p>
            <w:pPr>
              <w:jc w:val="center"/>
              <w:ind w:right="294"/>
              <w:spacing w:after="0"/>
              <w:rPr>
                <w:sz w:val="20"/>
                <w:szCs w:val="20"/>
                <w:color w:val="auto"/>
              </w:rPr>
            </w:pPr>
            <w:r>
              <w:rPr>
                <w:rFonts w:ascii="Arial" w:cs="Arial" w:eastAsia="Arial" w:hAnsi="Arial"/>
                <w:sz w:val="12"/>
                <w:szCs w:val="12"/>
                <w:b w:val="1"/>
                <w:bCs w:val="1"/>
                <w:color w:val="auto"/>
                <w:w w:val="97"/>
              </w:rPr>
              <w:t>Three Months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Nine Months Ended</w:t>
            </w:r>
          </w:p>
        </w:tc>
        <w:tc>
          <w:tcPr>
            <w:tcW w:w="1000" w:type="dxa"/>
            <w:vAlign w:val="bottom"/>
          </w:tcPr>
          <w:p>
            <w:pPr>
              <w:spacing w:after="0"/>
              <w:rPr>
                <w:sz w:val="12"/>
                <w:szCs w:val="12"/>
                <w:color w:val="auto"/>
              </w:rPr>
            </w:pPr>
          </w:p>
        </w:tc>
      </w:tr>
      <w:tr>
        <w:trPr>
          <w:trHeight w:val="167"/>
        </w:trPr>
        <w:tc>
          <w:tcPr>
            <w:tcW w:w="48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294"/>
              <w:spacing w:after="0"/>
              <w:rPr>
                <w:sz w:val="20"/>
                <w:szCs w:val="20"/>
                <w:color w:val="auto"/>
              </w:rPr>
            </w:pPr>
            <w:r>
              <w:rPr>
                <w:rFonts w:ascii="Arial" w:cs="Arial" w:eastAsia="Arial" w:hAnsi="Arial"/>
                <w:sz w:val="12"/>
                <w:szCs w:val="12"/>
                <w:b w:val="1"/>
                <w:bCs w:val="1"/>
                <w:color w:val="auto"/>
                <w:w w:val="97"/>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September 30,</w:t>
            </w:r>
          </w:p>
        </w:tc>
        <w:tc>
          <w:tcPr>
            <w:tcW w:w="1000" w:type="dxa"/>
            <w:vAlign w:val="bottom"/>
            <w:tcBorders>
              <w:bottom w:val="single" w:sz="8" w:color="auto"/>
            </w:tcBorders>
          </w:tcPr>
          <w:p>
            <w:pPr>
              <w:spacing w:after="0"/>
              <w:rPr>
                <w:sz w:val="14"/>
                <w:szCs w:val="14"/>
                <w:color w:val="auto"/>
              </w:rPr>
            </w:pPr>
          </w:p>
        </w:tc>
      </w:tr>
      <w:tr>
        <w:trPr>
          <w:trHeight w:val="212"/>
        </w:trPr>
        <w:tc>
          <w:tcPr>
            <w:tcW w:w="4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2015</w:t>
            </w:r>
          </w:p>
        </w:tc>
      </w:tr>
      <w:tr>
        <w:trPr>
          <w:trHeight w:val="212"/>
        </w:trPr>
        <w:tc>
          <w:tcPr>
            <w:tcW w:w="4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 average grant date fair value</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91"/>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3.01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91"/>
              <w:spacing w:after="0"/>
              <w:rPr>
                <w:sz w:val="20"/>
                <w:szCs w:val="20"/>
                <w:color w:val="auto"/>
              </w:rPr>
            </w:pPr>
            <w:r>
              <w:rPr>
                <w:rFonts w:ascii="Arial" w:cs="Arial" w:eastAsia="Arial" w:hAnsi="Arial"/>
                <w:sz w:val="15"/>
                <w:szCs w:val="15"/>
                <w:color w:val="auto"/>
              </w:rPr>
              <w:t>1.31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189"/>
              <w:spacing w:after="0"/>
              <w:rPr>
                <w:sz w:val="20"/>
                <w:szCs w:val="20"/>
                <w:color w:val="auto"/>
              </w:rPr>
            </w:pPr>
            <w:r>
              <w:rPr>
                <w:rFonts w:ascii="Arial" w:cs="Arial" w:eastAsia="Arial" w:hAnsi="Arial"/>
                <w:sz w:val="15"/>
                <w:szCs w:val="15"/>
                <w:color w:val="auto"/>
              </w:rPr>
              <w:t>5.40</w:t>
            </w:r>
          </w:p>
        </w:tc>
      </w:tr>
      <w:tr>
        <w:trPr>
          <w:trHeight w:val="216"/>
        </w:trPr>
        <w:tc>
          <w:tcPr>
            <w:tcW w:w="4840" w:type="dxa"/>
            <w:vAlign w:val="bottom"/>
          </w:tcPr>
          <w:p>
            <w:pPr>
              <w:ind w:left="40"/>
              <w:spacing w:after="0"/>
              <w:rPr>
                <w:sz w:val="20"/>
                <w:szCs w:val="20"/>
                <w:color w:val="auto"/>
              </w:rPr>
            </w:pPr>
            <w:r>
              <w:rPr>
                <w:rFonts w:ascii="Arial" w:cs="Arial" w:eastAsia="Arial" w:hAnsi="Arial"/>
                <w:sz w:val="15"/>
                <w:szCs w:val="15"/>
                <w:color w:val="auto"/>
              </w:rPr>
              <w:t>Expected term (in years)</w:t>
            </w:r>
          </w:p>
        </w:tc>
        <w:tc>
          <w:tcPr>
            <w:tcW w:w="980" w:type="dxa"/>
            <w:vAlign w:val="bottom"/>
          </w:tcPr>
          <w:p>
            <w:pPr>
              <w:spacing w:after="0"/>
              <w:rPr>
                <w:sz w:val="18"/>
                <w:szCs w:val="18"/>
                <w:color w:val="auto"/>
              </w:rPr>
            </w:pPr>
          </w:p>
        </w:tc>
        <w:tc>
          <w:tcPr>
            <w:tcW w:w="600" w:type="dxa"/>
            <w:vAlign w:val="bottom"/>
          </w:tcPr>
          <w:p>
            <w:pPr>
              <w:jc w:val="right"/>
              <w:ind w:right="191"/>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86"/>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91"/>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189"/>
              <w:spacing w:after="0"/>
              <w:rPr>
                <w:sz w:val="20"/>
                <w:szCs w:val="20"/>
                <w:color w:val="auto"/>
              </w:rPr>
            </w:pPr>
            <w:r>
              <w:rPr>
                <w:rFonts w:ascii="Arial" w:cs="Arial" w:eastAsia="Arial" w:hAnsi="Arial"/>
                <w:sz w:val="15"/>
                <w:szCs w:val="15"/>
                <w:color w:val="auto"/>
              </w:rPr>
              <w:t>4.5</w:t>
            </w:r>
          </w:p>
        </w:tc>
      </w:tr>
      <w:tr>
        <w:trPr>
          <w:trHeight w:val="226"/>
        </w:trPr>
        <w:tc>
          <w:tcPr>
            <w:tcW w:w="4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Expected volatility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84.7%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72.2%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79.8%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72.1%</w:t>
            </w:r>
          </w:p>
        </w:tc>
      </w:tr>
      <w:tr>
        <w:trPr>
          <w:trHeight w:val="216"/>
        </w:trPr>
        <w:tc>
          <w:tcPr>
            <w:tcW w:w="4840" w:type="dxa"/>
            <w:vAlign w:val="bottom"/>
          </w:tcPr>
          <w:p>
            <w:pPr>
              <w:ind w:left="40"/>
              <w:spacing w:after="0"/>
              <w:rPr>
                <w:sz w:val="20"/>
                <w:szCs w:val="20"/>
                <w:color w:val="auto"/>
              </w:rPr>
            </w:pPr>
            <w:r>
              <w:rPr>
                <w:rFonts w:ascii="Arial" w:cs="Arial" w:eastAsia="Arial" w:hAnsi="Arial"/>
                <w:sz w:val="15"/>
                <w:szCs w:val="15"/>
                <w:color w:val="auto"/>
              </w:rPr>
              <w:t>Annual risk-free rate of return</w:t>
            </w:r>
          </w:p>
        </w:tc>
        <w:tc>
          <w:tcPr>
            <w:tcW w:w="980" w:type="dxa"/>
            <w:vAlign w:val="bottom"/>
          </w:tcPr>
          <w:p>
            <w:pPr>
              <w:spacing w:after="0"/>
              <w:rPr>
                <w:sz w:val="18"/>
                <w:szCs w:val="18"/>
                <w:color w:val="auto"/>
              </w:rPr>
            </w:pPr>
          </w:p>
        </w:tc>
        <w:tc>
          <w:tcPr>
            <w:tcW w:w="600" w:type="dxa"/>
            <w:vAlign w:val="bottom"/>
          </w:tcPr>
          <w:p>
            <w:pPr>
              <w:jc w:val="right"/>
              <w:ind w:right="71"/>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66"/>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71"/>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5"/>
                <w:szCs w:val="15"/>
                <w:color w:val="auto"/>
              </w:rPr>
              <w:t>1.4%</w:t>
            </w:r>
          </w:p>
        </w:tc>
      </w:tr>
      <w:tr>
        <w:trPr>
          <w:trHeight w:val="226"/>
        </w:trPr>
        <w:tc>
          <w:tcPr>
            <w:tcW w:w="4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 yield</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rPr>
              <w:t>0.0%</w:t>
            </w:r>
          </w:p>
        </w:tc>
      </w:tr>
    </w:tbl>
    <w:p>
      <w:pPr>
        <w:spacing w:after="0" w:line="114" w:lineRule="exact"/>
        <w:rPr>
          <w:sz w:val="20"/>
          <w:szCs w:val="20"/>
          <w:color w:val="auto"/>
        </w:rPr>
      </w:pPr>
    </w:p>
    <w:p>
      <w:pPr>
        <w:ind w:right="620" w:firstLine="354"/>
        <w:spacing w:after="0" w:line="280" w:lineRule="auto"/>
        <w:rPr>
          <w:sz w:val="20"/>
          <w:szCs w:val="20"/>
          <w:color w:val="auto"/>
        </w:rPr>
      </w:pPr>
      <w:r>
        <w:rPr>
          <w:rFonts w:ascii="Arial" w:cs="Arial" w:eastAsia="Arial" w:hAnsi="Arial"/>
          <w:sz w:val="15"/>
          <w:szCs w:val="15"/>
          <w:color w:val="auto"/>
        </w:rPr>
        <w:t>As of September 30, 2016, there was approximately $12.5 million of total unrecognized compensation expense related to unvested equity awards expected to be recognized over a weighted-average period of 2.3 years.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INCOME TAXES</w:t>
      </w:r>
    </w:p>
    <w:p>
      <w:pPr>
        <w:spacing w:after="0" w:line="139" w:lineRule="exact"/>
        <w:rPr>
          <w:sz w:val="20"/>
          <w:szCs w:val="20"/>
          <w:color w:val="auto"/>
        </w:rPr>
      </w:pPr>
    </w:p>
    <w:p>
      <w:pPr>
        <w:ind w:right="20" w:firstLine="354"/>
        <w:spacing w:after="0" w:line="257" w:lineRule="auto"/>
        <w:rPr>
          <w:sz w:val="20"/>
          <w:szCs w:val="20"/>
          <w:color w:val="auto"/>
        </w:rPr>
      </w:pPr>
      <w:r>
        <w:rPr>
          <w:rFonts w:ascii="Arial" w:cs="Arial" w:eastAsia="Arial" w:hAnsi="Arial"/>
          <w:sz w:val="15"/>
          <w:szCs w:val="15"/>
          <w:color w:val="auto"/>
        </w:rPr>
        <w:t>The Company used the discrete tax approach in calculating the tax expense for the three and nine months ended September 30, 2016 and 2015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101" w:lineRule="exact"/>
        <w:rPr>
          <w:sz w:val="20"/>
          <w:szCs w:val="20"/>
          <w:color w:val="auto"/>
        </w:rPr>
      </w:pPr>
    </w:p>
    <w:p>
      <w:pPr>
        <w:ind w:right="60" w:firstLine="354"/>
        <w:spacing w:after="0" w:line="252" w:lineRule="auto"/>
        <w:rPr>
          <w:sz w:val="20"/>
          <w:szCs w:val="20"/>
          <w:color w:val="auto"/>
        </w:rPr>
      </w:pPr>
      <w:r>
        <w:rPr>
          <w:rFonts w:ascii="Arial" w:cs="Arial" w:eastAsia="Arial" w:hAnsi="Arial"/>
          <w:sz w:val="15"/>
          <w:szCs w:val="15"/>
          <w:color w:val="auto"/>
        </w:rPr>
        <w:t>Under Accounting Standards Codification 740, “Income Taxes,” a provision for income taxes must be provided on the undistributed earnings of foreign subsidiaries unless such earnings are deemed to be permanently reinvested outside the United States. Prior to 2016, the Company did not provide for U.S. tax on foreign unremitted earnings because the Company considered such earnings to be permanently reinvested outside the U.S. During the nine months ended September 30, 2016, due to recent developments in its business, the Company determined that subsidiaries with cumulative earnings were not deemed to be permanently invested. Accordingly, the Company recorded income tax expense of $ 0.1 million on cumulative foreign earnings of approximately $4.5 million that the Company determined no longer met the criteria to be considered permanently invested.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NET INCOME (LOSS) PER SHARE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Basic net income (loss) per share is computed by dividing net income (loss) by the weighted average number of shares of common stock outstanding during the period.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Diluted income (loss) per share is computed in a similar manner, but it also includes the effect of potential common shares outstanding during the period, when dilutive.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60"/>
          </w:cols>
          <w:pgMar w:left="220" w:top="120" w:right="2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jc w:val="both"/>
        <w:ind w:right="140"/>
        <w:spacing w:after="0" w:line="263" w:lineRule="auto"/>
        <w:rPr>
          <w:sz w:val="20"/>
          <w:szCs w:val="20"/>
          <w:color w:val="auto"/>
        </w:rPr>
      </w:pPr>
      <w:r>
        <w:rPr>
          <w:rFonts w:ascii="Arial" w:cs="Arial" w:eastAsia="Arial" w:hAnsi="Arial"/>
          <w:sz w:val="15"/>
          <w:szCs w:val="15"/>
          <w:color w:val="auto"/>
        </w:rPr>
        <w:t>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income (loss) per share.</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presents the computation of basic and diluted net income (loss) per share for the periods presented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920" w:type="dxa"/>
            <w:vAlign w:val="bottom"/>
          </w:tcPr>
          <w:p>
            <w:pPr>
              <w:spacing w:after="0"/>
              <w:rPr>
                <w:sz w:val="12"/>
                <w:szCs w:val="12"/>
                <w:color w:val="auto"/>
              </w:rPr>
            </w:pPr>
          </w:p>
        </w:tc>
      </w:tr>
      <w:tr>
        <w:trPr>
          <w:trHeight w:val="167"/>
        </w:trPr>
        <w:tc>
          <w:tcPr>
            <w:tcW w:w="5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2"/>
                <w:szCs w:val="12"/>
                <w:b w:val="1"/>
                <w:bCs w:val="1"/>
                <w:color w:val="auto"/>
              </w:rPr>
              <w:t>September 30,</w:t>
            </w:r>
          </w:p>
        </w:tc>
        <w:tc>
          <w:tcPr>
            <w:tcW w:w="920" w:type="dxa"/>
            <w:vAlign w:val="bottom"/>
            <w:tcBorders>
              <w:bottom w:val="single" w:sz="8" w:color="auto"/>
            </w:tcBorders>
          </w:tcPr>
          <w:p>
            <w:pPr>
              <w:spacing w:after="0"/>
              <w:rPr>
                <w:sz w:val="14"/>
                <w:szCs w:val="14"/>
                <w:color w:val="auto"/>
              </w:rPr>
            </w:pPr>
          </w:p>
        </w:tc>
      </w:tr>
      <w:tr>
        <w:trPr>
          <w:trHeight w:val="212"/>
        </w:trPr>
        <w:tc>
          <w:tcPr>
            <w:tcW w:w="5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2015</w:t>
            </w:r>
          </w:p>
        </w:tc>
      </w:tr>
      <w:tr>
        <w:trPr>
          <w:trHeight w:val="208"/>
        </w:trPr>
        <w:tc>
          <w:tcPr>
            <w:tcW w:w="5180" w:type="dxa"/>
            <w:vAlign w:val="bottom"/>
          </w:tcPr>
          <w:p>
            <w:pPr>
              <w:ind w:left="40"/>
              <w:spacing w:after="0"/>
              <w:rPr>
                <w:sz w:val="20"/>
                <w:szCs w:val="20"/>
                <w:color w:val="auto"/>
              </w:rPr>
            </w:pPr>
            <w:r>
              <w:rPr>
                <w:rFonts w:ascii="Arial" w:cs="Arial" w:eastAsia="Arial" w:hAnsi="Arial"/>
                <w:sz w:val="15"/>
                <w:szCs w:val="15"/>
                <w:color w:val="auto"/>
              </w:rPr>
              <w:t>Numerator:</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Net income (loss)</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93"/>
              </w:rPr>
              <w:t>(18,756)</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624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(54,274)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(6,299)</w:t>
            </w:r>
          </w:p>
        </w:tc>
      </w:tr>
      <w:tr>
        <w:trPr>
          <w:trHeight w:val="20"/>
        </w:trPr>
        <w:tc>
          <w:tcPr>
            <w:tcW w:w="5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8"/>
        </w:trPr>
        <w:tc>
          <w:tcPr>
            <w:tcW w:w="5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21"/>
        </w:trPr>
        <w:tc>
          <w:tcPr>
            <w:tcW w:w="51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Denominator:</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0"/>
        </w:trPr>
        <w:tc>
          <w:tcPr>
            <w:tcW w:w="518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Weighted average common shares outstanding</w:t>
            </w:r>
          </w:p>
        </w:tc>
        <w:tc>
          <w:tcPr>
            <w:tcW w:w="8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5"/>
                <w:szCs w:val="15"/>
                <w:color w:val="auto"/>
              </w:rPr>
              <w:t>47,278</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44,734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rPr>
              <w:t>46,704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44,339</w:t>
            </w:r>
          </w:p>
        </w:tc>
      </w:tr>
      <w:tr>
        <w:trPr>
          <w:trHeight w:val="194"/>
        </w:trPr>
        <w:tc>
          <w:tcPr>
            <w:tcW w:w="51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Effect of dilutive securities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6"/>
        </w:trPr>
        <w:tc>
          <w:tcPr>
            <w:tcW w:w="5180" w:type="dxa"/>
            <w:vAlign w:val="bottom"/>
          </w:tcPr>
          <w:p>
            <w:pPr>
              <w:ind w:left="320"/>
              <w:spacing w:after="0"/>
              <w:rPr>
                <w:sz w:val="20"/>
                <w:szCs w:val="20"/>
                <w:color w:val="auto"/>
              </w:rPr>
            </w:pPr>
            <w:r>
              <w:rPr>
                <w:rFonts w:ascii="Arial" w:cs="Arial" w:eastAsia="Arial" w:hAnsi="Arial"/>
                <w:sz w:val="15"/>
                <w:szCs w:val="15"/>
                <w:color w:val="auto"/>
              </w:rPr>
              <w:t>Employee stock-based awards</w:t>
            </w:r>
          </w:p>
        </w:tc>
        <w:tc>
          <w:tcPr>
            <w:tcW w:w="8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3,261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6"/>
        </w:trPr>
        <w:tc>
          <w:tcPr>
            <w:tcW w:w="51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Warrants</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196"/>
        </w:trPr>
        <w:tc>
          <w:tcPr>
            <w:tcW w:w="5180" w:type="dxa"/>
            <w:vAlign w:val="bottom"/>
          </w:tcPr>
          <w:p>
            <w:pPr>
              <w:ind w:left="460"/>
              <w:spacing w:after="0"/>
              <w:rPr>
                <w:sz w:val="20"/>
                <w:szCs w:val="20"/>
                <w:color w:val="auto"/>
              </w:rPr>
            </w:pPr>
            <w:r>
              <w:rPr>
                <w:rFonts w:ascii="Arial" w:cs="Arial" w:eastAsia="Arial" w:hAnsi="Arial"/>
                <w:sz w:val="15"/>
                <w:szCs w:val="15"/>
                <w:color w:val="auto"/>
              </w:rPr>
              <w:t>Weighted average common shares outstanding for diluted calculation</w:t>
            </w:r>
          </w:p>
        </w:tc>
        <w:tc>
          <w:tcPr>
            <w:tcW w:w="8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5"/>
                <w:szCs w:val="15"/>
                <w:color w:val="auto"/>
              </w:rPr>
              <w:t>47,278</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47,996</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5"/>
                <w:szCs w:val="15"/>
                <w:color w:val="auto"/>
              </w:rPr>
              <w:t>46,704</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44,339</w:t>
            </w:r>
          </w:p>
        </w:tc>
      </w:tr>
      <w:tr>
        <w:trPr>
          <w:trHeight w:val="159"/>
        </w:trPr>
        <w:tc>
          <w:tcPr>
            <w:tcW w:w="5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50"/>
        </w:trPr>
        <w:tc>
          <w:tcPr>
            <w:tcW w:w="51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income (loss) per share, basic</w:t>
            </w: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(0.40)</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(0.14)</w:t>
            </w:r>
          </w:p>
        </w:tc>
      </w:tr>
      <w:tr>
        <w:trPr>
          <w:trHeight w:val="183"/>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income (loss) per share, diluted</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(0.40)</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0.01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r>
      <w:tr>
        <w:trPr>
          <w:trHeight w:val="20"/>
        </w:trPr>
        <w:tc>
          <w:tcPr>
            <w:tcW w:w="5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right="140" w:firstLine="354"/>
        <w:spacing w:after="0" w:line="290" w:lineRule="auto"/>
        <w:rPr>
          <w:sz w:val="20"/>
          <w:szCs w:val="20"/>
          <w:color w:val="auto"/>
        </w:rPr>
      </w:pPr>
      <w:r>
        <w:rPr>
          <w:rFonts w:ascii="Arial" w:cs="Arial" w:eastAsia="Arial" w:hAnsi="Arial"/>
          <w:sz w:val="14"/>
          <w:szCs w:val="14"/>
          <w:color w:val="auto"/>
        </w:rPr>
        <w:t>For the three months ended September 30, 2015, the Company excluded 6.3 million of potential common shares outstanding from the calculation of diluted net income per share because their effect would have been antidilutive. In periods of net loss, all potential common shares were excluded from the diluted calculation because their effect would have been antidilutive. The following table summarizes the potential common shares excluded from the diluted calculation for the periods indicated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left="873"/>
              <w:spacing w:after="0"/>
              <w:rPr>
                <w:sz w:val="20"/>
                <w:szCs w:val="20"/>
                <w:color w:val="auto"/>
              </w:rPr>
            </w:pPr>
            <w:r>
              <w:rPr>
                <w:rFonts w:ascii="Arial" w:cs="Arial" w:eastAsia="Arial" w:hAnsi="Arial"/>
                <w:sz w:val="12"/>
                <w:szCs w:val="12"/>
                <w:b w:val="1"/>
                <w:bCs w:val="1"/>
                <w:color w:val="auto"/>
                <w:w w:val="98"/>
              </w:rPr>
              <w:t>Nine Months Ended</w:t>
            </w:r>
          </w:p>
        </w:tc>
        <w:tc>
          <w:tcPr>
            <w:tcW w:w="920" w:type="dxa"/>
            <w:vAlign w:val="bottom"/>
          </w:tcPr>
          <w:p>
            <w:pPr>
              <w:spacing w:after="0"/>
              <w:rPr>
                <w:sz w:val="12"/>
                <w:szCs w:val="12"/>
                <w:color w:val="auto"/>
              </w:rPr>
            </w:pPr>
          </w:p>
        </w:tc>
      </w:tr>
      <w:tr>
        <w:trPr>
          <w:trHeight w:val="167"/>
        </w:trPr>
        <w:tc>
          <w:tcPr>
            <w:tcW w:w="5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gridSpan w:val="3"/>
          </w:tcPr>
          <w:p>
            <w:pPr>
              <w:jc w:val="center"/>
              <w:ind w:left="893"/>
              <w:spacing w:after="0"/>
              <w:rPr>
                <w:sz w:val="20"/>
                <w:szCs w:val="20"/>
                <w:color w:val="auto"/>
              </w:rPr>
            </w:pPr>
            <w:r>
              <w:rPr>
                <w:rFonts w:ascii="Arial" w:cs="Arial" w:eastAsia="Arial" w:hAnsi="Arial"/>
                <w:sz w:val="12"/>
                <w:szCs w:val="12"/>
                <w:b w:val="1"/>
                <w:bCs w:val="1"/>
                <w:color w:val="auto"/>
                <w:w w:val="97"/>
              </w:rPr>
              <w:t>September 30,</w:t>
            </w:r>
          </w:p>
        </w:tc>
        <w:tc>
          <w:tcPr>
            <w:tcW w:w="920" w:type="dxa"/>
            <w:vAlign w:val="bottom"/>
            <w:tcBorders>
              <w:bottom w:val="single" w:sz="8" w:color="auto"/>
            </w:tcBorders>
          </w:tcPr>
          <w:p>
            <w:pPr>
              <w:spacing w:after="0"/>
              <w:rPr>
                <w:sz w:val="14"/>
                <w:szCs w:val="14"/>
                <w:color w:val="auto"/>
              </w:rPr>
            </w:pPr>
          </w:p>
        </w:tc>
      </w:tr>
      <w:tr>
        <w:trPr>
          <w:trHeight w:val="212"/>
        </w:trPr>
        <w:tc>
          <w:tcPr>
            <w:tcW w:w="6080" w:type="dxa"/>
            <w:vAlign w:val="bottom"/>
            <w:gridSpan w:val="2"/>
          </w:tcPr>
          <w:p>
            <w:pPr>
              <w:ind w:left="5800"/>
              <w:spacing w:after="0"/>
              <w:rPr>
                <w:sz w:val="20"/>
                <w:szCs w:val="20"/>
                <w:color w:val="auto"/>
              </w:rPr>
            </w:pPr>
            <w:r>
              <w:rPr>
                <w:rFonts w:ascii="Arial" w:cs="Arial" w:eastAsia="Arial" w:hAnsi="Arial"/>
                <w:sz w:val="12"/>
                <w:szCs w:val="12"/>
                <w:b w:val="1"/>
                <w:bCs w:val="1"/>
                <w:color w:val="auto"/>
                <w:w w:val="97"/>
              </w:rPr>
              <w:t>2016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549"/>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8"/>
                <w:szCs w:val="18"/>
                <w:color w:val="auto"/>
              </w:rPr>
            </w:pPr>
          </w:p>
        </w:tc>
        <w:tc>
          <w:tcPr>
            <w:tcW w:w="1480" w:type="dxa"/>
            <w:vAlign w:val="bottom"/>
          </w:tcPr>
          <w:p>
            <w:pPr>
              <w:jc w:val="right"/>
              <w:ind w:right="533"/>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529"/>
              <w:spacing w:after="0"/>
              <w:rPr>
                <w:sz w:val="20"/>
                <w:szCs w:val="20"/>
                <w:color w:val="auto"/>
              </w:rPr>
            </w:pPr>
            <w:r>
              <w:rPr>
                <w:rFonts w:ascii="Arial" w:cs="Arial" w:eastAsia="Arial" w:hAnsi="Arial"/>
                <w:sz w:val="12"/>
                <w:szCs w:val="12"/>
                <w:b w:val="1"/>
                <w:bCs w:val="1"/>
                <w:color w:val="auto"/>
              </w:rPr>
              <w:t>2015</w:t>
            </w:r>
          </w:p>
        </w:tc>
      </w:tr>
      <w:tr>
        <w:trPr>
          <w:trHeight w:val="201"/>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Employee stock options</w:t>
            </w:r>
          </w:p>
        </w:tc>
        <w:tc>
          <w:tcPr>
            <w:tcW w:w="9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rPr>
              <w:t>9,383</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4,817</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rPr>
              <w:t>8,944</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8,718</w:t>
            </w:r>
          </w:p>
        </w:tc>
      </w:tr>
      <w:tr>
        <w:trPr>
          <w:trHeight w:val="216"/>
        </w:trPr>
        <w:tc>
          <w:tcPr>
            <w:tcW w:w="6080" w:type="dxa"/>
            <w:vAlign w:val="bottom"/>
            <w:gridSpan w:val="2"/>
          </w:tcPr>
          <w:p>
            <w:pPr>
              <w:ind w:left="40"/>
              <w:spacing w:after="0"/>
              <w:rPr>
                <w:sz w:val="20"/>
                <w:szCs w:val="20"/>
                <w:color w:val="auto"/>
              </w:rPr>
            </w:pPr>
            <w:r>
              <w:rPr>
                <w:rFonts w:ascii="Arial" w:cs="Arial" w:eastAsia="Arial" w:hAnsi="Arial"/>
                <w:sz w:val="15"/>
                <w:szCs w:val="15"/>
                <w:color w:val="auto"/>
              </w:rPr>
              <w:t>Restricted stock units</w:t>
            </w:r>
          </w:p>
        </w:tc>
        <w:tc>
          <w:tcPr>
            <w:tcW w:w="600" w:type="dxa"/>
            <w:vAlign w:val="bottom"/>
          </w:tcPr>
          <w:p>
            <w:pPr>
              <w:jc w:val="right"/>
              <w:ind w:right="51"/>
              <w:spacing w:after="0"/>
              <w:rPr>
                <w:sz w:val="20"/>
                <w:szCs w:val="20"/>
                <w:color w:val="auto"/>
              </w:rPr>
            </w:pPr>
            <w:r>
              <w:rPr>
                <w:rFonts w:ascii="Arial" w:cs="Arial" w:eastAsia="Arial" w:hAnsi="Arial"/>
                <w:sz w:val="15"/>
                <w:szCs w:val="15"/>
                <w:color w:val="auto"/>
              </w:rPr>
              <w:t>840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1,523</w:t>
            </w:r>
          </w:p>
        </w:tc>
        <w:tc>
          <w:tcPr>
            <w:tcW w:w="10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Arial" w:cs="Arial" w:eastAsia="Arial" w:hAnsi="Arial"/>
                <w:sz w:val="15"/>
                <w:szCs w:val="15"/>
                <w:color w:val="auto"/>
              </w:rPr>
              <w:t>994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9"/>
              <w:spacing w:after="0"/>
              <w:rPr>
                <w:sz w:val="20"/>
                <w:szCs w:val="20"/>
                <w:color w:val="auto"/>
              </w:rPr>
            </w:pPr>
            <w:r>
              <w:rPr>
                <w:rFonts w:ascii="Arial" w:cs="Arial" w:eastAsia="Arial" w:hAnsi="Arial"/>
                <w:sz w:val="15"/>
                <w:szCs w:val="15"/>
                <w:color w:val="auto"/>
              </w:rPr>
              <w:t>1,551</w:t>
            </w:r>
          </w:p>
        </w:tc>
      </w:tr>
      <w:tr>
        <w:trPr>
          <w:trHeight w:val="22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Warrants to purchase common stock</w:t>
            </w: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rPr>
              <w:t>111</w:t>
            </w:r>
          </w:p>
        </w:tc>
      </w:tr>
      <w:tr>
        <w:trPr>
          <w:trHeight w:val="196"/>
        </w:trPr>
        <w:tc>
          <w:tcPr>
            <w:tcW w:w="5180" w:type="dxa"/>
            <w:vAlign w:val="bottom"/>
          </w:tcPr>
          <w:p>
            <w:pPr>
              <w:ind w:left="320"/>
              <w:spacing w:after="0"/>
              <w:rPr>
                <w:sz w:val="20"/>
                <w:szCs w:val="20"/>
                <w:color w:val="auto"/>
              </w:rPr>
            </w:pPr>
            <w:r>
              <w:rPr>
                <w:rFonts w:ascii="Arial" w:cs="Arial" w:eastAsia="Arial" w:hAnsi="Arial"/>
                <w:sz w:val="15"/>
                <w:szCs w:val="15"/>
                <w:color w:val="auto"/>
              </w:rPr>
              <w:t>Total</w:t>
            </w:r>
          </w:p>
        </w:tc>
        <w:tc>
          <w:tcPr>
            <w:tcW w:w="9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color w:val="auto"/>
              </w:rPr>
              <w:t>10,268</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6,340</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5"/>
                <w:szCs w:val="15"/>
                <w:color w:val="auto"/>
              </w:rPr>
              <w:t>10,023</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rPr>
              <w:t>10,380</w:t>
            </w:r>
          </w:p>
        </w:tc>
      </w:tr>
      <w:tr>
        <w:trPr>
          <w:trHeight w:val="20"/>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55"/>
        </w:trPr>
        <w:tc>
          <w:tcPr>
            <w:tcW w:w="6080" w:type="dxa"/>
            <w:vAlign w:val="bottom"/>
            <w:gridSpan w:val="2"/>
          </w:tcPr>
          <w:p>
            <w:pPr>
              <w:ind w:left="5660"/>
              <w:spacing w:after="0"/>
              <w:rPr>
                <w:sz w:val="20"/>
                <w:szCs w:val="20"/>
                <w:color w:val="auto"/>
              </w:rPr>
            </w:pPr>
            <w:r>
              <w:rPr>
                <w:rFonts w:ascii="Arial" w:cs="Arial" w:eastAsia="Arial" w:hAnsi="Arial"/>
                <w:sz w:val="15"/>
                <w:szCs w:val="15"/>
                <w:color w:val="auto"/>
              </w:rPr>
              <w:t>18</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60"/>
          </w:cols>
          <w:pgMar w:left="220" w:top="120"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5"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41" w:lineRule="exact"/>
        <w:rPr>
          <w:sz w:val="20"/>
          <w:szCs w:val="20"/>
          <w:color w:val="auto"/>
        </w:rPr>
      </w:pPr>
    </w:p>
    <w:p>
      <w:pPr>
        <w:ind w:right="240" w:firstLine="354"/>
        <w:spacing w:after="0" w:line="272"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95" w:lineRule="exact"/>
        <w:rPr>
          <w:sz w:val="20"/>
          <w:szCs w:val="20"/>
          <w:color w:val="auto"/>
        </w:rPr>
      </w:pPr>
    </w:p>
    <w:p>
      <w:pPr>
        <w:ind w:right="40" w:firstLine="365"/>
        <w:spacing w:after="0" w:line="254" w:lineRule="auto"/>
        <w:rPr>
          <w:sz w:val="20"/>
          <w:szCs w:val="20"/>
          <w:color w:val="auto"/>
        </w:rPr>
      </w:pPr>
      <w:r>
        <w:rPr>
          <w:rFonts w:ascii="Arial" w:cs="Arial" w:eastAsia="Arial" w:hAnsi="Arial"/>
          <w:sz w:val="15"/>
          <w:szCs w:val="15"/>
          <w:color w:val="auto"/>
        </w:rPr>
        <w:t>We deliver simple, innovative and reliable energy management solutions that advance the worldwide potential of renewable energy. We were founded in March 2006 and have grown rapidly to become the market leader in the microinverter category. Our technology was designed to increase energy production, simplify design and installation, improve system uptime and reliability, reduce fire safety risk, and provide a platform for intelligent energy management. Since inception, we have shipped over 12.6 million microinverters representing over 3 gigawatts of solar PV generating capacity, and more than 540,000 Enphase residential and commercial systems have been deployed in over 100 countries.</w:t>
      </w:r>
    </w:p>
    <w:p>
      <w:pPr>
        <w:spacing w:after="0" w:line="60" w:lineRule="exact"/>
        <w:rPr>
          <w:sz w:val="20"/>
          <w:szCs w:val="20"/>
          <w:color w:val="auto"/>
        </w:rPr>
      </w:pPr>
    </w:p>
    <w:p>
      <w:pPr>
        <w:ind w:right="540" w:firstLine="365"/>
        <w:spacing w:after="0" w:line="317" w:lineRule="auto"/>
        <w:rPr>
          <w:sz w:val="20"/>
          <w:szCs w:val="20"/>
          <w:color w:val="auto"/>
        </w:rPr>
      </w:pPr>
      <w:r>
        <w:rPr>
          <w:rFonts w:ascii="Arial" w:cs="Arial" w:eastAsia="Arial" w:hAnsi="Arial"/>
          <w:sz w:val="14"/>
          <w:szCs w:val="14"/>
          <w:color w:val="auto"/>
        </w:rPr>
        <w:t>We sell our microinverter systems primarily to distributors who resell them to solar installers. We also sell directly to large installers and through original equipment manufacturers (“OEMs”) and strategic partners. Historically, revenue generated from the U.S. market has represented more than 80% of our total revenue.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Products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Enphase AC Battery™</w:t>
      </w:r>
    </w:p>
    <w:p>
      <w:pPr>
        <w:spacing w:after="0" w:line="91" w:lineRule="exact"/>
        <w:rPr>
          <w:sz w:val="20"/>
          <w:szCs w:val="20"/>
          <w:color w:val="auto"/>
        </w:rPr>
      </w:pPr>
    </w:p>
    <w:p>
      <w:pPr>
        <w:ind w:right="480" w:firstLine="365"/>
        <w:spacing w:after="0" w:line="263" w:lineRule="auto"/>
        <w:rPr>
          <w:sz w:val="20"/>
          <w:szCs w:val="20"/>
          <w:color w:val="auto"/>
        </w:rPr>
      </w:pPr>
      <w:r>
        <w:rPr>
          <w:rFonts w:ascii="Arial" w:cs="Arial" w:eastAsia="Arial" w:hAnsi="Arial"/>
          <w:sz w:val="15"/>
          <w:szCs w:val="15"/>
          <w:color w:val="auto"/>
        </w:rPr>
        <w:t>In the third quarter of 2016, we began shipments of our Enphase AC Battery™ to distributors in Australia and New Zealand. The Enphase AC Battery is a scalable, modular energy storage system with a 1.2kWh energy capacity. We expect to begin shipments to customers in the United States, France, the United Kingdom and the Netherlands in the fourth quarter of 2016.</w:t>
      </w:r>
    </w:p>
    <w:p>
      <w:pPr>
        <w:spacing w:after="0" w:line="52" w:lineRule="exact"/>
        <w:rPr>
          <w:sz w:val="20"/>
          <w:szCs w:val="20"/>
          <w:color w:val="auto"/>
        </w:rPr>
      </w:pPr>
    </w:p>
    <w:p>
      <w:pPr>
        <w:ind w:right="140" w:firstLine="365"/>
        <w:spacing w:after="0" w:line="280" w:lineRule="auto"/>
        <w:rPr>
          <w:sz w:val="20"/>
          <w:szCs w:val="20"/>
          <w:color w:val="auto"/>
        </w:rPr>
      </w:pPr>
      <w:r>
        <w:rPr>
          <w:rFonts w:ascii="Arial" w:cs="Arial" w:eastAsia="Arial" w:hAnsi="Arial"/>
          <w:sz w:val="15"/>
          <w:szCs w:val="15"/>
          <w:color w:val="auto"/>
        </w:rPr>
        <w:t>The Enphase AC Battery is suitable for any home regardless of the brand of inverters or solar panels used. A costly upgrade of the existing solar system’s inverter is not required. We believe this makes the Enphase AC Battery a competitive solution for homeowners looking to add energy storage to their existing solar PV system.</w:t>
      </w:r>
    </w:p>
    <w:p>
      <w:pPr>
        <w:spacing w:after="0" w:line="40" w:lineRule="exact"/>
        <w:rPr>
          <w:sz w:val="20"/>
          <w:szCs w:val="20"/>
          <w:color w:val="auto"/>
        </w:rPr>
      </w:pPr>
    </w:p>
    <w:p>
      <w:pPr>
        <w:jc w:val="both"/>
        <w:ind w:firstLine="365"/>
        <w:spacing w:after="0" w:line="263" w:lineRule="auto"/>
        <w:rPr>
          <w:sz w:val="20"/>
          <w:szCs w:val="20"/>
          <w:color w:val="auto"/>
        </w:rPr>
      </w:pPr>
      <w:r>
        <w:rPr>
          <w:rFonts w:ascii="Arial" w:cs="Arial" w:eastAsia="Arial" w:hAnsi="Arial"/>
          <w:sz w:val="15"/>
          <w:szCs w:val="15"/>
          <w:color w:val="auto"/>
        </w:rPr>
        <w:t>The modular size of each Enphase AC Battery enables installers to customize each installation to match a homeowner’s unique energy needs, and gives homeowners the flexibility to add more Enphase AC Batteries in the future as energy usage changes over time. Using the Enphase AC Battery, we believe homeowners can achieve sustainable self-consumption or store solar energy generated for use at times when grid-supplied energy rates are at their peak.</w:t>
      </w:r>
    </w:p>
    <w:p>
      <w:pPr>
        <w:spacing w:after="0" w:line="52" w:lineRule="exact"/>
        <w:rPr>
          <w:sz w:val="20"/>
          <w:szCs w:val="20"/>
          <w:color w:val="auto"/>
        </w:rPr>
      </w:pPr>
    </w:p>
    <w:p>
      <w:pPr>
        <w:ind w:right="180" w:firstLine="365"/>
        <w:spacing w:after="0" w:line="263" w:lineRule="auto"/>
        <w:rPr>
          <w:sz w:val="20"/>
          <w:szCs w:val="20"/>
          <w:color w:val="auto"/>
        </w:rPr>
      </w:pPr>
      <w:r>
        <w:rPr>
          <w:rFonts w:ascii="Arial" w:cs="Arial" w:eastAsia="Arial" w:hAnsi="Arial"/>
          <w:sz w:val="15"/>
          <w:szCs w:val="15"/>
          <w:color w:val="auto"/>
        </w:rPr>
        <w:t>The Enphase AC Battery is a key component of the Enphase Home Energy Solution, which consists of our microinverter, Envoy™ Communications Gateway and Enphase Enlighten™, a cloud-based energy management platform. System owners can use Enphase Enlighten to monitor their home’s solar generation, energy storage and consumption from any web-enabled device.</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Enphase IQ Microinverter System</w:t>
      </w:r>
    </w:p>
    <w:p>
      <w:pPr>
        <w:spacing w:after="0" w:line="91" w:lineRule="exact"/>
        <w:rPr>
          <w:sz w:val="20"/>
          <w:szCs w:val="20"/>
          <w:color w:val="auto"/>
        </w:rPr>
      </w:pPr>
    </w:p>
    <w:p>
      <w:pPr>
        <w:ind w:right="260" w:firstLine="365"/>
        <w:spacing w:after="0" w:line="257" w:lineRule="auto"/>
        <w:rPr>
          <w:sz w:val="20"/>
          <w:szCs w:val="20"/>
          <w:color w:val="auto"/>
        </w:rPr>
      </w:pPr>
      <w:r>
        <w:rPr>
          <w:rFonts w:ascii="Arial" w:cs="Arial" w:eastAsia="Arial" w:hAnsi="Arial"/>
          <w:sz w:val="15"/>
          <w:szCs w:val="15"/>
          <w:color w:val="auto"/>
        </w:rPr>
        <w:t>In September 2016, we announced our Enphase Home Energy Solution with IQ™, our next-generation integrated solar, storage and energy management system. The solution features our sixth-generation microinverter system, which supports high-powered 60 and 72-cell solar modules, integrates with upcoming AC modules from LG, SolarWorld and Jinko Solar, and we believe offers installers faster and simpler installations, saving on soft costs. We expect the Enphase IQ 6 Microinverter System to be available in North America in the first quarter of 2017.</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60"/>
          </w:cols>
          <w:pgMar w:left="220" w:top="120" w:right="2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Enphase Energized AC Modules</w:t>
      </w:r>
    </w:p>
    <w:p>
      <w:pPr>
        <w:spacing w:after="0" w:line="91" w:lineRule="exact"/>
        <w:rPr>
          <w:sz w:val="20"/>
          <w:szCs w:val="20"/>
          <w:color w:val="auto"/>
        </w:rPr>
      </w:pPr>
    </w:p>
    <w:p>
      <w:pPr>
        <w:jc w:val="both"/>
        <w:ind w:right="40" w:firstLine="365"/>
        <w:spacing w:after="0" w:line="263" w:lineRule="auto"/>
        <w:rPr>
          <w:sz w:val="20"/>
          <w:szCs w:val="20"/>
          <w:color w:val="auto"/>
        </w:rPr>
      </w:pPr>
      <w:r>
        <w:rPr>
          <w:rFonts w:ascii="Arial" w:cs="Arial" w:eastAsia="Arial" w:hAnsi="Arial"/>
          <w:sz w:val="15"/>
          <w:szCs w:val="15"/>
          <w:color w:val="auto"/>
        </w:rPr>
        <w:t>We have also recently announced Enphase Energized AC Modules with IQ, which utilize our sixth generation microinverters and will be produced through our AC module partnerships with LG, SolarWorld and Jinko Solar, among others. We expect Enphase Energized AC Modules to be available in the U.S. and Canada in the second quarter of 2017.</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 Reduction Initiatives</w:t>
      </w:r>
    </w:p>
    <w:p>
      <w:pPr>
        <w:spacing w:after="0" w:line="95" w:lineRule="exact"/>
        <w:rPr>
          <w:sz w:val="20"/>
          <w:szCs w:val="20"/>
          <w:color w:val="auto"/>
        </w:rPr>
      </w:pPr>
    </w:p>
    <w:p>
      <w:pPr>
        <w:ind w:right="20" w:firstLine="365"/>
        <w:spacing w:after="0" w:line="254" w:lineRule="auto"/>
        <w:rPr>
          <w:sz w:val="20"/>
          <w:szCs w:val="20"/>
          <w:color w:val="auto"/>
        </w:rPr>
      </w:pPr>
      <w:r>
        <w:rPr>
          <w:rFonts w:ascii="Arial" w:cs="Arial" w:eastAsia="Arial" w:hAnsi="Arial"/>
          <w:sz w:val="15"/>
          <w:szCs w:val="15"/>
          <w:color w:val="auto"/>
        </w:rPr>
        <w:t>In September 2016, we implemented a restructuring plan to lower operating expenses. This plan led to a reduction of our workforce globally by approximately 11% of total headcount throughout all areas of the organization and an elimination of certain non-core projects. Under the plan, we incurred aggregate restructuring charges of approximately $2.7 million in the third quarter of 2016, which is comprised of approximately $1.3 million in cash-based severance and related benefits and $ 1.4 million in non-cash charges for asset impairments and write-offs related to property and equipment. We expect the restructuring actions to be completed by the end of the fourth quarter of 2016.</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Condensed Consolidated Statements of Operations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Net Revenues</w:t>
      </w:r>
    </w:p>
    <w:p>
      <w:pPr>
        <w:spacing w:after="0" w:line="71" w:lineRule="exact"/>
        <w:rPr>
          <w:sz w:val="20"/>
          <w:szCs w:val="20"/>
          <w:color w:val="auto"/>
        </w:rPr>
      </w:pPr>
    </w:p>
    <w:p>
      <w:pPr>
        <w:ind w:right="60" w:firstLine="365"/>
        <w:spacing w:after="0" w:line="254" w:lineRule="auto"/>
        <w:rPr>
          <w:sz w:val="20"/>
          <w:szCs w:val="20"/>
          <w:color w:val="auto"/>
        </w:rPr>
      </w:pPr>
      <w:r>
        <w:rPr>
          <w:rFonts w:ascii="Arial" w:cs="Arial" w:eastAsia="Arial" w:hAnsi="Arial"/>
          <w:sz w:val="15"/>
          <w:szCs w:val="15"/>
          <w:color w:val="auto"/>
        </w:rPr>
        <w:t>We generate net revenues from sales of our microinverter systems, which include microinverter units, an Envoy communications gateway and other accessories, and our Enlighten cloud-based monitoring service. Our revenue is affected by changes in the volume and average selling prices of our microinverter systems, driven by supply and demand, sales incentives, and competitive product offerings. Our revenue growth is dependent on our ability to compete effectively in the marketplace by developing and introducing new products to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Cost of Revenues and Gross Profit</w:t>
      </w:r>
    </w:p>
    <w:p>
      <w:pPr>
        <w:spacing w:after="0" w:line="93" w:lineRule="exact"/>
        <w:rPr>
          <w:sz w:val="20"/>
          <w:szCs w:val="20"/>
          <w:color w:val="auto"/>
        </w:rPr>
      </w:pPr>
    </w:p>
    <w:p>
      <w:pPr>
        <w:ind w:right="460" w:firstLine="365"/>
        <w:spacing w:after="0" w:line="257" w:lineRule="auto"/>
        <w:rPr>
          <w:sz w:val="20"/>
          <w:szCs w:val="20"/>
          <w:color w:val="auto"/>
        </w:rPr>
      </w:pPr>
      <w:r>
        <w:rPr>
          <w:rFonts w:ascii="Arial" w:cs="Arial" w:eastAsia="Arial" w:hAnsi="Arial"/>
          <w:sz w:val="15"/>
          <w:szCs w:val="15"/>
          <w:color w:val="auto"/>
        </w:rPr>
        <w:t>Cost of revenues is comprised primarily of product costs, warranty, manufacturing personnel and logistics costs, freight costs, depreciation and amortization of test equipment and hosting service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57" w:lineRule="exact"/>
        <w:rPr>
          <w:sz w:val="20"/>
          <w:szCs w:val="20"/>
          <w:color w:val="auto"/>
        </w:rPr>
      </w:pPr>
    </w:p>
    <w:p>
      <w:pPr>
        <w:ind w:right="60" w:firstLine="365"/>
        <w:spacing w:after="0" w:line="263" w:lineRule="auto"/>
        <w:rPr>
          <w:sz w:val="20"/>
          <w:szCs w:val="20"/>
          <w:color w:val="auto"/>
        </w:rPr>
      </w:pPr>
      <w:r>
        <w:rPr>
          <w:rFonts w:ascii="Arial" w:cs="Arial" w:eastAsia="Arial" w:hAnsi="Arial"/>
          <w:sz w:val="15"/>
          <w:szCs w:val="15"/>
          <w:color w:val="auto"/>
        </w:rPr>
        <w:t>We outsource our manufacturing to third-party contract manufacturers and generally negotiate product pricing with them on a quarterly basis.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52" w:lineRule="exact"/>
        <w:rPr>
          <w:sz w:val="20"/>
          <w:szCs w:val="20"/>
          <w:color w:val="auto"/>
        </w:rPr>
      </w:pPr>
    </w:p>
    <w:p>
      <w:pPr>
        <w:ind w:right="260" w:firstLine="365"/>
        <w:spacing w:after="0" w:line="280" w:lineRule="auto"/>
        <w:rPr>
          <w:sz w:val="20"/>
          <w:szCs w:val="20"/>
          <w:color w:val="auto"/>
        </w:rPr>
      </w:pPr>
      <w:r>
        <w:rPr>
          <w:rFonts w:ascii="Arial" w:cs="Arial" w:eastAsia="Arial" w:hAnsi="Arial"/>
          <w:sz w:val="15"/>
          <w:szCs w:val="15"/>
          <w:color w:val="auto"/>
        </w:rPr>
        <w:t>In addition, third parties, including one of our contract manufacturers, serve as our logistics providers by warehousing and delivering our products in the United States, Europe and Asia.</w:t>
      </w:r>
    </w:p>
    <w:p>
      <w:pPr>
        <w:spacing w:after="0" w:line="40" w:lineRule="exact"/>
        <w:rPr>
          <w:sz w:val="20"/>
          <w:szCs w:val="20"/>
          <w:color w:val="auto"/>
        </w:rPr>
      </w:pPr>
    </w:p>
    <w:p>
      <w:pPr>
        <w:ind w:right="700" w:firstLine="365"/>
        <w:spacing w:after="0" w:line="280" w:lineRule="auto"/>
        <w:rPr>
          <w:sz w:val="20"/>
          <w:szCs w:val="20"/>
          <w:color w:val="auto"/>
        </w:rPr>
      </w:pPr>
      <w:r>
        <w:rPr>
          <w:rFonts w:ascii="Arial" w:cs="Arial" w:eastAsia="Arial" w:hAnsi="Arial"/>
          <w:sz w:val="15"/>
          <w:szCs w:val="15"/>
          <w:color w:val="auto"/>
        </w:rPr>
        <w:t>Gross profit may vary from quarter to quarter and is primarily affected by our average selling prices, product cost, product mix, warranty costs and sales volume fluctuations resulting from seasonality.</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3" w:lineRule="exact"/>
        <w:rPr>
          <w:sz w:val="20"/>
          <w:szCs w:val="20"/>
          <w:color w:val="auto"/>
        </w:rPr>
      </w:pPr>
    </w:p>
    <w:p>
      <w:pPr>
        <w:ind w:right="140" w:firstLine="365"/>
        <w:spacing w:after="0" w:line="263" w:lineRule="auto"/>
        <w:rPr>
          <w:sz w:val="20"/>
          <w:szCs w:val="20"/>
          <w:color w:val="auto"/>
        </w:rPr>
      </w:pPr>
      <w:r>
        <w:rPr>
          <w:rFonts w:ascii="Arial" w:cs="Arial" w:eastAsia="Arial" w:hAnsi="Arial"/>
          <w:sz w:val="15"/>
          <w:szCs w:val="15"/>
          <w:color w:val="auto"/>
        </w:rPr>
        <w:t>Operating expenses consist of research and development, sales and marketing, general and administrative and restructuring expenses. Personnel-related costs are the most significant component of each of these expense categories and include salaries, benefits, payroll taxes, sales commissions, incentive compensation and stock-based compensation.</w:t>
      </w:r>
    </w:p>
    <w:p>
      <w:pPr>
        <w:spacing w:after="0" w:line="52" w:lineRule="exact"/>
        <w:rPr>
          <w:sz w:val="20"/>
          <w:szCs w:val="20"/>
          <w:color w:val="auto"/>
        </w:rPr>
      </w:pPr>
    </w:p>
    <w:p>
      <w:pPr>
        <w:ind w:firstLine="365"/>
        <w:spacing w:after="0" w:line="254" w:lineRule="auto"/>
        <w:rPr>
          <w:sz w:val="20"/>
          <w:szCs w:val="20"/>
          <w:color w:val="auto"/>
        </w:rPr>
      </w:pPr>
      <w:r>
        <w:rPr>
          <w:rFonts w:ascii="Arial" w:cs="Arial" w:eastAsia="Arial" w:hAnsi="Arial"/>
          <w:sz w:val="15"/>
          <w:szCs w:val="15"/>
          <w:color w:val="auto"/>
        </w:rPr>
        <w:t>Research and development expense includes personnel-related expenses such as salaries, incentive compensation, stock-based compensation and employee benefits. Research and development employees are engaged in the design and development of power electronics, semiconductors, powerline communications, networking and software functionality, and storage. Research and development expense also includes third-party design and development costs, testing and evaluation costs, depreciation expense and other indirect costs. We devote substantial resources to research and development programs that focus on enhancements to, and cost efficiencies in, our existing products and timely development of new products that utilize technological innovation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0"/>
          </w:cols>
          <w:pgMar w:left="220" w:top="120" w:right="23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3" w:lineRule="exact"/>
        <w:rPr>
          <w:sz w:val="20"/>
          <w:szCs w:val="20"/>
          <w:color w:val="auto"/>
        </w:rPr>
      </w:pPr>
    </w:p>
    <w:p>
      <w:pPr>
        <w:ind w:right="220"/>
        <w:spacing w:after="0" w:line="280" w:lineRule="auto"/>
        <w:rPr>
          <w:sz w:val="20"/>
          <w:szCs w:val="20"/>
          <w:color w:val="auto"/>
        </w:rPr>
      </w:pPr>
      <w:r>
        <w:rPr>
          <w:rFonts w:ascii="Arial" w:cs="Arial" w:eastAsia="Arial" w:hAnsi="Arial"/>
          <w:sz w:val="15"/>
          <w:szCs w:val="15"/>
          <w:color w:val="auto"/>
        </w:rPr>
        <w:t>drive down product costs, improve functionality, and enhance reliability. We intend to continue to invest in our research and development efforts because we believe they are critical to maintaining our competitive position.</w:t>
      </w:r>
    </w:p>
    <w:p>
      <w:pPr>
        <w:spacing w:after="0" w:line="40" w:lineRule="exact"/>
        <w:rPr>
          <w:sz w:val="20"/>
          <w:szCs w:val="20"/>
          <w:color w:val="auto"/>
        </w:rPr>
      </w:pPr>
    </w:p>
    <w:p>
      <w:pPr>
        <w:ind w:right="20" w:firstLine="365"/>
        <w:spacing w:after="0" w:line="254" w:lineRule="auto"/>
        <w:rPr>
          <w:sz w:val="20"/>
          <w:szCs w:val="20"/>
          <w:color w:val="auto"/>
        </w:rPr>
      </w:pPr>
      <w:r>
        <w:rPr>
          <w:rFonts w:ascii="Arial" w:cs="Arial" w:eastAsia="Arial" w:hAnsi="Arial"/>
          <w:sz w:val="15"/>
          <w:szCs w:val="15"/>
          <w:color w:val="auto"/>
        </w:rPr>
        <w:t>Sales and marketing expense consists primarily of personnel-related expenses such as salaries, commissions, incentive compensation, stock-based compensation, employee benefits and travel. It also includes trade shows, marketing, customer support and other indirect costs. 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60" w:lineRule="exact"/>
        <w:rPr>
          <w:sz w:val="20"/>
          <w:szCs w:val="20"/>
          <w:color w:val="auto"/>
        </w:rPr>
      </w:pPr>
    </w:p>
    <w:p>
      <w:pPr>
        <w:ind w:right="60" w:firstLine="365"/>
        <w:spacing w:after="0" w:line="263" w:lineRule="auto"/>
        <w:rPr>
          <w:sz w:val="20"/>
          <w:szCs w:val="20"/>
          <w:color w:val="auto"/>
        </w:rPr>
      </w:pPr>
      <w:r>
        <w:rPr>
          <w:rFonts w:ascii="Arial" w:cs="Arial" w:eastAsia="Arial" w:hAnsi="Arial"/>
          <w:sz w:val="15"/>
          <w:szCs w:val="15"/>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52" w:lineRule="exact"/>
        <w:rPr>
          <w:sz w:val="20"/>
          <w:szCs w:val="20"/>
          <w:color w:val="auto"/>
        </w:rPr>
      </w:pPr>
    </w:p>
    <w:p>
      <w:pPr>
        <w:ind w:right="120" w:firstLine="365"/>
        <w:spacing w:after="0" w:line="263" w:lineRule="auto"/>
        <w:rPr>
          <w:sz w:val="20"/>
          <w:szCs w:val="20"/>
          <w:color w:val="auto"/>
        </w:rPr>
      </w:pPr>
      <w:r>
        <w:rPr>
          <w:rFonts w:ascii="Arial" w:cs="Arial" w:eastAsia="Arial" w:hAnsi="Arial"/>
          <w:sz w:val="15"/>
          <w:szCs w:val="15"/>
          <w:color w:val="auto"/>
        </w:rPr>
        <w:t>Restructuring charges relate to restructuring initiatives implemented in the third quarter of 2016 to improve operational performance and reduce overall operating expense. Costs included in restructuring primarily consist of severance for workforce reduction actions and non-cash charges related to the impairment of certain property and equipment as a result of the actions taken. See Note 6, “Restructuring” for additional information.</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93" w:lineRule="exact"/>
        <w:rPr>
          <w:sz w:val="20"/>
          <w:szCs w:val="20"/>
          <w:color w:val="auto"/>
        </w:rPr>
      </w:pPr>
    </w:p>
    <w:p>
      <w:pPr>
        <w:ind w:right="140" w:firstLine="365"/>
        <w:spacing w:after="0" w:line="280" w:lineRule="auto"/>
        <w:rPr>
          <w:sz w:val="20"/>
          <w:szCs w:val="20"/>
          <w:color w:val="auto"/>
        </w:rPr>
      </w:pPr>
      <w:r>
        <w:rPr>
          <w:rFonts w:ascii="Arial" w:cs="Arial" w:eastAsia="Arial" w:hAnsi="Arial"/>
          <w:sz w:val="15"/>
          <w:szCs w:val="15"/>
          <w:color w:val="auto"/>
        </w:rPr>
        <w:t>Other expense, net includes interest expense and fees under our revolving credit facility and term loan including amortization of debt discount and issuance costs. Other expense, net also includes gains or losses upon conversion of non-U.S. dollar transactions into U.S. dollars and from foreign currency forward contracts.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Provision for Income Taxes</w:t>
      </w:r>
    </w:p>
    <w:p>
      <w:pPr>
        <w:spacing w:after="0" w:line="71" w:lineRule="exact"/>
        <w:rPr>
          <w:sz w:val="20"/>
          <w:szCs w:val="20"/>
          <w:color w:val="auto"/>
        </w:rPr>
      </w:pPr>
    </w:p>
    <w:p>
      <w:pPr>
        <w:ind w:right="80" w:firstLine="365"/>
        <w:spacing w:after="0" w:line="254" w:lineRule="auto"/>
        <w:rPr>
          <w:sz w:val="20"/>
          <w:szCs w:val="20"/>
          <w:color w:val="auto"/>
        </w:rPr>
      </w:pPr>
      <w:r>
        <w:rPr>
          <w:rFonts w:ascii="Arial" w:cs="Arial" w:eastAsia="Arial" w:hAnsi="Arial"/>
          <w:sz w:val="15"/>
          <w:szCs w:val="15"/>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September 30, 2016.</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 for the Three and Nine Months Ended September 30, 2016 and 2015</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Net Revenues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4"/>
          </w:tcPr>
          <w:p>
            <w:pPr>
              <w:ind w:left="260"/>
              <w:spacing w:after="0"/>
              <w:rPr>
                <w:sz w:val="20"/>
                <w:szCs w:val="20"/>
                <w:color w:val="auto"/>
              </w:rPr>
            </w:pPr>
            <w:r>
              <w:rPr>
                <w:rFonts w:ascii="Arial" w:cs="Arial" w:eastAsia="Arial" w:hAnsi="Arial"/>
                <w:sz w:val="12"/>
                <w:szCs w:val="12"/>
                <w:b w:val="1"/>
                <w:bCs w:val="1"/>
                <w:color w:val="auto"/>
              </w:rPr>
              <w:t>Three Months Ended</w:t>
            </w:r>
          </w:p>
        </w:tc>
        <w:tc>
          <w:tcPr>
            <w:tcW w:w="28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8"/>
              </w:rPr>
              <w:t>Nine Months Ended</w:t>
            </w:r>
          </w:p>
        </w:tc>
        <w:tc>
          <w:tcPr>
            <w:tcW w:w="28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w w:val="97"/>
              </w:rPr>
              <w:t>September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2"/>
                <w:szCs w:val="12"/>
                <w:b w:val="1"/>
                <w:bCs w:val="1"/>
                <w:color w:val="auto"/>
                <w:w w:val="99"/>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2016</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gridSpan w:val="4"/>
          </w:tcPr>
          <w:p>
            <w:pPr>
              <w:jc w:val="right"/>
              <w:ind w:right="859"/>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gridSpan w:val="4"/>
          </w:tcPr>
          <w:p>
            <w:pPr>
              <w:jc w:val="right"/>
              <w:ind w:right="899"/>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88,684</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102,874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rPr>
              <w:t>(14,190)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(14)%  $</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231,990</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291,620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(59,630)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Months Ended September 30, 2016 and 2015</w:t>
      </w:r>
    </w:p>
    <w:p>
      <w:pPr>
        <w:spacing w:after="0" w:line="135" w:lineRule="exact"/>
        <w:rPr>
          <w:sz w:val="20"/>
          <w:szCs w:val="20"/>
          <w:color w:val="auto"/>
        </w:rPr>
      </w:pPr>
    </w:p>
    <w:p>
      <w:pPr>
        <w:ind w:right="140" w:firstLine="354"/>
        <w:spacing w:after="0" w:line="257" w:lineRule="auto"/>
        <w:rPr>
          <w:sz w:val="20"/>
          <w:szCs w:val="20"/>
          <w:color w:val="auto"/>
        </w:rPr>
      </w:pPr>
      <w:r>
        <w:rPr>
          <w:rFonts w:ascii="Arial" w:cs="Arial" w:eastAsia="Arial" w:hAnsi="Arial"/>
          <w:sz w:val="15"/>
          <w:szCs w:val="15"/>
          <w:color w:val="auto"/>
        </w:rPr>
        <w:t>Net revenues decreased by 14% for the three months ended September 30, 2016 compared to the same period in 2015 due to a decrease in microinverter systems sold and lower average selling prices. We sold 869,000 microinverter units in the three months ended September 30, 2016 versus 950,000 units in the same period in 2015. The average revenue per watt of microinverter systems sold declined by approximately 7% for the three months ended September 30, 2016, as compared to the same period in 2015. We expect average selling prices for microinverter systems to continue to decline in the future, which may negatively affect net revenues.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Nine Months Ended September 30, 2016 </w:t>
      </w:r>
      <w:r>
        <w:rPr>
          <w:rFonts w:ascii="Arial" w:cs="Arial" w:eastAsia="Arial" w:hAnsi="Arial"/>
          <w:sz w:val="15"/>
          <w:szCs w:val="15"/>
          <w:color w:val="auto"/>
        </w:rPr>
        <w:t>and</w:t>
      </w:r>
      <w:r>
        <w:rPr>
          <w:rFonts w:ascii="Arial" w:cs="Arial" w:eastAsia="Arial" w:hAnsi="Arial"/>
          <w:sz w:val="15"/>
          <w:szCs w:val="15"/>
          <w:i w:val="1"/>
          <w:iCs w:val="1"/>
          <w:color w:val="auto"/>
        </w:rPr>
        <w:t xml:space="preserve"> 2015</w:t>
      </w:r>
    </w:p>
    <w:p>
      <w:pPr>
        <w:spacing w:after="0" w:line="137" w:lineRule="exact"/>
        <w:rPr>
          <w:sz w:val="20"/>
          <w:szCs w:val="20"/>
          <w:color w:val="auto"/>
        </w:rPr>
      </w:pPr>
    </w:p>
    <w:p>
      <w:pPr>
        <w:ind w:right="280" w:firstLine="354"/>
        <w:spacing w:after="0" w:line="280" w:lineRule="auto"/>
        <w:rPr>
          <w:sz w:val="20"/>
          <w:szCs w:val="20"/>
          <w:color w:val="auto"/>
        </w:rPr>
      </w:pPr>
      <w:r>
        <w:rPr>
          <w:rFonts w:ascii="Arial" w:cs="Arial" w:eastAsia="Arial" w:hAnsi="Arial"/>
          <w:sz w:val="15"/>
          <w:szCs w:val="15"/>
          <w:color w:val="auto"/>
        </w:rPr>
        <w:t>Net revenues decreased by 20% for the nine months ended September 30, 2016 versus the same period in 2015 due to a decrease in microinverter systems sold and lower average selling prices. We sold 2,276,000 microinverter units in the nine months ended September 30, 2016 versus 2,528,000 units in the same period 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60"/>
          </w:cols>
          <w:pgMar w:left="220" w:top="120"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2015. The average revenue per watt of microinverter systems sold declined approximately 14% for the nine months ended September 30, 2016 versus the same period in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2015.</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Cost of Revenues and Gross Profit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97"/>
              </w:rPr>
              <w:t>Three Months Ended</w:t>
            </w:r>
          </w:p>
        </w:tc>
        <w:tc>
          <w:tcPr>
            <w:tcW w:w="280" w:type="dxa"/>
            <w:vAlign w:val="bottom"/>
          </w:tcPr>
          <w:p>
            <w:pPr>
              <w:spacing w:after="0"/>
              <w:rPr>
                <w:sz w:val="12"/>
                <w:szCs w:val="12"/>
                <w:color w:val="auto"/>
              </w:rPr>
            </w:pPr>
          </w:p>
        </w:tc>
        <w:tc>
          <w:tcPr>
            <w:tcW w:w="1220" w:type="dxa"/>
            <w:vAlign w:val="bottom"/>
            <w:vMerge w:val="restart"/>
          </w:tcPr>
          <w:p>
            <w:pPr>
              <w:jc w:val="right"/>
              <w:ind w:right="37"/>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8"/>
              </w:rPr>
              <w:t>Nine Months Ended</w:t>
            </w:r>
          </w:p>
        </w:tc>
        <w:tc>
          <w:tcPr>
            <w:tcW w:w="280" w:type="dxa"/>
            <w:vAlign w:val="bottom"/>
          </w:tcPr>
          <w:p>
            <w:pPr>
              <w:spacing w:after="0"/>
              <w:rPr>
                <w:sz w:val="12"/>
                <w:szCs w:val="12"/>
                <w:color w:val="auto"/>
              </w:rPr>
            </w:pPr>
          </w:p>
        </w:tc>
        <w:tc>
          <w:tcPr>
            <w:tcW w:w="1240" w:type="dxa"/>
            <w:vAlign w:val="bottom"/>
            <w:vMerge w:val="restart"/>
          </w:tcPr>
          <w:p>
            <w:pPr>
              <w:jc w:val="right"/>
              <w:ind w:right="37"/>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left="377"/>
              <w:spacing w:after="0"/>
              <w:rPr>
                <w:sz w:val="20"/>
                <w:szCs w:val="20"/>
                <w:color w:val="auto"/>
              </w:rPr>
            </w:pPr>
            <w:r>
              <w:rPr>
                <w:rFonts w:ascii="Arial" w:cs="Arial" w:eastAsia="Arial" w:hAnsi="Arial"/>
                <w:sz w:val="12"/>
                <w:szCs w:val="12"/>
                <w:b w:val="1"/>
                <w:bCs w:val="1"/>
                <w:color w:val="auto"/>
                <w:w w:val="97"/>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2"/>
                <w:szCs w:val="12"/>
                <w:b w:val="1"/>
                <w:bCs w:val="1"/>
                <w:color w:val="auto"/>
                <w:w w:val="97"/>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7"/>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b w:val="1"/>
                <w:bCs w:val="1"/>
                <w:color w:val="auto"/>
                <w:w w:val="97"/>
              </w:rPr>
              <w:t>2015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97"/>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16"/>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2016</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97"/>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1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60" w:type="dxa"/>
            <w:vAlign w:val="bottom"/>
            <w:gridSpan w:val="4"/>
          </w:tcPr>
          <w:p>
            <w:pPr>
              <w:jc w:val="right"/>
              <w:ind w:right="857"/>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20" w:type="dxa"/>
            <w:vAlign w:val="bottom"/>
            <w:gridSpan w:val="4"/>
          </w:tcPr>
          <w:p>
            <w:pPr>
              <w:jc w:val="right"/>
              <w:ind w:right="917"/>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 of revenues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72,805</w:t>
            </w:r>
          </w:p>
        </w:tc>
        <w:tc>
          <w:tcPr>
            <w:tcW w:w="4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1,397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2 %  $</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190,215</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199,103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(8,888)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4"/>
        </w:trPr>
        <w:tc>
          <w:tcPr>
            <w:tcW w:w="2240" w:type="dxa"/>
            <w:vAlign w:val="bottom"/>
          </w:tcPr>
          <w:p>
            <w:pPr>
              <w:ind w:left="40"/>
              <w:spacing w:after="0"/>
              <w:rPr>
                <w:sz w:val="20"/>
                <w:szCs w:val="20"/>
                <w:color w:val="auto"/>
              </w:rPr>
            </w:pPr>
            <w:r>
              <w:rPr>
                <w:rFonts w:ascii="Arial" w:cs="Arial" w:eastAsia="Arial" w:hAnsi="Arial"/>
                <w:sz w:val="13"/>
                <w:szCs w:val="13"/>
                <w:color w:val="auto"/>
              </w:rPr>
              <w:t>Gross profit</w:t>
            </w:r>
          </w:p>
        </w:tc>
        <w:tc>
          <w:tcPr>
            <w:tcW w:w="24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15,879</w:t>
            </w:r>
          </w:p>
        </w:tc>
        <w:tc>
          <w:tcPr>
            <w:tcW w:w="440" w:type="dxa"/>
            <w:vAlign w:val="bottom"/>
          </w:tcPr>
          <w:p>
            <w:pPr>
              <w:spacing w:after="0"/>
              <w:rPr>
                <w:sz w:val="18"/>
                <w:szCs w:val="18"/>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31,466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7"/>
              <w:spacing w:after="0"/>
              <w:rPr>
                <w:sz w:val="20"/>
                <w:szCs w:val="20"/>
                <w:color w:val="auto"/>
              </w:rPr>
            </w:pPr>
            <w:r>
              <w:rPr>
                <w:rFonts w:ascii="Arial" w:cs="Arial" w:eastAsia="Arial" w:hAnsi="Arial"/>
                <w:sz w:val="13"/>
                <w:szCs w:val="13"/>
                <w:color w:val="auto"/>
              </w:rPr>
              <w:t>(15,587)</w:t>
            </w:r>
          </w:p>
        </w:tc>
        <w:tc>
          <w:tcPr>
            <w:tcW w:w="7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41,775</w:t>
            </w:r>
          </w:p>
        </w:tc>
        <w:tc>
          <w:tcPr>
            <w:tcW w:w="400" w:type="dxa"/>
            <w:vAlign w:val="bottom"/>
          </w:tcPr>
          <w:p>
            <w:pPr>
              <w:spacing w:after="0"/>
              <w:rPr>
                <w:sz w:val="18"/>
                <w:szCs w:val="18"/>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92,517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97"/>
              <w:spacing w:after="0"/>
              <w:rPr>
                <w:sz w:val="20"/>
                <w:szCs w:val="20"/>
                <w:color w:val="auto"/>
              </w:rPr>
            </w:pPr>
            <w:r>
              <w:rPr>
                <w:rFonts w:ascii="Arial" w:cs="Arial" w:eastAsia="Arial" w:hAnsi="Arial"/>
                <w:sz w:val="13"/>
                <w:szCs w:val="13"/>
                <w:color w:val="auto"/>
              </w:rPr>
              <w:t>(50,742)</w:t>
            </w:r>
          </w:p>
        </w:tc>
        <w:tc>
          <w:tcPr>
            <w:tcW w:w="70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17.9%</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(12.7)</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rPr>
              <w:t>(13.7)</w:t>
            </w: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Months Ended September 30, 2016 and 2015</w:t>
      </w:r>
    </w:p>
    <w:p>
      <w:pPr>
        <w:spacing w:after="0" w:line="135" w:lineRule="exact"/>
        <w:rPr>
          <w:sz w:val="20"/>
          <w:szCs w:val="20"/>
          <w:color w:val="auto"/>
        </w:rPr>
      </w:pPr>
    </w:p>
    <w:p>
      <w:pPr>
        <w:ind w:right="20" w:firstLine="354"/>
        <w:spacing w:after="0" w:line="252" w:lineRule="auto"/>
        <w:rPr>
          <w:sz w:val="20"/>
          <w:szCs w:val="20"/>
          <w:color w:val="auto"/>
        </w:rPr>
      </w:pPr>
      <w:r>
        <w:rPr>
          <w:rFonts w:ascii="Arial" w:cs="Arial" w:eastAsia="Arial" w:hAnsi="Arial"/>
          <w:sz w:val="15"/>
          <w:szCs w:val="15"/>
          <w:color w:val="auto"/>
        </w:rPr>
        <w:t>Cost of revenues increased by 2% for the three months ended September 30, 2016 compared to the same period in 2015. The slight increase in cost of revenues was primarily attributable an increase in warranty expense as a result of fluctuations in the discount factor used in our mark-to-market method of accounting for eligible warranties and incremental expedited delivery costs associated with the launch of our AC battery product, partially offset by lower volume of shipments of our products. Gross margin decreased by 13 percentage points for the three months ended September 30, 2016 compared to the same period in 2015. The primary driver of the decrease in gross margin was the shift towards a more competitive pricing strategy that we implemented in late 2015. Our ability to reduce product costs and the timing of product cost reductions relative to declines in average selling prices can have a significant impact on our gross margin.</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Nine Months Ended September 30, 2016 </w:t>
      </w:r>
      <w:r>
        <w:rPr>
          <w:rFonts w:ascii="Arial" w:cs="Arial" w:eastAsia="Arial" w:hAnsi="Arial"/>
          <w:sz w:val="15"/>
          <w:szCs w:val="15"/>
          <w:color w:val="auto"/>
        </w:rPr>
        <w:t>and</w:t>
      </w:r>
      <w:r>
        <w:rPr>
          <w:rFonts w:ascii="Arial" w:cs="Arial" w:eastAsia="Arial" w:hAnsi="Arial"/>
          <w:sz w:val="15"/>
          <w:szCs w:val="15"/>
          <w:i w:val="1"/>
          <w:iCs w:val="1"/>
          <w:color w:val="auto"/>
        </w:rPr>
        <w:t xml:space="preserve"> 2015</w:t>
      </w:r>
    </w:p>
    <w:p>
      <w:pPr>
        <w:spacing w:after="0" w:line="137" w:lineRule="exact"/>
        <w:rPr>
          <w:sz w:val="20"/>
          <w:szCs w:val="20"/>
          <w:color w:val="auto"/>
        </w:rPr>
      </w:pPr>
    </w:p>
    <w:p>
      <w:pPr>
        <w:jc w:val="both"/>
        <w:ind w:right="20" w:firstLine="354"/>
        <w:spacing w:after="0" w:line="263" w:lineRule="auto"/>
        <w:rPr>
          <w:sz w:val="20"/>
          <w:szCs w:val="20"/>
          <w:color w:val="auto"/>
        </w:rPr>
      </w:pPr>
      <w:r>
        <w:rPr>
          <w:rFonts w:ascii="Arial" w:cs="Arial" w:eastAsia="Arial" w:hAnsi="Arial"/>
          <w:sz w:val="15"/>
          <w:szCs w:val="15"/>
          <w:color w:val="auto"/>
        </w:rPr>
        <w:t>Cost of revenues decreased by 4% for the nine months ended September 30, 2016 compared to the same period in 2015, which reflects the lower volume of shipments of our products. Gross margin decreased by 14 percentage points for the nine months ended September 30, 2016 compared to the same period in 2015. The primary driver of the decrease in gross margin was the shift towards a more competitive pricing strategy that we implemented in late 2015.</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tcPr>
          <w:p>
            <w:pPr>
              <w:ind w:left="28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Change in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8"/>
              </w:rPr>
              <w:t>Nine Months Ended</w:t>
            </w:r>
          </w:p>
        </w:tc>
        <w:tc>
          <w:tcPr>
            <w:tcW w:w="560" w:type="dxa"/>
            <w:vAlign w:val="bottom"/>
          </w:tcPr>
          <w:p>
            <w:pPr>
              <w:spacing w:after="0"/>
              <w:rPr>
                <w:sz w:val="12"/>
                <w:szCs w:val="12"/>
                <w:color w:val="auto"/>
              </w:rPr>
            </w:pPr>
          </w:p>
        </w:tc>
        <w:tc>
          <w:tcPr>
            <w:tcW w:w="94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Change in</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b w:val="1"/>
                <w:bCs w:val="1"/>
                <w:color w:val="auto"/>
                <w:w w:val="97"/>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2"/>
                <w:szCs w:val="12"/>
                <w:b w:val="1"/>
                <w:bCs w:val="1"/>
                <w:color w:val="auto"/>
                <w:w w:val="97"/>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w w:val="97"/>
              </w:rPr>
              <w:t>2015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1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80" w:type="dxa"/>
            <w:vAlign w:val="bottom"/>
            <w:gridSpan w:val="4"/>
          </w:tcPr>
          <w:p>
            <w:pPr>
              <w:jc w:val="right"/>
              <w:ind w:right="879"/>
              <w:spacing w:after="0"/>
              <w:rPr>
                <w:sz w:val="20"/>
                <w:szCs w:val="20"/>
                <w:color w:val="auto"/>
              </w:rPr>
            </w:pPr>
            <w:r>
              <w:rPr>
                <w:rFonts w:ascii="Arial" w:cs="Arial" w:eastAsia="Arial" w:hAnsi="Arial"/>
                <w:sz w:val="12"/>
                <w:szCs w:val="12"/>
                <w:b w:val="1"/>
                <w:bCs w:val="1"/>
                <w:color w:val="auto"/>
              </w:rPr>
              <w:t>(dollars in thousands)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Research and development</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13,169</w:t>
            </w:r>
          </w:p>
        </w:tc>
        <w:tc>
          <w:tcPr>
            <w:tcW w:w="4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1,110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  $</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39,326</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38,275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37"/>
              <w:spacing w:after="0"/>
              <w:rPr>
                <w:sz w:val="20"/>
                <w:szCs w:val="20"/>
                <w:color w:val="auto"/>
              </w:rPr>
            </w:pPr>
            <w:r>
              <w:rPr>
                <w:rFonts w:ascii="Arial" w:cs="Arial" w:eastAsia="Arial" w:hAnsi="Arial"/>
                <w:sz w:val="13"/>
                <w:szCs w:val="13"/>
                <w:color w:val="auto"/>
                <w:w w:val="98"/>
              </w:rPr>
              <w:t>1,051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Months Ended September 30, 2016 and 2015</w:t>
      </w:r>
    </w:p>
    <w:p>
      <w:pPr>
        <w:spacing w:after="0" w:line="135" w:lineRule="exact"/>
        <w:rPr>
          <w:sz w:val="20"/>
          <w:szCs w:val="20"/>
          <w:color w:val="auto"/>
        </w:rPr>
      </w:pPr>
    </w:p>
    <w:p>
      <w:pPr>
        <w:ind w:right="60" w:firstLine="354"/>
        <w:spacing w:after="0" w:line="257" w:lineRule="auto"/>
        <w:rPr>
          <w:sz w:val="20"/>
          <w:szCs w:val="20"/>
          <w:color w:val="auto"/>
        </w:rPr>
      </w:pPr>
      <w:r>
        <w:rPr>
          <w:rFonts w:ascii="Arial" w:cs="Arial" w:eastAsia="Arial" w:hAnsi="Arial"/>
          <w:sz w:val="15"/>
          <w:szCs w:val="15"/>
          <w:color w:val="auto"/>
        </w:rPr>
        <w:t>Research and development expense increased by 9% for the three months ended September 30, 2016 compared to the same period in 2015. Personnel-related costs increased by $ 0.8 million as the prior year third quarter included a $1.0 million reversal of accrued incentive compensation. The remaining increase was primarily attributable to an increase in costs related to outside services. The amount of research and development expense may fluctuate from period to period due to the differing levels and stages of research and development activity.</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Nine Months Ended September 30, 2016 </w:t>
      </w:r>
      <w:r>
        <w:rPr>
          <w:rFonts w:ascii="Arial" w:cs="Arial" w:eastAsia="Arial" w:hAnsi="Arial"/>
          <w:sz w:val="15"/>
          <w:szCs w:val="15"/>
          <w:color w:val="auto"/>
        </w:rPr>
        <w:t>and</w:t>
      </w:r>
      <w:r>
        <w:rPr>
          <w:rFonts w:ascii="Arial" w:cs="Arial" w:eastAsia="Arial" w:hAnsi="Arial"/>
          <w:sz w:val="15"/>
          <w:szCs w:val="15"/>
          <w:i w:val="1"/>
          <w:iCs w:val="1"/>
          <w:color w:val="auto"/>
        </w:rPr>
        <w:t xml:space="preserve"> 2015</w:t>
      </w:r>
    </w:p>
    <w:p>
      <w:pPr>
        <w:spacing w:after="0" w:line="137" w:lineRule="exact"/>
        <w:rPr>
          <w:sz w:val="20"/>
          <w:szCs w:val="20"/>
          <w:color w:val="auto"/>
        </w:rPr>
      </w:pPr>
    </w:p>
    <w:p>
      <w:pPr>
        <w:ind w:firstLine="354"/>
        <w:spacing w:after="0" w:line="280" w:lineRule="auto"/>
        <w:rPr>
          <w:sz w:val="20"/>
          <w:szCs w:val="20"/>
          <w:color w:val="auto"/>
        </w:rPr>
      </w:pPr>
      <w:r>
        <w:rPr>
          <w:rFonts w:ascii="Arial" w:cs="Arial" w:eastAsia="Arial" w:hAnsi="Arial"/>
          <w:sz w:val="15"/>
          <w:szCs w:val="15"/>
          <w:color w:val="auto"/>
        </w:rPr>
        <w:t>Research and development expense increased by 3% for the nine months ended September 30, 2016 versus the same period in 2015. Costs incurred for outside services increased by $1.6 million, which was offset by a $0.5 million decrease in depreciation expense related to research and development equipment.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60"/>
          </w:cols>
          <w:pgMar w:left="220" w:top="120"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97"/>
              </w:rPr>
              <w:t>Three Months Ended</w:t>
            </w:r>
          </w:p>
        </w:tc>
        <w:tc>
          <w:tcPr>
            <w:tcW w:w="300" w:type="dxa"/>
            <w:vAlign w:val="bottom"/>
          </w:tcPr>
          <w:p>
            <w:pPr>
              <w:spacing w:after="0"/>
              <w:rPr>
                <w:sz w:val="12"/>
                <w:szCs w:val="12"/>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Change in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8"/>
              </w:rPr>
              <w:t>Nine Months Ended</w:t>
            </w:r>
          </w:p>
        </w:tc>
        <w:tc>
          <w:tcPr>
            <w:tcW w:w="28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2"/>
                <w:szCs w:val="12"/>
                <w:b w:val="1"/>
                <w:bCs w:val="1"/>
                <w:color w:val="auto"/>
                <w:w w:val="97"/>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2"/>
                <w:szCs w:val="12"/>
                <w:b w:val="1"/>
                <w:bCs w:val="1"/>
                <w:color w:val="auto"/>
                <w:w w:val="99"/>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2016</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w w:val="97"/>
              </w:rPr>
              <w:t>2015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ind w:right="417"/>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gridSpan w:val="4"/>
          </w:tcPr>
          <w:p>
            <w:pPr>
              <w:jc w:val="right"/>
              <w:ind w:right="859"/>
              <w:spacing w:after="0"/>
              <w:rPr>
                <w:sz w:val="20"/>
                <w:szCs w:val="20"/>
                <w:color w:val="auto"/>
              </w:rPr>
            </w:pPr>
            <w:r>
              <w:rPr>
                <w:rFonts w:ascii="Arial" w:cs="Arial" w:eastAsia="Arial" w:hAnsi="Arial"/>
                <w:sz w:val="12"/>
                <w:szCs w:val="12"/>
                <w:b w:val="1"/>
                <w:bCs w:val="1"/>
                <w:color w:val="auto"/>
              </w:rPr>
              <w:t>(dollars in thousands)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gridSpan w:val="4"/>
          </w:tcPr>
          <w:p>
            <w:pPr>
              <w:jc w:val="right"/>
              <w:ind w:right="899"/>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Sales and marketing</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11,016</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506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  $</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31,218</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34,955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(3,737)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Months Ended September 30, 2016 and 2015</w:t>
      </w:r>
    </w:p>
    <w:p>
      <w:pPr>
        <w:spacing w:after="0" w:line="135" w:lineRule="exact"/>
        <w:rPr>
          <w:sz w:val="20"/>
          <w:szCs w:val="20"/>
          <w:color w:val="auto"/>
        </w:rPr>
      </w:pPr>
    </w:p>
    <w:p>
      <w:pPr>
        <w:ind w:right="160" w:firstLine="354"/>
        <w:spacing w:after="0" w:line="254" w:lineRule="auto"/>
        <w:rPr>
          <w:sz w:val="20"/>
          <w:szCs w:val="20"/>
          <w:color w:val="auto"/>
        </w:rPr>
      </w:pPr>
      <w:r>
        <w:rPr>
          <w:rFonts w:ascii="Arial" w:cs="Arial" w:eastAsia="Arial" w:hAnsi="Arial"/>
          <w:sz w:val="15"/>
          <w:szCs w:val="15"/>
          <w:color w:val="auto"/>
        </w:rPr>
        <w:t>Sales and marketing expense increased by 5% for the three months ended September 30, 2016 compared to the same period in 2015. The increase was primarily attributable to $1.6 million increase in bad debt expense as a result of certain customers experiencing financial difficulties. In addition, the three months ended September 30, 2015 included a $0.7 million gain from revaluation of contingent consideration. This increase was offset by a $1.7 million decrease in personnel-related costs from lower sales and marketing headcount as part of our cost reduction initiatives. In addition, promotional and marketing related activities decreased by $0.1 million versus the same period in 2015.</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Nine Months Ended September 30, 2016 </w:t>
      </w:r>
      <w:r>
        <w:rPr>
          <w:rFonts w:ascii="Arial" w:cs="Arial" w:eastAsia="Arial" w:hAnsi="Arial"/>
          <w:sz w:val="15"/>
          <w:szCs w:val="15"/>
          <w:color w:val="auto"/>
        </w:rPr>
        <w:t>and</w:t>
      </w:r>
      <w:r>
        <w:rPr>
          <w:rFonts w:ascii="Arial" w:cs="Arial" w:eastAsia="Arial" w:hAnsi="Arial"/>
          <w:sz w:val="15"/>
          <w:szCs w:val="15"/>
          <w:i w:val="1"/>
          <w:iCs w:val="1"/>
          <w:color w:val="auto"/>
        </w:rPr>
        <w:t xml:space="preserve"> 2015</w:t>
      </w:r>
    </w:p>
    <w:p>
      <w:pPr>
        <w:spacing w:after="0" w:line="137" w:lineRule="exact"/>
        <w:rPr>
          <w:sz w:val="20"/>
          <w:szCs w:val="20"/>
          <w:color w:val="auto"/>
        </w:rPr>
      </w:pPr>
    </w:p>
    <w:p>
      <w:pPr>
        <w:ind w:right="40" w:firstLine="354"/>
        <w:spacing w:after="0" w:line="254" w:lineRule="auto"/>
        <w:rPr>
          <w:sz w:val="20"/>
          <w:szCs w:val="20"/>
          <w:color w:val="auto"/>
        </w:rPr>
      </w:pPr>
      <w:r>
        <w:rPr>
          <w:rFonts w:ascii="Arial" w:cs="Arial" w:eastAsia="Arial" w:hAnsi="Arial"/>
          <w:sz w:val="15"/>
          <w:szCs w:val="15"/>
          <w:color w:val="auto"/>
        </w:rPr>
        <w:t>Sales and marketing expense decreased by 11% for the nine months ended September 30, 2016 compared to the same period in 2015. The decrease was primarily driven by decreased personnel-related costs of $7.0 million resulting from reduced sales and marketing headcount as part of our cost reduction initiatives. In addition, costs related to promotional and marketing related activities and use of outside services decreased by $1.2 million. These decreases were partially offset by a $2.9 million increase in bad debt expense as a result of certain customers experiencing financial difficulties, including bankruptcy. In addition, the nine months ended September 30, 2015 included a $1.6 million gain from revaluation of contingent consideration.</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2"/>
                <w:szCs w:val="12"/>
                <w:b w:val="1"/>
                <w:bCs w:val="1"/>
                <w:color w:val="auto"/>
                <w:w w:val="99"/>
              </w:rPr>
              <w:t>Three Months Ended</w:t>
            </w:r>
          </w:p>
        </w:tc>
        <w:tc>
          <w:tcPr>
            <w:tcW w:w="28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8"/>
              </w:rPr>
              <w:t>Nine Months Ended</w:t>
            </w:r>
          </w:p>
        </w:tc>
        <w:tc>
          <w:tcPr>
            <w:tcW w:w="28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2"/>
                <w:szCs w:val="12"/>
                <w:b w:val="1"/>
                <w:bCs w:val="1"/>
                <w:color w:val="auto"/>
                <w:w w:val="99"/>
              </w:rPr>
              <w:t>September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2"/>
                <w:szCs w:val="12"/>
                <w:b w:val="1"/>
                <w:bCs w:val="1"/>
                <w:color w:val="auto"/>
                <w:w w:val="99"/>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2016</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2016</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w w:val="97"/>
              </w:rPr>
              <w:t>2015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19"/>
              <w:spacing w:after="0"/>
              <w:rPr>
                <w:sz w:val="20"/>
                <w:szCs w:val="20"/>
                <w:color w:val="auto"/>
              </w:rPr>
            </w:pPr>
            <w:r>
              <w:rPr>
                <w:rFonts w:ascii="Arial" w:cs="Arial" w:eastAsia="Arial" w:hAnsi="Arial"/>
                <w:sz w:val="12"/>
                <w:szCs w:val="12"/>
                <w:b w:val="1"/>
                <w:bCs w:val="1"/>
                <w:color w:val="auto"/>
              </w:rPr>
              <w:t>$</w:t>
            </w:r>
          </w:p>
        </w:tc>
        <w:tc>
          <w:tcPr>
            <w:tcW w:w="700" w:type="dxa"/>
            <w:vAlign w:val="bottom"/>
            <w:tcBorders>
              <w:bottom w:val="single" w:sz="8" w:color="auto"/>
            </w:tcBorders>
          </w:tcPr>
          <w:p>
            <w:pPr>
              <w:jc w:val="right"/>
              <w:ind w:right="43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gridSpan w:val="4"/>
          </w:tcPr>
          <w:p>
            <w:pPr>
              <w:jc w:val="right"/>
              <w:ind w:right="859"/>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gridSpan w:val="4"/>
          </w:tcPr>
          <w:p>
            <w:pPr>
              <w:jc w:val="right"/>
              <w:ind w:right="899"/>
              <w:spacing w:after="0"/>
              <w:rPr>
                <w:sz w:val="20"/>
                <w:szCs w:val="20"/>
                <w:color w:val="auto"/>
              </w:rPr>
            </w:pPr>
            <w:r>
              <w:rPr>
                <w:rFonts w:ascii="Arial" w:cs="Arial" w:eastAsia="Arial" w:hAnsi="Arial"/>
                <w:sz w:val="12"/>
                <w:szCs w:val="12"/>
                <w:b w:val="1"/>
                <w:bCs w:val="1"/>
                <w:color w:val="auto"/>
              </w:rPr>
              <w:t>(dollars in thousands)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6,708</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auto"/>
              </w:rPr>
              <w:t>(410)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  $</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21,121</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23,425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3"/>
                <w:szCs w:val="13"/>
                <w:color w:val="auto"/>
              </w:rPr>
              <w:t>(2,304)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Months Ended September 30, 2016 and 2015</w:t>
      </w:r>
    </w:p>
    <w:p>
      <w:pPr>
        <w:spacing w:after="0" w:line="135" w:lineRule="exact"/>
        <w:rPr>
          <w:sz w:val="20"/>
          <w:szCs w:val="20"/>
          <w:color w:val="auto"/>
        </w:rPr>
      </w:pPr>
    </w:p>
    <w:p>
      <w:pPr>
        <w:ind w:right="260" w:firstLine="354"/>
        <w:spacing w:after="0" w:line="263" w:lineRule="auto"/>
        <w:rPr>
          <w:sz w:val="20"/>
          <w:szCs w:val="20"/>
          <w:color w:val="auto"/>
        </w:rPr>
      </w:pPr>
      <w:r>
        <w:rPr>
          <w:rFonts w:ascii="Arial" w:cs="Arial" w:eastAsia="Arial" w:hAnsi="Arial"/>
          <w:sz w:val="15"/>
          <w:szCs w:val="15"/>
          <w:color w:val="auto"/>
        </w:rPr>
        <w:t>General and administrative expense decreased by 6% for the three months ended September 30, 2016 compared to the same period in 2015. Personnel-related costs decreased by $0.8 million, which was entirely offset by the reversal of accrued incentive compensation recorded in the third quarter of 2015. The $0.4 million decrease in general and administrative expenses was primarily attributable to a decrease in our usage of professional services.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Nine Months Ended September 30, 2016 </w:t>
      </w:r>
      <w:r>
        <w:rPr>
          <w:rFonts w:ascii="Arial" w:cs="Arial" w:eastAsia="Arial" w:hAnsi="Arial"/>
          <w:sz w:val="15"/>
          <w:szCs w:val="15"/>
          <w:color w:val="auto"/>
        </w:rPr>
        <w:t>and</w:t>
      </w:r>
      <w:r>
        <w:rPr>
          <w:rFonts w:ascii="Arial" w:cs="Arial" w:eastAsia="Arial" w:hAnsi="Arial"/>
          <w:sz w:val="15"/>
          <w:szCs w:val="15"/>
          <w:i w:val="1"/>
          <w:iCs w:val="1"/>
          <w:color w:val="auto"/>
        </w:rPr>
        <w:t xml:space="preserve"> 2015</w:t>
      </w:r>
    </w:p>
    <w:p>
      <w:pPr>
        <w:spacing w:after="0" w:line="137" w:lineRule="exact"/>
        <w:rPr>
          <w:sz w:val="20"/>
          <w:szCs w:val="20"/>
          <w:color w:val="auto"/>
        </w:rPr>
      </w:pPr>
    </w:p>
    <w:p>
      <w:pPr>
        <w:ind w:right="140" w:firstLine="354"/>
        <w:spacing w:after="0" w:line="263" w:lineRule="auto"/>
        <w:rPr>
          <w:sz w:val="20"/>
          <w:szCs w:val="20"/>
          <w:color w:val="auto"/>
        </w:rPr>
      </w:pPr>
      <w:r>
        <w:rPr>
          <w:rFonts w:ascii="Arial" w:cs="Arial" w:eastAsia="Arial" w:hAnsi="Arial"/>
          <w:sz w:val="15"/>
          <w:szCs w:val="15"/>
          <w:color w:val="auto"/>
        </w:rPr>
        <w:t>General and administrative expense decreased by 10% for the nine months ended September 30, 2016 compared to the same period in 2015. The decrease was primarily attributable to a $1.4 million decrease in our usage of professional services combined with a $1.3 million decrease in personnel-related costs. These decreases were partially offset by a $0.4 million increase in facilities-related expenses including rent, utilities and depreciation of corporate fixed assets.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60"/>
          </w:cols>
          <w:pgMar w:left="220" w:top="120" w:right="2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Restructuring Charges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left="39"/>
              <w:spacing w:after="0"/>
              <w:rPr>
                <w:sz w:val="20"/>
                <w:szCs w:val="20"/>
                <w:color w:val="auto"/>
              </w:rPr>
            </w:pPr>
            <w:r>
              <w:rPr>
                <w:rFonts w:ascii="Arial" w:cs="Arial" w:eastAsia="Arial" w:hAnsi="Arial"/>
                <w:sz w:val="12"/>
                <w:szCs w:val="12"/>
                <w:b w:val="1"/>
                <w:bCs w:val="1"/>
                <w:color w:val="auto"/>
                <w:w w:val="99"/>
              </w:rPr>
              <w:t>Three Months 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Nine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2"/>
                <w:szCs w:val="12"/>
                <w:b w:val="1"/>
                <w:bCs w:val="1"/>
                <w:color w:val="auto"/>
              </w:rPr>
              <w:t>Change 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2"/>
                <w:szCs w:val="12"/>
                <w:b w:val="1"/>
                <w:bCs w:val="1"/>
                <w:color w:val="auto"/>
                <w:w w:val="99"/>
              </w:rPr>
              <w:t>September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2"/>
                <w:szCs w:val="12"/>
                <w:b w:val="1"/>
                <w:bCs w:val="1"/>
                <w:color w:val="auto"/>
                <w:w w:val="97"/>
              </w:rPr>
              <w:t>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2016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gridSpan w:val="4"/>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2"/>
                <w:szCs w:val="12"/>
                <w:b w:val="1"/>
                <w:bCs w:val="1"/>
                <w:color w:val="auto"/>
              </w:rPr>
              <w:t>(dollars in thousands)</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Restructuring charges</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2,717</w:t>
            </w:r>
          </w:p>
        </w:tc>
        <w:tc>
          <w:tcPr>
            <w:tcW w:w="840" w:type="dxa"/>
            <w:vAlign w:val="bottom"/>
            <w:shd w:val="clear" w:color="auto" w:fill="CCEEFF"/>
          </w:tcPr>
          <w:p>
            <w:pPr>
              <w:jc w:val="right"/>
              <w:ind w:right="55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2,717</w:t>
            </w: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3"/>
                <w:szCs w:val="13"/>
                <w:color w:val="auto"/>
              </w:rPr>
              <w:t>N/A</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2,717</w:t>
            </w:r>
          </w:p>
        </w:tc>
        <w:tc>
          <w:tcPr>
            <w:tcW w:w="800" w:type="dxa"/>
            <w:vAlign w:val="bottom"/>
            <w:shd w:val="clear" w:color="auto" w:fill="CCEEFF"/>
          </w:tcPr>
          <w:p>
            <w:pPr>
              <w:jc w:val="right"/>
              <w:ind w:right="539"/>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477"/>
              <w:spacing w:after="0"/>
              <w:rPr>
                <w:sz w:val="20"/>
                <w:szCs w:val="20"/>
                <w:color w:val="auto"/>
              </w:rPr>
            </w:pPr>
            <w:r>
              <w:rPr>
                <w:rFonts w:ascii="Arial" w:cs="Arial" w:eastAsia="Arial" w:hAnsi="Arial"/>
                <w:sz w:val="13"/>
                <w:szCs w:val="13"/>
                <w:color w:val="auto"/>
              </w:rPr>
              <w:t>2,717</w:t>
            </w:r>
          </w:p>
        </w:tc>
        <w:tc>
          <w:tcPr>
            <w:tcW w:w="700" w:type="dxa"/>
            <w:vAlign w:val="bottom"/>
            <w:shd w:val="clear" w:color="auto" w:fill="CCEEFF"/>
          </w:tcPr>
          <w:p>
            <w:pPr>
              <w:jc w:val="center"/>
              <w:ind w:right="25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and Nine Months Ended September 30, 2016 and 2015</w:t>
      </w:r>
    </w:p>
    <w:p>
      <w:pPr>
        <w:spacing w:after="0" w:line="135" w:lineRule="exact"/>
        <w:rPr>
          <w:sz w:val="20"/>
          <w:szCs w:val="20"/>
          <w:color w:val="auto"/>
        </w:rPr>
      </w:pPr>
    </w:p>
    <w:p>
      <w:pPr>
        <w:ind w:right="40" w:firstLine="354"/>
        <w:spacing w:after="0" w:line="257" w:lineRule="auto"/>
        <w:rPr>
          <w:sz w:val="20"/>
          <w:szCs w:val="20"/>
          <w:color w:val="auto"/>
        </w:rPr>
      </w:pPr>
      <w:r>
        <w:rPr>
          <w:rFonts w:ascii="Arial" w:cs="Arial" w:eastAsia="Arial" w:hAnsi="Arial"/>
          <w:sz w:val="15"/>
          <w:szCs w:val="15"/>
          <w:color w:val="auto"/>
        </w:rPr>
        <w:t>In the third quarter of 2016, we implemented a restructuring plan to lower operating expenses. The restructuring plan led to a reduction of our workforce globally by approximately 11% of total headcount throughout all areas of the organization and an elimination of certain non-core projects. Restructuring charges consisted of $1.3 million in cash-based severance and related benefits and $1.4 million in non-cash charges for asset impairments and write-offs related to property and equipment. The restructuring actions are expected to be completed by the fourth quarter of 2016.</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9"/>
              </w:rPr>
              <w:t>Three Months Ended</w:t>
            </w:r>
          </w:p>
        </w:tc>
        <w:tc>
          <w:tcPr>
            <w:tcW w:w="280" w:type="dxa"/>
            <w:vAlign w:val="bottom"/>
          </w:tcPr>
          <w:p>
            <w:pPr>
              <w:spacing w:after="0"/>
              <w:rPr>
                <w:sz w:val="12"/>
                <w:szCs w:val="12"/>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Change in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ind w:left="320"/>
              <w:spacing w:after="0"/>
              <w:rPr>
                <w:sz w:val="20"/>
                <w:szCs w:val="20"/>
                <w:color w:val="auto"/>
              </w:rPr>
            </w:pPr>
            <w:r>
              <w:rPr>
                <w:rFonts w:ascii="Arial" w:cs="Arial" w:eastAsia="Arial" w:hAnsi="Arial"/>
                <w:sz w:val="12"/>
                <w:szCs w:val="12"/>
                <w:b w:val="1"/>
                <w:bCs w:val="1"/>
                <w:color w:val="auto"/>
              </w:rPr>
              <w:t>Nine Months Ended</w:t>
            </w:r>
          </w:p>
        </w:tc>
        <w:tc>
          <w:tcPr>
            <w:tcW w:w="6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Change in</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2"/>
                <w:szCs w:val="12"/>
                <w:b w:val="1"/>
                <w:bCs w:val="1"/>
                <w:color w:val="auto"/>
                <w:w w:val="99"/>
              </w:rPr>
              <w:t>September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480"/>
              <w:spacing w:after="0"/>
              <w:rPr>
                <w:sz w:val="20"/>
                <w:szCs w:val="20"/>
                <w:color w:val="auto"/>
              </w:rPr>
            </w:pPr>
            <w:r>
              <w:rPr>
                <w:rFonts w:ascii="Arial" w:cs="Arial" w:eastAsia="Arial" w:hAnsi="Arial"/>
                <w:sz w:val="12"/>
                <w:szCs w:val="12"/>
                <w:b w:val="1"/>
                <w:bCs w:val="1"/>
                <w:color w:val="auto"/>
                <w:w w:val="99"/>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2016</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w w:val="97"/>
              </w:rPr>
              <w:t>2015</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2016</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gridSpan w:val="4"/>
          </w:tcPr>
          <w:p>
            <w:pPr>
              <w:jc w:val="right"/>
              <w:ind w:right="879"/>
              <w:spacing w:after="0"/>
              <w:rPr>
                <w:sz w:val="20"/>
                <w:szCs w:val="20"/>
                <w:color w:val="auto"/>
              </w:rPr>
            </w:pPr>
            <w:r>
              <w:rPr>
                <w:rFonts w:ascii="Arial" w:cs="Arial" w:eastAsia="Arial" w:hAnsi="Arial"/>
                <w:sz w:val="12"/>
                <w:szCs w:val="12"/>
                <w:b w:val="1"/>
                <w:bCs w:val="1"/>
                <w:color w:val="auto"/>
              </w:rPr>
              <w:t>(dollars in thousands)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3"/>
          </w:tcPr>
          <w:p>
            <w:pPr>
              <w:jc w:val="right"/>
              <w:ind w:right="37"/>
              <w:spacing w:after="0"/>
              <w:rPr>
                <w:sz w:val="20"/>
                <w:szCs w:val="20"/>
                <w:color w:val="auto"/>
              </w:rPr>
            </w:pPr>
            <w:r>
              <w:rPr>
                <w:rFonts w:ascii="Arial" w:cs="Arial" w:eastAsia="Arial" w:hAnsi="Arial"/>
                <w:sz w:val="12"/>
                <w:szCs w:val="12"/>
                <w:b w:val="1"/>
                <w:bCs w:val="1"/>
                <w:color w:val="auto"/>
              </w:rPr>
              <w:t>(dollars in thousands)</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expense, net</w:t>
            </w:r>
          </w:p>
        </w:tc>
        <w:tc>
          <w:tcPr>
            <w:tcW w:w="2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(881)</w:t>
            </w:r>
          </w:p>
        </w:tc>
        <w:tc>
          <w:tcPr>
            <w:tcW w:w="4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auto"/>
              </w:rPr>
              <w:t>(37)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  $</w:t>
            </w:r>
          </w:p>
        </w:tc>
        <w:tc>
          <w:tcPr>
            <w:tcW w:w="9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(943)</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(1,457)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514</w:t>
            </w:r>
          </w:p>
        </w:tc>
        <w:tc>
          <w:tcPr>
            <w:tcW w:w="7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Three Months Ended September 30, 2016 and 2015</w:t>
      </w:r>
    </w:p>
    <w:p>
      <w:pPr>
        <w:spacing w:after="0" w:line="135" w:lineRule="exact"/>
        <w:rPr>
          <w:sz w:val="20"/>
          <w:szCs w:val="20"/>
          <w:color w:val="auto"/>
        </w:rPr>
      </w:pPr>
    </w:p>
    <w:p>
      <w:pPr>
        <w:ind w:right="640" w:firstLine="354"/>
        <w:spacing w:after="0" w:line="280" w:lineRule="auto"/>
        <w:rPr>
          <w:sz w:val="20"/>
          <w:szCs w:val="20"/>
          <w:color w:val="auto"/>
        </w:rPr>
      </w:pPr>
      <w:r>
        <w:rPr>
          <w:rFonts w:ascii="Arial" w:cs="Arial" w:eastAsia="Arial" w:hAnsi="Arial"/>
          <w:sz w:val="15"/>
          <w:szCs w:val="15"/>
          <w:color w:val="auto"/>
        </w:rPr>
        <w:t>Other expense, net remained flat for three months ended September 30, 2016 versus the same period in 2015. Interest expense increased by $1.1 million due to increased borrowings, which was entirely offset by net gains associated with transactions denominated in Euros and the Australian Dollar.</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Nine Months Ended September 30, 2016 </w:t>
      </w:r>
      <w:r>
        <w:rPr>
          <w:rFonts w:ascii="Arial" w:cs="Arial" w:eastAsia="Arial" w:hAnsi="Arial"/>
          <w:sz w:val="15"/>
          <w:szCs w:val="15"/>
          <w:color w:val="auto"/>
        </w:rPr>
        <w:t>and</w:t>
      </w:r>
      <w:r>
        <w:rPr>
          <w:rFonts w:ascii="Arial" w:cs="Arial" w:eastAsia="Arial" w:hAnsi="Arial"/>
          <w:sz w:val="15"/>
          <w:szCs w:val="15"/>
          <w:i w:val="1"/>
          <w:iCs w:val="1"/>
          <w:color w:val="auto"/>
        </w:rPr>
        <w:t xml:space="preserve"> 2015</w:t>
      </w:r>
    </w:p>
    <w:p>
      <w:pPr>
        <w:spacing w:after="0" w:line="137" w:lineRule="exact"/>
        <w:rPr>
          <w:sz w:val="20"/>
          <w:szCs w:val="20"/>
          <w:color w:val="auto"/>
        </w:rPr>
      </w:pPr>
    </w:p>
    <w:p>
      <w:pPr>
        <w:ind w:right="440" w:firstLine="354"/>
        <w:spacing w:after="0" w:line="263" w:lineRule="auto"/>
        <w:rPr>
          <w:sz w:val="20"/>
          <w:szCs w:val="20"/>
          <w:color w:val="auto"/>
        </w:rPr>
      </w:pPr>
      <w:r>
        <w:rPr>
          <w:rFonts w:ascii="Arial" w:cs="Arial" w:eastAsia="Arial" w:hAnsi="Arial"/>
          <w:sz w:val="15"/>
          <w:szCs w:val="15"/>
          <w:color w:val="auto"/>
        </w:rPr>
        <w:t>Other expense, net decreased by $0.5 million for the nine months ended September 30, 2016 compared to the same period in 2015. The decrease was primarily attributable to a $1.8 million increase in net gains associated with transactions denominated in Euros and the Australian Dollar. This decrease was offset by a $1.3 million increase in interest expense resulting from increased borrowings.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95" w:lineRule="exact"/>
        <w:rPr>
          <w:sz w:val="20"/>
          <w:szCs w:val="20"/>
          <w:color w:val="auto"/>
        </w:rPr>
      </w:pPr>
    </w:p>
    <w:p>
      <w:pPr>
        <w:ind w:right="60" w:firstLine="354"/>
        <w:spacing w:after="0" w:line="263" w:lineRule="auto"/>
        <w:rPr>
          <w:sz w:val="20"/>
          <w:szCs w:val="20"/>
          <w:color w:val="auto"/>
        </w:rPr>
      </w:pPr>
      <w:r>
        <w:rPr>
          <w:rFonts w:ascii="Arial" w:cs="Arial" w:eastAsia="Arial" w:hAnsi="Arial"/>
          <w:sz w:val="15"/>
          <w:szCs w:val="15"/>
          <w:color w:val="auto"/>
        </w:rPr>
        <w:t>As of September 30, 2016, we had $ 24.1 million in cash and cash equivalents and working capital of $44.3 million. Cash and cash equivalents held in the United States were $19.5 million and consisted primarily of non-interest bearing checking deposits, with the remainder held in various foreign subsidiaries. We consider amounts held outside the U.S. to be accessible and have provided for the estimated U.S. income tax liability associated with our foreign earnings.</w:t>
      </w:r>
    </w:p>
    <w:p>
      <w:pPr>
        <w:spacing w:after="0" w:line="52" w:lineRule="exact"/>
        <w:rPr>
          <w:sz w:val="20"/>
          <w:szCs w:val="20"/>
          <w:color w:val="auto"/>
        </w:rPr>
      </w:pPr>
    </w:p>
    <w:p>
      <w:pPr>
        <w:ind w:right="20" w:firstLine="354"/>
        <w:spacing w:after="0" w:line="252" w:lineRule="auto"/>
        <w:rPr>
          <w:sz w:val="20"/>
          <w:szCs w:val="20"/>
          <w:color w:val="auto"/>
        </w:rPr>
      </w:pPr>
      <w:r>
        <w:rPr>
          <w:rFonts w:ascii="Arial" w:cs="Arial" w:eastAsia="Arial" w:hAnsi="Arial"/>
          <w:sz w:val="15"/>
          <w:szCs w:val="15"/>
          <w:color w:val="auto"/>
        </w:rPr>
        <w:t>During the quarter ended September 30, 2016, we took a number of actions to improve our liquidity. In July 2016, we entered into a $25.0 million term loan (described below) that provides for interest-only payments for the first twelve months. In addition, we implemented a restructuring initiative that included an 11% reduction in workforce and eliminated certain projects that did not have a near-term return on investment. In September 2016, we completed a public offering of 13,000,000 shares of our common stock at a price to public of $1.20 per share. Net proceeds realized were approximately $ 14.0 million after deducting underwriting fees and estimated offering costs. Additionally, in October 2016, the underwriter for the offering exercised in full the over-allotment option to purchase an additional 1,950,000 shares of our common stock, which generated additional net proceeds of approximately $2.2 million.</w:t>
      </w:r>
    </w:p>
    <w:p>
      <w:pPr>
        <w:spacing w:after="0" w:line="63" w:lineRule="exact"/>
        <w:rPr>
          <w:sz w:val="20"/>
          <w:szCs w:val="20"/>
          <w:color w:val="auto"/>
        </w:rPr>
      </w:pPr>
    </w:p>
    <w:p>
      <w:pPr>
        <w:ind w:right="140" w:firstLine="354"/>
        <w:spacing w:after="0" w:line="257" w:lineRule="auto"/>
        <w:rPr>
          <w:sz w:val="20"/>
          <w:szCs w:val="20"/>
          <w:color w:val="auto"/>
        </w:rPr>
      </w:pPr>
      <w:r>
        <w:rPr>
          <w:rFonts w:ascii="Arial" w:cs="Arial" w:eastAsia="Arial" w:hAnsi="Arial"/>
          <w:sz w:val="15"/>
          <w:szCs w:val="15"/>
          <w:color w:val="auto"/>
        </w:rPr>
        <w:t>Based on our current financial plan, we believe our cash on hand of $24.1 million as of September 30, 2016, our reduced cost structure as a result of our restructuring initiatives initiated in the third quarter of 2016 and borrowings expected to be available under our Revolver will enable us to fund our operations and satisfy our working capital needs, capital asset purchases, indebtedness payments and outstanding commitments for at least the next 12 months. If we are unable to meet our projected performance targets or manage our inventory levels 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60"/>
          </w:cols>
          <w:pgMar w:left="220" w:top="120"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3" w:lineRule="exact"/>
        <w:rPr>
          <w:sz w:val="20"/>
          <w:szCs w:val="20"/>
          <w:color w:val="auto"/>
        </w:rPr>
      </w:pPr>
    </w:p>
    <w:p>
      <w:pPr>
        <w:jc w:val="both"/>
        <w:ind w:right="140"/>
        <w:spacing w:after="0" w:line="263" w:lineRule="auto"/>
        <w:rPr>
          <w:sz w:val="20"/>
          <w:szCs w:val="20"/>
          <w:color w:val="auto"/>
        </w:rPr>
      </w:pPr>
      <w:r>
        <w:rPr>
          <w:rFonts w:ascii="Arial" w:cs="Arial" w:eastAsia="Arial" w:hAnsi="Arial"/>
          <w:sz w:val="15"/>
          <w:szCs w:val="15"/>
          <w:color w:val="auto"/>
        </w:rPr>
        <w:t>align with anticipated demand, our liquidity could be adversely impacted and we may need to seek additional sources of liquidity.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Revolving Credit Facility</w:t>
      </w:r>
    </w:p>
    <w:p>
      <w:pPr>
        <w:spacing w:after="0" w:line="91" w:lineRule="exact"/>
        <w:rPr>
          <w:sz w:val="20"/>
          <w:szCs w:val="20"/>
          <w:color w:val="auto"/>
        </w:rPr>
      </w:pPr>
    </w:p>
    <w:p>
      <w:pPr>
        <w:ind w:firstLine="354"/>
        <w:spacing w:after="0" w:line="290" w:lineRule="auto"/>
        <w:rPr>
          <w:sz w:val="20"/>
          <w:szCs w:val="20"/>
          <w:color w:val="auto"/>
        </w:rPr>
      </w:pPr>
      <w:r>
        <w:rPr>
          <w:rFonts w:ascii="Arial" w:cs="Arial" w:eastAsia="Arial" w:hAnsi="Arial"/>
          <w:sz w:val="14"/>
          <w:szCs w:val="14"/>
          <w:color w:val="auto"/>
        </w:rPr>
        <w:t>We maintain a $50.0 million revolving credit facility with Wells Fargo Bank, N.A. (“Wells Fargo”) that was entered into in November 2012, as first amended on February 14, 2014. On December 18, 2015, we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w:t>
      </w:r>
    </w:p>
    <w:p>
      <w:pPr>
        <w:spacing w:after="0" w:line="35" w:lineRule="exact"/>
        <w:rPr>
          <w:sz w:val="20"/>
          <w:szCs w:val="20"/>
          <w:color w:val="auto"/>
        </w:rPr>
      </w:pPr>
    </w:p>
    <w:p>
      <w:pPr>
        <w:ind w:firstLine="354"/>
        <w:spacing w:after="0" w:line="281" w:lineRule="auto"/>
        <w:rPr>
          <w:sz w:val="20"/>
          <w:szCs w:val="20"/>
          <w:color w:val="auto"/>
        </w:rPr>
      </w:pPr>
      <w:r>
        <w:rPr>
          <w:rFonts w:ascii="Arial" w:cs="Arial" w:eastAsia="Arial" w:hAnsi="Arial"/>
          <w:sz w:val="14"/>
          <w:szCs w:val="14"/>
          <w:color w:val="auto"/>
        </w:rPr>
        <w:t>Availability under the Revolver is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our option, either LIBOR or a “base rate” that is comprised of, among other things, the prime rate, plus a margin that is between 1.0% and 3.75% depending on the currency borrowed and the specific term of repayment. The Revolver requires us to pay a commitment fee between 0.25% and 0.375% based on the average daily unused portion of the revolving credit commitment.</w:t>
      </w:r>
    </w:p>
    <w:p>
      <w:pPr>
        <w:spacing w:after="0" w:line="86" w:lineRule="exact"/>
        <w:rPr>
          <w:sz w:val="20"/>
          <w:szCs w:val="20"/>
          <w:color w:val="auto"/>
        </w:rPr>
      </w:pPr>
    </w:p>
    <w:p>
      <w:pPr>
        <w:ind w:right="120" w:firstLine="354"/>
        <w:spacing w:after="0" w:line="252" w:lineRule="auto"/>
        <w:rPr>
          <w:sz w:val="20"/>
          <w:szCs w:val="20"/>
          <w:color w:val="auto"/>
        </w:rPr>
      </w:pPr>
      <w:r>
        <w:rPr>
          <w:rFonts w:ascii="Arial" w:cs="Arial" w:eastAsia="Arial" w:hAnsi="Arial"/>
          <w:sz w:val="15"/>
          <w:szCs w:val="15"/>
          <w:color w:val="auto"/>
        </w:rPr>
        <w:t>The Revolver is secured by a first-priority security interest on substantially all our assets other than intellectual property and contains customary affirmative and negative covenants (including restrictions on our ability to make dividend payments) and events of default. In addition, the Revolver requires us to maintain at least $ 15.0 million of liquidity at all times, consisting of cash on hand and undrawn availability under the Revolver (defined as borrowing base less outstanding borrowings under the Revolver) of at least $5.0 million. In July 2016, we entered into an amendment to the Revolver with Wells Fargo. The amendment, among other things, allowed us to incur indebtedness related to the term loan described below and increased the amount of undrawn availability that must be maintained as part of the Revolver’s $15.0 million minimum liquidity covenant from $5.0 million to $12.5 million. We were in compliance with such covenants as of September 30, 2016.</w:t>
      </w:r>
    </w:p>
    <w:p>
      <w:pPr>
        <w:spacing w:after="0" w:line="129" w:lineRule="exact"/>
        <w:rPr>
          <w:sz w:val="20"/>
          <w:szCs w:val="20"/>
          <w:color w:val="auto"/>
        </w:rPr>
      </w:pPr>
    </w:p>
    <w:p>
      <w:pPr>
        <w:ind w:right="360" w:firstLine="354"/>
        <w:spacing w:after="0" w:line="344" w:lineRule="auto"/>
        <w:rPr>
          <w:sz w:val="20"/>
          <w:szCs w:val="20"/>
          <w:color w:val="auto"/>
        </w:rPr>
      </w:pPr>
      <w:r>
        <w:rPr>
          <w:rFonts w:ascii="Arial" w:cs="Arial" w:eastAsia="Arial" w:hAnsi="Arial"/>
          <w:sz w:val="14"/>
          <w:szCs w:val="14"/>
          <w:color w:val="auto"/>
        </w:rPr>
        <w:t xml:space="preserve">As of September 30, 2016, outstanding borrowings under the Revolver were $12.5 million. Based upon our eligible borrowing base, net of the restrictions concerning minimum liquidity requirement, we could </w:t>
      </w:r>
      <w:r>
        <w:rPr>
          <w:rFonts w:ascii="Times New Roman" w:cs="Times New Roman" w:eastAsia="Times New Roman" w:hAnsi="Times New Roman"/>
          <w:sz w:val="16"/>
          <w:szCs w:val="16"/>
          <w:color w:val="auto"/>
        </w:rPr>
        <w:t>ha</w:t>
      </w:r>
      <w:r>
        <w:rPr>
          <w:rFonts w:ascii="Arial" w:cs="Arial" w:eastAsia="Arial" w:hAnsi="Arial"/>
          <w:sz w:val="14"/>
          <w:szCs w:val="14"/>
          <w:color w:val="auto"/>
        </w:rPr>
        <w:t>ve borrowed an additional $8.8 million. The weighted-average interest rate related to the outstanding balance was 5.0%.</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w:t>
      </w:r>
    </w:p>
    <w:p>
      <w:pPr>
        <w:spacing w:after="0" w:line="135" w:lineRule="exact"/>
        <w:rPr>
          <w:sz w:val="20"/>
          <w:szCs w:val="20"/>
          <w:color w:val="auto"/>
        </w:rPr>
      </w:pPr>
    </w:p>
    <w:p>
      <w:pPr>
        <w:jc w:val="both"/>
        <w:ind w:right="60" w:firstLine="354"/>
        <w:spacing w:after="0" w:line="263" w:lineRule="auto"/>
        <w:rPr>
          <w:sz w:val="20"/>
          <w:szCs w:val="20"/>
          <w:color w:val="auto"/>
        </w:rPr>
      </w:pPr>
      <w:r>
        <w:rPr>
          <w:rFonts w:ascii="Arial" w:cs="Arial" w:eastAsia="Arial" w:hAnsi="Arial"/>
          <w:sz w:val="15"/>
          <w:szCs w:val="15"/>
          <w:color w:val="auto"/>
        </w:rPr>
        <w:t>In July 2016, we entered into a loan and security agreement (the “Term Loan Agreement”) with lenders that are affiliates of Tennenbaum Capital Partners, LLC. Under the agreement, the lenders committed to advance a term loan in an aggregate principal amount of up to $25.0 million with a maturity date of July 1, 2020. We borrowed the entire $25.0 million of term loan commitments on the loan closing date. We expect to use the proceeds for general corporate purposes.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Monthly payments due through June 30, 2017 are interest only, followed by consecutive equal monthly payments of principal plus accrued interest beginning on July 1,</w:t>
      </w:r>
    </w:p>
    <w:p>
      <w:pPr>
        <w:spacing w:after="0" w:line="22"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2017 and continuing through the maturity date. The term loan provides for an interest rate per annum equal to the higher of (i) 10.25% or (ii) LIBOR plus 9.5625%, subject to a 1.0% reduction if we achieve minimum levels of Revenue and EBITDA (each as defined in the Term Loan Agreement) for the twelve consecutive month period ending June 30, 2017 as set forth in the Term Loan Agreement. In addition, we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108" w:lineRule="exact"/>
        <w:rPr>
          <w:sz w:val="20"/>
          <w:szCs w:val="20"/>
          <w:color w:val="auto"/>
        </w:rPr>
      </w:pPr>
    </w:p>
    <w:p>
      <w:pPr>
        <w:ind w:right="80" w:firstLine="354"/>
        <w:spacing w:after="0" w:line="277" w:lineRule="auto"/>
        <w:rPr>
          <w:sz w:val="20"/>
          <w:szCs w:val="20"/>
          <w:color w:val="auto"/>
        </w:rPr>
      </w:pPr>
      <w:r>
        <w:rPr>
          <w:rFonts w:ascii="Arial" w:cs="Arial" w:eastAsia="Arial" w:hAnsi="Arial"/>
          <w:sz w:val="14"/>
          <w:szCs w:val="14"/>
          <w:color w:val="auto"/>
        </w:rPr>
        <w:t>The term loan is secured by a second-priority security interest on substantially all our assets except intellectual property. The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40"/>
          </w:cols>
          <w:pgMar w:left="220" w:top="120" w:right="23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our cash flows for the periods indicated:</w:t>
      </w:r>
    </w:p>
    <w:p>
      <w:pPr>
        <w:spacing w:after="0" w:line="276" w:lineRule="exact"/>
        <w:rPr>
          <w:sz w:val="20"/>
          <w:szCs w:val="20"/>
          <w:color w:val="auto"/>
        </w:rPr>
      </w:pPr>
    </w:p>
    <w:p>
      <w:pPr>
        <w:jc w:val="center"/>
        <w:ind w:left="8400"/>
        <w:spacing w:after="0"/>
        <w:rPr>
          <w:sz w:val="20"/>
          <w:szCs w:val="20"/>
          <w:color w:val="auto"/>
        </w:rPr>
      </w:pPr>
      <w:r>
        <w:rPr>
          <w:rFonts w:ascii="Arial" w:cs="Arial" w:eastAsia="Arial" w:hAnsi="Arial"/>
          <w:sz w:val="12"/>
          <w:szCs w:val="12"/>
          <w:b w:val="1"/>
          <w:bCs w:val="1"/>
          <w:color w:val="auto"/>
        </w:rPr>
        <w:t>Nine Months Ended</w:t>
      </w:r>
    </w:p>
    <w:p>
      <w:pPr>
        <w:spacing w:after="0" w:line="11" w:lineRule="exact"/>
        <w:rPr>
          <w:sz w:val="20"/>
          <w:szCs w:val="20"/>
          <w:color w:val="auto"/>
        </w:rPr>
      </w:pPr>
    </w:p>
    <w:p>
      <w:pPr>
        <w:jc w:val="center"/>
        <w:ind w:left="8400"/>
        <w:spacing w:after="0"/>
        <w:rPr>
          <w:sz w:val="20"/>
          <w:szCs w:val="20"/>
          <w:color w:val="auto"/>
        </w:rPr>
      </w:pPr>
      <w:r>
        <w:rPr>
          <w:rFonts w:ascii="Arial" w:cs="Arial" w:eastAsia="Arial" w:hAnsi="Arial"/>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8255</wp:posOffset>
            </wp:positionV>
            <wp:extent cx="19583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8340" cy="698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2015</w:t>
            </w:r>
          </w:p>
        </w:tc>
      </w:tr>
      <w:tr>
        <w:trPr>
          <w:trHeight w:val="201"/>
        </w:trPr>
        <w:tc>
          <w:tcPr>
            <w:tcW w:w="8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right"/>
              <w:ind w:right="46"/>
              <w:spacing w:after="0"/>
              <w:rPr>
                <w:sz w:val="20"/>
                <w:szCs w:val="20"/>
                <w:color w:val="auto"/>
              </w:rPr>
            </w:pPr>
            <w:r>
              <w:rPr>
                <w:rFonts w:ascii="Arial" w:cs="Arial" w:eastAsia="Arial" w:hAnsi="Arial"/>
                <w:sz w:val="12"/>
                <w:szCs w:val="12"/>
                <w:b w:val="1"/>
                <w:bCs w:val="1"/>
                <w:color w:val="auto"/>
              </w:rPr>
              <w:t>(In thousands)</w:t>
            </w:r>
          </w:p>
        </w:tc>
        <w:tc>
          <w:tcPr>
            <w:tcW w:w="1000" w:type="dxa"/>
            <w:vAlign w:val="bottom"/>
          </w:tcPr>
          <w:p>
            <w:pPr>
              <w:spacing w:after="0"/>
              <w:rPr>
                <w:sz w:val="17"/>
                <w:szCs w:val="17"/>
                <w:color w:val="auto"/>
              </w:rPr>
            </w:pPr>
          </w:p>
        </w:tc>
      </w:tr>
      <w:tr>
        <w:trPr>
          <w:trHeight w:val="201"/>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used in operating activities</w:t>
            </w:r>
          </w:p>
        </w:tc>
        <w:tc>
          <w:tcPr>
            <w:tcW w:w="88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5"/>
                <w:szCs w:val="15"/>
                <w:color w:val="auto"/>
                <w:w w:val="93"/>
              </w:rPr>
              <w:t>(28,588)</w:t>
            </w:r>
          </w:p>
        </w:tc>
        <w:tc>
          <w:tcPr>
            <w:tcW w:w="56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(29,309)</w:t>
            </w:r>
          </w:p>
        </w:tc>
      </w:tr>
      <w:tr>
        <w:trPr>
          <w:trHeight w:val="201"/>
        </w:trPr>
        <w:tc>
          <w:tcPr>
            <w:tcW w:w="838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880" w:type="dxa"/>
            <w:vAlign w:val="bottom"/>
          </w:tcPr>
          <w:p>
            <w:pPr>
              <w:spacing w:after="0"/>
              <w:rPr>
                <w:sz w:val="17"/>
                <w:szCs w:val="17"/>
                <w:color w:val="auto"/>
              </w:rPr>
            </w:pPr>
          </w:p>
        </w:tc>
        <w:tc>
          <w:tcPr>
            <w:tcW w:w="640" w:type="dxa"/>
            <w:vAlign w:val="bottom"/>
          </w:tcPr>
          <w:p>
            <w:pPr>
              <w:jc w:val="right"/>
              <w:ind w:right="29"/>
              <w:spacing w:after="0"/>
              <w:rPr>
                <w:sz w:val="20"/>
                <w:szCs w:val="20"/>
                <w:color w:val="auto"/>
              </w:rPr>
            </w:pPr>
            <w:r>
              <w:rPr>
                <w:rFonts w:ascii="Arial" w:cs="Arial" w:eastAsia="Arial" w:hAnsi="Arial"/>
                <w:sz w:val="15"/>
                <w:szCs w:val="15"/>
                <w:color w:val="auto"/>
                <w:w w:val="93"/>
              </w:rPr>
              <w:t>(10,285)</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(9,682)</w:t>
            </w:r>
          </w:p>
        </w:tc>
      </w:tr>
      <w:tr>
        <w:trPr>
          <w:trHeight w:val="20"/>
        </w:trPr>
        <w:tc>
          <w:tcPr>
            <w:tcW w:w="8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34,640</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19,866</w:t>
            </w:r>
          </w:p>
        </w:tc>
      </w:tr>
      <w:tr>
        <w:trPr>
          <w:trHeight w:val="201"/>
        </w:trPr>
        <w:tc>
          <w:tcPr>
            <w:tcW w:w="8380" w:type="dxa"/>
            <w:vAlign w:val="bottom"/>
          </w:tcPr>
          <w:p>
            <w:pPr>
              <w:ind w:left="40"/>
              <w:spacing w:after="0"/>
              <w:rPr>
                <w:sz w:val="20"/>
                <w:szCs w:val="20"/>
                <w:color w:val="auto"/>
              </w:rPr>
            </w:pPr>
            <w:r>
              <w:rPr>
                <w:rFonts w:ascii="Arial" w:cs="Arial" w:eastAsia="Arial" w:hAnsi="Arial"/>
                <w:sz w:val="15"/>
                <w:szCs w:val="15"/>
                <w:color w:val="auto"/>
              </w:rPr>
              <w:t>Effect of exchange rate changes on cash</w:t>
            </w:r>
          </w:p>
        </w:tc>
        <w:tc>
          <w:tcPr>
            <w:tcW w:w="880" w:type="dxa"/>
            <w:vAlign w:val="bottom"/>
          </w:tcPr>
          <w:p>
            <w:pPr>
              <w:spacing w:after="0"/>
              <w:rPr>
                <w:sz w:val="17"/>
                <w:szCs w:val="17"/>
                <w:color w:val="auto"/>
              </w:rPr>
            </w:pPr>
          </w:p>
        </w:tc>
        <w:tc>
          <w:tcPr>
            <w:tcW w:w="640" w:type="dxa"/>
            <w:vAlign w:val="bottom"/>
          </w:tcPr>
          <w:p>
            <w:pPr>
              <w:jc w:val="right"/>
              <w:ind w:right="29"/>
              <w:spacing w:after="0"/>
              <w:rPr>
                <w:sz w:val="20"/>
                <w:szCs w:val="20"/>
                <w:color w:val="auto"/>
              </w:rPr>
            </w:pPr>
            <w:r>
              <w:rPr>
                <w:rFonts w:ascii="Arial" w:cs="Arial" w:eastAsia="Arial" w:hAnsi="Arial"/>
                <w:sz w:val="15"/>
                <w:szCs w:val="15"/>
                <w:color w:val="auto"/>
              </w:rPr>
              <w:t>(107)</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(416)</w:t>
            </w:r>
          </w:p>
        </w:tc>
      </w:tr>
      <w:tr>
        <w:trPr>
          <w:trHeight w:val="20"/>
        </w:trPr>
        <w:tc>
          <w:tcPr>
            <w:tcW w:w="8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1"/>
        </w:trPr>
        <w:tc>
          <w:tcPr>
            <w:tcW w:w="83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 cash and cash equivalents</w:t>
            </w: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(4,340)</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(19,541)</w:t>
            </w:r>
          </w:p>
        </w:tc>
      </w:tr>
      <w:tr>
        <w:trPr>
          <w:trHeight w:val="20"/>
        </w:trPr>
        <w:tc>
          <w:tcPr>
            <w:tcW w:w="83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37" w:lineRule="exact"/>
        <w:rPr>
          <w:sz w:val="20"/>
          <w:szCs w:val="20"/>
          <w:color w:val="auto"/>
        </w:rPr>
      </w:pPr>
    </w:p>
    <w:p>
      <w:pPr>
        <w:ind w:right="40" w:firstLine="354"/>
        <w:spacing w:after="0" w:line="263" w:lineRule="auto"/>
        <w:rPr>
          <w:sz w:val="20"/>
          <w:szCs w:val="20"/>
          <w:color w:val="auto"/>
        </w:rPr>
      </w:pPr>
      <w:r>
        <w:rPr>
          <w:rFonts w:ascii="Arial" w:cs="Arial" w:eastAsia="Arial" w:hAnsi="Arial"/>
          <w:sz w:val="15"/>
          <w:szCs w:val="15"/>
          <w:color w:val="auto"/>
        </w:rPr>
        <w:t>For the nine months ended September 30, 2016, net cash used in operating activities of $28.6 million was primarily attributable to a net loss of $54.3 million offset by non-cash charges of $21.0 million and net cash inflows from changes in operating assets and liabilities of $4.7 million. Non-cash charges included $8.2 million of stock-based compensation, $8.0 million of depreciation and amortization, $3.2 million provision for doubtful accounts and $1.4 million in asset impairment charges.</w:t>
      </w:r>
    </w:p>
    <w:p>
      <w:pPr>
        <w:spacing w:after="0" w:line="96" w:lineRule="exact"/>
        <w:rPr>
          <w:sz w:val="20"/>
          <w:szCs w:val="20"/>
          <w:color w:val="auto"/>
        </w:rPr>
      </w:pPr>
    </w:p>
    <w:p>
      <w:pPr>
        <w:ind w:right="20" w:firstLine="354"/>
        <w:spacing w:after="0" w:line="277" w:lineRule="auto"/>
        <w:rPr>
          <w:sz w:val="20"/>
          <w:szCs w:val="20"/>
          <w:color w:val="auto"/>
        </w:rPr>
      </w:pPr>
      <w:r>
        <w:rPr>
          <w:rFonts w:ascii="Arial" w:cs="Arial" w:eastAsia="Arial" w:hAnsi="Arial"/>
          <w:sz w:val="14"/>
          <w:szCs w:val="14"/>
          <w:color w:val="auto"/>
        </w:rPr>
        <w:t>The primary driver of cash inflows from changes in operating assets and liabilities was a $14.9 million increase in accounts payable, accrued and other liabilities resulting from timing of vendor payments. Also contributing to cash inflows was an increase in deferred revenue related to our cloud-based monitoring service of $8.7 million and a decrease in inventory of $1.7 million, which was attributable to improved working capital management. Cash outflows from changes in operating assets and liabilities included a $16.6 million increase in accounts receivable as a result of higher sales in the third quarter of 2016 compared to the fourth quarter of 2015, a $3.9 million increase in prepaid expenses and other assets attributable to deferral of costs for certain sales arrangements with extended payment terms and a $0.2 million decrease to warranty obligations.</w:t>
      </w:r>
    </w:p>
    <w:p>
      <w:pPr>
        <w:spacing w:after="0" w:line="88" w:lineRule="exact"/>
        <w:rPr>
          <w:sz w:val="20"/>
          <w:szCs w:val="20"/>
          <w:color w:val="auto"/>
        </w:rPr>
      </w:pPr>
    </w:p>
    <w:p>
      <w:pPr>
        <w:ind w:right="20" w:firstLine="354"/>
        <w:spacing w:after="0" w:line="277" w:lineRule="auto"/>
        <w:rPr>
          <w:sz w:val="20"/>
          <w:szCs w:val="20"/>
          <w:color w:val="auto"/>
        </w:rPr>
      </w:pPr>
      <w:r>
        <w:rPr>
          <w:rFonts w:ascii="Arial" w:cs="Arial" w:eastAsia="Arial" w:hAnsi="Arial"/>
          <w:sz w:val="14"/>
          <w:szCs w:val="14"/>
          <w:color w:val="auto"/>
        </w:rPr>
        <w:t>For the nine months ended September 30, 2015, net cash used in operating activities of $29.3 million was primarily attributable to a net loss of $6.3 million, net changes in our operating assets and liabilities of $39.6 million, offset by non-cash charges of $16.6 million primarily consisting of stock-based compensation and depreciation and amortization. Cash used for operating assets and liabilities included a $30.5 million increase in accounts receivable. Other changes in operating assets and liabilities that used cash included a $15.1 million increase in inventory, a $5.0 million increase in other assets and a $1.1 million decrease in warranty obligations. Cash provided by changes in operating assets and liabilities included a $5.0 million increase in accounts payable, accrued and other liabilities and a $7.2 million increase in deferred revenue.</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37" w:lineRule="exact"/>
        <w:rPr>
          <w:sz w:val="20"/>
          <w:szCs w:val="20"/>
          <w:color w:val="auto"/>
        </w:rPr>
      </w:pPr>
    </w:p>
    <w:p>
      <w:pPr>
        <w:ind w:right="160" w:firstLine="354"/>
        <w:spacing w:after="0" w:line="280" w:lineRule="auto"/>
        <w:rPr>
          <w:sz w:val="20"/>
          <w:szCs w:val="20"/>
          <w:color w:val="auto"/>
        </w:rPr>
      </w:pPr>
      <w:r>
        <w:rPr>
          <w:rFonts w:ascii="Arial" w:cs="Arial" w:eastAsia="Arial" w:hAnsi="Arial"/>
          <w:sz w:val="15"/>
          <w:szCs w:val="15"/>
          <w:color w:val="auto"/>
        </w:rPr>
        <w:t>For the nine months ended September 30, 2016, net cash used in investing activities of $10.3 million primarily resulted from purchases of test and assembly equipment, capitalized costs related to internal-use software and license fees for certain technology related to ASIC development.</w:t>
      </w:r>
    </w:p>
    <w:p>
      <w:pPr>
        <w:spacing w:after="0" w:line="84" w:lineRule="exact"/>
        <w:rPr>
          <w:sz w:val="20"/>
          <w:szCs w:val="20"/>
          <w:color w:val="auto"/>
        </w:rPr>
      </w:pPr>
    </w:p>
    <w:p>
      <w:pPr>
        <w:ind w:firstLine="354"/>
        <w:spacing w:after="0" w:line="280" w:lineRule="auto"/>
        <w:rPr>
          <w:sz w:val="20"/>
          <w:szCs w:val="20"/>
          <w:color w:val="auto"/>
        </w:rPr>
      </w:pPr>
      <w:r>
        <w:rPr>
          <w:rFonts w:ascii="Arial" w:cs="Arial" w:eastAsia="Arial" w:hAnsi="Arial"/>
          <w:sz w:val="15"/>
          <w:szCs w:val="15"/>
          <w:color w:val="auto"/>
        </w:rPr>
        <w:t>For the nine months ended September 30, 2015, net cash used in investing activities of $9.7 million primarily resulted from purchases of test and assembly equipment and capitalized costs related to internal-use software.</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37" w:lineRule="exact"/>
        <w:rPr>
          <w:sz w:val="20"/>
          <w:szCs w:val="20"/>
          <w:color w:val="auto"/>
        </w:rPr>
      </w:pPr>
    </w:p>
    <w:p>
      <w:pPr>
        <w:ind w:right="220" w:firstLine="354"/>
        <w:spacing w:after="0" w:line="263" w:lineRule="auto"/>
        <w:rPr>
          <w:sz w:val="20"/>
          <w:szCs w:val="20"/>
          <w:color w:val="auto"/>
        </w:rPr>
      </w:pPr>
      <w:r>
        <w:rPr>
          <w:rFonts w:ascii="Arial" w:cs="Arial" w:eastAsia="Arial" w:hAnsi="Arial"/>
          <w:sz w:val="15"/>
          <w:szCs w:val="15"/>
          <w:color w:val="auto"/>
        </w:rPr>
        <w:t>For the nine months ended September 30, 2016, net cash provided by financing activities of $34.6 million consisted of net proceeds from our term loan of $ 23.9 million, net public equity offering proceeds of $14.4 million and proceeds received from the issuance of common stock under employee stock plans of $0.9 million, offset by the net repayment of our revolving credit facility of $4.6 million.</w:t>
      </w:r>
    </w:p>
    <w:p>
      <w:pPr>
        <w:spacing w:after="0" w:line="96" w:lineRule="exact"/>
        <w:rPr>
          <w:sz w:val="20"/>
          <w:szCs w:val="20"/>
          <w:color w:val="auto"/>
        </w:rPr>
      </w:pPr>
    </w:p>
    <w:p>
      <w:pPr>
        <w:ind w:right="500" w:firstLine="354"/>
        <w:spacing w:after="0" w:line="280" w:lineRule="auto"/>
        <w:rPr>
          <w:sz w:val="20"/>
          <w:szCs w:val="20"/>
          <w:color w:val="auto"/>
        </w:rPr>
      </w:pPr>
      <w:r>
        <w:rPr>
          <w:rFonts w:ascii="Arial" w:cs="Arial" w:eastAsia="Arial" w:hAnsi="Arial"/>
          <w:sz w:val="15"/>
          <w:szCs w:val="15"/>
          <w:color w:val="auto"/>
        </w:rPr>
        <w:t>For the nine months ended September 30, 2015, net cash provided by financing activities was $19.9 million, consisting of $17.0 million in net borrowings under our Revolver and $2.9 million in proceeds received from the issuance of common stock under employee stock plans.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60"/>
          </w:cols>
          <w:pgMar w:left="220" w:top="120"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our outstanding contractual obligations as of September 30,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8"/>
              </w:rPr>
              <w:t>Payments Due by Period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1"/>
        </w:trPr>
        <w:tc>
          <w:tcPr>
            <w:tcW w:w="4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7"/>
              </w:rPr>
              <w:t>Less Than 1 Year</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1-3 Years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4-5 Years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w w:val="95"/>
              </w:rPr>
              <w:t>More Than 5 Years</w:t>
            </w:r>
          </w:p>
        </w:tc>
      </w:tr>
      <w:tr>
        <w:trPr>
          <w:trHeight w:val="201"/>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4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leases</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16,267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2,619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5,464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5,231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2,953</w:t>
            </w:r>
          </w:p>
        </w:tc>
      </w:tr>
      <w:tr>
        <w:trPr>
          <w:trHeight w:val="216"/>
        </w:trPr>
        <w:tc>
          <w:tcPr>
            <w:tcW w:w="4700" w:type="dxa"/>
            <w:vAlign w:val="bottom"/>
          </w:tcPr>
          <w:p>
            <w:pPr>
              <w:ind w:left="40"/>
              <w:spacing w:after="0"/>
              <w:rPr>
                <w:sz w:val="20"/>
                <w:szCs w:val="20"/>
                <w:color w:val="auto"/>
              </w:rPr>
            </w:pPr>
            <w:r>
              <w:rPr>
                <w:rFonts w:ascii="Arial" w:cs="Arial" w:eastAsia="Arial" w:hAnsi="Arial"/>
                <w:sz w:val="15"/>
                <w:szCs w:val="15"/>
                <w:color w:val="auto"/>
              </w:rPr>
              <w:t>Revolving credit facility (1)</w:t>
            </w:r>
          </w:p>
        </w:tc>
        <w:tc>
          <w:tcPr>
            <w:tcW w:w="3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12,450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5"/>
                <w:szCs w:val="15"/>
                <w:color w:val="auto"/>
              </w:rPr>
              <w:t>12,450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26"/>
        </w:trPr>
        <w:tc>
          <w:tcPr>
            <w:tcW w:w="4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Term loan</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25,000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16,075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7,728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01"/>
        </w:trPr>
        <w:tc>
          <w:tcPr>
            <w:tcW w:w="4700" w:type="dxa"/>
            <w:vAlign w:val="bottom"/>
          </w:tcPr>
          <w:p>
            <w:pPr>
              <w:ind w:left="40"/>
              <w:spacing w:after="0"/>
              <w:rPr>
                <w:sz w:val="20"/>
                <w:szCs w:val="20"/>
                <w:color w:val="auto"/>
              </w:rPr>
            </w:pPr>
            <w:r>
              <w:rPr>
                <w:rFonts w:ascii="Arial" w:cs="Arial" w:eastAsia="Arial" w:hAnsi="Arial"/>
                <w:sz w:val="15"/>
                <w:szCs w:val="15"/>
                <w:color w:val="auto"/>
              </w:rPr>
              <w:t>Interest and fees related to term loan</w:t>
            </w:r>
          </w:p>
        </w:tc>
        <w:tc>
          <w:tcPr>
            <w:tcW w:w="3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8,933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5"/>
                <w:szCs w:val="15"/>
                <w:color w:val="auto"/>
              </w:rPr>
              <w:t>3,182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4,607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1,144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5"/>
                <w:szCs w:val="15"/>
                <w:color w:val="auto"/>
              </w:rPr>
              <w:t>—</w:t>
            </w:r>
          </w:p>
        </w:tc>
      </w:tr>
      <w:tr>
        <w:trPr>
          <w:trHeight w:val="20"/>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Purchase obligations (2)</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39,612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37,525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rPr>
              <w:t>2,087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rPr>
              <w:t>—</w:t>
            </w:r>
          </w:p>
        </w:tc>
      </w:tr>
      <w:tr>
        <w:trPr>
          <w:trHeight w:val="206"/>
        </w:trPr>
        <w:tc>
          <w:tcPr>
            <w:tcW w:w="4700" w:type="dxa"/>
            <w:vAlign w:val="bottom"/>
          </w:tcPr>
          <w:p>
            <w:pPr>
              <w:ind w:left="40"/>
              <w:spacing w:after="0"/>
              <w:rPr>
                <w:sz w:val="20"/>
                <w:szCs w:val="20"/>
                <w:color w:val="auto"/>
              </w:rPr>
            </w:pPr>
            <w:r>
              <w:rPr>
                <w:rFonts w:ascii="Arial" w:cs="Arial" w:eastAsia="Arial" w:hAnsi="Arial"/>
                <w:sz w:val="15"/>
                <w:szCs w:val="15"/>
                <w:color w:val="auto"/>
              </w:rPr>
              <w:t>Total</w:t>
            </w:r>
          </w:p>
        </w:tc>
        <w:tc>
          <w:tcPr>
            <w:tcW w:w="3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8"/>
              <w:spacing w:after="0"/>
              <w:rPr>
                <w:sz w:val="20"/>
                <w:szCs w:val="20"/>
                <w:color w:val="auto"/>
              </w:rPr>
            </w:pPr>
            <w:r>
              <w:rPr>
                <w:rFonts w:ascii="Arial" w:cs="Arial" w:eastAsia="Arial" w:hAnsi="Arial"/>
                <w:sz w:val="15"/>
                <w:szCs w:val="15"/>
                <w:color w:val="auto"/>
              </w:rPr>
              <w:t>102,262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8"/>
              <w:spacing w:after="0"/>
              <w:rPr>
                <w:sz w:val="20"/>
                <w:szCs w:val="20"/>
                <w:color w:val="auto"/>
              </w:rPr>
            </w:pPr>
            <w:r>
              <w:rPr>
                <w:rFonts w:ascii="Arial" w:cs="Arial" w:eastAsia="Arial" w:hAnsi="Arial"/>
                <w:sz w:val="15"/>
                <w:szCs w:val="15"/>
                <w:color w:val="auto"/>
              </w:rPr>
              <w:t>56,973</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30"/>
              <w:spacing w:after="0"/>
              <w:rPr>
                <w:sz w:val="20"/>
                <w:szCs w:val="20"/>
                <w:color w:val="auto"/>
              </w:rPr>
            </w:pPr>
            <w:r>
              <w:rPr>
                <w:rFonts w:ascii="Arial" w:cs="Arial" w:eastAsia="Arial" w:hAnsi="Arial"/>
                <w:sz w:val="15"/>
                <w:szCs w:val="15"/>
                <w:color w:val="auto"/>
              </w:rPr>
              <w:t>28,233</w:t>
            </w:r>
          </w:p>
        </w:tc>
        <w:tc>
          <w:tcPr>
            <w:tcW w:w="12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8"/>
              <w:spacing w:after="0"/>
              <w:rPr>
                <w:sz w:val="20"/>
                <w:szCs w:val="20"/>
                <w:color w:val="auto"/>
              </w:rPr>
            </w:pPr>
            <w:r>
              <w:rPr>
                <w:rFonts w:ascii="Arial" w:cs="Arial" w:eastAsia="Arial" w:hAnsi="Arial"/>
                <w:sz w:val="15"/>
                <w:szCs w:val="15"/>
                <w:color w:val="auto"/>
              </w:rPr>
              <w:t>14,103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8"/>
              <w:spacing w:after="0"/>
              <w:rPr>
                <w:sz w:val="20"/>
                <w:szCs w:val="20"/>
                <w:color w:val="auto"/>
              </w:rPr>
            </w:pPr>
            <w:r>
              <w:rPr>
                <w:rFonts w:ascii="Arial" w:cs="Arial" w:eastAsia="Arial" w:hAnsi="Arial"/>
                <w:sz w:val="15"/>
                <w:szCs w:val="15"/>
                <w:color w:val="auto"/>
              </w:rPr>
              <w:t>2,953</w:t>
            </w: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40" w:hanging="266"/>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Because borrowings outstanding under our revolving credit facility can fluctuate, interest payments have been excluded from this table.</w:t>
      </w:r>
    </w:p>
    <w:p>
      <w:pPr>
        <w:spacing w:after="0" w:line="92" w:lineRule="exact"/>
        <w:rPr>
          <w:rFonts w:ascii="Arial" w:cs="Arial" w:eastAsia="Arial" w:hAnsi="Arial"/>
          <w:sz w:val="15"/>
          <w:szCs w:val="15"/>
          <w:color w:val="auto"/>
        </w:rPr>
      </w:pPr>
    </w:p>
    <w:p>
      <w:pPr>
        <w:ind w:left="540" w:right="80" w:hanging="266"/>
        <w:spacing w:after="0" w:line="257"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Purchase obligations include amounts related to component inventory that our primary contract manufacturer procures on our behalf in accordance with our production forecast and a take-or-pay supply agreement for the purchase of silicone encapsulates that expires on December 31, 2018. The timing of purchases in future periods could differ materially from estimates presented above due to fluctuations in demand requirements related to varying sales levels as well as changes in economic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September 30, 2016, we did not have any off-balance sheet arrangements, as defined in Item 303(a)(4)(ii) of SEC Regulation S-K.</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139" w:lineRule="exact"/>
        <w:rPr>
          <w:sz w:val="20"/>
          <w:szCs w:val="20"/>
          <w:color w:val="auto"/>
        </w:rPr>
      </w:pPr>
    </w:p>
    <w:p>
      <w:pPr>
        <w:ind w:right="60" w:firstLine="354"/>
        <w:spacing w:after="0" w:line="272" w:lineRule="auto"/>
        <w:rPr>
          <w:sz w:val="20"/>
          <w:szCs w:val="20"/>
          <w:color w:val="auto"/>
        </w:rPr>
      </w:pPr>
      <w:r>
        <w:rPr>
          <w:rFonts w:ascii="Arial" w:cs="Arial" w:eastAsia="Arial" w:hAnsi="Arial"/>
          <w:sz w:val="14"/>
          <w:szCs w:val="14"/>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93" w:lineRule="exact"/>
        <w:rPr>
          <w:sz w:val="20"/>
          <w:szCs w:val="20"/>
          <w:color w:val="auto"/>
        </w:rPr>
      </w:pPr>
    </w:p>
    <w:p>
      <w:pPr>
        <w:jc w:val="both"/>
        <w:ind w:right="140" w:firstLine="354"/>
        <w:spacing w:after="0" w:line="263" w:lineRule="auto"/>
        <w:rPr>
          <w:sz w:val="20"/>
          <w:szCs w:val="20"/>
          <w:color w:val="auto"/>
        </w:rPr>
      </w:pPr>
      <w:r>
        <w:rPr>
          <w:rFonts w:ascii="Arial" w:cs="Arial" w:eastAsia="Arial" w:hAnsi="Arial"/>
          <w:sz w:val="15"/>
          <w:szCs w:val="15"/>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96" w:lineRule="exact"/>
        <w:rPr>
          <w:sz w:val="20"/>
          <w:szCs w:val="20"/>
          <w:color w:val="auto"/>
        </w:rPr>
      </w:pPr>
    </w:p>
    <w:p>
      <w:pPr>
        <w:ind w:right="300" w:firstLine="354"/>
        <w:spacing w:after="0" w:line="263" w:lineRule="auto"/>
        <w:rPr>
          <w:sz w:val="20"/>
          <w:szCs w:val="20"/>
          <w:color w:val="auto"/>
        </w:rPr>
      </w:pPr>
      <w:r>
        <w:rPr>
          <w:rFonts w:ascii="Arial" w:cs="Arial" w:eastAsia="Arial" w:hAnsi="Arial"/>
          <w:sz w:val="15"/>
          <w:szCs w:val="15"/>
          <w:color w:val="auto"/>
        </w:rPr>
        <w:t>There have been no significant changes during the nine months ended September 30, 2016 to the items that we disclosed as our critical accounting policies and estimates in Management’s Discussion and Analysis of Financial Condition and Results of Operations in our Annual Report on Form 10-K for the year ended December 31, 2015.</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 Not Yet Effective</w:t>
      </w:r>
    </w:p>
    <w:p>
      <w:pPr>
        <w:spacing w:after="0" w:line="139" w:lineRule="exact"/>
        <w:rPr>
          <w:sz w:val="20"/>
          <w:szCs w:val="20"/>
          <w:color w:val="auto"/>
        </w:rPr>
      </w:pPr>
    </w:p>
    <w:p>
      <w:pPr>
        <w:ind w:right="20" w:firstLine="354"/>
        <w:spacing w:after="0" w:line="280" w:lineRule="auto"/>
        <w:rPr>
          <w:sz w:val="20"/>
          <w:szCs w:val="20"/>
          <w:color w:val="auto"/>
        </w:rPr>
      </w:pPr>
      <w:r>
        <w:rPr>
          <w:rFonts w:ascii="Arial" w:cs="Arial" w:eastAsia="Arial" w:hAnsi="Arial"/>
          <w:sz w:val="15"/>
          <w:szCs w:val="15"/>
          <w:color w:val="auto"/>
        </w:rPr>
        <w:t xml:space="preserve">See Note 1, </w:t>
      </w:r>
      <w:r>
        <w:rPr>
          <w:rFonts w:ascii="Arial" w:cs="Arial" w:eastAsia="Arial" w:hAnsi="Arial"/>
          <w:sz w:val="15"/>
          <w:szCs w:val="15"/>
          <w:i w:val="1"/>
          <w:iCs w:val="1"/>
          <w:color w:val="auto"/>
        </w:rPr>
        <w:t>Description of Business and Basis of Presentation</w:t>
      </w:r>
      <w:r>
        <w:rPr>
          <w:rFonts w:ascii="Arial" w:cs="Arial" w:eastAsia="Arial" w:hAnsi="Arial"/>
          <w:sz w:val="15"/>
          <w:szCs w:val="15"/>
          <w:color w:val="auto"/>
        </w:rPr>
        <w:t>, of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60"/>
          </w:cols>
          <w:pgMar w:left="220" w:top="120" w:right="2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06" w:lineRule="exact"/>
        <w:rPr>
          <w:sz w:val="20"/>
          <w:szCs w:val="20"/>
          <w:color w:val="auto"/>
        </w:rPr>
      </w:pPr>
    </w:p>
    <w:p>
      <w:pPr>
        <w:ind w:right="40" w:firstLine="354"/>
        <w:spacing w:after="0" w:line="280" w:lineRule="auto"/>
        <w:rPr>
          <w:sz w:val="20"/>
          <w:szCs w:val="20"/>
          <w:color w:val="auto"/>
        </w:rPr>
      </w:pPr>
      <w:r>
        <w:rPr>
          <w:rFonts w:ascii="Arial" w:cs="Arial" w:eastAsia="Arial" w:hAnsi="Arial"/>
          <w:sz w:val="15"/>
          <w:szCs w:val="15"/>
          <w:color w:val="auto"/>
        </w:rPr>
        <w:t>For quantitative and qualitative disclosures about market risk, see Item 7A, “Quantitative and Qualitative Disclosures About Market Risk” of our annual report on Form 10-K for the year ended December 31, 2015. Our exposures to market risk have not changed materially since December 31, 2015.</w:t>
      </w:r>
    </w:p>
    <w:p>
      <w:pPr>
        <w:spacing w:after="0" w:line="215"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37" w:lineRule="exact"/>
        <w:rPr>
          <w:sz w:val="20"/>
          <w:szCs w:val="20"/>
          <w:color w:val="auto"/>
        </w:rPr>
      </w:pPr>
    </w:p>
    <w:p>
      <w:pPr>
        <w:ind w:right="20" w:firstLine="354"/>
        <w:spacing w:after="0" w:line="274"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of September 30, 2016.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2016, our chief executive officer and chief financial officer concluded that, as of such date, our disclosure controls and procedures were effective at the reasonable assurance level.</w:t>
      </w:r>
    </w:p>
    <w:p>
      <w:pPr>
        <w:spacing w:after="0" w:line="91" w:lineRule="exact"/>
        <w:rPr>
          <w:sz w:val="20"/>
          <w:szCs w:val="20"/>
          <w:color w:val="auto"/>
        </w:rPr>
      </w:pPr>
    </w:p>
    <w:p>
      <w:pPr>
        <w:ind w:right="620" w:firstLine="354"/>
        <w:spacing w:after="0" w:line="280" w:lineRule="auto"/>
        <w:rPr>
          <w:sz w:val="20"/>
          <w:szCs w:val="20"/>
          <w:color w:val="auto"/>
        </w:rPr>
      </w:pPr>
      <w:r>
        <w:rPr>
          <w:rFonts w:ascii="Arial" w:cs="Arial" w:eastAsia="Arial" w:hAnsi="Arial"/>
          <w:sz w:val="15"/>
          <w:szCs w:val="15"/>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Changes in Internal Control</w:t>
      </w:r>
    </w:p>
    <w:p>
      <w:pPr>
        <w:spacing w:after="0" w:line="137" w:lineRule="exact"/>
        <w:rPr>
          <w:sz w:val="20"/>
          <w:szCs w:val="20"/>
          <w:color w:val="auto"/>
        </w:rPr>
      </w:pPr>
    </w:p>
    <w:p>
      <w:pPr>
        <w:ind w:firstLine="354"/>
        <w:spacing w:after="0" w:line="280" w:lineRule="auto"/>
        <w:rPr>
          <w:sz w:val="20"/>
          <w:szCs w:val="20"/>
          <w:color w:val="auto"/>
        </w:rPr>
      </w:pPr>
      <w:r>
        <w:rPr>
          <w:rFonts w:ascii="Arial" w:cs="Arial" w:eastAsia="Arial" w:hAnsi="Arial"/>
          <w:sz w:val="15"/>
          <w:szCs w:val="15"/>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40"/>
          </w:cols>
          <w:pgMar w:left="220" w:top="120" w:right="23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II. OTHER INFORMATION</w:t>
      </w: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50" w:lineRule="exact"/>
        <w:rPr>
          <w:sz w:val="20"/>
          <w:szCs w:val="20"/>
          <w:color w:val="auto"/>
        </w:rPr>
      </w:pPr>
    </w:p>
    <w:p>
      <w:pPr>
        <w:ind w:right="180" w:firstLine="365"/>
        <w:spacing w:after="0" w:line="263" w:lineRule="auto"/>
        <w:rPr>
          <w:sz w:val="20"/>
          <w:szCs w:val="20"/>
          <w:color w:val="auto"/>
        </w:rPr>
      </w:pPr>
      <w:r>
        <w:rPr>
          <w:rFonts w:ascii="Arial" w:cs="Arial" w:eastAsia="Arial" w:hAnsi="Arial"/>
          <w:sz w:val="15"/>
          <w:szCs w:val="15"/>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9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41" w:lineRule="exact"/>
        <w:rPr>
          <w:sz w:val="20"/>
          <w:szCs w:val="20"/>
          <w:color w:val="auto"/>
        </w:rPr>
      </w:pPr>
    </w:p>
    <w:p>
      <w:pPr>
        <w:ind w:firstLine="332"/>
        <w:spacing w:after="0" w:line="254" w:lineRule="auto"/>
        <w:rPr>
          <w:sz w:val="20"/>
          <w:szCs w:val="20"/>
          <w:color w:val="auto"/>
        </w:rPr>
      </w:pPr>
      <w:r>
        <w:rPr>
          <w:rFonts w:ascii="Arial" w:cs="Arial" w:eastAsia="Arial" w:hAnsi="Arial"/>
          <w:sz w:val="15"/>
          <w:szCs w:val="15"/>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04" w:lineRule="exact"/>
        <w:rPr>
          <w:sz w:val="20"/>
          <w:szCs w:val="20"/>
          <w:color w:val="auto"/>
        </w:rPr>
      </w:pPr>
    </w:p>
    <w:p>
      <w:pPr>
        <w:ind w:right="140" w:firstLine="332"/>
        <w:spacing w:after="0" w:line="277" w:lineRule="auto"/>
        <w:rPr>
          <w:sz w:val="20"/>
          <w:szCs w:val="20"/>
          <w:color w:val="auto"/>
        </w:rPr>
      </w:pPr>
      <w:r>
        <w:rPr>
          <w:rFonts w:ascii="Arial" w:cs="Arial" w:eastAsia="Arial" w:hAnsi="Arial"/>
          <w:sz w:val="15"/>
          <w:szCs w:val="15"/>
          <w:i w:val="1"/>
          <w:iCs w:val="1"/>
          <w:color w:val="auto"/>
        </w:rPr>
        <w:t>We have marked with an asterisk (*) those risks described below that reflect substantive changes from, or additions to, the risks described in our Annual Report on Form 10-K for the year ended December 31, 2015.</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losses which may continue in the future, and we cannot be certain that we will achieve or sustain profitability.</w:t>
      </w:r>
    </w:p>
    <w:p>
      <w:pPr>
        <w:spacing w:after="0" w:line="137" w:lineRule="exact"/>
        <w:rPr>
          <w:sz w:val="20"/>
          <w:szCs w:val="20"/>
          <w:color w:val="auto"/>
        </w:rPr>
      </w:pPr>
    </w:p>
    <w:p>
      <w:pPr>
        <w:ind w:right="120" w:firstLine="354"/>
        <w:spacing w:after="0" w:line="254" w:lineRule="auto"/>
        <w:rPr>
          <w:sz w:val="20"/>
          <w:szCs w:val="20"/>
          <w:color w:val="auto"/>
        </w:rPr>
      </w:pPr>
      <w:r>
        <w:rPr>
          <w:rFonts w:ascii="Arial" w:cs="Arial" w:eastAsia="Arial" w:hAnsi="Arial"/>
          <w:sz w:val="15"/>
          <w:szCs w:val="15"/>
          <w:color w:val="auto"/>
        </w:rPr>
        <w:t>We have incurred significant net losses since we began doing business, including a net loss of $54.3 million during the nine months ended September 30, 2016. As of September 30, 2016, we had an accumulated deficit of $237.3 million. We have incurred substantial operating losses since our inception, and we may continue to incur additional losses in the future.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rapidly changing solar industry makes it difficult to evaluate our current business and future prospects.</w:t>
      </w:r>
    </w:p>
    <w:p>
      <w:pPr>
        <w:spacing w:after="0" w:line="137" w:lineRule="exact"/>
        <w:rPr>
          <w:sz w:val="20"/>
          <w:szCs w:val="20"/>
          <w:color w:val="auto"/>
        </w:rPr>
      </w:pPr>
    </w:p>
    <w:p>
      <w:pPr>
        <w:ind w:right="40" w:firstLine="354"/>
        <w:spacing w:after="0" w:line="263" w:lineRule="auto"/>
        <w:rPr>
          <w:sz w:val="20"/>
          <w:szCs w:val="20"/>
          <w:color w:val="auto"/>
        </w:rPr>
      </w:pPr>
      <w:r>
        <w:rPr>
          <w:rFonts w:ascii="Arial" w:cs="Arial" w:eastAsia="Arial" w:hAnsi="Arial"/>
          <w:sz w:val="15"/>
          <w:szCs w:val="15"/>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96" w:lineRule="exact"/>
        <w:rPr>
          <w:sz w:val="20"/>
          <w:szCs w:val="20"/>
          <w:color w:val="auto"/>
        </w:rPr>
      </w:pPr>
    </w:p>
    <w:p>
      <w:pPr>
        <w:jc w:val="both"/>
        <w:ind w:right="200" w:firstLine="354"/>
        <w:spacing w:after="0" w:line="263" w:lineRule="auto"/>
        <w:rPr>
          <w:sz w:val="20"/>
          <w:szCs w:val="20"/>
          <w:color w:val="auto"/>
        </w:rPr>
      </w:pPr>
      <w:r>
        <w:rPr>
          <w:rFonts w:ascii="Arial" w:cs="Arial" w:eastAsia="Arial" w:hAnsi="Arial"/>
          <w:sz w:val="15"/>
          <w:szCs w:val="15"/>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demand for solar energy solutions does not continue to grow or grows at a slower rate than we anticipate, our business will suffer.</w:t>
      </w:r>
    </w:p>
    <w:p>
      <w:pPr>
        <w:spacing w:after="0" w:line="93" w:lineRule="exact"/>
        <w:rPr>
          <w:sz w:val="20"/>
          <w:szCs w:val="20"/>
          <w:color w:val="auto"/>
        </w:rPr>
      </w:pPr>
    </w:p>
    <w:p>
      <w:pPr>
        <w:ind w:right="140" w:firstLine="354"/>
        <w:spacing w:after="0" w:line="274" w:lineRule="auto"/>
        <w:rPr>
          <w:sz w:val="20"/>
          <w:szCs w:val="20"/>
          <w:color w:val="auto"/>
        </w:rPr>
      </w:pPr>
      <w:r>
        <w:rPr>
          <w:rFonts w:ascii="Arial" w:cs="Arial" w:eastAsia="Arial" w:hAnsi="Arial"/>
          <w:sz w:val="14"/>
          <w:szCs w:val="14"/>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4"/>
          <w:szCs w:val="14"/>
          <w:i w:val="1"/>
          <w:iCs w:val="1"/>
          <w:color w:val="auto"/>
        </w:rPr>
        <w:t>,</w:t>
      </w:r>
      <w:r>
        <w:rPr>
          <w:rFonts w:ascii="Arial" w:cs="Arial" w:eastAsia="Arial" w:hAnsi="Arial"/>
          <w:sz w:val="14"/>
          <w:szCs w:val="14"/>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40"/>
          </w:cols>
          <w:pgMar w:left="220" w:top="120"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9" w:lineRule="exact"/>
        <w:rPr>
          <w:sz w:val="20"/>
          <w:szCs w:val="20"/>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market acceptance of solar PV systems based on our product platform;</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cost competitiveness, reliability and performance of solar PV systems compared to conventional and non-solar renewable energy sources and products;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availability and amount of government subsidies and incentives to support the development and deployment of solar energy solutions;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extent to which the electric power industry and broader energy industries are deregulated to permit broader adoption of solar electricity generation;</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cost and availability of key raw materials and components used in the production of solar PV systems;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prices of traditional utility-provided energy sources;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levels of investment by end-users of solar energy products, which tend to decrease when economic growth slows;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emergence, continuance or success of, or increased government support for, other alternative energy generation technologies and products.</w:t>
      </w:r>
    </w:p>
    <w:p>
      <w:pPr>
        <w:spacing w:after="0" w:line="181" w:lineRule="exact"/>
        <w:rPr>
          <w:sz w:val="20"/>
          <w:szCs w:val="20"/>
          <w:color w:val="auto"/>
        </w:rPr>
      </w:pPr>
    </w:p>
    <w:p>
      <w:pPr>
        <w:ind w:right="80" w:firstLine="354"/>
        <w:spacing w:after="0" w:line="280" w:lineRule="auto"/>
        <w:rPr>
          <w:sz w:val="20"/>
          <w:szCs w:val="20"/>
          <w:color w:val="auto"/>
        </w:rPr>
      </w:pPr>
      <w:r>
        <w:rPr>
          <w:rFonts w:ascii="Arial" w:cs="Arial" w:eastAsia="Arial" w:hAnsi="Arial"/>
          <w:sz w:val="15"/>
          <w:szCs w:val="15"/>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84" w:lineRule="exact"/>
        <w:rPr>
          <w:sz w:val="20"/>
          <w:szCs w:val="20"/>
          <w:color w:val="auto"/>
        </w:rPr>
      </w:pPr>
    </w:p>
    <w:p>
      <w:pPr>
        <w:ind w:right="80" w:firstLine="354"/>
        <w:spacing w:after="0" w:line="257" w:lineRule="auto"/>
        <w:rPr>
          <w:sz w:val="20"/>
          <w:szCs w:val="20"/>
          <w:color w:val="auto"/>
        </w:rPr>
      </w:pPr>
      <w:r>
        <w:rPr>
          <w:rFonts w:ascii="Arial" w:cs="Arial" w:eastAsia="Arial" w:hAnsi="Arial"/>
          <w:sz w:val="15"/>
          <w:szCs w:val="15"/>
          <w:color w:val="auto"/>
        </w:rPr>
        <w:t>Short-term demand and supply imbalances, especially for solar module technology, have recently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01" w:lineRule="exact"/>
        <w:rPr>
          <w:sz w:val="20"/>
          <w:szCs w:val="20"/>
          <w:color w:val="auto"/>
        </w:rPr>
      </w:pPr>
    </w:p>
    <w:p>
      <w:pPr>
        <w:ind w:right="260"/>
        <w:spacing w:after="0" w:line="291" w:lineRule="auto"/>
        <w:rPr>
          <w:sz w:val="20"/>
          <w:szCs w:val="20"/>
          <w:color w:val="auto"/>
        </w:rPr>
      </w:pPr>
      <w:r>
        <w:rPr>
          <w:rFonts w:ascii="Arial" w:cs="Arial" w:eastAsia="Arial" w:hAnsi="Arial"/>
          <w:sz w:val="15"/>
          <w:szCs w:val="15"/>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68" w:lineRule="exact"/>
        <w:rPr>
          <w:sz w:val="20"/>
          <w:szCs w:val="20"/>
          <w:color w:val="auto"/>
        </w:rPr>
      </w:pPr>
    </w:p>
    <w:p>
      <w:pPr>
        <w:ind w:firstLine="354"/>
        <w:spacing w:after="0" w:line="251" w:lineRule="auto"/>
        <w:rPr>
          <w:sz w:val="20"/>
          <w:szCs w:val="20"/>
          <w:color w:val="auto"/>
        </w:rPr>
      </w:pPr>
      <w:r>
        <w:rPr>
          <w:rFonts w:ascii="Arial" w:cs="Arial" w:eastAsia="Arial" w:hAnsi="Arial"/>
          <w:sz w:val="15"/>
          <w:szCs w:val="15"/>
          <w:color w:val="auto"/>
        </w:rPr>
        <w:t>In 2015, CED Greentech and Vivint Solar, Inc. accounted for 17% and 12% of total net revenues, respectively. In 2014, Vivint Solar, Inc. and CED Greentech accounted for 24% and 16%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For example, beginning in 2015, Vivint Solar, Inc. implemented a multi-sourcing strategy, and therefore, is not sole-sourcing our microinverters, which has resulted in and may continue to result in a reduction in our revenue generated from sales to Vivint. The loss of, or events affecting, Vivint or one or more of our other large customers have had, could have and could continue to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gross profit may fluctuate over time, which could impair our ability to achieve or maintain profitability.</w:t>
      </w:r>
    </w:p>
    <w:p>
      <w:pPr>
        <w:spacing w:after="0" w:line="93" w:lineRule="exact"/>
        <w:rPr>
          <w:sz w:val="20"/>
          <w:szCs w:val="20"/>
          <w:color w:val="auto"/>
        </w:rPr>
      </w:pPr>
    </w:p>
    <w:p>
      <w:pPr>
        <w:ind w:right="80" w:firstLine="354"/>
        <w:spacing w:after="0" w:line="276" w:lineRule="auto"/>
        <w:rPr>
          <w:sz w:val="20"/>
          <w:szCs w:val="20"/>
          <w:color w:val="auto"/>
        </w:rPr>
      </w:pPr>
      <w:r>
        <w:rPr>
          <w:rFonts w:ascii="Arial" w:cs="Arial" w:eastAsia="Arial" w:hAnsi="Arial"/>
          <w:sz w:val="15"/>
          <w:szCs w:val="15"/>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1" w:lineRule="exact"/>
        <w:rPr>
          <w:sz w:val="20"/>
          <w:szCs w:val="20"/>
          <w:color w:val="auto"/>
        </w:rPr>
      </w:pPr>
    </w:p>
    <w:p>
      <w:pPr>
        <w:ind w:left="800" w:hanging="394"/>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customer, geographic or product mix;</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increased price competition, including the impact of customer and competitor discounts and rebates;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reduce and control product costs, including our ability to make product cost reductions in a timely manner to offset declines in our product prices;</w:t>
      </w:r>
    </w:p>
    <w:p>
      <w:pPr>
        <w:spacing w:after="0" w:line="92" w:lineRule="exact"/>
        <w:rPr>
          <w:rFonts w:ascii="Arial" w:cs="Arial" w:eastAsia="Arial" w:hAnsi="Arial"/>
          <w:sz w:val="15"/>
          <w:szCs w:val="15"/>
          <w:color w:val="auto"/>
        </w:rPr>
      </w:pPr>
    </w:p>
    <w:p>
      <w:pPr>
        <w:ind w:left="800" w:right="280" w:hanging="394"/>
        <w:spacing w:after="0" w:line="280"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warranty costs and reserves, including changes resulting from changes in estimates related to the long-term performance of our products, product replacement costs and warranty claim rates;</w:t>
      </w:r>
    </w:p>
    <w:p>
      <w:pPr>
        <w:spacing w:after="0" w:line="39" w:lineRule="exact"/>
        <w:rPr>
          <w:rFonts w:ascii="Arial" w:cs="Arial" w:eastAsia="Arial" w:hAnsi="Arial"/>
          <w:sz w:val="15"/>
          <w:szCs w:val="15"/>
          <w:color w:val="auto"/>
        </w:rPr>
      </w:pPr>
    </w:p>
    <w:p>
      <w:pPr>
        <w:ind w:left="800" w:right="220" w:hanging="394"/>
        <w:spacing w:after="0" w:line="280"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loss of cost savings due to changes in component or raw material pricing or charges incurred due to inventory holding periods if product demand is not correctly anticipated;</w:t>
      </w:r>
    </w:p>
    <w:p>
      <w:pPr>
        <w:spacing w:after="0" w:line="39" w:lineRule="exact"/>
        <w:rPr>
          <w:rFonts w:ascii="Arial" w:cs="Arial" w:eastAsia="Arial" w:hAnsi="Arial"/>
          <w:sz w:val="15"/>
          <w:szCs w:val="15"/>
          <w:color w:val="auto"/>
        </w:rPr>
      </w:pPr>
    </w:p>
    <w:p>
      <w:pPr>
        <w:ind w:left="800" w:hanging="394"/>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introduction of new products;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ordering patterns from our distributors;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price reductions on older products to sell remaining inventory;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20"/>
          </w:cols>
          <w:pgMar w:left="220" w:top="120" w:right="25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9" w:lineRule="exact"/>
        <w:rPr>
          <w:sz w:val="20"/>
          <w:szCs w:val="20"/>
          <w:color w:val="auto"/>
        </w:rPr>
      </w:pPr>
    </w:p>
    <w:p>
      <w:pPr>
        <w:ind w:left="800" w:hanging="394"/>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reduce production costs, such as through technology innovations, in order to offset price declines in our products over time;</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shipment volume;</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distribution channels;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excess and obsolete inventory and inventory holding charges;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expediting costs incurred to meet customer delivery requirements;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fluctuations in foreign currency exchange rates.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Fluctuations in gross profit may adversely affect our ability to manage our business or achieve or maintain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under continuous pressure to reduce the prices of our products, which has adversely affected, and may continue to adversely affect, our gross margins.</w:t>
      </w:r>
    </w:p>
    <w:p>
      <w:pPr>
        <w:spacing w:after="0" w:line="137"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are reducing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107" w:lineRule="exact"/>
        <w:rPr>
          <w:sz w:val="20"/>
          <w:szCs w:val="20"/>
          <w:color w:val="auto"/>
        </w:rPr>
      </w:pPr>
    </w:p>
    <w:p>
      <w:pPr>
        <w:ind w:firstLine="354"/>
        <w:spacing w:after="0" w:line="254" w:lineRule="auto"/>
        <w:rPr>
          <w:sz w:val="20"/>
          <w:szCs w:val="20"/>
          <w:color w:val="auto"/>
        </w:rPr>
      </w:pPr>
      <w:r>
        <w:rPr>
          <w:rFonts w:ascii="Arial" w:cs="Arial" w:eastAsia="Arial" w:hAnsi="Arial"/>
          <w:sz w:val="15"/>
          <w:szCs w:val="15"/>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04"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b w:val="1"/>
          <w:bCs w:val="1"/>
          <w:i w:val="1"/>
          <w:iCs w:val="1"/>
          <w:color w:val="auto"/>
        </w:rPr>
        <w:t>*We may not be able to raise additional capital to execute on our current or future business opportunities on favorable terms, if at all, or without dilution to our stockholders.</w:t>
      </w:r>
    </w:p>
    <w:p>
      <w:pPr>
        <w:spacing w:after="0" w:line="24" w:lineRule="exact"/>
        <w:rPr>
          <w:sz w:val="20"/>
          <w:szCs w:val="20"/>
          <w:color w:val="auto"/>
        </w:rPr>
      </w:pPr>
    </w:p>
    <w:p>
      <w:pPr>
        <w:ind w:right="120" w:firstLine="354"/>
        <w:spacing w:after="0" w:line="276" w:lineRule="auto"/>
        <w:rPr>
          <w:sz w:val="20"/>
          <w:szCs w:val="20"/>
          <w:color w:val="auto"/>
        </w:rPr>
      </w:pPr>
      <w:r>
        <w:rPr>
          <w:rFonts w:ascii="Arial" w:cs="Arial" w:eastAsia="Arial" w:hAnsi="Arial"/>
          <w:sz w:val="15"/>
          <w:szCs w:val="15"/>
          <w:color w:val="auto"/>
        </w:rPr>
        <w:t>We believe that our existing cash on hand, together with borrowings expected to be available under our Revolver will be sufficient to meet our anticipated cash needs for at least the next 12 months. However, we may need to raise additional capital to execute on our current or future business strategies, including to:</w:t>
      </w:r>
    </w:p>
    <w:p>
      <w:pPr>
        <w:spacing w:after="0" w:line="1" w:lineRule="exact"/>
        <w:rPr>
          <w:sz w:val="20"/>
          <w:szCs w:val="20"/>
          <w:color w:val="auto"/>
        </w:rPr>
      </w:pPr>
    </w:p>
    <w:p>
      <w:pPr>
        <w:ind w:left="800" w:hanging="394"/>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fund our operations;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invest in our research and development efforts by hiring additional technical and other personnel;</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expand our operations into new product markets and new geographies;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acquire complementary businesses, products, services or technologies; or</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otherwise pursue our strategic plans and respond to competitive pressures.</w:t>
      </w:r>
    </w:p>
    <w:p>
      <w:pPr>
        <w:spacing w:after="0" w:line="181" w:lineRule="exact"/>
        <w:rPr>
          <w:sz w:val="20"/>
          <w:szCs w:val="20"/>
          <w:color w:val="auto"/>
        </w:rPr>
      </w:pPr>
    </w:p>
    <w:p>
      <w:pPr>
        <w:ind w:right="40" w:firstLine="354"/>
        <w:spacing w:after="0" w:line="252" w:lineRule="auto"/>
        <w:rPr>
          <w:sz w:val="20"/>
          <w:szCs w:val="20"/>
          <w:color w:val="auto"/>
        </w:rPr>
      </w:pPr>
      <w:r>
        <w:rPr>
          <w:rFonts w:ascii="Arial" w:cs="Arial" w:eastAsia="Arial" w:hAnsi="Arial"/>
          <w:sz w:val="15"/>
          <w:szCs w:val="15"/>
          <w:color w:val="auto"/>
        </w:rPr>
        <w:t>We do not know what forms of financing, if any, will be available to us. If financing is not available on acceptable terms, if and when needed, our ability to fund our operations, expand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07" w:lineRule="exact"/>
        <w:rPr>
          <w:sz w:val="20"/>
          <w:szCs w:val="20"/>
          <w:color w:val="auto"/>
        </w:rPr>
      </w:pPr>
    </w:p>
    <w:p>
      <w:pPr>
        <w:ind w:right="660"/>
        <w:spacing w:after="0" w:line="291" w:lineRule="auto"/>
        <w:rPr>
          <w:sz w:val="20"/>
          <w:szCs w:val="20"/>
          <w:color w:val="auto"/>
        </w:rPr>
      </w:pPr>
      <w:r>
        <w:rPr>
          <w:rFonts w:ascii="Arial" w:cs="Arial" w:eastAsia="Arial" w:hAnsi="Arial"/>
          <w:sz w:val="15"/>
          <w:szCs w:val="15"/>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68" w:lineRule="exact"/>
        <w:rPr>
          <w:sz w:val="20"/>
          <w:szCs w:val="20"/>
          <w:color w:val="auto"/>
        </w:rPr>
      </w:pPr>
    </w:p>
    <w:p>
      <w:pPr>
        <w:ind w:right="40" w:firstLine="354"/>
        <w:spacing w:after="0" w:line="280" w:lineRule="auto"/>
        <w:rPr>
          <w:sz w:val="20"/>
          <w:szCs w:val="20"/>
          <w:color w:val="auto"/>
        </w:rPr>
      </w:pPr>
      <w:r>
        <w:rPr>
          <w:rFonts w:ascii="Arial" w:cs="Arial" w:eastAsia="Arial" w:hAnsi="Arial"/>
          <w:sz w:val="15"/>
          <w:szCs w:val="15"/>
          <w:color w:val="auto"/>
        </w:rPr>
        <w:t>The market for PV inverter solutions is highly competitive. To date, we have competed primarily against central and string inverter manufacturers, but as the solar industry rapidly grows, new solutions and technologies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40"/>
          </w:cols>
          <w:pgMar w:left="220" w:top="120"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80"/>
        <w:spacing w:after="0" w:line="317" w:lineRule="auto"/>
        <w:rPr>
          <w:sz w:val="20"/>
          <w:szCs w:val="20"/>
          <w:color w:val="auto"/>
        </w:rPr>
      </w:pPr>
      <w:r>
        <w:rPr>
          <w:rFonts w:ascii="Arial" w:cs="Arial" w:eastAsia="Arial" w:hAnsi="Arial"/>
          <w:sz w:val="14"/>
          <w:szCs w:val="14"/>
          <w:color w:val="auto"/>
        </w:rPr>
        <w:t>are emerging that will directly compete with our business. Competitors in the inverter market include, amongst others, SMA Solar Technology AG, Fronius International GmbH, ABB Ltd. and SolarEdge Technologies, Inc., and other emerging companies offering alternative microinverter, DC to DC optimizer and other power electronic solutions.</w:t>
      </w:r>
    </w:p>
    <w:p>
      <w:pPr>
        <w:spacing w:after="0" w:line="61"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Asian manufacturers. In addition, central and string inverter manufacturers continue to reduce their prices, putting additional pressure on us and other alternative technologies.</w:t>
      </w:r>
    </w:p>
    <w:p>
      <w:pPr>
        <w:spacing w:after="0" w:line="107" w:lineRule="exact"/>
        <w:rPr>
          <w:sz w:val="20"/>
          <w:szCs w:val="20"/>
          <w:color w:val="auto"/>
        </w:rPr>
      </w:pPr>
    </w:p>
    <w:p>
      <w:pPr>
        <w:ind w:firstLine="354"/>
        <w:spacing w:after="0" w:line="250" w:lineRule="auto"/>
        <w:rPr>
          <w:sz w:val="20"/>
          <w:szCs w:val="20"/>
          <w:color w:val="auto"/>
        </w:rPr>
      </w:pPr>
      <w:r>
        <w:rPr>
          <w:rFonts w:ascii="Arial" w:cs="Arial" w:eastAsia="Arial" w:hAnsi="Arial"/>
          <w:sz w:val="15"/>
          <w:szCs w:val="15"/>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07"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Developments in alternative technologies or improvements in distributed solar energy generation may have a material adverse effect on demand for our offerings.</w:t>
      </w:r>
    </w:p>
    <w:p>
      <w:pPr>
        <w:spacing w:after="0" w:line="148" w:lineRule="exact"/>
        <w:rPr>
          <w:sz w:val="20"/>
          <w:szCs w:val="20"/>
          <w:color w:val="auto"/>
        </w:rPr>
      </w:pPr>
    </w:p>
    <w:p>
      <w:pPr>
        <w:ind w:right="160" w:firstLine="354"/>
        <w:spacing w:after="0" w:line="257" w:lineRule="auto"/>
        <w:rPr>
          <w:sz w:val="20"/>
          <w:szCs w:val="20"/>
          <w:color w:val="auto"/>
        </w:rPr>
      </w:pPr>
      <w:r>
        <w:rPr>
          <w:rFonts w:ascii="Arial" w:cs="Arial" w:eastAsia="Arial" w:hAnsi="Arial"/>
          <w:sz w:val="15"/>
          <w:szCs w:val="15"/>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microinverter systems may not achieve broader market acceptance, which would prevent us from increasing our revenue and market share.</w:t>
      </w:r>
    </w:p>
    <w:p>
      <w:pPr>
        <w:spacing w:after="0" w:line="93" w:lineRule="exact"/>
        <w:rPr>
          <w:sz w:val="20"/>
          <w:szCs w:val="20"/>
          <w:color w:val="auto"/>
        </w:rPr>
      </w:pPr>
    </w:p>
    <w:p>
      <w:pPr>
        <w:ind w:right="120" w:firstLine="354"/>
        <w:spacing w:after="0" w:line="276" w:lineRule="auto"/>
        <w:rPr>
          <w:sz w:val="20"/>
          <w:szCs w:val="20"/>
          <w:color w:val="auto"/>
        </w:rPr>
      </w:pPr>
      <w:r>
        <w:rPr>
          <w:rFonts w:ascii="Arial" w:cs="Arial" w:eastAsia="Arial" w:hAnsi="Arial"/>
          <w:sz w:val="15"/>
          <w:szCs w:val="15"/>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1" w:lineRule="exact"/>
        <w:rPr>
          <w:sz w:val="20"/>
          <w:szCs w:val="20"/>
          <w:color w:val="auto"/>
        </w:rPr>
      </w:pPr>
    </w:p>
    <w:p>
      <w:pPr>
        <w:ind w:left="800" w:hanging="394"/>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produce microinverter systems that compete favorably against other solutions on the basis of price, quality, reliability and performance;</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timely introduce and complete new designs and timely qualify and certify our products;</w:t>
      </w:r>
    </w:p>
    <w:p>
      <w:pPr>
        <w:spacing w:after="0" w:line="92" w:lineRule="exact"/>
        <w:rPr>
          <w:rFonts w:ascii="Arial" w:cs="Arial" w:eastAsia="Arial" w:hAnsi="Arial"/>
          <w:sz w:val="15"/>
          <w:szCs w:val="15"/>
          <w:color w:val="auto"/>
        </w:rPr>
      </w:pPr>
    </w:p>
    <w:p>
      <w:pPr>
        <w:ind w:left="800" w:right="40" w:hanging="394"/>
        <w:spacing w:after="0" w:line="280"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whether installers, system owners and solar financing providers will continue to adopt our microinverter systems, which is a relatively new technology with a limited history with respect to reliability and performance;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40"/>
          </w:cols>
          <w:pgMar w:left="220" w:top="120" w:right="23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9" w:lineRule="exact"/>
        <w:rPr>
          <w:sz w:val="20"/>
          <w:szCs w:val="20"/>
          <w:color w:val="auto"/>
        </w:rPr>
      </w:pPr>
    </w:p>
    <w:p>
      <w:pPr>
        <w:ind w:left="800" w:hanging="394"/>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ability of prospective system owners to obtain long-term financing for solar PV installations based on our product platform on acceptable terms or at all;</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develop products that comply with local standards and regulatory requirements, as well as potential in-country manufacturing requirements;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develop and maintain successful relationships with our customers and suppliers.</w:t>
      </w:r>
    </w:p>
    <w:p>
      <w:pPr>
        <w:spacing w:after="0" w:line="181" w:lineRule="exact"/>
        <w:rPr>
          <w:sz w:val="20"/>
          <w:szCs w:val="20"/>
          <w:color w:val="auto"/>
        </w:rPr>
      </w:pPr>
    </w:p>
    <w:p>
      <w:pPr>
        <w:jc w:val="both"/>
        <w:ind w:right="220" w:firstLine="354"/>
        <w:spacing w:after="0" w:line="263" w:lineRule="auto"/>
        <w:rPr>
          <w:sz w:val="20"/>
          <w:szCs w:val="20"/>
          <w:color w:val="auto"/>
        </w:rPr>
      </w:pPr>
      <w:r>
        <w:rPr>
          <w:rFonts w:ascii="Arial" w:cs="Arial" w:eastAsia="Arial" w:hAnsi="Arial"/>
          <w:sz w:val="15"/>
          <w:szCs w:val="15"/>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68" w:lineRule="exact"/>
        <w:rPr>
          <w:sz w:val="20"/>
          <w:szCs w:val="20"/>
          <w:color w:val="auto"/>
        </w:rPr>
      </w:pPr>
    </w:p>
    <w:p>
      <w:pPr>
        <w:ind w:right="140" w:firstLine="354"/>
        <w:spacing w:after="0" w:line="281" w:lineRule="auto"/>
        <w:rPr>
          <w:sz w:val="20"/>
          <w:szCs w:val="20"/>
          <w:color w:val="auto"/>
        </w:rPr>
      </w:pPr>
      <w:r>
        <w:rPr>
          <w:rFonts w:ascii="Arial" w:cs="Arial" w:eastAsia="Arial" w:hAnsi="Arial"/>
          <w:sz w:val="14"/>
          <w:szCs w:val="14"/>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86"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07" w:lineRule="exact"/>
        <w:rPr>
          <w:sz w:val="20"/>
          <w:szCs w:val="20"/>
          <w:color w:val="auto"/>
        </w:rPr>
      </w:pPr>
    </w:p>
    <w:p>
      <w:pPr>
        <w:ind w:right="40" w:firstLine="354"/>
        <w:spacing w:after="0" w:line="252" w:lineRule="auto"/>
        <w:rPr>
          <w:sz w:val="20"/>
          <w:szCs w:val="20"/>
          <w:color w:val="auto"/>
        </w:rPr>
      </w:pPr>
      <w:r>
        <w:rPr>
          <w:rFonts w:ascii="Arial" w:cs="Arial" w:eastAsia="Arial" w:hAnsi="Arial"/>
          <w:sz w:val="15"/>
          <w:szCs w:val="15"/>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63" w:lineRule="exact"/>
        <w:rPr>
          <w:sz w:val="20"/>
          <w:szCs w:val="20"/>
          <w:color w:val="auto"/>
        </w:rPr>
      </w:pPr>
    </w:p>
    <w:p>
      <w:pPr>
        <w:ind w:right="560"/>
        <w:spacing w:after="0" w:line="291" w:lineRule="auto"/>
        <w:rPr>
          <w:sz w:val="20"/>
          <w:szCs w:val="20"/>
          <w:color w:val="auto"/>
        </w:rPr>
      </w:pPr>
      <w:r>
        <w:rPr>
          <w:rFonts w:ascii="Arial" w:cs="Arial" w:eastAsia="Arial" w:hAnsi="Arial"/>
          <w:sz w:val="15"/>
          <w:szCs w:val="15"/>
          <w:b w:val="1"/>
          <w:bCs w:val="1"/>
          <w:i w:val="1"/>
          <w:iCs w:val="1"/>
          <w:color w:val="auto"/>
        </w:rPr>
        <w:t>*If we do not forecast demand for our products accurately, we may experience product shortages, delays in product shipment, excess product inventory, or difficulties in planning expenses, any of which will adversely affect our business and financial condition.</w:t>
      </w:r>
    </w:p>
    <w:p>
      <w:pPr>
        <w:spacing w:after="0" w:line="24" w:lineRule="exact"/>
        <w:rPr>
          <w:sz w:val="20"/>
          <w:szCs w:val="20"/>
          <w:color w:val="auto"/>
        </w:rPr>
      </w:pPr>
    </w:p>
    <w:p>
      <w:pPr>
        <w:ind w:right="60" w:firstLine="354"/>
        <w:spacing w:after="0" w:line="252" w:lineRule="auto"/>
        <w:rPr>
          <w:sz w:val="20"/>
          <w:szCs w:val="20"/>
          <w:color w:val="auto"/>
        </w:rPr>
      </w:pPr>
      <w:r>
        <w:rPr>
          <w:rFonts w:ascii="Arial" w:cs="Arial" w:eastAsia="Arial" w:hAnsi="Arial"/>
          <w:sz w:val="15"/>
          <w:szCs w:val="15"/>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63" w:lineRule="exact"/>
        <w:rPr>
          <w:sz w:val="20"/>
          <w:szCs w:val="20"/>
          <w:color w:val="auto"/>
        </w:rPr>
      </w:pPr>
    </w:p>
    <w:p>
      <w:pPr>
        <w:ind w:right="20" w:firstLine="354"/>
        <w:spacing w:after="0" w:line="257" w:lineRule="auto"/>
        <w:rPr>
          <w:sz w:val="20"/>
          <w:szCs w:val="20"/>
          <w:color w:val="auto"/>
        </w:rPr>
      </w:pPr>
      <w:r>
        <w:rPr>
          <w:rFonts w:ascii="Arial" w:cs="Arial" w:eastAsia="Arial" w:hAnsi="Arial"/>
          <w:sz w:val="15"/>
          <w:szCs w:val="15"/>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60"/>
          </w:cols>
          <w:pgMar w:left="220" w:top="120"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3"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60" w:lineRule="exact"/>
        <w:rPr>
          <w:sz w:val="20"/>
          <w:szCs w:val="20"/>
          <w:color w:val="auto"/>
        </w:rPr>
      </w:pPr>
    </w:p>
    <w:p>
      <w:pPr>
        <w:ind w:right="60" w:firstLine="354"/>
        <w:spacing w:after="0" w:line="263" w:lineRule="auto"/>
        <w:rPr>
          <w:sz w:val="20"/>
          <w:szCs w:val="20"/>
          <w:color w:val="auto"/>
        </w:rPr>
      </w:pPr>
      <w:r>
        <w:rPr>
          <w:rFonts w:ascii="Arial" w:cs="Arial" w:eastAsia="Arial" w:hAnsi="Arial"/>
          <w:sz w:val="15"/>
          <w:szCs w:val="15"/>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96" w:lineRule="exact"/>
        <w:rPr>
          <w:sz w:val="20"/>
          <w:szCs w:val="20"/>
          <w:color w:val="auto"/>
        </w:rPr>
      </w:pPr>
    </w:p>
    <w:p>
      <w:pPr>
        <w:ind w:right="520"/>
        <w:spacing w:after="0" w:line="291" w:lineRule="auto"/>
        <w:rPr>
          <w:sz w:val="20"/>
          <w:szCs w:val="20"/>
          <w:color w:val="auto"/>
        </w:rPr>
      </w:pPr>
      <w:r>
        <w:rPr>
          <w:rFonts w:ascii="Arial" w:cs="Arial" w:eastAsia="Arial" w:hAnsi="Arial"/>
          <w:sz w:val="15"/>
          <w:szCs w:val="15"/>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68"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was recently extended as part of an Omnibus Appropriations Bill and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w:t>
      </w:r>
    </w:p>
    <w:p>
      <w:pPr>
        <w:spacing w:after="0" w:line="107" w:lineRule="exact"/>
        <w:rPr>
          <w:sz w:val="20"/>
          <w:szCs w:val="20"/>
          <w:color w:val="auto"/>
        </w:rPr>
      </w:pPr>
    </w:p>
    <w:p>
      <w:pPr>
        <w:ind w:right="100" w:firstLine="354"/>
        <w:spacing w:after="0" w:line="251" w:lineRule="auto"/>
        <w:rPr>
          <w:sz w:val="20"/>
          <w:szCs w:val="20"/>
          <w:color w:val="auto"/>
        </w:rPr>
      </w:pPr>
      <w:r>
        <w:rPr>
          <w:rFonts w:ascii="Arial" w:cs="Arial" w:eastAsia="Arial" w:hAnsi="Arial"/>
          <w:sz w:val="15"/>
          <w:szCs w:val="15"/>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do not adequately stimulate future growth in the residential solar market. 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04" w:lineRule="exact"/>
        <w:rPr>
          <w:sz w:val="20"/>
          <w:szCs w:val="20"/>
          <w:color w:val="auto"/>
        </w:rPr>
      </w:pPr>
    </w:p>
    <w:p>
      <w:pPr>
        <w:ind w:right="60" w:firstLine="354"/>
        <w:spacing w:after="0" w:line="257" w:lineRule="auto"/>
        <w:rPr>
          <w:sz w:val="20"/>
          <w:szCs w:val="20"/>
          <w:color w:val="auto"/>
        </w:rPr>
      </w:pPr>
      <w:r>
        <w:rPr>
          <w:rFonts w:ascii="Arial" w:cs="Arial" w:eastAsia="Arial" w:hAnsi="Arial"/>
          <w:sz w:val="15"/>
          <w:szCs w:val="15"/>
          <w:color w:val="auto"/>
        </w:rPr>
        <w:t>We also sell our products in Australia. In 2012, Australia enacted a national price on carbon emissions intended to increase the cost of traditional energy sources, thereby making renewable energy sources more attractive. Beginning in 2012, several states in Australia began to gradually reduce their FiTs.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w:t>
      </w:r>
    </w:p>
    <w:p>
      <w:pPr>
        <w:spacing w:after="0" w:line="101" w:lineRule="exact"/>
        <w:rPr>
          <w:sz w:val="20"/>
          <w:szCs w:val="20"/>
          <w:color w:val="auto"/>
        </w:rPr>
      </w:pPr>
    </w:p>
    <w:p>
      <w:pPr>
        <w:jc w:val="both"/>
        <w:ind w:right="40" w:firstLine="354"/>
        <w:spacing w:after="0" w:line="263" w:lineRule="auto"/>
        <w:rPr>
          <w:sz w:val="20"/>
          <w:szCs w:val="20"/>
          <w:color w:val="auto"/>
        </w:rPr>
      </w:pPr>
      <w:r>
        <w:rPr>
          <w:rFonts w:ascii="Arial" w:cs="Arial" w:eastAsia="Arial" w:hAnsi="Arial"/>
          <w:sz w:val="15"/>
          <w:szCs w:val="15"/>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96" w:lineRule="exact"/>
        <w:rPr>
          <w:sz w:val="20"/>
          <w:szCs w:val="20"/>
          <w:color w:val="auto"/>
        </w:rPr>
      </w:pPr>
    </w:p>
    <w:p>
      <w:pPr>
        <w:ind w:right="60" w:firstLine="354"/>
        <w:spacing w:after="0" w:line="254" w:lineRule="auto"/>
        <w:rPr>
          <w:sz w:val="20"/>
          <w:szCs w:val="20"/>
          <w:color w:val="auto"/>
        </w:rPr>
      </w:pPr>
      <w:r>
        <w:rPr>
          <w:rFonts w:ascii="Arial" w:cs="Arial" w:eastAsia="Arial" w:hAnsi="Arial"/>
          <w:sz w:val="15"/>
          <w:szCs w:val="15"/>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60"/>
          </w:cols>
          <w:pgMar w:left="220" w:top="120"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electricity policies could negatively affect returns on our investments in those countries as well as our business, financial condition, and results of operations.</w:t>
      </w:r>
    </w:p>
    <w:p>
      <w:pPr>
        <w:spacing w:after="0" w:line="137" w:lineRule="exact"/>
        <w:rPr>
          <w:sz w:val="20"/>
          <w:szCs w:val="20"/>
          <w:color w:val="auto"/>
        </w:rPr>
      </w:pPr>
    </w:p>
    <w:p>
      <w:pPr>
        <w:ind w:right="660"/>
        <w:spacing w:after="0" w:line="291" w:lineRule="auto"/>
        <w:rPr>
          <w:sz w:val="20"/>
          <w:szCs w:val="20"/>
          <w:color w:val="auto"/>
        </w:rPr>
      </w:pPr>
      <w:r>
        <w:rPr>
          <w:rFonts w:ascii="Arial" w:cs="Arial" w:eastAsia="Arial" w:hAnsi="Arial"/>
          <w:sz w:val="15"/>
          <w:szCs w:val="15"/>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68" w:lineRule="exact"/>
        <w:rPr>
          <w:sz w:val="20"/>
          <w:szCs w:val="20"/>
          <w:color w:val="auto"/>
        </w:rPr>
      </w:pPr>
    </w:p>
    <w:p>
      <w:pPr>
        <w:ind w:right="100" w:firstLine="354"/>
        <w:spacing w:after="0" w:line="254" w:lineRule="auto"/>
        <w:rPr>
          <w:sz w:val="20"/>
          <w:szCs w:val="20"/>
          <w:color w:val="auto"/>
        </w:rPr>
      </w:pPr>
      <w:r>
        <w:rPr>
          <w:rFonts w:ascii="Arial" w:cs="Arial" w:eastAsia="Arial" w:hAnsi="Arial"/>
          <w:sz w:val="15"/>
          <w:szCs w:val="15"/>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04" w:lineRule="exact"/>
        <w:rPr>
          <w:sz w:val="20"/>
          <w:szCs w:val="20"/>
          <w:color w:val="auto"/>
        </w:rPr>
      </w:pPr>
    </w:p>
    <w:p>
      <w:pPr>
        <w:jc w:val="both"/>
        <w:ind w:right="80" w:firstLine="354"/>
        <w:spacing w:after="0" w:line="263" w:lineRule="auto"/>
        <w:rPr>
          <w:sz w:val="20"/>
          <w:szCs w:val="20"/>
          <w:color w:val="auto"/>
        </w:rPr>
      </w:pPr>
      <w:r>
        <w:rPr>
          <w:rFonts w:ascii="Arial" w:cs="Arial" w:eastAsia="Arial" w:hAnsi="Arial"/>
          <w:sz w:val="15"/>
          <w:szCs w:val="15"/>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96" w:lineRule="exact"/>
        <w:rPr>
          <w:sz w:val="20"/>
          <w:szCs w:val="20"/>
          <w:color w:val="auto"/>
        </w:rPr>
      </w:pPr>
    </w:p>
    <w:p>
      <w:pPr>
        <w:ind w:right="60" w:firstLine="354"/>
        <w:spacing w:after="0" w:line="257" w:lineRule="auto"/>
        <w:rPr>
          <w:sz w:val="20"/>
          <w:szCs w:val="20"/>
          <w:color w:val="auto"/>
        </w:rPr>
      </w:pPr>
      <w:r>
        <w:rPr>
          <w:rFonts w:ascii="Arial" w:cs="Arial" w:eastAsia="Arial" w:hAnsi="Arial"/>
          <w:sz w:val="15"/>
          <w:szCs w:val="15"/>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01" w:lineRule="exact"/>
        <w:rPr>
          <w:sz w:val="20"/>
          <w:szCs w:val="20"/>
          <w:color w:val="auto"/>
        </w:rPr>
      </w:pPr>
    </w:p>
    <w:p>
      <w:pPr>
        <w:ind w:right="120" w:firstLine="354"/>
        <w:spacing w:after="0" w:line="257" w:lineRule="auto"/>
        <w:rPr>
          <w:sz w:val="20"/>
          <w:szCs w:val="20"/>
          <w:color w:val="auto"/>
        </w:rPr>
      </w:pPr>
      <w:r>
        <w:rPr>
          <w:rFonts w:ascii="Arial" w:cs="Arial" w:eastAsia="Arial" w:hAnsi="Arial"/>
          <w:sz w:val="15"/>
          <w:szCs w:val="15"/>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threat of continuing global economic, capital markets and credit disruptions, including sovereign debt issues, pose risks for our business.</w:t>
      </w:r>
    </w:p>
    <w:p>
      <w:pPr>
        <w:spacing w:after="0" w:line="137" w:lineRule="exact"/>
        <w:rPr>
          <w:sz w:val="20"/>
          <w:szCs w:val="20"/>
          <w:color w:val="auto"/>
        </w:rPr>
      </w:pPr>
    </w:p>
    <w:p>
      <w:pPr>
        <w:ind w:firstLine="354"/>
        <w:spacing w:after="0" w:line="274" w:lineRule="auto"/>
        <w:rPr>
          <w:sz w:val="20"/>
          <w:szCs w:val="20"/>
          <w:color w:val="auto"/>
        </w:rPr>
      </w:pPr>
      <w:r>
        <w:rPr>
          <w:rFonts w:ascii="Arial" w:cs="Arial" w:eastAsia="Arial" w:hAnsi="Arial"/>
          <w:sz w:val="14"/>
          <w:szCs w:val="14"/>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91" w:lineRule="exact"/>
        <w:rPr>
          <w:sz w:val="20"/>
          <w:szCs w:val="20"/>
          <w:color w:val="auto"/>
        </w:rPr>
      </w:pPr>
    </w:p>
    <w:p>
      <w:pPr>
        <w:ind w:right="560"/>
        <w:spacing w:after="0" w:line="291" w:lineRule="auto"/>
        <w:rPr>
          <w:sz w:val="20"/>
          <w:szCs w:val="20"/>
          <w:color w:val="auto"/>
        </w:rPr>
      </w:pPr>
      <w:r>
        <w:rPr>
          <w:rFonts w:ascii="Arial" w:cs="Arial" w:eastAsia="Arial" w:hAnsi="Arial"/>
          <w:sz w:val="15"/>
          <w:szCs w:val="15"/>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68" w:lineRule="exact"/>
        <w:rPr>
          <w:sz w:val="20"/>
          <w:szCs w:val="20"/>
          <w:color w:val="auto"/>
        </w:rPr>
      </w:pPr>
    </w:p>
    <w:p>
      <w:pPr>
        <w:ind w:firstLine="354"/>
        <w:spacing w:after="0" w:line="251" w:lineRule="auto"/>
        <w:rPr>
          <w:sz w:val="20"/>
          <w:szCs w:val="20"/>
          <w:color w:val="auto"/>
        </w:rPr>
      </w:pPr>
      <w:r>
        <w:rPr>
          <w:rFonts w:ascii="Arial" w:cs="Arial" w:eastAsia="Arial" w:hAnsi="Arial"/>
          <w:sz w:val="15"/>
          <w:szCs w:val="15"/>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40"/>
          </w:cols>
          <w:pgMar w:left="220" w:top="120"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08" w:lineRule="exact"/>
        <w:rPr>
          <w:sz w:val="20"/>
          <w:szCs w:val="20"/>
          <w:color w:val="auto"/>
        </w:rPr>
      </w:pPr>
    </w:p>
    <w:p>
      <w:pPr>
        <w:ind w:right="260"/>
        <w:spacing w:after="0" w:line="291" w:lineRule="auto"/>
        <w:rPr>
          <w:sz w:val="20"/>
          <w:szCs w:val="20"/>
          <w:color w:val="auto"/>
        </w:rPr>
      </w:pPr>
      <w:r>
        <w:rPr>
          <w:rFonts w:ascii="Arial" w:cs="Arial" w:eastAsia="Arial" w:hAnsi="Arial"/>
          <w:sz w:val="15"/>
          <w:szCs w:val="15"/>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68" w:lineRule="exact"/>
        <w:rPr>
          <w:sz w:val="20"/>
          <w:szCs w:val="20"/>
          <w:color w:val="auto"/>
        </w:rPr>
      </w:pPr>
    </w:p>
    <w:p>
      <w:pPr>
        <w:ind w:right="80" w:firstLine="354"/>
        <w:spacing w:after="0" w:line="257" w:lineRule="auto"/>
        <w:rPr>
          <w:sz w:val="20"/>
          <w:szCs w:val="20"/>
          <w:color w:val="auto"/>
        </w:rPr>
      </w:pPr>
      <w:r>
        <w:rPr>
          <w:rFonts w:ascii="Arial" w:cs="Arial" w:eastAsia="Arial" w:hAnsi="Arial"/>
          <w:sz w:val="15"/>
          <w:szCs w:val="15"/>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01" w:lineRule="exact"/>
        <w:rPr>
          <w:sz w:val="20"/>
          <w:szCs w:val="20"/>
          <w:color w:val="auto"/>
        </w:rPr>
      </w:pPr>
    </w:p>
    <w:p>
      <w:pPr>
        <w:ind w:right="100" w:firstLine="354"/>
        <w:spacing w:after="0" w:line="277" w:lineRule="auto"/>
        <w:rPr>
          <w:sz w:val="20"/>
          <w:szCs w:val="20"/>
          <w:color w:val="auto"/>
        </w:rPr>
      </w:pPr>
      <w:r>
        <w:rPr>
          <w:rFonts w:ascii="Arial" w:cs="Arial" w:eastAsia="Arial" w:hAnsi="Arial"/>
          <w:sz w:val="14"/>
          <w:szCs w:val="14"/>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88"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07" w:lineRule="exact"/>
        <w:rPr>
          <w:sz w:val="20"/>
          <w:szCs w:val="20"/>
          <w:color w:val="auto"/>
        </w:rPr>
      </w:pPr>
    </w:p>
    <w:p>
      <w:pPr>
        <w:ind w:right="80" w:firstLine="354"/>
        <w:spacing w:after="0" w:line="263" w:lineRule="auto"/>
        <w:rPr>
          <w:sz w:val="20"/>
          <w:szCs w:val="20"/>
          <w:color w:val="auto"/>
        </w:rPr>
      </w:pPr>
      <w:r>
        <w:rPr>
          <w:rFonts w:ascii="Arial" w:cs="Arial" w:eastAsia="Arial" w:hAnsi="Arial"/>
          <w:sz w:val="15"/>
          <w:szCs w:val="15"/>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20"/>
          </w:cols>
          <w:pgMar w:left="220" w:top="120" w:right="25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600"/>
        <w:spacing w:after="0" w:line="291" w:lineRule="auto"/>
        <w:rPr>
          <w:sz w:val="20"/>
          <w:szCs w:val="20"/>
          <w:color w:val="auto"/>
        </w:rPr>
      </w:pPr>
      <w:r>
        <w:rPr>
          <w:rFonts w:ascii="Arial" w:cs="Arial" w:eastAsia="Arial" w:hAnsi="Arial"/>
          <w:sz w:val="15"/>
          <w:szCs w:val="15"/>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68" w:lineRule="exact"/>
        <w:rPr>
          <w:sz w:val="20"/>
          <w:szCs w:val="20"/>
          <w:color w:val="auto"/>
        </w:rPr>
      </w:pPr>
    </w:p>
    <w:p>
      <w:pPr>
        <w:ind w:right="60" w:firstLine="354"/>
        <w:spacing w:after="0" w:line="251" w:lineRule="auto"/>
        <w:rPr>
          <w:sz w:val="20"/>
          <w:szCs w:val="20"/>
          <w:color w:val="auto"/>
        </w:rPr>
      </w:pPr>
      <w:r>
        <w:rPr>
          <w:rFonts w:ascii="Arial" w:cs="Arial" w:eastAsia="Arial" w:hAnsi="Arial"/>
          <w:sz w:val="15"/>
          <w:szCs w:val="15"/>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04" w:lineRule="exact"/>
        <w:rPr>
          <w:sz w:val="20"/>
          <w:szCs w:val="20"/>
          <w:color w:val="auto"/>
        </w:rPr>
      </w:pPr>
    </w:p>
    <w:p>
      <w:pPr>
        <w:ind w:right="40" w:firstLine="354"/>
        <w:spacing w:after="0" w:line="252" w:lineRule="auto"/>
        <w:rPr>
          <w:sz w:val="20"/>
          <w:szCs w:val="20"/>
          <w:color w:val="auto"/>
        </w:rPr>
      </w:pPr>
      <w:r>
        <w:rPr>
          <w:rFonts w:ascii="Arial" w:cs="Arial" w:eastAsia="Arial" w:hAnsi="Arial"/>
          <w:sz w:val="15"/>
          <w:szCs w:val="15"/>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07" w:lineRule="exact"/>
        <w:rPr>
          <w:sz w:val="20"/>
          <w:szCs w:val="20"/>
          <w:color w:val="auto"/>
        </w:rPr>
      </w:pPr>
    </w:p>
    <w:p>
      <w:pPr>
        <w:ind w:firstLine="354"/>
        <w:spacing w:after="0" w:line="257" w:lineRule="auto"/>
        <w:rPr>
          <w:sz w:val="20"/>
          <w:szCs w:val="20"/>
          <w:color w:val="auto"/>
        </w:rPr>
      </w:pPr>
      <w:r>
        <w:rPr>
          <w:rFonts w:ascii="Arial" w:cs="Arial" w:eastAsia="Arial" w:hAnsi="Arial"/>
          <w:sz w:val="15"/>
          <w:szCs w:val="15"/>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effectively manage our workforce, our business and operating results may suffer.</w:t>
      </w:r>
    </w:p>
    <w:p>
      <w:pPr>
        <w:spacing w:after="0" w:line="93" w:lineRule="exact"/>
        <w:rPr>
          <w:sz w:val="20"/>
          <w:szCs w:val="20"/>
          <w:color w:val="auto"/>
        </w:rPr>
      </w:pPr>
    </w:p>
    <w:p>
      <w:pPr>
        <w:ind w:right="80" w:firstLine="354"/>
        <w:spacing w:after="0" w:line="276" w:lineRule="auto"/>
        <w:rPr>
          <w:sz w:val="20"/>
          <w:szCs w:val="20"/>
          <w:color w:val="auto"/>
        </w:rPr>
      </w:pPr>
      <w:r>
        <w:rPr>
          <w:rFonts w:ascii="Arial" w:cs="Arial" w:eastAsia="Arial" w:hAnsi="Arial"/>
          <w:sz w:val="15"/>
          <w:szCs w:val="15"/>
          <w:color w:val="auto"/>
        </w:rPr>
        <w:t>We have experienced, and expect to experience in the future, volatility in our sales and operations. Our historical growth has placed, and planned future growth plans are expected to continue to place, significant demands on our management as well as our financial and operational resources, to:</w:t>
      </w:r>
    </w:p>
    <w:p>
      <w:pPr>
        <w:spacing w:after="0" w:line="1" w:lineRule="exact"/>
        <w:rPr>
          <w:sz w:val="20"/>
          <w:szCs w:val="20"/>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manage a dynamic organization;</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expand third-party manufacturing, testing and distribution capacity;</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build additional custom manufacturing test equipment;</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manage an increasing number of relationships with customers, suppliers and other third parties;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increase our sales and marketing efforts;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train and manage a dynamic employee base;</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broaden our customer support capabilities;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implement new and upgrade existing operational and financial systems;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enhance our financial disclosure controls and procedures.</w:t>
      </w:r>
    </w:p>
    <w:p>
      <w:pPr>
        <w:spacing w:after="0" w:line="181" w:lineRule="exact"/>
        <w:rPr>
          <w:sz w:val="20"/>
          <w:szCs w:val="20"/>
          <w:color w:val="auto"/>
        </w:rPr>
      </w:pPr>
    </w:p>
    <w:p>
      <w:pPr>
        <w:ind w:right="120" w:firstLine="354"/>
        <w:spacing w:after="0" w:line="263" w:lineRule="auto"/>
        <w:rPr>
          <w:sz w:val="20"/>
          <w:szCs w:val="20"/>
          <w:color w:val="auto"/>
        </w:rPr>
      </w:pPr>
      <w:r>
        <w:rPr>
          <w:rFonts w:ascii="Arial" w:cs="Arial" w:eastAsia="Arial" w:hAnsi="Arial"/>
          <w:sz w:val="15"/>
          <w:szCs w:val="15"/>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recent and planned expansion into new markets could subject us to additional business, financial and competitive risks.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60"/>
          </w:cols>
          <w:pgMar w:left="220" w:top="120"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93" w:lineRule="exact"/>
        <w:rPr>
          <w:sz w:val="20"/>
          <w:szCs w:val="20"/>
          <w:color w:val="auto"/>
        </w:rPr>
      </w:pPr>
    </w:p>
    <w:p>
      <w:pPr>
        <w:ind w:firstLine="365"/>
        <w:spacing w:after="0" w:line="257" w:lineRule="auto"/>
        <w:rPr>
          <w:sz w:val="20"/>
          <w:szCs w:val="20"/>
          <w:color w:val="auto"/>
        </w:rPr>
      </w:pPr>
      <w:r>
        <w:rPr>
          <w:rFonts w:ascii="Arial" w:cs="Arial" w:eastAsia="Arial" w:hAnsi="Arial"/>
          <w:sz w:val="15"/>
          <w:szCs w:val="15"/>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13" w:lineRule="exact"/>
        <w:rPr>
          <w:sz w:val="20"/>
          <w:szCs w:val="20"/>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acceptance of microinverters in markets in which they have not traditionally been used;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compete in new product markets to which we are not accustomed;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manage an increasing manufacturing capacity and production;</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willingness of our potential customers to incur a higher upfront capital investment than may be required for competing solutions;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develop solutions to address the requirements of the larger commercial and utility-scale markets;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timely qualification and certification of new products for larger commercial and utility-scale installations;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ability to reduce production costs in order to price our products competitively over time;</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availability of government subsidies and economic incentives for solar energy solutions;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accurate forecasting and effective management of inventory levels in line with anticipated product demand;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customer service capabilities and responsiveness.</w:t>
      </w:r>
    </w:p>
    <w:p>
      <w:pPr>
        <w:spacing w:after="0" w:line="137" w:lineRule="exact"/>
        <w:rPr>
          <w:sz w:val="20"/>
          <w:szCs w:val="20"/>
          <w:color w:val="auto"/>
        </w:rPr>
      </w:pPr>
    </w:p>
    <w:p>
      <w:pPr>
        <w:ind w:right="100" w:firstLine="354"/>
        <w:spacing w:after="0" w:line="276" w:lineRule="auto"/>
        <w:rPr>
          <w:sz w:val="20"/>
          <w:szCs w:val="20"/>
          <w:color w:val="auto"/>
        </w:rPr>
      </w:pPr>
      <w:r>
        <w:rPr>
          <w:rFonts w:ascii="Arial" w:cs="Arial" w:eastAsia="Arial" w:hAnsi="Arial"/>
          <w:sz w:val="15"/>
          <w:szCs w:val="15"/>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800" w:right="220" w:hanging="394"/>
        <w:spacing w:after="0" w:line="280"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differing regulatory requirements, including tax laws, trade laws, labor, safety, local content, recycling and consumer protection regulations, tariffs, export quotas, customs duties or other trade restrictions;</w:t>
      </w:r>
    </w:p>
    <w:p>
      <w:pPr>
        <w:spacing w:after="0" w:line="39"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limited or unfavorable intellectual property protection;</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risk of change in international political or economic conditions;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restrictions on the repatriation of earnings;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fluctuations in the value of foreign currencies and interest rates;</w:t>
      </w:r>
    </w:p>
    <w:p>
      <w:pPr>
        <w:spacing w:after="0" w:line="92" w:lineRule="exact"/>
        <w:rPr>
          <w:rFonts w:ascii="Arial" w:cs="Arial" w:eastAsia="Arial" w:hAnsi="Arial"/>
          <w:sz w:val="15"/>
          <w:szCs w:val="15"/>
          <w:color w:val="auto"/>
        </w:rPr>
      </w:pPr>
    </w:p>
    <w:p>
      <w:pPr>
        <w:ind w:left="800" w:right="200" w:hanging="394"/>
        <w:spacing w:after="0" w:line="280"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difficulties and increased expenses in complying with a variety of U.S. and foreign laws, regulations and trade standards, including the Foreign Corrupt Practices Act;</w:t>
      </w:r>
    </w:p>
    <w:p>
      <w:pPr>
        <w:spacing w:after="0" w:line="39"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potentially longer sales cycles;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higher volume requirements;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increased customer concentrations;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warranty expectations and product return policies;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cost, performance and compatibility requirements.</w:t>
      </w:r>
    </w:p>
    <w:p>
      <w:pPr>
        <w:spacing w:after="0" w:line="181" w:lineRule="exact"/>
        <w:rPr>
          <w:sz w:val="20"/>
          <w:szCs w:val="20"/>
          <w:color w:val="auto"/>
        </w:rPr>
      </w:pPr>
    </w:p>
    <w:p>
      <w:pPr>
        <w:ind w:right="220" w:firstLine="354"/>
        <w:spacing w:after="0" w:line="263" w:lineRule="auto"/>
        <w:rPr>
          <w:sz w:val="20"/>
          <w:szCs w:val="20"/>
          <w:color w:val="auto"/>
        </w:rPr>
      </w:pPr>
      <w:r>
        <w:rPr>
          <w:rFonts w:ascii="Arial" w:cs="Arial" w:eastAsia="Arial" w:hAnsi="Arial"/>
          <w:sz w:val="15"/>
          <w:szCs w:val="15"/>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Ordering patterns from our distributors may cause our revenue to fluctuate significantly from period to period.</w:t>
      </w:r>
    </w:p>
    <w:p>
      <w:pPr>
        <w:spacing w:after="0" w:line="137" w:lineRule="exact"/>
        <w:rPr>
          <w:sz w:val="20"/>
          <w:szCs w:val="20"/>
          <w:color w:val="auto"/>
        </w:rPr>
      </w:pPr>
    </w:p>
    <w:p>
      <w:pPr>
        <w:ind w:right="20" w:firstLine="354"/>
        <w:spacing w:after="0" w:line="252" w:lineRule="auto"/>
        <w:rPr>
          <w:sz w:val="20"/>
          <w:szCs w:val="20"/>
          <w:color w:val="auto"/>
        </w:rPr>
      </w:pPr>
      <w:r>
        <w:rPr>
          <w:rFonts w:ascii="Arial" w:cs="Arial" w:eastAsia="Arial" w:hAnsi="Arial"/>
          <w:sz w:val="15"/>
          <w:szCs w:val="15"/>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0"/>
          </w:cols>
          <w:pgMar w:left="220" w:top="120"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980"/>
        <w:spacing w:after="0" w:line="291" w:lineRule="auto"/>
        <w:rPr>
          <w:sz w:val="20"/>
          <w:szCs w:val="20"/>
          <w:color w:val="auto"/>
        </w:rPr>
      </w:pPr>
      <w:r>
        <w:rPr>
          <w:rFonts w:ascii="Arial" w:cs="Arial" w:eastAsia="Arial" w:hAnsi="Arial"/>
          <w:sz w:val="15"/>
          <w:szCs w:val="15"/>
          <w:b w:val="1"/>
          <w:bCs w:val="1"/>
          <w:i w:val="1"/>
          <w:iCs w:val="1"/>
          <w:color w:val="auto"/>
        </w:rPr>
        <w:t>We depend upon a small number of outside contract manufacturers. Our operations could be disrupted if we encounter problems with these contract manufacturers.</w:t>
      </w:r>
    </w:p>
    <w:p>
      <w:pPr>
        <w:spacing w:after="0" w:line="68" w:lineRule="exact"/>
        <w:rPr>
          <w:sz w:val="20"/>
          <w:szCs w:val="20"/>
          <w:color w:val="auto"/>
        </w:rPr>
      </w:pPr>
    </w:p>
    <w:p>
      <w:pPr>
        <w:ind w:right="40" w:firstLine="354"/>
        <w:spacing w:after="0" w:line="254" w:lineRule="auto"/>
        <w:rPr>
          <w:sz w:val="20"/>
          <w:szCs w:val="20"/>
          <w:color w:val="auto"/>
        </w:rPr>
      </w:pPr>
      <w:r>
        <w:rPr>
          <w:rFonts w:ascii="Arial" w:cs="Arial" w:eastAsia="Arial" w:hAnsi="Arial"/>
          <w:sz w:val="15"/>
          <w:szCs w:val="15"/>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04" w:lineRule="exact"/>
        <w:rPr>
          <w:sz w:val="20"/>
          <w:szCs w:val="20"/>
          <w:color w:val="auto"/>
        </w:rPr>
      </w:pPr>
    </w:p>
    <w:p>
      <w:pPr>
        <w:ind w:right="40" w:firstLine="354"/>
        <w:spacing w:after="0" w:line="257" w:lineRule="auto"/>
        <w:rPr>
          <w:sz w:val="20"/>
          <w:szCs w:val="20"/>
          <w:color w:val="auto"/>
        </w:rPr>
      </w:pPr>
      <w:r>
        <w:rPr>
          <w:rFonts w:ascii="Arial" w:cs="Arial" w:eastAsia="Arial" w:hAnsi="Arial"/>
          <w:sz w:val="15"/>
          <w:szCs w:val="15"/>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01" w:lineRule="exact"/>
        <w:rPr>
          <w:sz w:val="20"/>
          <w:szCs w:val="20"/>
          <w:color w:val="auto"/>
        </w:rPr>
      </w:pPr>
    </w:p>
    <w:p>
      <w:pPr>
        <w:ind w:right="20" w:firstLine="354"/>
        <w:spacing w:after="0" w:line="254" w:lineRule="auto"/>
        <w:rPr>
          <w:sz w:val="20"/>
          <w:szCs w:val="20"/>
          <w:color w:val="auto"/>
        </w:rPr>
      </w:pPr>
      <w:r>
        <w:rPr>
          <w:rFonts w:ascii="Arial" w:cs="Arial" w:eastAsia="Arial" w:hAnsi="Arial"/>
          <w:sz w:val="15"/>
          <w:szCs w:val="15"/>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Manufacturing problems could result in delays in product shipments to customers and could adversely affect our revenue, competitive position and reputation.</w:t>
      </w:r>
    </w:p>
    <w:p>
      <w:pPr>
        <w:spacing w:after="0" w:line="137" w:lineRule="exact"/>
        <w:rPr>
          <w:sz w:val="20"/>
          <w:szCs w:val="20"/>
          <w:color w:val="auto"/>
        </w:rPr>
      </w:pPr>
    </w:p>
    <w:p>
      <w:pPr>
        <w:ind w:right="140" w:firstLine="354"/>
        <w:spacing w:after="0" w:line="252" w:lineRule="auto"/>
        <w:rPr>
          <w:sz w:val="20"/>
          <w:szCs w:val="20"/>
          <w:color w:val="auto"/>
        </w:rPr>
      </w:pPr>
      <w:r>
        <w:rPr>
          <w:rFonts w:ascii="Arial" w:cs="Arial" w:eastAsia="Arial" w:hAnsi="Arial"/>
          <w:sz w:val="15"/>
          <w:szCs w:val="15"/>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07" w:lineRule="exact"/>
        <w:rPr>
          <w:sz w:val="20"/>
          <w:szCs w:val="20"/>
          <w:color w:val="auto"/>
        </w:rPr>
      </w:pPr>
    </w:p>
    <w:p>
      <w:pPr>
        <w:ind w:firstLine="354"/>
        <w:spacing w:after="0" w:line="257" w:lineRule="auto"/>
        <w:rPr>
          <w:sz w:val="20"/>
          <w:szCs w:val="20"/>
          <w:color w:val="auto"/>
        </w:rPr>
      </w:pPr>
      <w:r>
        <w:rPr>
          <w:rFonts w:ascii="Arial" w:cs="Arial" w:eastAsia="Arial" w:hAnsi="Arial"/>
          <w:sz w:val="15"/>
          <w:szCs w:val="15"/>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01" w:lineRule="exact"/>
        <w:rPr>
          <w:sz w:val="20"/>
          <w:szCs w:val="20"/>
          <w:color w:val="auto"/>
        </w:rPr>
      </w:pPr>
    </w:p>
    <w:p>
      <w:pPr>
        <w:ind w:right="100" w:firstLine="354"/>
        <w:spacing w:after="0" w:line="252" w:lineRule="auto"/>
        <w:rPr>
          <w:sz w:val="20"/>
          <w:szCs w:val="20"/>
          <w:color w:val="auto"/>
        </w:rPr>
      </w:pPr>
      <w:r>
        <w:rPr>
          <w:rFonts w:ascii="Arial" w:cs="Arial" w:eastAsia="Arial" w:hAnsi="Arial"/>
          <w:sz w:val="15"/>
          <w:szCs w:val="15"/>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07" w:lineRule="exact"/>
        <w:rPr>
          <w:sz w:val="20"/>
          <w:szCs w:val="20"/>
          <w:color w:val="auto"/>
        </w:rPr>
      </w:pPr>
    </w:p>
    <w:p>
      <w:pPr>
        <w:ind w:right="40" w:firstLine="354"/>
        <w:spacing w:after="0" w:line="263" w:lineRule="auto"/>
        <w:rPr>
          <w:sz w:val="20"/>
          <w:szCs w:val="20"/>
          <w:color w:val="auto"/>
        </w:rPr>
      </w:pPr>
      <w:r>
        <w:rPr>
          <w:rFonts w:ascii="Arial" w:cs="Arial" w:eastAsia="Arial" w:hAnsi="Arial"/>
          <w:sz w:val="15"/>
          <w:szCs w:val="15"/>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0"/>
          </w:cols>
          <w:pgMar w:left="220" w:top="120" w:right="23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result in a material adverse effect on our revenue, gross profit, competitive position, and distributor and customer relationships.</w:t>
      </w:r>
    </w:p>
    <w:p>
      <w:pPr>
        <w:spacing w:after="0" w:line="137"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68" w:lineRule="exact"/>
        <w:rPr>
          <w:sz w:val="20"/>
          <w:szCs w:val="20"/>
          <w:color w:val="auto"/>
        </w:rPr>
      </w:pPr>
    </w:p>
    <w:p>
      <w:pPr>
        <w:ind w:firstLine="354"/>
        <w:spacing w:after="0" w:line="270" w:lineRule="auto"/>
        <w:rPr>
          <w:sz w:val="20"/>
          <w:szCs w:val="20"/>
          <w:color w:val="auto"/>
        </w:rPr>
      </w:pPr>
      <w:r>
        <w:rPr>
          <w:rFonts w:ascii="Arial" w:cs="Arial" w:eastAsia="Arial" w:hAnsi="Arial"/>
          <w:sz w:val="14"/>
          <w:szCs w:val="14"/>
          <w:color w:val="auto"/>
        </w:rPr>
        <w:t>We depend on sole source and limited source suppliers for key components of our products. For example, our ASICs are purchased from a sole source supplier or developed for us by sole source suppliers. Similarly, the battery cells for our AC Battery product will also initially be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94" w:lineRule="exact"/>
        <w:rPr>
          <w:sz w:val="20"/>
          <w:szCs w:val="20"/>
          <w:color w:val="auto"/>
        </w:rPr>
      </w:pPr>
    </w:p>
    <w:p>
      <w:pPr>
        <w:ind w:right="240"/>
        <w:spacing w:after="0" w:line="291" w:lineRule="auto"/>
        <w:rPr>
          <w:sz w:val="20"/>
          <w:szCs w:val="20"/>
          <w:color w:val="auto"/>
        </w:rPr>
      </w:pPr>
      <w:r>
        <w:rPr>
          <w:rFonts w:ascii="Arial" w:cs="Arial" w:eastAsia="Arial" w:hAnsi="Arial"/>
          <w:sz w:val="15"/>
          <w:szCs w:val="15"/>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68" w:lineRule="exact"/>
        <w:rPr>
          <w:sz w:val="20"/>
          <w:szCs w:val="20"/>
          <w:color w:val="auto"/>
        </w:rPr>
      </w:pPr>
    </w:p>
    <w:p>
      <w:pPr>
        <w:ind w:right="60" w:firstLine="354"/>
        <w:spacing w:after="0" w:line="249" w:lineRule="auto"/>
        <w:rPr>
          <w:sz w:val="20"/>
          <w:szCs w:val="20"/>
          <w:color w:val="auto"/>
        </w:rPr>
      </w:pPr>
      <w:r>
        <w:rPr>
          <w:rFonts w:ascii="Arial" w:cs="Arial" w:eastAsia="Arial" w:hAnsi="Arial"/>
          <w:sz w:val="15"/>
          <w:szCs w:val="15"/>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68" w:lineRule="exact"/>
        <w:rPr>
          <w:sz w:val="20"/>
          <w:szCs w:val="20"/>
          <w:color w:val="auto"/>
        </w:rPr>
      </w:pPr>
    </w:p>
    <w:p>
      <w:pPr>
        <w:ind w:right="40" w:firstLine="354"/>
        <w:spacing w:after="0" w:line="249" w:lineRule="auto"/>
        <w:rPr>
          <w:sz w:val="20"/>
          <w:szCs w:val="20"/>
          <w:color w:val="auto"/>
        </w:rPr>
      </w:pPr>
      <w:r>
        <w:rPr>
          <w:rFonts w:ascii="Arial" w:cs="Arial" w:eastAsia="Arial" w:hAnsi="Arial"/>
          <w:sz w:val="15"/>
          <w:szCs w:val="15"/>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United States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0"/>
          </w:cols>
          <w:pgMar w:left="220" w:top="120" w:right="2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84"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68"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07" w:lineRule="exact"/>
        <w:rPr>
          <w:sz w:val="20"/>
          <w:szCs w:val="20"/>
          <w:color w:val="auto"/>
        </w:rPr>
      </w:pPr>
    </w:p>
    <w:p>
      <w:pPr>
        <w:ind w:right="220" w:firstLine="354"/>
        <w:spacing w:after="0" w:line="257" w:lineRule="auto"/>
        <w:rPr>
          <w:sz w:val="20"/>
          <w:szCs w:val="20"/>
          <w:color w:val="auto"/>
        </w:rPr>
      </w:pPr>
      <w:r>
        <w:rPr>
          <w:rFonts w:ascii="Arial" w:cs="Arial" w:eastAsia="Arial" w:hAnsi="Arial"/>
          <w:sz w:val="15"/>
          <w:szCs w:val="15"/>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capture customers in the new product and geographic markets that we are pursuing.</w:t>
      </w:r>
    </w:p>
    <w:p>
      <w:pPr>
        <w:spacing w:after="0" w:line="137" w:lineRule="exact"/>
        <w:rPr>
          <w:sz w:val="20"/>
          <w:szCs w:val="20"/>
          <w:color w:val="auto"/>
        </w:rPr>
      </w:pPr>
    </w:p>
    <w:p>
      <w:pPr>
        <w:ind w:right="100" w:firstLine="354"/>
        <w:spacing w:after="0" w:line="251" w:lineRule="auto"/>
        <w:rPr>
          <w:sz w:val="20"/>
          <w:szCs w:val="20"/>
          <w:color w:val="auto"/>
        </w:rPr>
      </w:pPr>
      <w:r>
        <w:rPr>
          <w:rFonts w:ascii="Arial" w:cs="Arial" w:eastAsia="Arial" w:hAnsi="Arial"/>
          <w:sz w:val="15"/>
          <w:szCs w:val="15"/>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04" w:lineRule="exact"/>
        <w:rPr>
          <w:sz w:val="20"/>
          <w:szCs w:val="20"/>
          <w:color w:val="auto"/>
        </w:rPr>
      </w:pPr>
    </w:p>
    <w:p>
      <w:pPr>
        <w:ind w:right="320"/>
        <w:spacing w:after="0" w:line="291" w:lineRule="auto"/>
        <w:rPr>
          <w:sz w:val="20"/>
          <w:szCs w:val="20"/>
          <w:color w:val="auto"/>
        </w:rPr>
      </w:pPr>
      <w:r>
        <w:rPr>
          <w:rFonts w:ascii="Arial" w:cs="Arial" w:eastAsia="Arial" w:hAnsi="Arial"/>
          <w:sz w:val="15"/>
          <w:szCs w:val="15"/>
          <w:b w:val="1"/>
          <w:bCs w:val="1"/>
          <w:i w:val="1"/>
          <w:iCs w:val="1"/>
          <w:color w:val="auto"/>
        </w:rPr>
        <w:t>Our success in an “AC module” version of our microinverter system may depend in part upon our ability to continue to work closely with leading solar module manufacturers.</w:t>
      </w:r>
    </w:p>
    <w:p>
      <w:pPr>
        <w:spacing w:after="0" w:line="68" w:lineRule="exact"/>
        <w:rPr>
          <w:sz w:val="20"/>
          <w:szCs w:val="20"/>
          <w:color w:val="auto"/>
        </w:rPr>
      </w:pPr>
    </w:p>
    <w:p>
      <w:pPr>
        <w:ind w:right="40" w:firstLine="354"/>
        <w:spacing w:after="0" w:line="252" w:lineRule="auto"/>
        <w:rPr>
          <w:sz w:val="20"/>
          <w:szCs w:val="20"/>
          <w:color w:val="auto"/>
        </w:rPr>
      </w:pPr>
      <w:r>
        <w:rPr>
          <w:rFonts w:ascii="Arial" w:cs="Arial" w:eastAsia="Arial" w:hAnsi="Arial"/>
          <w:sz w:val="15"/>
          <w:szCs w:val="15"/>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0"/>
          </w:cols>
          <w:pgMar w:left="220" w:top="120" w:right="23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380"/>
        <w:spacing w:after="0" w:line="291" w:lineRule="auto"/>
        <w:rPr>
          <w:sz w:val="20"/>
          <w:szCs w:val="20"/>
          <w:color w:val="auto"/>
        </w:rPr>
      </w:pPr>
      <w:r>
        <w:rPr>
          <w:rFonts w:ascii="Arial" w:cs="Arial" w:eastAsia="Arial" w:hAnsi="Arial"/>
          <w:sz w:val="15"/>
          <w:szCs w:val="15"/>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4" w:lineRule="exact"/>
        <w:rPr>
          <w:sz w:val="20"/>
          <w:szCs w:val="20"/>
          <w:color w:val="auto"/>
        </w:rPr>
      </w:pPr>
    </w:p>
    <w:p>
      <w:pPr>
        <w:ind w:right="60" w:firstLine="354"/>
        <w:spacing w:after="0" w:line="254" w:lineRule="auto"/>
        <w:rPr>
          <w:sz w:val="20"/>
          <w:szCs w:val="20"/>
          <w:color w:val="auto"/>
        </w:rPr>
      </w:pPr>
      <w:r>
        <w:rPr>
          <w:rFonts w:ascii="Arial" w:cs="Arial" w:eastAsia="Arial" w:hAnsi="Arial"/>
          <w:sz w:val="15"/>
          <w:szCs w:val="15"/>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04"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68" w:lineRule="exact"/>
        <w:rPr>
          <w:sz w:val="20"/>
          <w:szCs w:val="20"/>
          <w:color w:val="auto"/>
        </w:rPr>
      </w:pPr>
    </w:p>
    <w:p>
      <w:pPr>
        <w:ind w:firstLine="354"/>
        <w:spacing w:after="0" w:line="272" w:lineRule="auto"/>
        <w:rPr>
          <w:sz w:val="20"/>
          <w:szCs w:val="20"/>
          <w:color w:val="auto"/>
        </w:rPr>
      </w:pPr>
      <w:r>
        <w:rPr>
          <w:rFonts w:ascii="Arial" w:cs="Arial" w:eastAsia="Arial" w:hAnsi="Arial"/>
          <w:sz w:val="14"/>
          <w:szCs w:val="14"/>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93" w:lineRule="exact"/>
        <w:rPr>
          <w:sz w:val="20"/>
          <w:szCs w:val="20"/>
          <w:color w:val="auto"/>
        </w:rPr>
      </w:pPr>
    </w:p>
    <w:p>
      <w:pPr>
        <w:ind w:right="20" w:firstLine="354"/>
        <w:spacing w:after="0" w:line="251" w:lineRule="auto"/>
        <w:rPr>
          <w:sz w:val="20"/>
          <w:szCs w:val="20"/>
          <w:color w:val="auto"/>
        </w:rPr>
      </w:pPr>
      <w:r>
        <w:rPr>
          <w:rFonts w:ascii="Arial" w:cs="Arial" w:eastAsia="Arial" w:hAnsi="Arial"/>
          <w:sz w:val="15"/>
          <w:szCs w:val="15"/>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04" w:lineRule="exact"/>
        <w:rPr>
          <w:sz w:val="20"/>
          <w:szCs w:val="20"/>
          <w:color w:val="auto"/>
        </w:rPr>
      </w:pPr>
    </w:p>
    <w:p>
      <w:pPr>
        <w:ind w:firstLine="354"/>
        <w:spacing w:after="0" w:line="257" w:lineRule="auto"/>
        <w:rPr>
          <w:sz w:val="20"/>
          <w:szCs w:val="20"/>
          <w:color w:val="auto"/>
        </w:rPr>
      </w:pPr>
      <w:r>
        <w:rPr>
          <w:rFonts w:ascii="Arial" w:cs="Arial" w:eastAsia="Arial" w:hAnsi="Arial"/>
          <w:sz w:val="15"/>
          <w:szCs w:val="15"/>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01" w:lineRule="exact"/>
        <w:rPr>
          <w:sz w:val="20"/>
          <w:szCs w:val="20"/>
          <w:color w:val="auto"/>
        </w:rPr>
      </w:pPr>
    </w:p>
    <w:p>
      <w:pPr>
        <w:ind w:right="380"/>
        <w:spacing w:after="0" w:line="291" w:lineRule="auto"/>
        <w:rPr>
          <w:sz w:val="20"/>
          <w:szCs w:val="20"/>
          <w:color w:val="auto"/>
        </w:rPr>
      </w:pPr>
      <w:r>
        <w:rPr>
          <w:rFonts w:ascii="Arial" w:cs="Arial" w:eastAsia="Arial" w:hAnsi="Arial"/>
          <w:sz w:val="15"/>
          <w:szCs w:val="15"/>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68" w:lineRule="exact"/>
        <w:rPr>
          <w:sz w:val="20"/>
          <w:szCs w:val="20"/>
          <w:color w:val="auto"/>
        </w:rPr>
      </w:pPr>
    </w:p>
    <w:p>
      <w:pPr>
        <w:ind w:right="20" w:firstLine="354"/>
        <w:spacing w:after="0" w:line="251" w:lineRule="auto"/>
        <w:rPr>
          <w:sz w:val="20"/>
          <w:szCs w:val="20"/>
          <w:color w:val="auto"/>
        </w:rPr>
      </w:pPr>
      <w:r>
        <w:rPr>
          <w:rFonts w:ascii="Arial" w:cs="Arial" w:eastAsia="Arial" w:hAnsi="Arial"/>
          <w:sz w:val="15"/>
          <w:szCs w:val="15"/>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As we become more visible as a publicly traded company, the possibility that third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60"/>
          </w:cols>
          <w:pgMar w:left="220" w:top="120"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parties may make claims of intellectual property infringement or other violations against us may grow. An adverse outcome with respect to any such claim could invalidate our proprietary rights and force us to do one or more of the following:</w:t>
      </w:r>
    </w:p>
    <w:p>
      <w:pPr>
        <w:spacing w:after="0" w:line="1" w:lineRule="exact"/>
        <w:rPr>
          <w:sz w:val="20"/>
          <w:szCs w:val="20"/>
          <w:color w:val="auto"/>
        </w:rPr>
      </w:pPr>
    </w:p>
    <w:p>
      <w:pPr>
        <w:ind w:left="800" w:hanging="394"/>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obtain from a third party claiming infringement a license to sell or use the relevant technology, which may not be available on reasonable terms, or at all;</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stop manufacturing, selling, incorporating or using our products that embody the asserted intellectual property;</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pay substantial monetary damages;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indemnify our customers pursuant to indemnification obligations under some of our customer contracts; or</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expend significant resources to redesign the products that use the infringing technology and to develop or acquire non-infringing technology.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Any of these actions could result in a substantial reduction in our revenue and could result in losses over an extended period of time.</w:t>
      </w:r>
    </w:p>
    <w:p>
      <w:pPr>
        <w:spacing w:after="0" w:line="137"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68" w:lineRule="exact"/>
        <w:rPr>
          <w:sz w:val="20"/>
          <w:szCs w:val="20"/>
          <w:color w:val="auto"/>
        </w:rPr>
      </w:pPr>
    </w:p>
    <w:p>
      <w:pPr>
        <w:ind w:firstLine="354"/>
        <w:spacing w:after="0" w:line="249" w:lineRule="auto"/>
        <w:rPr>
          <w:sz w:val="20"/>
          <w:szCs w:val="20"/>
          <w:color w:val="auto"/>
        </w:rPr>
      </w:pPr>
      <w:r>
        <w:rPr>
          <w:rFonts w:ascii="Arial" w:cs="Arial" w:eastAsia="Arial" w:hAnsi="Arial"/>
          <w:sz w:val="15"/>
          <w:szCs w:val="15"/>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has been and could continue to be affected by seasonal trends and construction cycles.</w:t>
      </w:r>
    </w:p>
    <w:p>
      <w:pPr>
        <w:spacing w:after="0" w:line="137" w:lineRule="exact"/>
        <w:rPr>
          <w:sz w:val="20"/>
          <w:szCs w:val="20"/>
          <w:color w:val="auto"/>
        </w:rPr>
      </w:pPr>
    </w:p>
    <w:p>
      <w:pPr>
        <w:ind w:firstLine="354"/>
        <w:spacing w:after="0" w:line="251" w:lineRule="auto"/>
        <w:rPr>
          <w:sz w:val="20"/>
          <w:szCs w:val="20"/>
          <w:color w:val="auto"/>
        </w:rPr>
      </w:pPr>
      <w:r>
        <w:rPr>
          <w:rFonts w:ascii="Arial" w:cs="Arial" w:eastAsia="Arial" w:hAnsi="Arial"/>
          <w:sz w:val="15"/>
          <w:szCs w:val="15"/>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08" w:lineRule="exact"/>
        <w:rPr>
          <w:sz w:val="20"/>
          <w:szCs w:val="20"/>
          <w:color w:val="auto"/>
        </w:rPr>
      </w:pPr>
    </w:p>
    <w:p>
      <w:pPr>
        <w:ind w:right="280"/>
        <w:spacing w:after="0" w:line="291" w:lineRule="auto"/>
        <w:rPr>
          <w:sz w:val="20"/>
          <w:szCs w:val="20"/>
          <w:color w:val="auto"/>
        </w:rPr>
      </w:pPr>
      <w:r>
        <w:rPr>
          <w:rFonts w:ascii="Arial" w:cs="Arial" w:eastAsia="Arial" w:hAnsi="Arial"/>
          <w:sz w:val="15"/>
          <w:szCs w:val="15"/>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68" w:lineRule="exact"/>
        <w:rPr>
          <w:sz w:val="20"/>
          <w:szCs w:val="20"/>
          <w:color w:val="auto"/>
        </w:rPr>
      </w:pPr>
    </w:p>
    <w:p>
      <w:pPr>
        <w:ind w:right="560" w:firstLine="354"/>
        <w:spacing w:after="0" w:line="263" w:lineRule="auto"/>
        <w:rPr>
          <w:sz w:val="20"/>
          <w:szCs w:val="20"/>
          <w:color w:val="auto"/>
        </w:rPr>
      </w:pPr>
      <w:r>
        <w:rPr>
          <w:rFonts w:ascii="Arial" w:cs="Arial" w:eastAsia="Arial" w:hAnsi="Arial"/>
          <w:sz w:val="15"/>
          <w:szCs w:val="15"/>
          <w:color w:val="auto"/>
        </w:rPr>
        <w:t>We are a party to a loan and security agreement with Wells Fargo Bank, National Association (“Wells Fargo”) and a term loan agreement with affiliates of Tennenbaum Capital Partners, LLC (“TCP”). These agreements restrict our ability to take certain actions such as incurring additional debt, encumbering our tangible or intangible property,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20"/>
          </w:cols>
          <w:pgMar w:left="220" w:top="120" w:right="25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paying dividends, or engaging in certain transactions, such as mergers and acquisitions, investments and asset sales. Our loan and security agreement with Wells Fargo also requires us to maintain certain financial covenants, including liquidity ratios. These restrictions may limit our flexibility in responding to business opportunities, competitive developments and adverse economic or industry conditions. In addition, our obligations under these agreements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07"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68" w:lineRule="exact"/>
        <w:rPr>
          <w:sz w:val="20"/>
          <w:szCs w:val="20"/>
          <w:color w:val="auto"/>
        </w:rPr>
      </w:pPr>
    </w:p>
    <w:p>
      <w:pPr>
        <w:ind w:firstLine="354"/>
        <w:spacing w:after="0" w:line="249" w:lineRule="auto"/>
        <w:rPr>
          <w:sz w:val="20"/>
          <w:szCs w:val="20"/>
          <w:color w:val="auto"/>
        </w:rPr>
      </w:pPr>
      <w:r>
        <w:rPr>
          <w:rFonts w:ascii="Arial" w:cs="Arial" w:eastAsia="Arial" w:hAnsi="Arial"/>
          <w:sz w:val="15"/>
          <w:szCs w:val="15"/>
          <w:color w:val="auto"/>
        </w:rPr>
        <w:t>We are an “emerging growth company,” as defined in the Jumpstart Our Business Startups Act enacted in April 2012, or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85" w:lineRule="exact"/>
        <w:rPr>
          <w:sz w:val="20"/>
          <w:szCs w:val="20"/>
          <w:color w:val="auto"/>
        </w:rPr>
      </w:pPr>
    </w:p>
    <w:p>
      <w:pPr>
        <w:ind w:right="120" w:firstLine="354"/>
        <w:spacing w:after="0" w:line="249" w:lineRule="auto"/>
        <w:rPr>
          <w:sz w:val="20"/>
          <w:szCs w:val="20"/>
          <w:color w:val="auto"/>
        </w:rPr>
      </w:pPr>
      <w:r>
        <w:rPr>
          <w:rFonts w:ascii="Arial" w:cs="Arial" w:eastAsia="Arial" w:hAnsi="Arial"/>
          <w:sz w:val="15"/>
          <w:szCs w:val="15"/>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07" w:lineRule="exact"/>
        <w:rPr>
          <w:sz w:val="20"/>
          <w:szCs w:val="20"/>
          <w:color w:val="auto"/>
        </w:rPr>
      </w:pPr>
    </w:p>
    <w:p>
      <w:pPr>
        <w:ind w:right="340"/>
        <w:spacing w:after="0" w:line="291" w:lineRule="auto"/>
        <w:rPr>
          <w:sz w:val="20"/>
          <w:szCs w:val="20"/>
          <w:color w:val="auto"/>
        </w:rPr>
      </w:pPr>
      <w:r>
        <w:rPr>
          <w:rFonts w:ascii="Arial" w:cs="Arial" w:eastAsia="Arial" w:hAnsi="Arial"/>
          <w:sz w:val="15"/>
          <w:szCs w:val="15"/>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68" w:lineRule="exact"/>
        <w:rPr>
          <w:sz w:val="20"/>
          <w:szCs w:val="20"/>
          <w:color w:val="auto"/>
        </w:rPr>
      </w:pPr>
    </w:p>
    <w:p>
      <w:pPr>
        <w:ind w:right="140" w:firstLine="354"/>
        <w:spacing w:after="0" w:line="263" w:lineRule="auto"/>
        <w:rPr>
          <w:sz w:val="20"/>
          <w:szCs w:val="20"/>
          <w:color w:val="auto"/>
        </w:rPr>
      </w:pPr>
      <w:r>
        <w:rPr>
          <w:rFonts w:ascii="Arial" w:cs="Arial" w:eastAsia="Arial" w:hAnsi="Arial"/>
          <w:sz w:val="15"/>
          <w:szCs w:val="15"/>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60"/>
          </w:cols>
          <w:pgMar w:left="220" w:top="120"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08" w:lineRule="exact"/>
        <w:rPr>
          <w:sz w:val="20"/>
          <w:szCs w:val="20"/>
          <w:color w:val="auto"/>
        </w:rPr>
      </w:pPr>
    </w:p>
    <w:p>
      <w:pPr>
        <w:ind w:right="20" w:firstLine="354"/>
        <w:spacing w:after="0" w:line="257" w:lineRule="auto"/>
        <w:rPr>
          <w:sz w:val="20"/>
          <w:szCs w:val="20"/>
          <w:color w:val="auto"/>
        </w:rPr>
      </w:pPr>
      <w:r>
        <w:rPr>
          <w:rFonts w:ascii="Arial" w:cs="Arial" w:eastAsia="Arial" w:hAnsi="Arial"/>
          <w:sz w:val="15"/>
          <w:szCs w:val="15"/>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Natural disasters, terrorist or cyber attacks, or other catastrophic events could harm our operations.</w:t>
      </w:r>
    </w:p>
    <w:p>
      <w:pPr>
        <w:spacing w:after="0" w:line="137" w:lineRule="exact"/>
        <w:rPr>
          <w:sz w:val="20"/>
          <w:szCs w:val="20"/>
          <w:color w:val="auto"/>
        </w:rPr>
      </w:pPr>
    </w:p>
    <w:p>
      <w:pPr>
        <w:ind w:right="120" w:firstLine="354"/>
        <w:spacing w:after="0" w:line="252" w:lineRule="auto"/>
        <w:rPr>
          <w:sz w:val="20"/>
          <w:szCs w:val="20"/>
          <w:color w:val="auto"/>
        </w:rPr>
      </w:pPr>
      <w:r>
        <w:rPr>
          <w:rFonts w:ascii="Arial" w:cs="Arial" w:eastAsia="Arial" w:hAnsi="Arial"/>
          <w:sz w:val="15"/>
          <w:szCs w:val="15"/>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unauthorized access to, or disclosure or theft of personal information we gather, store or use could harm our reputation and subject us to claims or litigation.</w:t>
      </w:r>
    </w:p>
    <w:p>
      <w:pPr>
        <w:spacing w:after="0" w:line="148" w:lineRule="exact"/>
        <w:rPr>
          <w:sz w:val="20"/>
          <w:szCs w:val="20"/>
          <w:color w:val="auto"/>
        </w:rPr>
      </w:pPr>
    </w:p>
    <w:p>
      <w:pPr>
        <w:ind w:firstLine="354"/>
        <w:spacing w:after="0" w:line="252" w:lineRule="auto"/>
        <w:rPr>
          <w:sz w:val="20"/>
          <w:szCs w:val="20"/>
          <w:color w:val="auto"/>
        </w:rPr>
      </w:pPr>
      <w:r>
        <w:rPr>
          <w:rFonts w:ascii="Arial" w:cs="Arial" w:eastAsia="Arial" w:hAnsi="Arial"/>
          <w:sz w:val="15"/>
          <w:szCs w:val="15"/>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07" w:lineRule="exact"/>
        <w:rPr>
          <w:sz w:val="20"/>
          <w:szCs w:val="20"/>
          <w:color w:val="auto"/>
        </w:rPr>
      </w:pPr>
    </w:p>
    <w:p>
      <w:pPr>
        <w:ind w:right="80" w:firstLine="354"/>
        <w:spacing w:after="0" w:line="251" w:lineRule="auto"/>
        <w:rPr>
          <w:sz w:val="20"/>
          <w:szCs w:val="20"/>
          <w:color w:val="auto"/>
        </w:rPr>
      </w:pPr>
      <w:r>
        <w:rPr>
          <w:rFonts w:ascii="Arial" w:cs="Arial" w:eastAsia="Arial" w:hAnsi="Arial"/>
          <w:sz w:val="15"/>
          <w:szCs w:val="15"/>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08" w:lineRule="exact"/>
        <w:rPr>
          <w:sz w:val="20"/>
          <w:szCs w:val="20"/>
          <w:color w:val="auto"/>
        </w:rPr>
      </w:pPr>
    </w:p>
    <w:p>
      <w:pPr>
        <w:ind w:right="500"/>
        <w:spacing w:after="0" w:line="291" w:lineRule="auto"/>
        <w:rPr>
          <w:sz w:val="20"/>
          <w:szCs w:val="20"/>
          <w:color w:val="auto"/>
        </w:rPr>
      </w:pPr>
      <w:r>
        <w:rPr>
          <w:rFonts w:ascii="Arial" w:cs="Arial" w:eastAsia="Arial" w:hAnsi="Arial"/>
          <w:sz w:val="15"/>
          <w:szCs w:val="15"/>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68" w:lineRule="exact"/>
        <w:rPr>
          <w:sz w:val="20"/>
          <w:szCs w:val="20"/>
          <w:color w:val="auto"/>
        </w:rPr>
      </w:pPr>
    </w:p>
    <w:p>
      <w:pPr>
        <w:ind w:right="380" w:firstLine="354"/>
        <w:spacing w:after="0" w:line="263" w:lineRule="auto"/>
        <w:rPr>
          <w:sz w:val="20"/>
          <w:szCs w:val="20"/>
          <w:color w:val="auto"/>
        </w:rPr>
      </w:pPr>
      <w:r>
        <w:rPr>
          <w:rFonts w:ascii="Arial" w:cs="Arial" w:eastAsia="Arial" w:hAnsi="Arial"/>
          <w:sz w:val="15"/>
          <w:szCs w:val="15"/>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60"/>
          </w:cols>
          <w:pgMar w:left="220" w:top="120" w:right="2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07"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68" w:lineRule="exact"/>
        <w:rPr>
          <w:sz w:val="20"/>
          <w:szCs w:val="20"/>
          <w:color w:val="auto"/>
        </w:rPr>
      </w:pPr>
    </w:p>
    <w:p>
      <w:pPr>
        <w:ind w:right="20" w:firstLine="354"/>
        <w:spacing w:after="0" w:line="251" w:lineRule="auto"/>
        <w:rPr>
          <w:sz w:val="20"/>
          <w:szCs w:val="20"/>
          <w:color w:val="auto"/>
        </w:rPr>
      </w:pPr>
      <w:r>
        <w:rPr>
          <w:rFonts w:ascii="Arial" w:cs="Arial" w:eastAsia="Arial" w:hAnsi="Arial"/>
          <w:sz w:val="15"/>
          <w:szCs w:val="15"/>
          <w:color w:val="auto"/>
        </w:rPr>
        <w:t>We rely on commercial ocean transportation for the delivery of a large percentage of our products to our customers in North America.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may be volatile or may decline regardless of our operating performance.</w:t>
      </w:r>
    </w:p>
    <w:p>
      <w:pPr>
        <w:spacing w:after="0" w:line="137" w:lineRule="exact"/>
        <w:rPr>
          <w:sz w:val="20"/>
          <w:szCs w:val="20"/>
          <w:color w:val="auto"/>
        </w:rPr>
      </w:pPr>
    </w:p>
    <w:p>
      <w:pPr>
        <w:ind w:right="40" w:firstLine="354"/>
        <w:spacing w:after="0" w:line="251" w:lineRule="auto"/>
        <w:rPr>
          <w:sz w:val="20"/>
          <w:szCs w:val="20"/>
          <w:color w:val="auto"/>
        </w:rPr>
      </w:pPr>
      <w:r>
        <w:rPr>
          <w:rFonts w:ascii="Arial" w:cs="Arial" w:eastAsia="Arial" w:hAnsi="Arial"/>
          <w:sz w:val="15"/>
          <w:szCs w:val="15"/>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results may vary significantly from quarter to quarter due to a number of factors, which may lead to volatility in our stock price.</w:t>
      </w:r>
    </w:p>
    <w:p>
      <w:pPr>
        <w:spacing w:after="0" w:line="93" w:lineRule="exact"/>
        <w:rPr>
          <w:sz w:val="20"/>
          <w:szCs w:val="20"/>
          <w:color w:val="auto"/>
        </w:rPr>
      </w:pPr>
    </w:p>
    <w:p>
      <w:pPr>
        <w:ind w:right="80" w:firstLine="354"/>
        <w:spacing w:after="0" w:line="276" w:lineRule="auto"/>
        <w:rPr>
          <w:sz w:val="20"/>
          <w:szCs w:val="20"/>
          <w:color w:val="auto"/>
        </w:rPr>
      </w:pPr>
      <w:r>
        <w:rPr>
          <w:rFonts w:ascii="Arial" w:cs="Arial" w:eastAsia="Arial" w:hAnsi="Arial"/>
          <w:sz w:val="15"/>
          <w:szCs w:val="15"/>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 w:lineRule="exact"/>
        <w:rPr>
          <w:sz w:val="20"/>
          <w:szCs w:val="20"/>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fluctuations in demand for our products;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timing, volume and product mix of sales of our products, which may have different average selling prices or profit margins;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changes in our pricing and sales policies or the pricing and sales policies of our competitors;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design, manufacture and deliver products to our customers in a timely and cost-effective manner and that meet customer requirements;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ability to manage our relationships with our contract manufacturers, customers and suppliers;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quality control or yield problems in our manufacturing operations;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anticipation, announcement or introductions of new or enhanced products by our competitors and ourselves;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reductions in the retail price of electricity;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40"/>
          </w:cols>
          <w:pgMar w:left="220" w:top="120" w:right="23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9" w:lineRule="exact"/>
        <w:rPr>
          <w:sz w:val="20"/>
          <w:szCs w:val="20"/>
          <w:color w:val="auto"/>
        </w:rPr>
      </w:pPr>
    </w:p>
    <w:p>
      <w:pPr>
        <w:ind w:left="800" w:hanging="394"/>
        <w:spacing w:after="0"/>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laws, regulations and policies applicable to our business and products, particularly those relating to government incentives for solar energy applications;</w:t>
      </w:r>
    </w:p>
    <w:p>
      <w:pPr>
        <w:spacing w:after="0" w:line="104" w:lineRule="exact"/>
        <w:rPr>
          <w:rFonts w:ascii="Arial" w:cs="Arial" w:eastAsia="Arial" w:hAnsi="Arial"/>
          <w:sz w:val="14"/>
          <w:szCs w:val="14"/>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unanticipated increases in costs or expenses;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 and timing of operating costs and capital expenditures related to the maintenance and expansion of our business operations;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impact of government-sponsored programs on our customers;</w:t>
      </w:r>
    </w:p>
    <w:p>
      <w:pPr>
        <w:spacing w:after="0" w:line="92" w:lineRule="exact"/>
        <w:rPr>
          <w:rFonts w:ascii="Arial" w:cs="Arial" w:eastAsia="Arial" w:hAnsi="Arial"/>
          <w:sz w:val="15"/>
          <w:szCs w:val="15"/>
          <w:color w:val="auto"/>
        </w:rPr>
      </w:pPr>
    </w:p>
    <w:p>
      <w:pPr>
        <w:ind w:left="800" w:right="180" w:hanging="394"/>
        <w:spacing w:after="0" w:line="280" w:lineRule="auto"/>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exposure to the credit risks of our customers, particularly in light of the fact that some of our customers are relatively new entrants to the solar market without long operating or credit histories;</w:t>
      </w:r>
    </w:p>
    <w:p>
      <w:pPr>
        <w:spacing w:after="0" w:line="39"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estimate future warranty obligations due to product failure rates, claim rates or replacement costs;</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forecast our customer demand and manufacturing requirements, and manage our inventory;</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fluctuations in our gross profit;</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predict our revenue and plan our expenses appropriately; and</w:t>
      </w:r>
    </w:p>
    <w:p>
      <w:pPr>
        <w:spacing w:after="0" w:line="92" w:lineRule="exact"/>
        <w:rPr>
          <w:rFonts w:ascii="Arial" w:cs="Arial" w:eastAsia="Arial" w:hAnsi="Arial"/>
          <w:sz w:val="15"/>
          <w:szCs w:val="15"/>
          <w:color w:val="auto"/>
        </w:rPr>
      </w:pPr>
    </w:p>
    <w:p>
      <w:pPr>
        <w:ind w:left="800" w:hanging="394"/>
        <w:spacing w:after="0"/>
        <w:tabs>
          <w:tab w:leader="none" w:pos="8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fluctuations in foreign currency exchange rates.</w:t>
      </w:r>
    </w:p>
    <w:p>
      <w:pPr>
        <w:spacing w:after="0" w:line="181" w:lineRule="exact"/>
        <w:rPr>
          <w:sz w:val="20"/>
          <w:szCs w:val="20"/>
          <w:color w:val="auto"/>
        </w:rPr>
      </w:pPr>
    </w:p>
    <w:p>
      <w:pPr>
        <w:ind w:right="80" w:firstLine="354"/>
        <w:spacing w:after="0" w:line="257" w:lineRule="auto"/>
        <w:rPr>
          <w:sz w:val="20"/>
          <w:szCs w:val="20"/>
          <w:color w:val="auto"/>
        </w:rPr>
      </w:pPr>
      <w:r>
        <w:rPr>
          <w:rFonts w:ascii="Arial" w:cs="Arial" w:eastAsia="Arial" w:hAnsi="Arial"/>
          <w:sz w:val="15"/>
          <w:szCs w:val="15"/>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1" w:lineRule="exact"/>
        <w:rPr>
          <w:sz w:val="20"/>
          <w:szCs w:val="20"/>
          <w:color w:val="auto"/>
        </w:rPr>
      </w:pPr>
    </w:p>
    <w:p>
      <w:pPr>
        <w:ind w:right="260"/>
        <w:spacing w:after="0" w:line="291" w:lineRule="auto"/>
        <w:rPr>
          <w:sz w:val="20"/>
          <w:szCs w:val="20"/>
          <w:color w:val="auto"/>
        </w:rPr>
      </w:pPr>
      <w:r>
        <w:rPr>
          <w:rFonts w:ascii="Arial" w:cs="Arial" w:eastAsia="Arial" w:hAnsi="Arial"/>
          <w:sz w:val="15"/>
          <w:szCs w:val="15"/>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68" w:lineRule="exact"/>
        <w:rPr>
          <w:sz w:val="20"/>
          <w:szCs w:val="20"/>
          <w:color w:val="auto"/>
        </w:rPr>
      </w:pPr>
    </w:p>
    <w:p>
      <w:pPr>
        <w:ind w:firstLine="354"/>
        <w:spacing w:after="0" w:line="257" w:lineRule="auto"/>
        <w:rPr>
          <w:sz w:val="20"/>
          <w:szCs w:val="20"/>
          <w:color w:val="auto"/>
        </w:rPr>
      </w:pPr>
      <w:r>
        <w:rPr>
          <w:rFonts w:ascii="Arial" w:cs="Arial" w:eastAsia="Arial" w:hAnsi="Arial"/>
          <w:sz w:val="15"/>
          <w:szCs w:val="15"/>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01"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68" w:lineRule="exact"/>
        <w:rPr>
          <w:sz w:val="20"/>
          <w:szCs w:val="20"/>
          <w:color w:val="auto"/>
        </w:rPr>
      </w:pPr>
    </w:p>
    <w:p>
      <w:pPr>
        <w:ind w:right="140" w:firstLine="354"/>
        <w:spacing w:after="0" w:line="274" w:lineRule="auto"/>
        <w:rPr>
          <w:sz w:val="20"/>
          <w:szCs w:val="20"/>
          <w:color w:val="auto"/>
        </w:rPr>
      </w:pPr>
      <w:r>
        <w:rPr>
          <w:rFonts w:ascii="Arial" w:cs="Arial" w:eastAsia="Arial" w:hAnsi="Arial"/>
          <w:sz w:val="14"/>
          <w:szCs w:val="14"/>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40"/>
          </w:cols>
          <w:pgMar w:left="220" w:top="120"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by our existing stockholders could cause our stock price to fall.</w:t>
      </w:r>
    </w:p>
    <w:p>
      <w:pPr>
        <w:spacing w:after="0" w:line="137" w:lineRule="exact"/>
        <w:rPr>
          <w:sz w:val="20"/>
          <w:szCs w:val="20"/>
          <w:color w:val="auto"/>
        </w:rPr>
      </w:pPr>
    </w:p>
    <w:p>
      <w:pPr>
        <w:ind w:firstLine="354"/>
        <w:spacing w:after="0" w:line="254" w:lineRule="auto"/>
        <w:rPr>
          <w:sz w:val="20"/>
          <w:szCs w:val="20"/>
          <w:color w:val="auto"/>
        </w:rPr>
      </w:pPr>
      <w:r>
        <w:rPr>
          <w:rFonts w:ascii="Arial" w:cs="Arial" w:eastAsia="Arial" w:hAnsi="Arial"/>
          <w:sz w:val="15"/>
          <w:szCs w:val="15"/>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04" w:lineRule="exact"/>
        <w:rPr>
          <w:sz w:val="20"/>
          <w:szCs w:val="20"/>
          <w:color w:val="auto"/>
        </w:rPr>
      </w:pPr>
    </w:p>
    <w:p>
      <w:pPr>
        <w:jc w:val="both"/>
        <w:ind w:right="500" w:firstLine="354"/>
        <w:spacing w:after="0" w:line="263" w:lineRule="auto"/>
        <w:rPr>
          <w:sz w:val="20"/>
          <w:szCs w:val="20"/>
          <w:color w:val="auto"/>
        </w:rPr>
      </w:pPr>
      <w:r>
        <w:rPr>
          <w:rFonts w:ascii="Arial" w:cs="Arial" w:eastAsia="Arial" w:hAnsi="Arial"/>
          <w:sz w:val="15"/>
          <w:szCs w:val="15"/>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96"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68" w:lineRule="exact"/>
        <w:rPr>
          <w:sz w:val="20"/>
          <w:szCs w:val="20"/>
          <w:color w:val="auto"/>
        </w:rPr>
      </w:pPr>
    </w:p>
    <w:p>
      <w:pPr>
        <w:ind w:right="340" w:firstLine="354"/>
        <w:spacing w:after="0" w:line="263" w:lineRule="auto"/>
        <w:rPr>
          <w:sz w:val="20"/>
          <w:szCs w:val="20"/>
          <w:color w:val="auto"/>
        </w:rPr>
      </w:pPr>
      <w:r>
        <w:rPr>
          <w:rFonts w:ascii="Arial" w:cs="Arial" w:eastAsia="Arial" w:hAnsi="Arial"/>
          <w:sz w:val="15"/>
          <w:szCs w:val="15"/>
          <w:color w:val="auto"/>
        </w:rPr>
        <w:t>We currently do not plan to declare dividends on shares of our common stock in the foreseeable future. In addition, the terms of our revolving credit facility restrict our ability to pay dividends. Consequently, an investor’s only opportunity to achieve a return on its investment in our company will be if the market price of our common stock appreciates and the investor sells its shares at a profit.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charter documents and Delaware law could prevent a takeover that stockholders consider favorable and could also reduce the market price of our stock.</w:t>
      </w:r>
    </w:p>
    <w:p>
      <w:pPr>
        <w:spacing w:after="0" w:line="93" w:lineRule="exact"/>
        <w:rPr>
          <w:sz w:val="20"/>
          <w:szCs w:val="20"/>
          <w:color w:val="auto"/>
        </w:rPr>
      </w:pPr>
    </w:p>
    <w:p>
      <w:pPr>
        <w:ind w:right="340" w:firstLine="354"/>
        <w:spacing w:after="0" w:line="276" w:lineRule="auto"/>
        <w:rPr>
          <w:sz w:val="20"/>
          <w:szCs w:val="20"/>
          <w:color w:val="auto"/>
        </w:rPr>
      </w:pPr>
      <w:r>
        <w:rPr>
          <w:rFonts w:ascii="Arial" w:cs="Arial" w:eastAsia="Arial" w:hAnsi="Arial"/>
          <w:sz w:val="15"/>
          <w:szCs w:val="15"/>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1" w:lineRule="exact"/>
        <w:rPr>
          <w:sz w:val="20"/>
          <w:szCs w:val="20"/>
          <w:color w:val="auto"/>
        </w:rPr>
      </w:pPr>
    </w:p>
    <w:p>
      <w:pPr>
        <w:ind w:left="800" w:right="160" w:hanging="394"/>
        <w:spacing w:after="0" w:line="280"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providing for a classified board of directors with staggered, three-year terms, which could delay the ability of stockholders to change the membership of a majority of our board of directors;</w:t>
      </w:r>
    </w:p>
    <w:p>
      <w:pPr>
        <w:spacing w:after="0" w:line="39" w:lineRule="exact"/>
        <w:rPr>
          <w:rFonts w:ascii="Arial" w:cs="Arial" w:eastAsia="Arial" w:hAnsi="Arial"/>
          <w:sz w:val="15"/>
          <w:szCs w:val="15"/>
          <w:color w:val="auto"/>
        </w:rPr>
      </w:pPr>
    </w:p>
    <w:p>
      <w:pPr>
        <w:ind w:left="800" w:hanging="394"/>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not providing for cumulative voting in the election of directors, which limits the ability of minority stockholders to elect director candidates;</w:t>
      </w:r>
    </w:p>
    <w:p>
      <w:pPr>
        <w:spacing w:after="0" w:line="92" w:lineRule="exact"/>
        <w:rPr>
          <w:rFonts w:ascii="Arial" w:cs="Arial" w:eastAsia="Arial" w:hAnsi="Arial"/>
          <w:sz w:val="15"/>
          <w:szCs w:val="15"/>
          <w:color w:val="auto"/>
        </w:rPr>
      </w:pPr>
    </w:p>
    <w:p>
      <w:pPr>
        <w:ind w:left="800" w:right="780" w:hanging="394"/>
        <w:spacing w:after="0" w:line="280"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authorizing our board of directors to issue, without stockholder approval, preferred stock rights senior to those of common stock, which could be used to significantly dilute the ownership of a hostile acquiror;</w:t>
      </w:r>
    </w:p>
    <w:p>
      <w:pPr>
        <w:spacing w:after="0" w:line="39" w:lineRule="exact"/>
        <w:rPr>
          <w:rFonts w:ascii="Arial" w:cs="Arial" w:eastAsia="Arial" w:hAnsi="Arial"/>
          <w:sz w:val="15"/>
          <w:szCs w:val="15"/>
          <w:color w:val="auto"/>
        </w:rPr>
      </w:pPr>
    </w:p>
    <w:p>
      <w:pPr>
        <w:ind w:left="800" w:hanging="394"/>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prohibiting stockholder action by written consent, which forces stockholder action to be taken at an annual or special meeting of our stockholders;</w:t>
      </w:r>
    </w:p>
    <w:p>
      <w:pPr>
        <w:spacing w:after="0" w:line="92" w:lineRule="exact"/>
        <w:rPr>
          <w:rFonts w:ascii="Arial" w:cs="Arial" w:eastAsia="Arial" w:hAnsi="Arial"/>
          <w:sz w:val="15"/>
          <w:szCs w:val="15"/>
          <w:color w:val="auto"/>
        </w:rPr>
      </w:pPr>
    </w:p>
    <w:p>
      <w:pPr>
        <w:jc w:val="both"/>
        <w:ind w:left="800" w:right="400" w:hanging="394"/>
        <w:spacing w:after="0" w:line="281"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41" w:lineRule="exact"/>
        <w:rPr>
          <w:rFonts w:ascii="Arial" w:cs="Arial" w:eastAsia="Arial" w:hAnsi="Arial"/>
          <w:sz w:val="14"/>
          <w:szCs w:val="14"/>
          <w:color w:val="auto"/>
        </w:rPr>
      </w:pPr>
    </w:p>
    <w:p>
      <w:pPr>
        <w:jc w:val="both"/>
        <w:ind w:left="800" w:right="320" w:hanging="394"/>
        <w:spacing w:after="0" w:line="317" w:lineRule="auto"/>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16" w:lineRule="exact"/>
        <w:rPr>
          <w:rFonts w:ascii="Arial" w:cs="Arial" w:eastAsia="Arial" w:hAnsi="Arial"/>
          <w:sz w:val="14"/>
          <w:szCs w:val="14"/>
          <w:color w:val="auto"/>
        </w:rPr>
      </w:pPr>
    </w:p>
    <w:p>
      <w:pPr>
        <w:ind w:left="800" w:right="500" w:hanging="394"/>
        <w:spacing w:after="0" w:line="280"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28" w:lineRule="exact"/>
        <w:rPr>
          <w:sz w:val="20"/>
          <w:szCs w:val="20"/>
          <w:color w:val="auto"/>
        </w:rPr>
      </w:pPr>
    </w:p>
    <w:p>
      <w:pPr>
        <w:ind w:right="660" w:firstLine="354"/>
        <w:spacing w:after="0" w:line="317" w:lineRule="auto"/>
        <w:rPr>
          <w:sz w:val="20"/>
          <w:szCs w:val="20"/>
          <w:color w:val="auto"/>
        </w:rPr>
      </w:pPr>
      <w:r>
        <w:rPr>
          <w:rFonts w:ascii="Arial" w:cs="Arial" w:eastAsia="Arial" w:hAnsi="Arial"/>
          <w:sz w:val="14"/>
          <w:szCs w:val="14"/>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60"/>
          </w:cols>
          <w:pgMar w:left="220" w:top="120"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7" w:lineRule="exact"/>
        <w:rPr>
          <w:sz w:val="20"/>
          <w:szCs w:val="20"/>
          <w:color w:val="auto"/>
        </w:rPr>
      </w:pPr>
    </w:p>
    <w:p>
      <w:pPr>
        <w:ind w:firstLine="354"/>
        <w:spacing w:after="0" w:line="280" w:lineRule="auto"/>
        <w:rPr>
          <w:sz w:val="20"/>
          <w:szCs w:val="20"/>
          <w:color w:val="auto"/>
        </w:rPr>
      </w:pPr>
      <w:r>
        <w:rPr>
          <w:rFonts w:ascii="Arial" w:cs="Arial" w:eastAsia="Arial" w:hAnsi="Arial"/>
          <w:sz w:val="15"/>
          <w:szCs w:val="15"/>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40"/>
          </w:cols>
          <w:pgMar w:left="220" w:top="120"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335"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None.</w:t>
      </w:r>
    </w:p>
    <w:p>
      <w:pPr>
        <w:spacing w:after="0" w:line="334"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334"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 applicable.</w:t>
      </w:r>
    </w:p>
    <w:p>
      <w:pPr>
        <w:spacing w:after="0" w:line="334"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None.</w:t>
      </w:r>
    </w:p>
    <w:p>
      <w:pPr>
        <w:spacing w:after="0" w:line="334"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See the Exhibit Index which follows the signature page of this Quarterly Report on Form 10-Q, which is incorporated herein by reference.</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39"/>
          </w:cols>
          <w:pgMar w:left="220" w:top="120" w:right="1440"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SIGNATURE</w:t>
      </w:r>
    </w:p>
    <w:p>
      <w:pPr>
        <w:spacing w:after="0" w:line="139" w:lineRule="exact"/>
        <w:rPr>
          <w:sz w:val="20"/>
          <w:szCs w:val="20"/>
          <w:color w:val="auto"/>
        </w:rPr>
      </w:pPr>
    </w:p>
    <w:p>
      <w:pPr>
        <w:ind w:firstLine="354"/>
        <w:spacing w:after="0" w:line="280"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Quarterly Report on Form 10-Q to be signed on its behalf by the undersigned, thereunto duly authorized.</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Dated: November 2, 2016</w:t>
      </w:r>
    </w:p>
    <w:p>
      <w:pPr>
        <w:spacing w:after="0" w:line="290" w:lineRule="exact"/>
        <w:rPr>
          <w:sz w:val="20"/>
          <w:szCs w:val="20"/>
          <w:color w:val="auto"/>
        </w:rPr>
      </w:pPr>
    </w:p>
    <w:p>
      <w:pPr>
        <w:ind w:left="5880"/>
        <w:spacing w:after="0"/>
        <w:rPr>
          <w:sz w:val="20"/>
          <w:szCs w:val="20"/>
          <w:color w:val="auto"/>
        </w:rPr>
      </w:pPr>
      <w:r>
        <w:rPr>
          <w:rFonts w:ascii="Arial" w:cs="Arial" w:eastAsia="Arial" w:hAnsi="Arial"/>
          <w:sz w:val="15"/>
          <w:szCs w:val="15"/>
          <w:b w:val="1"/>
          <w:bCs w:val="1"/>
          <w:color w:val="auto"/>
        </w:rPr>
        <w:t>ENPHASE ENERGY, INC.</w:t>
      </w:r>
    </w:p>
    <w:p>
      <w:pPr>
        <w:spacing w:after="0" w:line="150" w:lineRule="exact"/>
        <w:rPr>
          <w:sz w:val="20"/>
          <w:szCs w:val="20"/>
          <w:color w:val="auto"/>
        </w:rPr>
      </w:pPr>
    </w:p>
    <w:p>
      <w:pPr>
        <w:ind w:left="5880"/>
        <w:spacing w:after="0"/>
        <w:tabs>
          <w:tab w:leader="none" w:pos="71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4518660</wp:posOffset>
            </wp:positionH>
            <wp:positionV relativeFrom="paragraph">
              <wp:posOffset>28575</wp:posOffset>
            </wp:positionV>
            <wp:extent cx="27584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8440" cy="6985"/>
                    </a:xfrm>
                    <a:prstGeom prst="rect">
                      <a:avLst/>
                    </a:prstGeom>
                    <a:noFill/>
                  </pic:spPr>
                </pic:pic>
              </a:graphicData>
            </a:graphic>
          </wp:anchor>
        </w:drawing>
      </w:r>
    </w:p>
    <w:p>
      <w:pPr>
        <w:spacing w:after="0" w:line="40"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Humberto Garcia</w:t>
      </w:r>
    </w:p>
    <w:p>
      <w:pPr>
        <w:spacing w:after="0" w:line="49"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Vice President and Chief Financial Officer</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360"/>
          </w:cols>
          <w:pgMar w:left="220" w:top="120" w:right="3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6320" w:type="dxa"/>
            <w:vAlign w:val="bottom"/>
            <w:gridSpan w:val="2"/>
          </w:tcPr>
          <w:p>
            <w:pPr>
              <w:ind w:left="4720"/>
              <w:spacing w:after="0"/>
              <w:rPr>
                <w:sz w:val="20"/>
                <w:szCs w:val="20"/>
                <w:color w:val="auto"/>
              </w:rPr>
            </w:pPr>
            <w:r>
              <w:rPr>
                <w:rFonts w:ascii="Arial" w:cs="Arial" w:eastAsia="Arial" w:hAnsi="Arial"/>
                <w:sz w:val="15"/>
                <w:szCs w:val="15"/>
                <w:b w:val="1"/>
                <w:bCs w:val="1"/>
                <w:color w:val="auto"/>
              </w:rPr>
              <w:t>EXHIBIT INDEX</w:t>
            </w:r>
          </w:p>
        </w:tc>
        <w:tc>
          <w:tcPr>
            <w:tcW w:w="0" w:type="dxa"/>
            <w:vAlign w:val="bottom"/>
          </w:tcPr>
          <w:p>
            <w:pPr>
              <w:spacing w:after="0"/>
              <w:rPr>
                <w:sz w:val="1"/>
                <w:szCs w:val="1"/>
                <w:color w:val="auto"/>
              </w:rPr>
            </w:pPr>
          </w:p>
        </w:tc>
      </w:tr>
      <w:tr>
        <w:trPr>
          <w:trHeight w:val="398"/>
        </w:trPr>
        <w:tc>
          <w:tcPr>
            <w:tcW w:w="4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6320" w:type="dxa"/>
            <w:vAlign w:val="bottom"/>
            <w:gridSpan w:val="2"/>
            <w:vMerge w:val="restart"/>
          </w:tcPr>
          <w:p>
            <w:pPr>
              <w:ind w:left="5680"/>
              <w:spacing w:after="0"/>
              <w:rPr>
                <w:sz w:val="20"/>
                <w:szCs w:val="20"/>
                <w:color w:val="auto"/>
              </w:rPr>
            </w:pPr>
            <w:r>
              <w:rPr>
                <w:rFonts w:ascii="Arial" w:cs="Arial" w:eastAsia="Arial" w:hAnsi="Arial"/>
                <w:sz w:val="12"/>
                <w:szCs w:val="12"/>
                <w:b w:val="1"/>
                <w:bCs w:val="1"/>
                <w:color w:val="auto"/>
                <w:w w:val="93"/>
              </w:rPr>
              <w:t>Description</w:t>
            </w:r>
          </w:p>
        </w:tc>
        <w:tc>
          <w:tcPr>
            <w:tcW w:w="0" w:type="dxa"/>
            <w:vAlign w:val="bottom"/>
          </w:tcPr>
          <w:p>
            <w:pPr>
              <w:spacing w:after="0"/>
              <w:rPr>
                <w:sz w:val="1"/>
                <w:szCs w:val="1"/>
                <w:color w:val="auto"/>
              </w:rPr>
            </w:pPr>
          </w:p>
        </w:tc>
      </w:tr>
      <w:tr>
        <w:trPr>
          <w:trHeight w:val="134"/>
        </w:trPr>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w w:val="92"/>
              </w:rPr>
              <w:t>Number</w:t>
            </w:r>
          </w:p>
        </w:tc>
        <w:tc>
          <w:tcPr>
            <w:tcW w:w="6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ectPr>
          <w:pgSz w:w="11900" w:h="16838" w:orient="portrait"/>
          <w:cols w:equalWidth="0" w:num="1">
            <w:col w:w="11460"/>
          </w:cols>
          <w:pgMar w:left="220" w:top="120" w:right="219" w:bottom="1440" w:gutter="0" w:footer="0" w:header="0"/>
        </w:sectPr>
      </w:pPr>
    </w:p>
    <w:p>
      <w:pPr>
        <w:ind w:left="40"/>
        <w:spacing w:after="0"/>
        <w:rPr>
          <w:sz w:val="20"/>
          <w:szCs w:val="20"/>
          <w:color w:val="auto"/>
        </w:rPr>
      </w:pPr>
      <w:r>
        <w:rPr>
          <w:rFonts w:ascii="Arial" w:cs="Arial" w:eastAsia="Arial" w:hAnsi="Arial"/>
          <w:sz w:val="15"/>
          <w:szCs w:val="15"/>
          <w:color w:val="auto"/>
        </w:rPr>
        <w:t>3.1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3.2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4.1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5"/>
          <w:szCs w:val="15"/>
          <w:color w:val="auto"/>
        </w:rPr>
        <w:t>4.2</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5"/>
          <w:szCs w:val="15"/>
          <w:color w:val="auto"/>
        </w:rPr>
        <w:t>4.3</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10.2</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10.3</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10.4</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5"/>
          <w:szCs w:val="15"/>
          <w:color w:val="auto"/>
        </w:rPr>
        <w:t>31.1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31.2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5"/>
          <w:szCs w:val="15"/>
          <w:color w:val="auto"/>
        </w:rPr>
        <w:t>32.1*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101.INS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101.CAL</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101.DEF</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101.LAB</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Amended and Restated Certificate of Incorporation of Enphase Energy, Inc.</w:t>
      </w:r>
      <w:r>
        <w:rPr>
          <w:rFonts w:ascii="Arial" w:cs="Arial" w:eastAsia="Arial" w:hAnsi="Arial"/>
          <w:sz w:val="17"/>
          <w:szCs w:val="17"/>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Amended and Restated Bylaws of Enphase Energy, Inc.</w:t>
      </w:r>
      <w:r>
        <w:rPr>
          <w:rFonts w:ascii="Arial" w:cs="Arial" w:eastAsia="Arial" w:hAnsi="Arial"/>
          <w:sz w:val="17"/>
          <w:szCs w:val="17"/>
          <w:color w:val="auto"/>
          <w:vertAlign w:val="superscript"/>
        </w:rPr>
        <w:t>(2)</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Specimen Common Stock Certificate of Enphase Energy, Inc.</w:t>
      </w:r>
      <w:r>
        <w:rPr>
          <w:rFonts w:ascii="Arial" w:cs="Arial" w:eastAsia="Arial" w:hAnsi="Arial"/>
          <w:sz w:val="17"/>
          <w:szCs w:val="17"/>
          <w:color w:val="auto"/>
          <w:vertAlign w:val="superscript"/>
        </w:rPr>
        <w:t>(3)</w:t>
      </w:r>
    </w:p>
    <w:p>
      <w:pPr>
        <w:spacing w:after="0" w:line="125" w:lineRule="exact"/>
        <w:rPr>
          <w:sz w:val="20"/>
          <w:szCs w:val="20"/>
          <w:color w:val="auto"/>
        </w:rPr>
      </w:pPr>
    </w:p>
    <w:p>
      <w:pPr>
        <w:ind w:right="280"/>
        <w:spacing w:after="0" w:line="291" w:lineRule="auto"/>
        <w:rPr>
          <w:sz w:val="20"/>
          <w:szCs w:val="20"/>
          <w:color w:val="auto"/>
        </w:rPr>
      </w:pPr>
      <w:r>
        <w:rPr>
          <w:rFonts w:ascii="Arial" w:cs="Arial" w:eastAsia="Arial" w:hAnsi="Arial"/>
          <w:sz w:val="15"/>
          <w:szCs w:val="15"/>
          <w:color w:val="auto"/>
        </w:rPr>
        <w:t>2010 Amended and Restated Investors’ Rights Agreement by and between Enphase Energy, Inc. and the investors listed on Exhibit A thereto, dated March 15, 2010, as amended.</w:t>
      </w:r>
      <w:r>
        <w:rPr>
          <w:rFonts w:ascii="Arial" w:cs="Arial" w:eastAsia="Arial" w:hAnsi="Arial"/>
          <w:sz w:val="17"/>
          <w:szCs w:val="17"/>
          <w:color w:val="auto"/>
          <w:vertAlign w:val="superscript"/>
        </w:rPr>
        <w:t>(3)</w:t>
      </w:r>
    </w:p>
    <w:p>
      <w:pPr>
        <w:spacing w:after="0" w:line="29"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Form of November 2011 Warrant to Purchase Common Stock of Enphase Energy, Inc., pursuant to that certain Amended and Restated Subordinated Convertible Loan Facility and Security Agreement.</w:t>
      </w:r>
      <w:r>
        <w:rPr>
          <w:rFonts w:ascii="Arial" w:cs="Arial" w:eastAsia="Arial" w:hAnsi="Arial"/>
          <w:sz w:val="17"/>
          <w:szCs w:val="17"/>
          <w:color w:val="auto"/>
          <w:vertAlign w:val="superscript"/>
        </w:rPr>
        <w:t>(3)</w:t>
      </w:r>
    </w:p>
    <w:p>
      <w:pPr>
        <w:spacing w:after="0" w:line="29"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Amendment No. 1 to Amended and Restated Credit Agreement and Amended and Restated Guaranty and Security Agreement by and among Enphase Energy, Inc., the lenders identified on the signature pages thereto and Wells Fargo Bank, National Association, as agent, dated July 8, 2016.</w:t>
      </w:r>
    </w:p>
    <w:p>
      <w:pPr>
        <w:spacing w:after="0" w:line="71"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Loan and Security Agreement by and among Enphase Energy, Inc., Tennenbaum Special Situations Fund IX and the lenders identified on the signature pages thereto and Obsidian Agency Services, Inc.. as administrative agent and collateral agent for the lenders, dated July 8, 2016.</w:t>
      </w:r>
    </w:p>
    <w:p>
      <w:pPr>
        <w:spacing w:after="0" w:line="94"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Amendment No. 2 to the Cooperation Agreement and Amendment No. 1 by and among Enphase Energy, Inc., Phoenix Contact GmbH &amp; Co. KG and Phoenix Contact USA, Inc., dated September 1, 2016.</w:t>
      </w:r>
    </w:p>
    <w:p>
      <w:pPr>
        <w:spacing w:after="0" w:line="94" w:lineRule="exact"/>
        <w:rPr>
          <w:sz w:val="20"/>
          <w:szCs w:val="20"/>
          <w:color w:val="auto"/>
        </w:rPr>
      </w:pPr>
    </w:p>
    <w:p>
      <w:pPr>
        <w:ind w:right="400"/>
        <w:spacing w:after="0" w:line="265" w:lineRule="auto"/>
        <w:rPr>
          <w:sz w:val="20"/>
          <w:szCs w:val="20"/>
          <w:color w:val="auto"/>
        </w:rPr>
      </w:pPr>
      <w:r>
        <w:rPr>
          <w:rFonts w:ascii="Arial" w:cs="Arial" w:eastAsia="Arial" w:hAnsi="Arial"/>
          <w:sz w:val="15"/>
          <w:szCs w:val="15"/>
          <w:color w:val="auto"/>
        </w:rPr>
        <w:t>Amendment No. 1 to Flextronics Logistics Services Agreement by and between Enphase Energy, Inc. and Flextronics America LLC, dated July 28, 2016.</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Certification of Chief Executive Officer pursuant to Rule 13a-14(a)/15d-14(a).</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Certification of Chief Financial Officer pursuant to Rule 13a-14(a)/15d-14(a).</w:t>
      </w:r>
    </w:p>
    <w:p>
      <w:pPr>
        <w:spacing w:after="0" w:line="148" w:lineRule="exact"/>
        <w:rPr>
          <w:sz w:val="20"/>
          <w:szCs w:val="20"/>
          <w:color w:val="auto"/>
        </w:rPr>
      </w:pPr>
    </w:p>
    <w:p>
      <w:pPr>
        <w:ind w:right="520"/>
        <w:spacing w:after="0" w:line="265" w:lineRule="auto"/>
        <w:rPr>
          <w:sz w:val="20"/>
          <w:szCs w:val="20"/>
          <w:color w:val="auto"/>
        </w:rPr>
      </w:pPr>
      <w:r>
        <w:rPr>
          <w:rFonts w:ascii="Arial" w:cs="Arial" w:eastAsia="Arial" w:hAnsi="Arial"/>
          <w:sz w:val="15"/>
          <w:szCs w:val="15"/>
          <w:color w:val="auto"/>
        </w:rPr>
        <w:t>Certification of Chief Executive Officer and Chief Financial Officer pursuant to 18 U.S.C. Section 1350 as Adopted Pursuant to Section 906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XBRL Instance Document.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Schema Document.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Calculation Linkbase Document.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Definition Linkbase Document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Label Linkbase Document.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Presentation Document.</w:t>
      </w:r>
    </w:p>
    <w:p>
      <w:pPr>
        <w:spacing w:after="0" w:line="26" w:lineRule="exact"/>
        <w:rPr>
          <w:sz w:val="20"/>
          <w:szCs w:val="20"/>
          <w:color w:val="auto"/>
        </w:rPr>
      </w:pPr>
    </w:p>
    <w:p>
      <w:pPr>
        <w:sectPr>
          <w:pgSz w:w="11900" w:h="16838" w:orient="portrait"/>
          <w:cols w:equalWidth="0" w:num="2">
            <w:col w:w="800" w:space="720"/>
            <w:col w:w="9940"/>
          </w:cols>
          <w:pgMar w:left="220" w:top="120" w:right="219" w:bottom="1440" w:gutter="0" w:footer="0" w:header="0"/>
          <w:type w:val="continuous"/>
        </w:sectPr>
      </w:pPr>
    </w:p>
    <w:p>
      <w:pPr>
        <w:spacing w:after="0"/>
        <w:rPr>
          <w:sz w:val="20"/>
          <w:szCs w:val="20"/>
          <w:color w:val="auto"/>
        </w:rPr>
      </w:pPr>
      <w:r>
        <w:rPr>
          <w:rFonts w:ascii="Arial" w:cs="Arial" w:eastAsia="Arial" w:hAnsi="Arial"/>
          <w:sz w:val="15"/>
          <w:szCs w:val="15"/>
          <w:color w:val="auto"/>
        </w:rPr>
        <w:t>________________________</w:t>
      </w:r>
    </w:p>
    <w:p>
      <w:pPr>
        <w:spacing w:after="0" w:line="248" w:lineRule="exact"/>
        <w:rPr>
          <w:sz w:val="20"/>
          <w:szCs w:val="20"/>
          <w:color w:val="auto"/>
        </w:rPr>
      </w:pPr>
    </w:p>
    <w:p>
      <w:pPr>
        <w:ind w:left="1060" w:hanging="388"/>
        <w:spacing w:after="0" w:line="280" w:lineRule="auto"/>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Previously filed as Exhibit 3.1 to the Current Report on Form 8-K (File No. 001-35480), filed with the Securities and Exchange Commission on April 6, 2012, and incorporated by reference herein.</w:t>
      </w:r>
    </w:p>
    <w:p>
      <w:pPr>
        <w:spacing w:after="0" w:line="17" w:lineRule="exact"/>
        <w:rPr>
          <w:rFonts w:ascii="Arial" w:cs="Arial" w:eastAsia="Arial" w:hAnsi="Arial"/>
          <w:sz w:val="15"/>
          <w:szCs w:val="15"/>
          <w:color w:val="auto"/>
        </w:rPr>
      </w:pPr>
    </w:p>
    <w:p>
      <w:pPr>
        <w:ind w:left="1060" w:hanging="388"/>
        <w:spacing w:after="0" w:line="280" w:lineRule="auto"/>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Previously filed as Exhibit 3.5 to Amendment No. 7 to the Registration Statement on Form S-1/A (File No. 333-174925), filed with the Securities and Exchange Commission on March 12, 2012, and incorporated by reference herein.</w:t>
      </w:r>
    </w:p>
    <w:p>
      <w:pPr>
        <w:spacing w:after="0" w:line="17" w:lineRule="exact"/>
        <w:rPr>
          <w:rFonts w:ascii="Arial" w:cs="Arial" w:eastAsia="Arial" w:hAnsi="Arial"/>
          <w:sz w:val="15"/>
          <w:szCs w:val="15"/>
          <w:color w:val="auto"/>
        </w:rPr>
      </w:pPr>
    </w:p>
    <w:p>
      <w:pPr>
        <w:ind w:left="1060" w:hanging="388"/>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Previously filed as the like-numbered exhibit to the Registration Statement on Form S-1/A (File No. 333-174925), and incorporated herein by reference.</w:t>
      </w:r>
    </w:p>
    <w:p>
      <w:pPr>
        <w:spacing w:after="0" w:line="71" w:lineRule="exact"/>
        <w:rPr>
          <w:sz w:val="20"/>
          <w:szCs w:val="20"/>
          <w:color w:val="auto"/>
        </w:rPr>
      </w:pPr>
    </w:p>
    <w:p>
      <w:pPr>
        <w:jc w:val="both"/>
        <w:ind w:left="1060" w:hanging="388"/>
        <w:spacing w:after="0" w:line="263" w:lineRule="auto"/>
        <w:tabs>
          <w:tab w:leader="none" w:pos="10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60"/>
          </w:cols>
          <w:pgMar w:left="220" w:top="120" w:right="21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AMENDED AND RESTATED CREDIT AGREEMENT AND AMENDED AND RESTATED GUARANTY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SECURITY AGREEMENT</w:t>
      </w:r>
    </w:p>
    <w:p>
      <w:pPr>
        <w:spacing w:after="0" w:line="158" w:lineRule="exact"/>
        <w:rPr>
          <w:sz w:val="20"/>
          <w:szCs w:val="20"/>
          <w:color w:val="auto"/>
        </w:rPr>
      </w:pPr>
    </w:p>
    <w:p>
      <w:pPr>
        <w:jc w:val="both"/>
        <w:ind w:firstLine="531"/>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AMENDMENT NO. 1 TO AMENDED AND RESTATED CREDIT AGREEMENT AND AMENDED AND RESTATED GUARANTY AND SECURITY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July 8, 2016, among</w:t>
      </w:r>
      <w:r>
        <w:rPr>
          <w:rFonts w:ascii="Times New Roman" w:cs="Times New Roman" w:eastAsia="Times New Roman" w:hAnsi="Times New Roman"/>
          <w:sz w:val="18"/>
          <w:szCs w:val="18"/>
          <w:b w:val="1"/>
          <w:bCs w:val="1"/>
          <w:color w:val="auto"/>
        </w:rPr>
        <w:t xml:space="preserve"> ENPHASE ENERGY,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identified on the signature pages hereto (together with their respective successors and assigns,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 national banking association, as administrative agent for each member of the Lender Group and the Bank Product Providers (in such capacity, together with its successors and assigns in such capacity,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is made with reference to that certain Amended and Restated Credit Agreement, dated as of December 18, 2015 (as amended, restated, supplemented 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Borrower, the Lenders and Agent. Capitalized terms used herein without definition shall have the same meanings herein as set forth in the Credit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0" w:lineRule="exact"/>
        <w:rPr>
          <w:sz w:val="20"/>
          <w:szCs w:val="20"/>
          <w:color w:val="auto"/>
        </w:rPr>
      </w:pPr>
    </w:p>
    <w:p>
      <w:pPr>
        <w:jc w:val="both"/>
        <w:ind w:firstLine="531"/>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Agent, the Lenders and Borrower have entered into financing arrangements pursuant to which Lenders (or Agent on behalf of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made and provided and may hereafter make and provide loans, advances and other financial accommodations to Borrower as set forth in the Credit Agreement and the other agreements, documents and instruments referred to therein or any time executed and/or delivered in connection therewith or related thereto;</w:t>
      </w:r>
    </w:p>
    <w:p>
      <w:pPr>
        <w:spacing w:after="0" w:line="144" w:lineRule="exact"/>
        <w:rPr>
          <w:sz w:val="20"/>
          <w:szCs w:val="20"/>
          <w:color w:val="auto"/>
        </w:rPr>
      </w:pPr>
    </w:p>
    <w:p>
      <w:pPr>
        <w:jc w:val="both"/>
        <w:ind w:firstLine="531"/>
        <w:spacing w:after="0" w:line="24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Tennenbaum Special Situations Fund IX, LLC, a Delaware limited liability company, Tennenbaum Special Situations IX-A,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Tennenbaum Special Situations IX-O, L.P., a Cayman Islands limited partnership, and Tennenbaum Special Situations IX-C, L.P., a Cayman Islands limited partnership (collectively, the “</w:t>
      </w:r>
      <w:r>
        <w:rPr>
          <w:rFonts w:ascii="Times New Roman" w:cs="Times New Roman" w:eastAsia="Times New Roman" w:hAnsi="Times New Roman"/>
          <w:sz w:val="18"/>
          <w:szCs w:val="18"/>
          <w:u w:val="single" w:color="auto"/>
          <w:color w:val="auto"/>
        </w:rPr>
        <w:t>Term Lenders</w:t>
      </w:r>
      <w:r>
        <w:rPr>
          <w:rFonts w:ascii="Times New Roman" w:cs="Times New Roman" w:eastAsia="Times New Roman" w:hAnsi="Times New Roman"/>
          <w:sz w:val="18"/>
          <w:szCs w:val="18"/>
          <w:color w:val="auto"/>
        </w:rPr>
        <w:t>”), Obsidian Agency Services, Inc., a California corporation as agent for the Term Lenders (in such capacity, together with its successors and assigns in such capacity, “</w:t>
      </w:r>
      <w:r>
        <w:rPr>
          <w:rFonts w:ascii="Times New Roman" w:cs="Times New Roman" w:eastAsia="Times New Roman" w:hAnsi="Times New Roman"/>
          <w:sz w:val="18"/>
          <w:szCs w:val="18"/>
          <w:u w:val="single" w:color="auto"/>
          <w:color w:val="auto"/>
        </w:rPr>
        <w:t>Term Loan Agent</w:t>
      </w:r>
      <w:r>
        <w:rPr>
          <w:rFonts w:ascii="Times New Roman" w:cs="Times New Roman" w:eastAsia="Times New Roman" w:hAnsi="Times New Roman"/>
          <w:sz w:val="18"/>
          <w:szCs w:val="18"/>
          <w:color w:val="auto"/>
        </w:rPr>
        <w:t>”), and Borrower are concurrently herewith entering into a Loan and Security Agreement, dated as of July 8, 2016 (the “</w:t>
      </w:r>
      <w:r>
        <w:rPr>
          <w:rFonts w:ascii="Times New Roman" w:cs="Times New Roman" w:eastAsia="Times New Roman" w:hAnsi="Times New Roman"/>
          <w:sz w:val="18"/>
          <w:szCs w:val="18"/>
          <w:u w:val="single" w:color="auto"/>
          <w:color w:val="auto"/>
        </w:rPr>
        <w:t>Term Loan Agreement</w:t>
      </w:r>
      <w:r>
        <w:rPr>
          <w:rFonts w:ascii="Times New Roman" w:cs="Times New Roman" w:eastAsia="Times New Roman" w:hAnsi="Times New Roman"/>
          <w:sz w:val="18"/>
          <w:szCs w:val="18"/>
          <w:color w:val="auto"/>
        </w:rPr>
        <w:t>”), and certain related agreements, documents and instruments (collectively with the Term Loan Agreement, the “</w:t>
      </w:r>
      <w:r>
        <w:rPr>
          <w:rFonts w:ascii="Times New Roman" w:cs="Times New Roman" w:eastAsia="Times New Roman" w:hAnsi="Times New Roman"/>
          <w:sz w:val="18"/>
          <w:szCs w:val="18"/>
          <w:u w:val="single" w:color="auto"/>
          <w:color w:val="auto"/>
        </w:rPr>
        <w:t>Term Loan Documents</w:t>
      </w:r>
      <w:r>
        <w:rPr>
          <w:rFonts w:ascii="Times New Roman" w:cs="Times New Roman" w:eastAsia="Times New Roman" w:hAnsi="Times New Roman"/>
          <w:sz w:val="18"/>
          <w:szCs w:val="18"/>
          <w:color w:val="auto"/>
        </w:rPr>
        <w:t>”), pursuant to which Term Lenders will make term loans to Borrower in an aggregate original principal amount of up to $25,000,000, secured by liens on substantially all of the assets of Borrower;</w:t>
      </w:r>
    </w:p>
    <w:p>
      <w:pPr>
        <w:spacing w:after="0" w:line="150" w:lineRule="exact"/>
        <w:rPr>
          <w:sz w:val="20"/>
          <w:szCs w:val="20"/>
          <w:color w:val="auto"/>
        </w:rPr>
      </w:pPr>
    </w:p>
    <w:p>
      <w:pPr>
        <w:jc w:val="both"/>
        <w:ind w:firstLine="531"/>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Term Loan Agent and Agent are concurrently herewith entering into an Intercreditor Agreement, dated as of July 8, 2016 (the “</w:t>
      </w:r>
      <w:r>
        <w:rPr>
          <w:rFonts w:ascii="Times New Roman" w:cs="Times New Roman" w:eastAsia="Times New Roman" w:hAnsi="Times New Roman"/>
          <w:sz w:val="18"/>
          <w:szCs w:val="18"/>
          <w:u w:val="single" w:color="auto"/>
          <w:color w:val="auto"/>
        </w:rPr>
        <w:t>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acknowledged and agreed upon by Borrower, to establish their relative payment, lien and enforcement rights and priorities with respect to Borrower and the assets of Borrower;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BN 20937459v8</w:t>
      </w:r>
    </w:p>
    <w:p>
      <w:pPr>
        <w:sectPr>
          <w:pgSz w:w="11900" w:h="16838" w:orient="portrait"/>
          <w:cols w:equalWidth="0" w:num="1">
            <w:col w:w="11460"/>
          </w:cols>
          <w:pgMar w:left="220" w:top="325" w:right="219" w:bottom="1440" w:gutter="0" w:footer="0" w:header="0"/>
        </w:sectPr>
      </w:pPr>
    </w:p>
    <w:bookmarkStart w:id="53" w:name="page54"/>
    <w:bookmarkEnd w:id="53"/>
    <w:p>
      <w:pPr>
        <w:ind w:firstLine="531"/>
        <w:spacing w:after="0" w:line="27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has requested that Agent and the Lenders make certain amendments to the Credit Agreement and the Guaranty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Agent and the Lenders are willing to make such amendments, subject to the terms and conditions set forth herein; and</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by this Amendment, Borrower, Agent and the Lenders desire and intend to evidence such amendments.</w:t>
      </w:r>
    </w:p>
    <w:p>
      <w:pPr>
        <w:spacing w:after="0" w:line="180" w:lineRule="exact"/>
        <w:rPr>
          <w:sz w:val="20"/>
          <w:szCs w:val="20"/>
          <w:color w:val="auto"/>
        </w:rPr>
      </w:pPr>
    </w:p>
    <w:p>
      <w:pPr>
        <w:ind w:firstLine="531"/>
        <w:spacing w:after="0" w:line="274"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agreements and covenants contained herein, the parties hereto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2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010000"/>
        </w:rPr>
        <w:t>Section 1.</w:t>
      </w:r>
      <w:r>
        <w:rPr>
          <w:sz w:val="20"/>
          <w:szCs w:val="20"/>
          <w:color w:val="auto"/>
        </w:rPr>
        <w:tab/>
      </w:r>
      <w:r>
        <w:rPr>
          <w:rFonts w:ascii="Times New Roman" w:cs="Times New Roman" w:eastAsia="Times New Roman" w:hAnsi="Times New Roman"/>
          <w:sz w:val="17"/>
          <w:szCs w:val="17"/>
          <w:b w:val="1"/>
          <w:bCs w:val="1"/>
          <w:color w:val="auto"/>
        </w:rPr>
        <w:t>AMENDMENTS TO THE CREDIT AGREEMENT AND THE GUARANTY AND SECURITY AGREEMENT</w:t>
      </w:r>
    </w:p>
    <w:p>
      <w:pPr>
        <w:spacing w:after="0" w:line="182" w:lineRule="exact"/>
        <w:rPr>
          <w:sz w:val="20"/>
          <w:szCs w:val="20"/>
          <w:color w:val="auto"/>
        </w:rPr>
      </w:pPr>
    </w:p>
    <w:p>
      <w:pPr>
        <w:ind w:left="860" w:hanging="321"/>
        <w:spacing w:after="0"/>
        <w:tabs>
          <w:tab w:leader="none" w:pos="860" w:val="left"/>
        </w:tabs>
        <w:numPr>
          <w:ilvl w:val="0"/>
          <w:numId w:val="2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of the Credit Agreement is hereby amended to read as follows:</w:t>
      </w:r>
    </w:p>
    <w:p>
      <w:pPr>
        <w:spacing w:after="0" w:line="189" w:lineRule="exact"/>
        <w:rPr>
          <w:sz w:val="20"/>
          <w:szCs w:val="20"/>
          <w:color w:val="auto"/>
        </w:rPr>
      </w:pPr>
    </w:p>
    <w:p>
      <w:pPr>
        <w:jc w:val="both"/>
        <w:ind w:left="1060"/>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of the Disclosure Letter is a true and complete list of all Indebtedness of each Loan Party and each of its Subsidiaries outstanding immediately prior to the Amendment No. 1 Effective Date that is to remain outstanding immediately after giving effect to the closing hereunder on the Amendment No. 1 Effective Date and such Schedule accurately sets forth the aggregate principal amount of such Indebtedness as of the Amendment No. 1 Effective Date.</w:t>
      </w:r>
    </w:p>
    <w:p>
      <w:pPr>
        <w:spacing w:after="0" w:line="146" w:lineRule="exact"/>
        <w:rPr>
          <w:sz w:val="20"/>
          <w:szCs w:val="20"/>
          <w:color w:val="auto"/>
        </w:rPr>
      </w:pPr>
    </w:p>
    <w:p>
      <w:pPr>
        <w:ind w:left="840" w:hanging="301"/>
        <w:spacing w:after="0"/>
        <w:tabs>
          <w:tab w:leader="none" w:pos="840" w:val="left"/>
        </w:tabs>
        <w:numPr>
          <w:ilvl w:val="0"/>
          <w:numId w:val="2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Credit Agreement is hereby amended to read as follows:</w:t>
      </w:r>
    </w:p>
    <w:p>
      <w:pPr>
        <w:spacing w:after="0" w:line="189" w:lineRule="exact"/>
        <w:rPr>
          <w:sz w:val="20"/>
          <w:szCs w:val="20"/>
          <w:color w:val="auto"/>
        </w:rPr>
      </w:pPr>
    </w:p>
    <w:p>
      <w:pPr>
        <w:jc w:val="both"/>
        <w:ind w:left="1060"/>
        <w:spacing w:after="0" w:line="24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u w:val="single" w:color="auto"/>
          <w:color w:val="auto"/>
        </w:rPr>
        <w:t>Location of Inventory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Borrower will, and will cause each of the other Loan Parties to keep (i) its and their Inventory, to the extent located within the United States, only at the Flextronics Facility and the locations identified on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of the Disclosure Letter, in each case subject to a bailee agreement in form and substance satisfactory to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and the other Loan Parties may keep up to $50,000 of Inventory in the aggregate at any time at other locations located within the United States;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up to $3,000,000 of Inventory may be transferred by Borrower to an international Flextronics location or to an Expeditors International Pty Ltd. location for the sale of such Inventory by a Subsidiary of Borrower organized outside of the United States in the ordinary course of business and (ii) its and their chief executive offices only at the locations identified on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xml:space="preserve"> of the Guaranty and Security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amend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of the Disclosure Letter or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xml:space="preserve"> of the Guaranty and Security Agreement so long as such amendment occurs by written notice to Agent not less than 15 days prior to the date on which such Inventory is moved to such new location or such chief executive office is relocated and so long as such new location is within the continental</w:t>
      </w:r>
    </w:p>
    <w:p>
      <w:pPr>
        <w:sectPr>
          <w:pgSz w:w="11900" w:h="16838" w:orient="portrait"/>
          <w:cols w:equalWidth="0" w:num="1">
            <w:col w:w="11460"/>
          </w:cols>
          <w:pgMar w:left="220" w:top="325" w:right="219" w:bottom="1440" w:gutter="0" w:footer="0" w:header="0"/>
        </w:sectPr>
      </w:pPr>
    </w:p>
    <w:bookmarkStart w:id="54" w:name="page55"/>
    <w:bookmarkEnd w:id="54"/>
    <w:p>
      <w:pPr>
        <w:ind w:left="521"/>
        <w:spacing w:after="0"/>
        <w:rPr>
          <w:sz w:val="20"/>
          <w:szCs w:val="20"/>
          <w:color w:val="auto"/>
        </w:rPr>
      </w:pPr>
      <w:r>
        <w:rPr>
          <w:rFonts w:ascii="Times New Roman" w:cs="Times New Roman" w:eastAsia="Times New Roman" w:hAnsi="Times New Roman"/>
          <w:sz w:val="18"/>
          <w:szCs w:val="18"/>
          <w:color w:val="auto"/>
        </w:rPr>
        <w:t xml:space="preserve">United States and such chief executive office is relocated within the continental United States;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Borrower may maintain (A)</w:t>
      </w:r>
    </w:p>
    <w:p>
      <w:pPr>
        <w:spacing w:after="0" w:line="23" w:lineRule="exact"/>
        <w:rPr>
          <w:sz w:val="20"/>
          <w:szCs w:val="20"/>
          <w:color w:val="auto"/>
        </w:rPr>
      </w:pPr>
    </w:p>
    <w:p>
      <w:pPr>
        <w:jc w:val="both"/>
        <w:ind w:left="521" w:firstLine="10"/>
        <w:spacing w:after="0" w:line="245" w:lineRule="auto"/>
        <w:tabs>
          <w:tab w:leader="none" w:pos="7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equipment, (ii) up to $3,000,000 at any one time of raw materials and (iii) other Equipment, in each case in transit from Borrower’s suppliers to the Flextronics Facility and (B) test equipment and other Equipment disposed of in accordance with clause (p) of the definition of Permitted Dispositions and re-acquired in accordance with clause (s) of the definition of “Permitted Investments”, at any Flextronics facility in Mexico or the People’s Republic of China.</w:t>
      </w:r>
    </w:p>
    <w:p>
      <w:pPr>
        <w:spacing w:after="0" w:line="151" w:lineRule="exact"/>
        <w:rPr>
          <w:rFonts w:ascii="Times New Roman" w:cs="Times New Roman" w:eastAsia="Times New Roman" w:hAnsi="Times New Roman"/>
          <w:sz w:val="18"/>
          <w:szCs w:val="18"/>
          <w:color w:val="auto"/>
        </w:rPr>
      </w:pPr>
    </w:p>
    <w:p>
      <w:pPr>
        <w:ind w:left="-539" w:firstLine="539"/>
        <w:spacing w:after="0" w:line="284" w:lineRule="auto"/>
        <w:tabs>
          <w:tab w:leader="none" w:pos="355" w:val="left"/>
        </w:tabs>
        <w:numPr>
          <w:ilvl w:val="0"/>
          <w:numId w:val="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of the Credit Agreement is hereby amended by deleting the “and” at the end of clause (f), deleting the “.” at the end of clause (g) and replacing it with “, and”, and adding new clause (h) immediately following clause (g), to read as follows:</w:t>
      </w:r>
    </w:p>
    <w:p>
      <w:pPr>
        <w:spacing w:after="0" w:line="118" w:lineRule="exact"/>
        <w:rPr>
          <w:rFonts w:ascii="Times New Roman" w:cs="Times New Roman" w:eastAsia="Times New Roman" w:hAnsi="Times New Roman"/>
          <w:sz w:val="18"/>
          <w:szCs w:val="18"/>
          <w:b w:val="1"/>
          <w:bCs w:val="1"/>
          <w:color w:val="010000"/>
        </w:rPr>
      </w:pPr>
    </w:p>
    <w:p>
      <w:pPr>
        <w:ind w:left="521" w:firstLine="10"/>
        <w:spacing w:after="0" w:line="272" w:lineRule="auto"/>
        <w:tabs>
          <w:tab w:leader="none" w:pos="7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Subsidiaries may make scheduled payments of interest, fees, and principal with respect to Indebtedness under the Term Loan Facility to the extent permitted by the Intercreditor Agreement.</w:t>
      </w:r>
    </w:p>
    <w:p>
      <w:pPr>
        <w:spacing w:after="0" w:line="127" w:lineRule="exact"/>
        <w:rPr>
          <w:rFonts w:ascii="Times New Roman" w:cs="Times New Roman" w:eastAsia="Times New Roman" w:hAnsi="Times New Roman"/>
          <w:sz w:val="18"/>
          <w:szCs w:val="18"/>
          <w:color w:val="auto"/>
        </w:rPr>
      </w:pPr>
    </w:p>
    <w:p>
      <w:pPr>
        <w:ind w:left="-539" w:firstLine="539"/>
        <w:spacing w:after="0" w:line="284" w:lineRule="auto"/>
        <w:tabs>
          <w:tab w:leader="none" w:pos="311" w:val="left"/>
        </w:tabs>
        <w:numPr>
          <w:ilvl w:val="0"/>
          <w:numId w:val="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Credit Agreement is hereby amended by replacing “10% of the Maximum Revolver Amount” with “25% of the Maximum Revolver Amount”.</w:t>
      </w:r>
    </w:p>
    <w:p>
      <w:pPr>
        <w:spacing w:after="0" w:line="118" w:lineRule="exact"/>
        <w:rPr>
          <w:rFonts w:ascii="Times New Roman" w:cs="Times New Roman" w:eastAsia="Times New Roman" w:hAnsi="Times New Roman"/>
          <w:sz w:val="18"/>
          <w:szCs w:val="18"/>
          <w:b w:val="1"/>
          <w:bCs w:val="1"/>
          <w:color w:val="010000"/>
        </w:rPr>
      </w:pPr>
    </w:p>
    <w:p>
      <w:pPr>
        <w:ind w:left="301" w:hanging="301"/>
        <w:spacing w:after="0"/>
        <w:tabs>
          <w:tab w:leader="none" w:pos="301" w:val="left"/>
        </w:tabs>
        <w:numPr>
          <w:ilvl w:val="0"/>
          <w:numId w:val="2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Clause (a) of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of the Credit Agreement is hereby amended to read as follows:</w:t>
      </w:r>
    </w:p>
    <w:p>
      <w:pPr>
        <w:spacing w:after="0" w:line="190" w:lineRule="exact"/>
        <w:rPr>
          <w:rFonts w:ascii="Times New Roman" w:cs="Times New Roman" w:eastAsia="Times New Roman" w:hAnsi="Times New Roman"/>
          <w:sz w:val="18"/>
          <w:szCs w:val="18"/>
          <w:b w:val="1"/>
          <w:bCs w:val="1"/>
          <w:color w:val="010000"/>
        </w:rPr>
      </w:pPr>
    </w:p>
    <w:p>
      <w:pPr>
        <w:jc w:val="both"/>
        <w:ind w:left="521" w:firstLine="10"/>
        <w:spacing w:after="0" w:line="250"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occurrence of an “Event of Default” as that term is defined under the Term Loan Facility, and any breach or default thereunder, whether or not declared (but after taking into account any applicable cure period provided in such agreement) or (ii) a default occurs in one or more agreements to which a Loan Party or any of its Subsidiaries is a party with one or more third Persons relative to a Loan Party’s or any of its Subsidiaries’ Indebtedness involving an aggregate amount of $750,000 or more, and such default results in a right by such third Person, irrespective of whether exercised, to accelerate the maturity of such Loan Party’s or its Subsidiary’s obligations thereunder, or</w:t>
      </w:r>
    </w:p>
    <w:p>
      <w:pPr>
        <w:spacing w:after="0" w:line="148" w:lineRule="exact"/>
        <w:rPr>
          <w:rFonts w:ascii="Times New Roman" w:cs="Times New Roman" w:eastAsia="Times New Roman" w:hAnsi="Times New Roman"/>
          <w:sz w:val="18"/>
          <w:szCs w:val="18"/>
          <w:color w:val="auto"/>
        </w:rPr>
      </w:pPr>
    </w:p>
    <w:p>
      <w:pPr>
        <w:ind w:left="281" w:hanging="281"/>
        <w:spacing w:after="0"/>
        <w:tabs>
          <w:tab w:leader="none" w:pos="281" w:val="left"/>
        </w:tabs>
        <w:numPr>
          <w:ilvl w:val="0"/>
          <w:numId w:val="2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definition of “Change in Control”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Credit Agreement is hereby amended to read as follows:</w:t>
      </w:r>
    </w:p>
    <w:p>
      <w:pPr>
        <w:spacing w:after="0" w:line="191"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that:</w:t>
      </w:r>
    </w:p>
    <w:p>
      <w:pPr>
        <w:spacing w:after="0" w:line="180" w:lineRule="exact"/>
        <w:rPr>
          <w:sz w:val="20"/>
          <w:szCs w:val="20"/>
          <w:color w:val="auto"/>
        </w:rPr>
      </w:pPr>
    </w:p>
    <w:p>
      <w:pPr>
        <w:jc w:val="center"/>
        <w:ind w:right="539"/>
        <w:spacing w:after="0"/>
        <w:tabs>
          <w:tab w:leader="none" w:pos="1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any Person or two or more Persons acting in concert, shall have acquired beneficial ownership, directly or indirectly, of Equity</w:t>
      </w:r>
    </w:p>
    <w:p>
      <w:pPr>
        <w:sectPr>
          <w:pgSz w:w="11900" w:h="16838" w:orient="portrait"/>
          <w:cols w:equalWidth="0" w:num="1">
            <w:col w:w="10921"/>
          </w:cols>
          <w:pgMar w:left="759" w:top="327" w:right="219" w:bottom="1440" w:gutter="0" w:footer="0" w:header="0"/>
        </w:sectPr>
      </w:pPr>
    </w:p>
    <w:bookmarkStart w:id="55" w:name="page56"/>
    <w:bookmarkEnd w:id="55"/>
    <w:p>
      <w:pPr>
        <w:jc w:val="both"/>
        <w:ind w:left="521"/>
        <w:spacing w:after="0" w:line="257" w:lineRule="auto"/>
        <w:rPr>
          <w:sz w:val="20"/>
          <w:szCs w:val="20"/>
          <w:color w:val="auto"/>
        </w:rPr>
      </w:pPr>
      <w:r>
        <w:rPr>
          <w:rFonts w:ascii="Times New Roman" w:cs="Times New Roman" w:eastAsia="Times New Roman" w:hAnsi="Times New Roman"/>
          <w:sz w:val="18"/>
          <w:szCs w:val="18"/>
          <w:color w:val="auto"/>
        </w:rPr>
        <w:t>Interests of Borrower (or other securities convertible into such Equity Interests) representing 40% or more of the combined voting power of all Equity Interests of Borrower entitled (without regard to the occurrence of any contingency) to vote for the election of members of the Board of Directors of Borrower;</w:t>
      </w:r>
    </w:p>
    <w:p>
      <w:pPr>
        <w:spacing w:after="0" w:line="142" w:lineRule="exact"/>
        <w:rPr>
          <w:sz w:val="20"/>
          <w:szCs w:val="20"/>
          <w:color w:val="auto"/>
        </w:rPr>
      </w:pPr>
    </w:p>
    <w:p>
      <w:pPr>
        <w:jc w:val="both"/>
        <w:ind w:left="521" w:firstLine="10"/>
        <w:spacing w:after="0" w:line="257" w:lineRule="auto"/>
        <w:tabs>
          <w:tab w:leader="none" w:pos="9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fails to own and control, directly or indirectly, 100% of the Equity Interests of each other Loan Party, other than as a result of (i) a Permitted Disposition or (ii) Permitted Acquisitions or Permitted Investments resulting in Borrower owning more than 50% of the Equity Interests of an entity, but less than 100% of the Equity Interests of such entity; or</w:t>
      </w:r>
    </w:p>
    <w:p>
      <w:pPr>
        <w:spacing w:after="0" w:line="141" w:lineRule="exact"/>
        <w:rPr>
          <w:rFonts w:ascii="Times New Roman" w:cs="Times New Roman" w:eastAsia="Times New Roman" w:hAnsi="Times New Roman"/>
          <w:sz w:val="18"/>
          <w:szCs w:val="18"/>
          <w:color w:val="auto"/>
        </w:rPr>
      </w:pPr>
    </w:p>
    <w:p>
      <w:pPr>
        <w:ind w:left="781" w:hanging="250"/>
        <w:spacing w:after="0"/>
        <w:tabs>
          <w:tab w:leader="none" w:pos="7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“Change of Control” or similar term as defined in the Term Loan Facility, or any successor facilities thereto.</w:t>
      </w:r>
    </w:p>
    <w:p>
      <w:pPr>
        <w:spacing w:after="0" w:line="179" w:lineRule="exact"/>
        <w:rPr>
          <w:rFonts w:ascii="Times New Roman" w:cs="Times New Roman" w:eastAsia="Times New Roman" w:hAnsi="Times New Roman"/>
          <w:sz w:val="18"/>
          <w:szCs w:val="18"/>
          <w:color w:val="auto"/>
        </w:rPr>
      </w:pPr>
    </w:p>
    <w:p>
      <w:pPr>
        <w:ind w:left="321" w:hanging="321"/>
        <w:spacing w:after="0"/>
        <w:tabs>
          <w:tab w:leader="none" w:pos="321" w:val="left"/>
        </w:tabs>
        <w:numPr>
          <w:ilvl w:val="0"/>
          <w:numId w:val="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Clause (b) of the definition of “Permitted Indebtedness”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Credit Agreement is hereby amended to read as follows:</w:t>
      </w:r>
    </w:p>
    <w:p>
      <w:pPr>
        <w:spacing w:after="0" w:line="190" w:lineRule="exact"/>
        <w:rPr>
          <w:rFonts w:ascii="Times New Roman" w:cs="Times New Roman" w:eastAsia="Times New Roman" w:hAnsi="Times New Roman"/>
          <w:sz w:val="18"/>
          <w:szCs w:val="18"/>
          <w:b w:val="1"/>
          <w:bCs w:val="1"/>
          <w:color w:val="010000"/>
        </w:rPr>
      </w:pPr>
    </w:p>
    <w:p>
      <w:pPr>
        <w:ind w:left="981" w:hanging="450"/>
        <w:spacing w:after="0"/>
        <w:tabs>
          <w:tab w:leader="none" w:pos="98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set forth on </w:t>
      </w:r>
      <w:r>
        <w:rPr>
          <w:rFonts w:ascii="Times New Roman" w:cs="Times New Roman" w:eastAsia="Times New Roman" w:hAnsi="Times New Roman"/>
          <w:sz w:val="17"/>
          <w:szCs w:val="17"/>
          <w:u w:val="single" w:color="auto"/>
          <w:color w:val="auto"/>
        </w:rPr>
        <w:t>Schedule 4.14</w:t>
      </w:r>
      <w:r>
        <w:rPr>
          <w:rFonts w:ascii="Times New Roman" w:cs="Times New Roman" w:eastAsia="Times New Roman" w:hAnsi="Times New Roman"/>
          <w:sz w:val="17"/>
          <w:szCs w:val="17"/>
          <w:color w:val="auto"/>
        </w:rPr>
        <w:t xml:space="preserve"> of the Disclosure Letter and any Refinancing Indebtedness in respect of such Indebtedness, and</w:t>
      </w:r>
    </w:p>
    <w:p>
      <w:pPr>
        <w:spacing w:after="0" w:line="34" w:lineRule="exact"/>
        <w:rPr>
          <w:rFonts w:ascii="Times New Roman" w:cs="Times New Roman" w:eastAsia="Times New Roman" w:hAnsi="Times New Roman"/>
          <w:sz w:val="17"/>
          <w:szCs w:val="17"/>
          <w:color w:val="auto"/>
        </w:rPr>
      </w:pPr>
    </w:p>
    <w:p>
      <w:pPr>
        <w:ind w:left="521" w:firstLine="10"/>
        <w:spacing w:after="0" w:line="248" w:lineRule="auto"/>
        <w:tabs>
          <w:tab w:leader="none" w:pos="78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Term Loan Facility, as in effect on the Amendment No. 1 Effective Date, and subject to the Intercreditor Agreement at all times,</w:t>
      </w:r>
    </w:p>
    <w:p>
      <w:pPr>
        <w:spacing w:after="0" w:line="149" w:lineRule="exact"/>
        <w:rPr>
          <w:rFonts w:ascii="Times New Roman" w:cs="Times New Roman" w:eastAsia="Times New Roman" w:hAnsi="Times New Roman"/>
          <w:sz w:val="18"/>
          <w:szCs w:val="18"/>
          <w:color w:val="auto"/>
        </w:rPr>
      </w:pPr>
    </w:p>
    <w:p>
      <w:pPr>
        <w:ind w:left="321" w:hanging="321"/>
        <w:spacing w:after="0"/>
        <w:tabs>
          <w:tab w:leader="none" w:pos="321" w:val="left"/>
        </w:tabs>
        <w:numPr>
          <w:ilvl w:val="0"/>
          <w:numId w:val="2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Clause (d) of the definition of “Permitted Liens”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Credit Agreement is hereby amended to read as follows:</w:t>
      </w:r>
    </w:p>
    <w:p>
      <w:pPr>
        <w:spacing w:after="0" w:line="190" w:lineRule="exact"/>
        <w:rPr>
          <w:rFonts w:ascii="Times New Roman" w:cs="Times New Roman" w:eastAsia="Times New Roman" w:hAnsi="Times New Roman"/>
          <w:sz w:val="18"/>
          <w:szCs w:val="18"/>
          <w:b w:val="1"/>
          <w:bCs w:val="1"/>
          <w:color w:val="010000"/>
        </w:rPr>
      </w:pPr>
    </w:p>
    <w:p>
      <w:pPr>
        <w:jc w:val="both"/>
        <w:ind w:left="521" w:firstLine="10"/>
        <w:spacing w:after="0" w:line="253" w:lineRule="auto"/>
        <w:tabs>
          <w:tab w:leader="none" w:pos="9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set forth on </w:t>
      </w:r>
      <w:r>
        <w:rPr>
          <w:rFonts w:ascii="Times New Roman" w:cs="Times New Roman" w:eastAsia="Times New Roman" w:hAnsi="Times New Roman"/>
          <w:sz w:val="18"/>
          <w:szCs w:val="18"/>
          <w:u w:val="single" w:color="auto"/>
          <w:color w:val="auto"/>
        </w:rPr>
        <w:t>Schedule P-2</w:t>
      </w:r>
      <w:r>
        <w:rPr>
          <w:rFonts w:ascii="Times New Roman" w:cs="Times New Roman" w:eastAsia="Times New Roman" w:hAnsi="Times New Roman"/>
          <w:sz w:val="18"/>
          <w:szCs w:val="18"/>
          <w:color w:val="auto"/>
        </w:rPr>
        <w:t xml:space="preserve"> of the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qualify as a Permitted Lien, any such Lien described on </w:t>
      </w:r>
      <w:r>
        <w:rPr>
          <w:rFonts w:ascii="Times New Roman" w:cs="Times New Roman" w:eastAsia="Times New Roman" w:hAnsi="Times New Roman"/>
          <w:sz w:val="18"/>
          <w:szCs w:val="18"/>
          <w:u w:val="single" w:color="auto"/>
          <w:color w:val="auto"/>
        </w:rPr>
        <w:t>Schedule P-2</w:t>
      </w:r>
      <w:r>
        <w:rPr>
          <w:rFonts w:ascii="Times New Roman" w:cs="Times New Roman" w:eastAsia="Times New Roman" w:hAnsi="Times New Roman"/>
          <w:sz w:val="18"/>
          <w:szCs w:val="18"/>
          <w:color w:val="auto"/>
        </w:rPr>
        <w:t xml:space="preserve"> of the Disclosure Letter shall only secure the Indebtedness that it secures on the Amendment No. 1 Effective Date and any Refinancing Indebtedness in respect thereof, and (ii) Liens in favor of Obsidian, to secure the Indebtedness under the Term Loan Facility, subject to the Intercreditor Agreement at all times,</w:t>
      </w:r>
    </w:p>
    <w:p>
      <w:pPr>
        <w:spacing w:after="0" w:line="144" w:lineRule="exact"/>
        <w:rPr>
          <w:rFonts w:ascii="Times New Roman" w:cs="Times New Roman" w:eastAsia="Times New Roman" w:hAnsi="Times New Roman"/>
          <w:sz w:val="18"/>
          <w:szCs w:val="18"/>
          <w:color w:val="auto"/>
        </w:rPr>
      </w:pPr>
    </w:p>
    <w:p>
      <w:pPr>
        <w:ind w:left="-539" w:firstLine="539"/>
        <w:spacing w:after="0" w:line="315" w:lineRule="auto"/>
        <w:tabs>
          <w:tab w:leader="none" w:pos="252" w:val="left"/>
        </w:tabs>
        <w:numPr>
          <w:ilvl w:val="0"/>
          <w:numId w:val="29"/>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color w:val="auto"/>
        </w:rPr>
        <w:t xml:space="preserve">The definition of “Refinancing Indebtedness” set forth in </w:t>
      </w:r>
      <w:r>
        <w:rPr>
          <w:rFonts w:ascii="Times New Roman" w:cs="Times New Roman" w:eastAsia="Times New Roman" w:hAnsi="Times New Roman"/>
          <w:sz w:val="17"/>
          <w:szCs w:val="17"/>
          <w:u w:val="single" w:color="auto"/>
          <w:color w:val="auto"/>
        </w:rPr>
        <w:t>Schedule 1.1</w:t>
      </w:r>
      <w:r>
        <w:rPr>
          <w:rFonts w:ascii="Times New Roman" w:cs="Times New Roman" w:eastAsia="Times New Roman" w:hAnsi="Times New Roman"/>
          <w:sz w:val="17"/>
          <w:szCs w:val="17"/>
          <w:color w:val="auto"/>
        </w:rPr>
        <w:t xml:space="preserve"> of the Credit Agreement is hereby amended by deleting the “and” at the end of clause (d), deleting the “.” at the end of clause (e) and replacing it with “, and”, and adding new clause (f) immediately following clause (e), to read as follows:</w:t>
      </w:r>
    </w:p>
    <w:p>
      <w:pPr>
        <w:spacing w:after="0" w:line="94" w:lineRule="exact"/>
        <w:rPr>
          <w:rFonts w:ascii="Times New Roman" w:cs="Times New Roman" w:eastAsia="Times New Roman" w:hAnsi="Times New Roman"/>
          <w:sz w:val="17"/>
          <w:szCs w:val="17"/>
          <w:b w:val="1"/>
          <w:bCs w:val="1"/>
          <w:color w:val="010000"/>
        </w:rPr>
      </w:pPr>
    </w:p>
    <w:p>
      <w:pPr>
        <w:ind w:left="521" w:firstLine="10"/>
        <w:spacing w:after="0" w:line="272" w:lineRule="auto"/>
        <w:tabs>
          <w:tab w:leader="none" w:pos="9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Term Loan Facility, such refinancing, restructuring, renewal or extension shall be subject to the Borrower entering into a new facility and documentation on terms acceptable to Agent, including, without limitation, the maturity date of any new</w:t>
      </w:r>
    </w:p>
    <w:p>
      <w:pPr>
        <w:sectPr>
          <w:pgSz w:w="11900" w:h="16838" w:orient="portrait"/>
          <w:cols w:equalWidth="0" w:num="1">
            <w:col w:w="10921"/>
          </w:cols>
          <w:pgMar w:left="759" w:top="327" w:right="219" w:bottom="1440" w:gutter="0" w:footer="0" w:header="0"/>
        </w:sectPr>
      </w:pPr>
    </w:p>
    <w:bookmarkStart w:id="56" w:name="page57"/>
    <w:bookmarkEnd w:id="56"/>
    <w:p>
      <w:pPr>
        <w:ind w:left="521"/>
        <w:spacing w:after="0"/>
        <w:rPr>
          <w:sz w:val="20"/>
          <w:szCs w:val="20"/>
          <w:color w:val="auto"/>
        </w:rPr>
      </w:pPr>
      <w:r>
        <w:rPr>
          <w:rFonts w:ascii="Times New Roman" w:cs="Times New Roman" w:eastAsia="Times New Roman" w:hAnsi="Times New Roman"/>
          <w:sz w:val="18"/>
          <w:szCs w:val="18"/>
          <w:color w:val="auto"/>
        </w:rPr>
        <w:t>facility being at least 6 months after the Maturity Date and subject to an intercreditor agreement acceptable to Agent.</w:t>
      </w:r>
    </w:p>
    <w:p>
      <w:pPr>
        <w:spacing w:after="0" w:line="180" w:lineRule="exact"/>
        <w:rPr>
          <w:sz w:val="20"/>
          <w:szCs w:val="20"/>
          <w:color w:val="auto"/>
        </w:rPr>
      </w:pPr>
    </w:p>
    <w:p>
      <w:pPr>
        <w:ind w:left="281" w:hanging="281"/>
        <w:spacing w:after="0"/>
        <w:tabs>
          <w:tab w:leader="none" w:pos="281" w:val="left"/>
        </w:tabs>
        <w:numPr>
          <w:ilvl w:val="0"/>
          <w:numId w:val="31"/>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(Definitions) to the Credit Agreement is hereby amended by inserting the following defined terms in alphabetical order:</w:t>
      </w:r>
    </w:p>
    <w:p>
      <w:pPr>
        <w:spacing w:after="0" w:line="191" w:lineRule="exact"/>
        <w:rPr>
          <w:sz w:val="20"/>
          <w:szCs w:val="20"/>
          <w:color w:val="auto"/>
        </w:rPr>
      </w:pPr>
    </w:p>
    <w:p>
      <w:pPr>
        <w:jc w:val="both"/>
        <w:ind w:left="52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that certain Amendment No. 1 to Amended and Restated Credit Agreement, dated as of July 8, 2016, by and among Borrower, the Lenders party thereto and Agent.</w:t>
      </w:r>
    </w:p>
    <w:p>
      <w:pPr>
        <w:spacing w:after="0" w:line="128"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has the meaning specified therefor in Amendment No. 1.</w:t>
      </w:r>
    </w:p>
    <w:p>
      <w:pPr>
        <w:spacing w:after="0" w:line="180" w:lineRule="exact"/>
        <w:rPr>
          <w:sz w:val="20"/>
          <w:szCs w:val="20"/>
          <w:color w:val="auto"/>
        </w:rPr>
      </w:pPr>
    </w:p>
    <w:p>
      <w:pPr>
        <w:jc w:val="both"/>
        <w:ind w:left="52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that certain Intercreditor Agreement, dated as of July 8, 2016, between Agent and Obsidian, as acknowledged and agreed to by Borrower, as such agreement may be amended, supplemented, or otherwise modified from time to time.</w:t>
      </w:r>
    </w:p>
    <w:p>
      <w:pPr>
        <w:spacing w:after="0" w:line="128"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Obsidian</w:t>
      </w:r>
      <w:r>
        <w:rPr>
          <w:rFonts w:ascii="Times New Roman" w:cs="Times New Roman" w:eastAsia="Times New Roman" w:hAnsi="Times New Roman"/>
          <w:sz w:val="18"/>
          <w:szCs w:val="18"/>
          <w:color w:val="auto"/>
        </w:rPr>
        <w:t>” means Obsidian Agency Services, Inc., a California corporation.</w:t>
      </w:r>
    </w:p>
    <w:p>
      <w:pPr>
        <w:spacing w:after="0" w:line="180" w:lineRule="exact"/>
        <w:rPr>
          <w:sz w:val="20"/>
          <w:szCs w:val="20"/>
          <w:color w:val="auto"/>
        </w:rPr>
      </w:pPr>
    </w:p>
    <w:p>
      <w:pPr>
        <w:jc w:val="both"/>
        <w:ind w:left="52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Facility</w:t>
      </w:r>
      <w:r>
        <w:rPr>
          <w:rFonts w:ascii="Times New Roman" w:cs="Times New Roman" w:eastAsia="Times New Roman" w:hAnsi="Times New Roman"/>
          <w:sz w:val="18"/>
          <w:szCs w:val="18"/>
          <w:color w:val="auto"/>
        </w:rPr>
        <w:t>” means that certain Loan and Security Agreement, dated as of July 8, 2016, between Borrower, on the one hand, and Tennenbaum Special Situations Fund IX, LLC, a Delaware limited liability company, Tennenbaum Special Situations IX-A, LLC., a Delaware limited liability company, Tennenbaum Special Situations IX-O, L.P., a Cayman Islands limited partnership, and Tennenbaum Special Situations IX-C, L.P., a Cayman Islands limited partnership, collectively as the term lenders, and Obsidian, as agent for the term lenders, on the other hand, as such agreement may be amended, supplemented, or otherwise modified from time to time.</w:t>
      </w:r>
    </w:p>
    <w:p>
      <w:pPr>
        <w:spacing w:after="0" w:line="149" w:lineRule="exact"/>
        <w:rPr>
          <w:sz w:val="20"/>
          <w:szCs w:val="20"/>
          <w:color w:val="auto"/>
        </w:rPr>
      </w:pPr>
    </w:p>
    <w:p>
      <w:pPr>
        <w:ind w:left="-539" w:firstLine="539"/>
        <w:spacing w:after="0" w:line="284" w:lineRule="auto"/>
        <w:tabs>
          <w:tab w:leader="none" w:pos="365" w:val="left"/>
        </w:tabs>
        <w:numPr>
          <w:ilvl w:val="0"/>
          <w:numId w:val="32"/>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 xml:space="preserve"> (Financial Statements, Reports, Certificates) to the Credit Agreement is hereby amended by amending the row containing item (i) to read as follows:</w:t>
      </w:r>
    </w:p>
    <w:p>
      <w:pPr>
        <w:spacing w:after="0" w:line="220" w:lineRule="exact"/>
        <w:rPr>
          <w:sz w:val="20"/>
          <w:szCs w:val="20"/>
          <w:color w:val="auto"/>
        </w:rPr>
      </w:pPr>
    </w:p>
    <w:tbl>
      <w:tblPr>
        <w:tblLayout w:type="fixed"/>
        <w:tblInd w:w="531" w:type="dxa"/>
        <w:tblCellMar>
          <w:top w:w="0" w:type="dxa"/>
          <w:left w:w="0" w:type="dxa"/>
          <w:bottom w:w="0" w:type="dxa"/>
          <w:right w:w="0" w:type="dxa"/>
        </w:tblCellMar>
      </w:tblPr>
      <w:tr>
        <w:trPr>
          <w:trHeight w:val="40"/>
        </w:trPr>
        <w:tc>
          <w:tcPr>
            <w:tcW w:w="3020" w:type="dxa"/>
            <w:vAlign w:val="bottom"/>
            <w:tcBorders>
              <w:top w:val="single" w:sz="8" w:color="00000A"/>
              <w:left w:val="single" w:sz="8" w:color="00000A"/>
              <w:bottom w:val="single" w:sz="8" w:color="00000A"/>
            </w:tcBorders>
          </w:tcPr>
          <w:p>
            <w:pPr>
              <w:spacing w:after="0"/>
              <w:rPr>
                <w:sz w:val="3"/>
                <w:szCs w:val="3"/>
                <w:color w:val="auto"/>
              </w:rPr>
            </w:pPr>
          </w:p>
        </w:tc>
        <w:tc>
          <w:tcPr>
            <w:tcW w:w="6040" w:type="dxa"/>
            <w:vAlign w:val="bottom"/>
            <w:tcBorders>
              <w:top w:val="single" w:sz="8" w:color="00000A"/>
              <w:bottom w:val="single" w:sz="8" w:color="00000A"/>
              <w:right w:val="single" w:sz="8" w:color="00000A"/>
            </w:tcBorders>
          </w:tcPr>
          <w:p>
            <w:pPr>
              <w:spacing w:after="0"/>
              <w:rPr>
                <w:sz w:val="3"/>
                <w:szCs w:val="3"/>
                <w:color w:val="auto"/>
              </w:rPr>
            </w:pPr>
          </w:p>
        </w:tc>
      </w:tr>
      <w:tr>
        <w:trPr>
          <w:trHeight w:val="194"/>
        </w:trPr>
        <w:tc>
          <w:tcPr>
            <w:tcW w:w="3020" w:type="dxa"/>
            <w:vAlign w:val="bottom"/>
            <w:tcBorders>
              <w:left w:val="single" w:sz="8" w:color="00000A"/>
              <w:right w:val="single" w:sz="8" w:color="00000A"/>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w w:val="99"/>
              </w:rPr>
              <w:t>promptly, but in any event within 5 days</w:t>
            </w:r>
          </w:p>
        </w:tc>
        <w:tc>
          <w:tcPr>
            <w:tcW w:w="6040" w:type="dxa"/>
            <w:vAlign w:val="bottom"/>
            <w:tcBorders>
              <w:right w:val="single" w:sz="8" w:color="00000A"/>
            </w:tcBorders>
          </w:tcPr>
          <w:p>
            <w:pPr>
              <w:spacing w:after="0" w:line="195" w:lineRule="exact"/>
              <w:rPr>
                <w:sz w:val="20"/>
                <w:szCs w:val="20"/>
                <w:color w:val="auto"/>
              </w:rPr>
            </w:pPr>
            <w:r>
              <w:rPr>
                <w:rFonts w:ascii="Times New Roman" w:cs="Times New Roman" w:eastAsia="Times New Roman" w:hAnsi="Times New Roman"/>
                <w:sz w:val="18"/>
                <w:szCs w:val="18"/>
                <w:color w:val="auto"/>
              </w:rPr>
              <w:t>(i) Notice of such event or condition (together, in the case of a Default or Event of</w:t>
            </w:r>
          </w:p>
        </w:tc>
      </w:tr>
      <w:tr>
        <w:trPr>
          <w:trHeight w:val="199"/>
        </w:trPr>
        <w:tc>
          <w:tcPr>
            <w:tcW w:w="3020" w:type="dxa"/>
            <w:vAlign w:val="bottom"/>
            <w:tcBorders>
              <w:left w:val="single" w:sz="8" w:color="00000A"/>
              <w:right w:val="single" w:sz="8" w:color="00000A"/>
            </w:tcBorders>
          </w:tcPr>
          <w:p>
            <w:pPr>
              <w:ind w:left="60"/>
              <w:spacing w:after="0" w:line="199" w:lineRule="exact"/>
              <w:rPr>
                <w:sz w:val="20"/>
                <w:szCs w:val="20"/>
                <w:color w:val="auto"/>
              </w:rPr>
            </w:pPr>
            <w:r>
              <w:rPr>
                <w:rFonts w:ascii="Times New Roman" w:cs="Times New Roman" w:eastAsia="Times New Roman" w:hAnsi="Times New Roman"/>
                <w:sz w:val="18"/>
                <w:szCs w:val="18"/>
                <w:color w:val="auto"/>
              </w:rPr>
              <w:t>after Borrower has knowledge of any</w:t>
            </w:r>
          </w:p>
        </w:tc>
        <w:tc>
          <w:tcPr>
            <w:tcW w:w="6040" w:type="dxa"/>
            <w:vAlign w:val="bottom"/>
            <w:tcBorders>
              <w:right w:val="single" w:sz="8" w:color="00000A"/>
            </w:tcBorders>
          </w:tcPr>
          <w:p>
            <w:pPr>
              <w:spacing w:after="0" w:line="199" w:lineRule="exact"/>
              <w:rPr>
                <w:sz w:val="20"/>
                <w:szCs w:val="20"/>
                <w:color w:val="auto"/>
              </w:rPr>
            </w:pPr>
            <w:r>
              <w:rPr>
                <w:rFonts w:ascii="Times New Roman" w:cs="Times New Roman" w:eastAsia="Times New Roman" w:hAnsi="Times New Roman"/>
                <w:sz w:val="18"/>
                <w:szCs w:val="18"/>
                <w:color w:val="auto"/>
              </w:rPr>
              <w:t>Default arising out of a default under the Term Loan Facility, with a copy of any</w:t>
            </w:r>
          </w:p>
        </w:tc>
      </w:tr>
      <w:tr>
        <w:trPr>
          <w:trHeight w:val="199"/>
        </w:trPr>
        <w:tc>
          <w:tcPr>
            <w:tcW w:w="3020" w:type="dxa"/>
            <w:vAlign w:val="bottom"/>
            <w:tcBorders>
              <w:left w:val="single" w:sz="8" w:color="00000A"/>
              <w:right w:val="single" w:sz="8" w:color="00000A"/>
            </w:tcBorders>
          </w:tcPr>
          <w:p>
            <w:pPr>
              <w:ind w:left="60"/>
              <w:spacing w:after="0" w:line="199" w:lineRule="exact"/>
              <w:rPr>
                <w:sz w:val="20"/>
                <w:szCs w:val="20"/>
                <w:color w:val="auto"/>
              </w:rPr>
            </w:pPr>
            <w:r>
              <w:rPr>
                <w:rFonts w:ascii="Times New Roman" w:cs="Times New Roman" w:eastAsia="Times New Roman" w:hAnsi="Times New Roman"/>
                <w:sz w:val="18"/>
                <w:szCs w:val="18"/>
                <w:color w:val="auto"/>
              </w:rPr>
              <w:t>event or condition that constitutes a</w:t>
            </w:r>
          </w:p>
        </w:tc>
        <w:tc>
          <w:tcPr>
            <w:tcW w:w="6040" w:type="dxa"/>
            <w:vAlign w:val="bottom"/>
            <w:tcBorders>
              <w:right w:val="single" w:sz="8" w:color="00000A"/>
            </w:tcBorders>
          </w:tcPr>
          <w:p>
            <w:pPr>
              <w:spacing w:after="0" w:line="199" w:lineRule="exact"/>
              <w:rPr>
                <w:sz w:val="20"/>
                <w:szCs w:val="20"/>
                <w:color w:val="auto"/>
              </w:rPr>
            </w:pPr>
            <w:r>
              <w:rPr>
                <w:rFonts w:ascii="Times New Roman" w:cs="Times New Roman" w:eastAsia="Times New Roman" w:hAnsi="Times New Roman"/>
                <w:sz w:val="18"/>
                <w:szCs w:val="18"/>
                <w:color w:val="auto"/>
                <w:w w:val="99"/>
              </w:rPr>
              <w:t>notices of such default received by Borrower) and a statement of the curative action</w:t>
            </w:r>
          </w:p>
        </w:tc>
      </w:tr>
      <w:tr>
        <w:trPr>
          <w:trHeight w:val="199"/>
        </w:trPr>
        <w:tc>
          <w:tcPr>
            <w:tcW w:w="3020" w:type="dxa"/>
            <w:vAlign w:val="bottom"/>
            <w:tcBorders>
              <w:left w:val="single" w:sz="8" w:color="00000A"/>
              <w:right w:val="single" w:sz="8" w:color="00000A"/>
            </w:tcBorders>
          </w:tcPr>
          <w:p>
            <w:pPr>
              <w:ind w:left="60"/>
              <w:spacing w:after="0" w:line="199" w:lineRule="exact"/>
              <w:rPr>
                <w:sz w:val="20"/>
                <w:szCs w:val="20"/>
                <w:color w:val="auto"/>
              </w:rPr>
            </w:pPr>
            <w:r>
              <w:rPr>
                <w:rFonts w:ascii="Times New Roman" w:cs="Times New Roman" w:eastAsia="Times New Roman" w:hAnsi="Times New Roman"/>
                <w:sz w:val="18"/>
                <w:szCs w:val="18"/>
                <w:color w:val="auto"/>
                <w:w w:val="98"/>
              </w:rPr>
              <w:t>Default or an Event of Default, including</w:t>
            </w:r>
          </w:p>
        </w:tc>
        <w:tc>
          <w:tcPr>
            <w:tcW w:w="6040" w:type="dxa"/>
            <w:vAlign w:val="bottom"/>
            <w:tcBorders>
              <w:right w:val="single" w:sz="8" w:color="00000A"/>
            </w:tcBorders>
          </w:tcPr>
          <w:p>
            <w:pPr>
              <w:spacing w:after="0" w:line="199" w:lineRule="exact"/>
              <w:rPr>
                <w:sz w:val="20"/>
                <w:szCs w:val="20"/>
                <w:color w:val="auto"/>
              </w:rPr>
            </w:pPr>
            <w:r>
              <w:rPr>
                <w:rFonts w:ascii="Times New Roman" w:cs="Times New Roman" w:eastAsia="Times New Roman" w:hAnsi="Times New Roman"/>
                <w:sz w:val="18"/>
                <w:szCs w:val="18"/>
                <w:color w:val="auto"/>
              </w:rPr>
              <w:t>that Borrower proposes to take with respect thereto.</w:t>
            </w:r>
          </w:p>
        </w:tc>
      </w:tr>
      <w:tr>
        <w:trPr>
          <w:trHeight w:val="176"/>
        </w:trPr>
        <w:tc>
          <w:tcPr>
            <w:tcW w:w="3020" w:type="dxa"/>
            <w:vAlign w:val="bottom"/>
            <w:tcBorders>
              <w:left w:val="single" w:sz="8" w:color="00000A"/>
              <w:right w:val="single" w:sz="8" w:color="00000A"/>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any default under the Term Loan</w:t>
            </w:r>
          </w:p>
        </w:tc>
        <w:tc>
          <w:tcPr>
            <w:tcW w:w="6040" w:type="dxa"/>
            <w:vAlign w:val="bottom"/>
            <w:tcBorders>
              <w:right w:val="single" w:sz="8" w:color="00000A"/>
            </w:tcBorders>
          </w:tcPr>
          <w:p>
            <w:pPr>
              <w:spacing w:after="0"/>
              <w:rPr>
                <w:sz w:val="15"/>
                <w:szCs w:val="15"/>
                <w:color w:val="auto"/>
              </w:rPr>
            </w:pPr>
          </w:p>
        </w:tc>
      </w:tr>
      <w:tr>
        <w:trPr>
          <w:trHeight w:val="232"/>
        </w:trPr>
        <w:tc>
          <w:tcPr>
            <w:tcW w:w="3020" w:type="dxa"/>
            <w:vAlign w:val="bottom"/>
            <w:tcBorders>
              <w:left w:val="single" w:sz="8" w:color="00000A"/>
              <w:right w:val="single" w:sz="8" w:color="00000A"/>
            </w:tcBorders>
          </w:tcPr>
          <w:p>
            <w:pPr>
              <w:ind w:left="60"/>
              <w:spacing w:after="0"/>
              <w:rPr>
                <w:sz w:val="20"/>
                <w:szCs w:val="20"/>
                <w:color w:val="auto"/>
              </w:rPr>
            </w:pPr>
            <w:r>
              <w:rPr>
                <w:rFonts w:ascii="Times New Roman" w:cs="Times New Roman" w:eastAsia="Times New Roman" w:hAnsi="Times New Roman"/>
                <w:sz w:val="18"/>
                <w:szCs w:val="18"/>
                <w:color w:val="auto"/>
              </w:rPr>
              <w:t>Facility,</w:t>
            </w:r>
          </w:p>
        </w:tc>
        <w:tc>
          <w:tcPr>
            <w:tcW w:w="6040" w:type="dxa"/>
            <w:vAlign w:val="bottom"/>
            <w:tcBorders>
              <w:right w:val="single" w:sz="8" w:color="00000A"/>
            </w:tcBorders>
          </w:tcPr>
          <w:p>
            <w:pPr>
              <w:spacing w:after="0"/>
              <w:rPr>
                <w:sz w:val="20"/>
                <w:szCs w:val="20"/>
                <w:color w:val="auto"/>
              </w:rPr>
            </w:pPr>
          </w:p>
        </w:tc>
      </w:tr>
      <w:tr>
        <w:trPr>
          <w:trHeight w:val="79"/>
        </w:trPr>
        <w:tc>
          <w:tcPr>
            <w:tcW w:w="3020" w:type="dxa"/>
            <w:vAlign w:val="bottom"/>
            <w:tcBorders>
              <w:left w:val="single" w:sz="8" w:color="00000A"/>
              <w:bottom w:val="single" w:sz="8" w:color="00000A"/>
              <w:right w:val="single" w:sz="8" w:color="00000A"/>
            </w:tcBorders>
          </w:tcPr>
          <w:p>
            <w:pPr>
              <w:spacing w:after="0"/>
              <w:rPr>
                <w:sz w:val="6"/>
                <w:szCs w:val="6"/>
                <w:color w:val="auto"/>
              </w:rPr>
            </w:pPr>
          </w:p>
        </w:tc>
        <w:tc>
          <w:tcPr>
            <w:tcW w:w="6040" w:type="dxa"/>
            <w:vAlign w:val="bottom"/>
            <w:tcBorders>
              <w:bottom w:val="single" w:sz="8" w:color="00000A"/>
              <w:right w:val="single" w:sz="8" w:color="00000A"/>
            </w:tcBorders>
          </w:tcPr>
          <w:p>
            <w:pPr>
              <w:spacing w:after="0"/>
              <w:rPr>
                <w:sz w:val="6"/>
                <w:szCs w:val="6"/>
                <w:color w:val="auto"/>
              </w:rPr>
            </w:pPr>
          </w:p>
        </w:tc>
      </w:tr>
      <w:tr>
        <w:trPr>
          <w:trHeight w:val="20"/>
        </w:trPr>
        <w:tc>
          <w:tcPr>
            <w:tcW w:w="3020" w:type="dxa"/>
            <w:vAlign w:val="bottom"/>
            <w:tcBorders>
              <w:left w:val="single" w:sz="8" w:color="00000A"/>
              <w:bottom w:val="single" w:sz="8" w:color="00000A"/>
            </w:tcBorders>
          </w:tcPr>
          <w:p>
            <w:pPr>
              <w:spacing w:after="0" w:line="20" w:lineRule="exact"/>
              <w:rPr>
                <w:sz w:val="1"/>
                <w:szCs w:val="1"/>
                <w:color w:val="auto"/>
              </w:rPr>
            </w:pPr>
          </w:p>
        </w:tc>
        <w:tc>
          <w:tcPr>
            <w:tcW w:w="6040" w:type="dxa"/>
            <w:vAlign w:val="bottom"/>
            <w:tcBorders>
              <w:bottom w:val="single" w:sz="8" w:color="00000A"/>
              <w:right w:val="single" w:sz="8" w:color="00000A"/>
            </w:tcBorders>
          </w:tcPr>
          <w:p>
            <w:pPr>
              <w:spacing w:after="0" w:line="20" w:lineRule="exact"/>
              <w:rPr>
                <w:sz w:val="1"/>
                <w:szCs w:val="1"/>
                <w:color w:val="auto"/>
              </w:rPr>
            </w:pPr>
          </w:p>
        </w:tc>
      </w:tr>
    </w:tbl>
    <w:p>
      <w:pPr>
        <w:sectPr>
          <w:pgSz w:w="11900" w:h="16838" w:orient="portrait"/>
          <w:cols w:equalWidth="0" w:num="1">
            <w:col w:w="10921"/>
          </w:cols>
          <w:pgMar w:left="759" w:top="327" w:right="219" w:bottom="1440" w:gutter="0" w:footer="0" w:header="0"/>
        </w:sectPr>
      </w:pPr>
    </w:p>
    <w:bookmarkStart w:id="57" w:name="page58"/>
    <w:bookmarkEnd w:id="57"/>
    <w:p>
      <w:pPr>
        <w:ind w:firstLine="539"/>
        <w:spacing w:after="0" w:line="284" w:lineRule="auto"/>
        <w:tabs>
          <w:tab w:leader="none" w:pos="895" w:val="left"/>
        </w:tabs>
        <w:numPr>
          <w:ilvl w:val="0"/>
          <w:numId w:val="3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 xml:space="preserve">The last paragraph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Guaranty and Security Agreement, containing the exclusions from the definition of “Collateral”, is hereby amended by deleting clause (i) therefrom and replacing it with the following:</w:t>
      </w:r>
    </w:p>
    <w:p>
      <w:pPr>
        <w:spacing w:after="0" w:line="118" w:lineRule="exact"/>
        <w:rPr>
          <w:rFonts w:ascii="Times New Roman" w:cs="Times New Roman" w:eastAsia="Times New Roman" w:hAnsi="Times New Roman"/>
          <w:sz w:val="18"/>
          <w:szCs w:val="18"/>
          <w:b w:val="1"/>
          <w:bCs w:val="1"/>
          <w:color w:val="010000"/>
        </w:rPr>
      </w:pPr>
    </w:p>
    <w:p>
      <w:pPr>
        <w:jc w:val="both"/>
        <w:ind w:left="1060" w:firstLine="10"/>
        <w:spacing w:after="0" w:line="249"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Grantor’s Intellectual Property and Intellectual Property Licenses;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Collateral shall include all Accounts and General Intangibles that consist of rights to payment and proceeds from the sale, licensing or disposition of all or any part, or rights in, the Intellectual Property or Intellectual Property Licenses (the “</w:t>
      </w:r>
      <w:r>
        <w:rPr>
          <w:rFonts w:ascii="Times New Roman" w:cs="Times New Roman" w:eastAsia="Times New Roman" w:hAnsi="Times New Roman"/>
          <w:sz w:val="18"/>
          <w:szCs w:val="18"/>
          <w:u w:val="single" w:color="auto"/>
          <w:color w:val="auto"/>
        </w:rPr>
        <w:t>Rights to Payment</w:t>
      </w:r>
      <w:r>
        <w:rPr>
          <w:rFonts w:ascii="Times New Roman" w:cs="Times New Roman" w:eastAsia="Times New Roman" w:hAnsi="Times New Roman"/>
          <w:sz w:val="18"/>
          <w:szCs w:val="18"/>
          <w:color w:val="auto"/>
        </w:rPr>
        <w:t>”); and (y) if a judicial authority (including a court in an Insolvency Proceeding) holds that a security interest in Grantor’s Intellectual Property or Intellectual Property Licenses is necessary to have a security interest in the Rights to Payment, then the Collateral shall automatically, and effective as of the date of this Agreement, include the Intellectual Property to the extent necessary to permit perfection of Agent’s Liens in the Rights of Payment;</w:t>
      </w:r>
    </w:p>
    <w:p>
      <w:pPr>
        <w:spacing w:after="0" w:line="3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010000"/>
        </w:rPr>
        <w:t>Section 2.</w:t>
      </w:r>
      <w:r>
        <w:rPr>
          <w:sz w:val="20"/>
          <w:szCs w:val="20"/>
          <w:color w:val="auto"/>
        </w:rPr>
        <w:tab/>
      </w:r>
      <w:r>
        <w:rPr>
          <w:rFonts w:ascii="Times New Roman" w:cs="Times New Roman" w:eastAsia="Times New Roman" w:hAnsi="Times New Roman"/>
          <w:sz w:val="17"/>
          <w:szCs w:val="17"/>
          <w:b w:val="1"/>
          <w:bCs w:val="1"/>
          <w:color w:val="auto"/>
        </w:rPr>
        <w:t>CONDITIONS PRECEDENT</w:t>
      </w:r>
    </w:p>
    <w:p>
      <w:pPr>
        <w:spacing w:after="0" w:line="182" w:lineRule="exact"/>
        <w:rPr>
          <w:sz w:val="20"/>
          <w:szCs w:val="20"/>
          <w:color w:val="auto"/>
        </w:rPr>
      </w:pPr>
    </w:p>
    <w:p>
      <w:pPr>
        <w:ind w:firstLine="531"/>
        <w:spacing w:after="0" w:line="272" w:lineRule="auto"/>
        <w:rPr>
          <w:sz w:val="20"/>
          <w:szCs w:val="20"/>
          <w:color w:val="auto"/>
        </w:rPr>
      </w:pPr>
      <w:r>
        <w:rPr>
          <w:rFonts w:ascii="Times New Roman" w:cs="Times New Roman" w:eastAsia="Times New Roman" w:hAnsi="Times New Roman"/>
          <w:sz w:val="18"/>
          <w:szCs w:val="18"/>
          <w:color w:val="auto"/>
        </w:rPr>
        <w:t>This Amendment shall become effective on the first date upon which each of the following conditions precedent has been waived or satisfied in a manner satisfactory to Agent (such date being the “</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1070"/>
        <w:spacing w:after="0" w:line="253" w:lineRule="auto"/>
        <w:tabs>
          <w:tab w:leader="none" w:pos="1497"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Agent shall have received this Amendment, duly authorized, executed and delivered by Borrower, Agent and the Lenders (the Credit Agreement, Exhibits and Schedules thereto as so amended by this Amendment being referred to herein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the Guaranty and Security Agreement, Exhibits and Schedules thereto as so amended by this Amendment being referred to herein as the “</w:t>
      </w:r>
      <w:r>
        <w:rPr>
          <w:rFonts w:ascii="Times New Roman" w:cs="Times New Roman" w:eastAsia="Times New Roman" w:hAnsi="Times New Roman"/>
          <w:sz w:val="18"/>
          <w:szCs w:val="18"/>
          <w:u w:val="single" w:color="auto"/>
          <w:color w:val="auto"/>
        </w:rPr>
        <w:t>Amended Guaranty and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Amended Credit Agreement and the Amended Guaranty and Security Agreement being referred to herein, collectively, as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010000"/>
        </w:rPr>
      </w:pPr>
    </w:p>
    <w:p>
      <w:pPr>
        <w:ind w:left="1440" w:hanging="370"/>
        <w:spacing w:after="0"/>
        <w:tabs>
          <w:tab w:leader="none" w:pos="144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Agent shall have received a duly executed copy of the Intercreditor Agreement;</w:t>
      </w:r>
    </w:p>
    <w:p>
      <w:pPr>
        <w:spacing w:after="0" w:line="190" w:lineRule="exact"/>
        <w:rPr>
          <w:rFonts w:ascii="Times New Roman" w:cs="Times New Roman" w:eastAsia="Times New Roman" w:hAnsi="Times New Roman"/>
          <w:sz w:val="18"/>
          <w:szCs w:val="18"/>
          <w:color w:val="010000"/>
        </w:rPr>
      </w:pPr>
    </w:p>
    <w:p>
      <w:pPr>
        <w:ind w:left="1480" w:hanging="410"/>
        <w:spacing w:after="0"/>
        <w:tabs>
          <w:tab w:leader="none" w:pos="148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Agent shall have received duly executed copies of the Term Loan Documents;</w:t>
      </w:r>
    </w:p>
    <w:p>
      <w:pPr>
        <w:spacing w:after="0" w:line="190" w:lineRule="exact"/>
        <w:rPr>
          <w:rFonts w:ascii="Times New Roman" w:cs="Times New Roman" w:eastAsia="Times New Roman" w:hAnsi="Times New Roman"/>
          <w:sz w:val="18"/>
          <w:szCs w:val="18"/>
          <w:color w:val="010000"/>
        </w:rPr>
      </w:pPr>
    </w:p>
    <w:p>
      <w:pPr>
        <w:ind w:firstLine="1070"/>
        <w:spacing w:after="0" w:line="284" w:lineRule="auto"/>
        <w:tabs>
          <w:tab w:leader="none" w:pos="1508"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the date of this Amendment and after giving effect thereto, no Default or Event of Default shall have occurred and be continuing, nor shall either result from the entry into this Amendment;</w:t>
      </w:r>
    </w:p>
    <w:p>
      <w:pPr>
        <w:spacing w:after="0" w:line="118" w:lineRule="exact"/>
        <w:rPr>
          <w:rFonts w:ascii="Times New Roman" w:cs="Times New Roman" w:eastAsia="Times New Roman" w:hAnsi="Times New Roman"/>
          <w:sz w:val="18"/>
          <w:szCs w:val="18"/>
          <w:color w:val="010000"/>
        </w:rPr>
      </w:pPr>
    </w:p>
    <w:p>
      <w:pPr>
        <w:jc w:val="both"/>
        <w:ind w:firstLine="1070"/>
        <w:spacing w:after="0" w:line="257" w:lineRule="auto"/>
        <w:tabs>
          <w:tab w:leader="none" w:pos="1459"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contained in Section 3 of this Amendment shall be true and correct in all material respects (except that such materiality qualifier shall not be applicable to any representations and warranties that already are qualified or modified by materiality in the text thereof) on and as of the date of this Amendment and on the Amendment No. 1 Effective Date (except, in each case, to the extent that such representations and warranties relate solely to an earlier date, in which case such representations and warranties shall be true and correct in all material</w:t>
      </w:r>
    </w:p>
    <w:p>
      <w:pPr>
        <w:sectPr>
          <w:pgSz w:w="11900" w:h="16838" w:orient="portrait"/>
          <w:cols w:equalWidth="0" w:num="1">
            <w:col w:w="11460"/>
          </w:cols>
          <w:pgMar w:left="220" w:top="503" w:right="219" w:bottom="1440" w:gutter="0" w:footer="0" w:header="0"/>
        </w:sectPr>
      </w:pPr>
    </w:p>
    <w:bookmarkStart w:id="58" w:name="page59"/>
    <w:bookmarkEnd w:id="58"/>
    <w:p>
      <w:pPr>
        <w:spacing w:after="0" w:line="272" w:lineRule="auto"/>
        <w:rPr>
          <w:sz w:val="20"/>
          <w:szCs w:val="20"/>
          <w:color w:val="auto"/>
        </w:rPr>
      </w:pPr>
      <w:r>
        <w:rPr>
          <w:rFonts w:ascii="Times New Roman" w:cs="Times New Roman" w:eastAsia="Times New Roman" w:hAnsi="Times New Roman"/>
          <w:sz w:val="18"/>
          <w:szCs w:val="18"/>
          <w:color w:val="auto"/>
        </w:rPr>
        <w:t>respects (except that such materiality qualifier shall not be applicable to any representations and warranties that already are qualified or modified by materiality in the text thereof) on and as of such earlier date);</w:t>
      </w:r>
    </w:p>
    <w:p>
      <w:pPr>
        <w:spacing w:after="0" w:line="128" w:lineRule="exact"/>
        <w:rPr>
          <w:sz w:val="20"/>
          <w:szCs w:val="20"/>
          <w:color w:val="auto"/>
        </w:rPr>
      </w:pPr>
    </w:p>
    <w:p>
      <w:pPr>
        <w:ind w:firstLine="1070"/>
        <w:spacing w:after="0" w:line="284" w:lineRule="auto"/>
        <w:tabs>
          <w:tab w:leader="none" w:pos="1486"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Agent shall have received an amendment fee of $50,000, which fee shall be for the ratable benefit of the Lenders and shall be fully earned and non-refundable when paid; and</w:t>
      </w:r>
    </w:p>
    <w:p>
      <w:pPr>
        <w:spacing w:after="0" w:line="118" w:lineRule="exact"/>
        <w:rPr>
          <w:rFonts w:ascii="Times New Roman" w:cs="Times New Roman" w:eastAsia="Times New Roman" w:hAnsi="Times New Roman"/>
          <w:sz w:val="18"/>
          <w:szCs w:val="18"/>
          <w:color w:val="010000"/>
        </w:rPr>
      </w:pPr>
    </w:p>
    <w:p>
      <w:pPr>
        <w:ind w:firstLine="1070"/>
        <w:spacing w:after="0" w:line="284" w:lineRule="auto"/>
        <w:tabs>
          <w:tab w:leader="none" w:pos="1568"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shall have paid all Lender Group Expenses incurred in connection with the transactions evidenced by this Amendment (to the extent incurred on or prior to the Amendment No. 1 Effective Date).</w:t>
      </w:r>
    </w:p>
    <w:p>
      <w:pPr>
        <w:spacing w:after="0" w:line="11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010000"/>
        </w:rPr>
        <w:t>Section 3.</w:t>
      </w:r>
      <w:r>
        <w:rPr>
          <w:sz w:val="20"/>
          <w:szCs w:val="20"/>
          <w:color w:val="auto"/>
        </w:rPr>
        <w:tab/>
      </w:r>
      <w:r>
        <w:rPr>
          <w:rFonts w:ascii="Times New Roman" w:cs="Times New Roman" w:eastAsia="Times New Roman" w:hAnsi="Times New Roman"/>
          <w:sz w:val="17"/>
          <w:szCs w:val="17"/>
          <w:b w:val="1"/>
          <w:bCs w:val="1"/>
          <w:color w:val="auto"/>
        </w:rPr>
        <w:t>BORROWER’S REPRESENTATIONS AND WARRANTIES</w:t>
      </w:r>
    </w:p>
    <w:p>
      <w:pPr>
        <w:spacing w:after="0" w:line="182" w:lineRule="exact"/>
        <w:rPr>
          <w:sz w:val="20"/>
          <w:szCs w:val="20"/>
          <w:color w:val="auto"/>
        </w:rPr>
      </w:pPr>
    </w:p>
    <w:p>
      <w:pPr>
        <w:ind w:firstLine="531"/>
        <w:spacing w:after="0" w:line="302" w:lineRule="auto"/>
        <w:rPr>
          <w:sz w:val="20"/>
          <w:szCs w:val="20"/>
          <w:color w:val="auto"/>
        </w:rPr>
      </w:pPr>
      <w:r>
        <w:rPr>
          <w:rFonts w:ascii="Times New Roman" w:cs="Times New Roman" w:eastAsia="Times New Roman" w:hAnsi="Times New Roman"/>
          <w:sz w:val="17"/>
          <w:szCs w:val="17"/>
          <w:color w:val="auto"/>
        </w:rPr>
        <w:t>Borrower hereby represents and warrants to the Lender Group the following (which shall survive execution and delivery of this Amendment), the truth and accuracy of which representations and warranties are a continuing condition of the making of Revolving Loans and providing Letters of Credit to Borrower:</w:t>
      </w:r>
    </w:p>
    <w:p>
      <w:pPr>
        <w:spacing w:after="0" w:line="103" w:lineRule="exact"/>
        <w:rPr>
          <w:sz w:val="20"/>
          <w:szCs w:val="20"/>
          <w:color w:val="auto"/>
        </w:rPr>
      </w:pPr>
    </w:p>
    <w:p>
      <w:pPr>
        <w:jc w:val="both"/>
        <w:ind w:firstLine="539"/>
        <w:spacing w:after="0" w:line="258" w:lineRule="auto"/>
        <w:tabs>
          <w:tab w:leader="none" w:pos="916" w:val="left"/>
        </w:tabs>
        <w:numPr>
          <w:ilvl w:val="0"/>
          <w:numId w:val="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Due Organization. </w:t>
      </w:r>
      <w:r>
        <w:rPr>
          <w:rFonts w:ascii="Times New Roman" w:cs="Times New Roman" w:eastAsia="Times New Roman" w:hAnsi="Times New Roman"/>
          <w:sz w:val="18"/>
          <w:szCs w:val="18"/>
          <w:color w:val="auto"/>
        </w:rPr>
        <w:t>Borrower (i) is duly organized and existing and in good standing under the laws of the jurisdiction of its organization (ii)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and, with respect to the Borrower, to enter into this Amendment and to carry out the transactions contemplated by the Amended Loan Documents.</w:t>
      </w:r>
    </w:p>
    <w:p>
      <w:pPr>
        <w:spacing w:after="0" w:line="137" w:lineRule="exact"/>
        <w:rPr>
          <w:rFonts w:ascii="Times New Roman" w:cs="Times New Roman" w:eastAsia="Times New Roman" w:hAnsi="Times New Roman"/>
          <w:sz w:val="18"/>
          <w:szCs w:val="18"/>
          <w:b w:val="1"/>
          <w:bCs w:val="1"/>
          <w:color w:val="010000"/>
        </w:rPr>
      </w:pPr>
    </w:p>
    <w:p>
      <w:pPr>
        <w:jc w:val="both"/>
        <w:ind w:firstLine="539"/>
        <w:spacing w:after="0" w:line="265" w:lineRule="auto"/>
        <w:tabs>
          <w:tab w:leader="none" w:pos="962" w:val="left"/>
        </w:tabs>
        <w:numPr>
          <w:ilvl w:val="0"/>
          <w:numId w:val="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Binding Obligations. </w:t>
      </w:r>
      <w:r>
        <w:rPr>
          <w:rFonts w:ascii="Times New Roman" w:cs="Times New Roman" w:eastAsia="Times New Roman" w:hAnsi="Times New Roman"/>
          <w:sz w:val="18"/>
          <w:szCs w:val="18"/>
          <w:color w:val="auto"/>
        </w:rPr>
        <w:t>This Amendment, when duly executed and delivered by Borrower, will be the legally valid and binding obligation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enforceable against Borrower in accordance with its respective terms, except as enforcement may be limited by equitable principles or by bankruptcy, insolvency, reorganization, moratorium, or similar laws relating to or limiting creditors’ rights generally.</w:t>
      </w:r>
    </w:p>
    <w:p>
      <w:pPr>
        <w:spacing w:after="0" w:line="132" w:lineRule="exact"/>
        <w:rPr>
          <w:rFonts w:ascii="Times New Roman" w:cs="Times New Roman" w:eastAsia="Times New Roman" w:hAnsi="Times New Roman"/>
          <w:sz w:val="18"/>
          <w:szCs w:val="18"/>
          <w:b w:val="1"/>
          <w:bCs w:val="1"/>
          <w:color w:val="010000"/>
        </w:rPr>
      </w:pPr>
    </w:p>
    <w:p>
      <w:pPr>
        <w:ind w:left="860" w:hanging="321"/>
        <w:spacing w:after="0"/>
        <w:tabs>
          <w:tab w:leader="none" w:pos="860" w:val="left"/>
        </w:tabs>
        <w:numPr>
          <w:ilvl w:val="0"/>
          <w:numId w:val="3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Due Authorization; No Conflict.</w:t>
      </w:r>
    </w:p>
    <w:p>
      <w:pPr>
        <w:spacing w:after="0" w:line="192" w:lineRule="exact"/>
        <w:rPr>
          <w:rFonts w:ascii="Times New Roman" w:cs="Times New Roman" w:eastAsia="Times New Roman" w:hAnsi="Times New Roman"/>
          <w:sz w:val="18"/>
          <w:szCs w:val="18"/>
          <w:b w:val="1"/>
          <w:bCs w:val="1"/>
          <w:color w:val="010000"/>
        </w:rPr>
      </w:pPr>
    </w:p>
    <w:p>
      <w:pPr>
        <w:ind w:firstLine="1070"/>
        <w:spacing w:after="0" w:line="284" w:lineRule="auto"/>
        <w:tabs>
          <w:tab w:leader="none" w:pos="1397" w:val="left"/>
        </w:tabs>
        <w:numPr>
          <w:ilvl w:val="1"/>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by Borrower of this Amendment and the performance by Borrower of the Amended Loan Documents have been duly authorized by all necessary action on the part of Borrower.</w:t>
      </w:r>
    </w:p>
    <w:p>
      <w:pPr>
        <w:spacing w:after="0" w:line="118" w:lineRule="exact"/>
        <w:rPr>
          <w:rFonts w:ascii="Times New Roman" w:cs="Times New Roman" w:eastAsia="Times New Roman" w:hAnsi="Times New Roman"/>
          <w:sz w:val="18"/>
          <w:szCs w:val="18"/>
          <w:color w:val="010000"/>
        </w:rPr>
      </w:pPr>
    </w:p>
    <w:p>
      <w:pPr>
        <w:jc w:val="both"/>
        <w:ind w:firstLine="1070"/>
        <w:spacing w:after="0" w:line="253" w:lineRule="auto"/>
        <w:tabs>
          <w:tab w:leader="none" w:pos="1425" w:val="left"/>
        </w:tabs>
        <w:numPr>
          <w:ilvl w:val="1"/>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by Borrower of this Amendment, and the performance by Borrower of the Amended Loan Documents do not and will not (a) violate any material provision of federal, state, or local law or regulation applicable to Borrower or its Subsidiaries, the Governing Documents of Borrower or its Subsidiaries, or any order, judgment, or decree of any court or other Governmental Authority binding on Borrower or its Subsidiaries, (b) conflict with, result in a breach of, or constitute (with due notice or lapse of time or both) a default under any material agreement of Borrower or its Subsidiaries where any such conflict, breach or default could individually or in the aggregate reasonably be expected to have a Material Adverse</w:t>
      </w:r>
    </w:p>
    <w:p>
      <w:pPr>
        <w:sectPr>
          <w:pgSz w:w="11900" w:h="16838" w:orient="portrait"/>
          <w:cols w:equalWidth="0" w:num="1">
            <w:col w:w="11460"/>
          </w:cols>
          <w:pgMar w:left="220" w:top="327" w:right="219" w:bottom="1440" w:gutter="0" w:footer="0" w:header="0"/>
        </w:sectPr>
      </w:pPr>
    </w:p>
    <w:bookmarkStart w:id="59" w:name="page60"/>
    <w:bookmarkEnd w:id="59"/>
    <w:p>
      <w:pPr>
        <w:jc w:val="both"/>
        <w:spacing w:after="0" w:line="272" w:lineRule="auto"/>
        <w:rPr>
          <w:sz w:val="20"/>
          <w:szCs w:val="20"/>
          <w:color w:val="auto"/>
        </w:rPr>
      </w:pPr>
      <w:r>
        <w:rPr>
          <w:rFonts w:ascii="Times New Roman" w:cs="Times New Roman" w:eastAsia="Times New Roman" w:hAnsi="Times New Roman"/>
          <w:sz w:val="17"/>
          <w:szCs w:val="17"/>
          <w:color w:val="auto"/>
        </w:rPr>
        <w:t>Effect, (c) result in or require the creation or imposition of any Lien of any nature whatsoever upon any assets of Borrower or its Subsidiaries, other than Permitted Liens, or (d) require any approval of any holder of Equity Interests of Borrower or any approval or consent of any Person under any material agreement of Borrower,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129" w:lineRule="exact"/>
        <w:rPr>
          <w:sz w:val="20"/>
          <w:szCs w:val="20"/>
          <w:color w:val="auto"/>
        </w:rPr>
      </w:pPr>
    </w:p>
    <w:p>
      <w:pPr>
        <w:jc w:val="both"/>
        <w:ind w:firstLine="539"/>
        <w:spacing w:after="0" w:line="258" w:lineRule="auto"/>
        <w:tabs>
          <w:tab w:leader="none" w:pos="905" w:val="left"/>
        </w:tabs>
        <w:numPr>
          <w:ilvl w:val="0"/>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Governmental Consents. </w:t>
      </w:r>
      <w:r>
        <w:rPr>
          <w:rFonts w:ascii="Times New Roman" w:cs="Times New Roman" w:eastAsia="Times New Roman" w:hAnsi="Times New Roman"/>
          <w:sz w:val="18"/>
          <w:szCs w:val="18"/>
          <w:color w:val="auto"/>
        </w:rPr>
        <w:t>The execution and delivery by Borrower of this Amendment, and the performance by Borrower of the Amended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the consummation of the transactions contemplated hereby do not and will not require any registration with, consent, or approval of, or notice to, or other action with or by, any Governmental Authority, other than registrations, consents, approvals, notices, or other actions that (i) have been obtained and that are still in force and effect or (ii) the failure of which to obtain or perform could not reasonably be expected to result in a Material Adverse Effect.</w:t>
      </w:r>
    </w:p>
    <w:p>
      <w:pPr>
        <w:spacing w:after="0" w:line="137" w:lineRule="exact"/>
        <w:rPr>
          <w:rFonts w:ascii="Times New Roman" w:cs="Times New Roman" w:eastAsia="Times New Roman" w:hAnsi="Times New Roman"/>
          <w:sz w:val="18"/>
          <w:szCs w:val="18"/>
          <w:b w:val="1"/>
          <w:bCs w:val="1"/>
          <w:color w:val="010000"/>
        </w:rPr>
      </w:pPr>
    </w:p>
    <w:p>
      <w:pPr>
        <w:jc w:val="both"/>
        <w:ind w:firstLine="539"/>
        <w:spacing w:after="0" w:line="254" w:lineRule="auto"/>
        <w:tabs>
          <w:tab w:leader="none" w:pos="940" w:val="left"/>
        </w:tabs>
        <w:numPr>
          <w:ilvl w:val="0"/>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Incorporation of Representations and Warranties. </w:t>
      </w:r>
      <w:r>
        <w:rPr>
          <w:rFonts w:ascii="Times New Roman" w:cs="Times New Roman" w:eastAsia="Times New Roman" w:hAnsi="Times New Roman"/>
          <w:sz w:val="18"/>
          <w:szCs w:val="18"/>
          <w:color w:val="auto"/>
        </w:rPr>
        <w:t>The representations and warranties of the Loan Parties contained in the Amended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Amended Guaranty and Security Agreement, and the other Loan Documents are true, correct and complete in all material respects (except that such materiality qualifier shall not be applicable to any representations and warranties that already are qualified or modified by materiality in the text thereof) on and as of the Amendment No. 1 Effective Date as though made on and as the date hereof (except to the extent such representations and warranties specifically relate to an earlier date).</w:t>
      </w:r>
    </w:p>
    <w:p>
      <w:pPr>
        <w:spacing w:after="0" w:line="142" w:lineRule="exact"/>
        <w:rPr>
          <w:rFonts w:ascii="Times New Roman" w:cs="Times New Roman" w:eastAsia="Times New Roman" w:hAnsi="Times New Roman"/>
          <w:sz w:val="18"/>
          <w:szCs w:val="18"/>
          <w:b w:val="1"/>
          <w:bCs w:val="1"/>
          <w:color w:val="010000"/>
        </w:rPr>
      </w:pPr>
    </w:p>
    <w:p>
      <w:pPr>
        <w:ind w:firstLine="539"/>
        <w:spacing w:after="0" w:line="287" w:lineRule="auto"/>
        <w:tabs>
          <w:tab w:leader="none" w:pos="825" w:val="left"/>
        </w:tabs>
        <w:numPr>
          <w:ilvl w:val="0"/>
          <w:numId w:val="3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No Default. </w:t>
      </w:r>
      <w:r>
        <w:rPr>
          <w:rFonts w:ascii="Times New Roman" w:cs="Times New Roman" w:eastAsia="Times New Roman" w:hAnsi="Times New Roman"/>
          <w:sz w:val="18"/>
          <w:szCs w:val="18"/>
          <w:color w:val="auto"/>
        </w:rPr>
        <w:t>No event has occurred and is continuing or will result from the consummation of the transactions contemplated by this Amendment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constitute a Default or an Event of Default.</w:t>
      </w:r>
    </w:p>
    <w:p>
      <w:pPr>
        <w:spacing w:after="0" w:line="1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010000"/>
        </w:rPr>
        <w:t>Section 4.</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180" w:lineRule="exact"/>
        <w:rPr>
          <w:sz w:val="20"/>
          <w:szCs w:val="20"/>
          <w:color w:val="auto"/>
        </w:rPr>
      </w:pPr>
    </w:p>
    <w:p>
      <w:pPr>
        <w:ind w:left="860" w:hanging="321"/>
        <w:spacing w:after="0"/>
        <w:tabs>
          <w:tab w:leader="none" w:pos="860" w:val="left"/>
        </w:tabs>
        <w:numPr>
          <w:ilvl w:val="0"/>
          <w:numId w:val="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Effect of this Amendment.</w:t>
      </w:r>
    </w:p>
    <w:p>
      <w:pPr>
        <w:spacing w:after="0" w:line="192" w:lineRule="exact"/>
        <w:rPr>
          <w:rFonts w:ascii="Times New Roman" w:cs="Times New Roman" w:eastAsia="Times New Roman" w:hAnsi="Times New Roman"/>
          <w:sz w:val="18"/>
          <w:szCs w:val="18"/>
          <w:b w:val="1"/>
          <w:bCs w:val="1"/>
          <w:color w:val="010000"/>
        </w:rPr>
      </w:pPr>
    </w:p>
    <w:p>
      <w:pPr>
        <w:jc w:val="both"/>
        <w:ind w:firstLine="1070"/>
        <w:spacing w:after="0" w:line="251" w:lineRule="auto"/>
        <w:tabs>
          <w:tab w:leader="none" w:pos="1453"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and after the Amendment No. 1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 and each reference in the Guaranty and Security Agreement to “this Agreement”, “hereunder”, “hereof”, “herein” or words of like import referring to the Guaranty and Security Agreement, and each reference in the other Loan Documents to the “Guaranty and Security Agreement”, “thereunder”, “thereof” or words of like import referring to the Guaranty and Security Agreement shall mean and be a reference to the Amended Guaranty and Security Agreement,</w:t>
      </w:r>
    </w:p>
    <w:p>
      <w:pPr>
        <w:spacing w:after="0" w:line="149" w:lineRule="exact"/>
        <w:rPr>
          <w:rFonts w:ascii="Times New Roman" w:cs="Times New Roman" w:eastAsia="Times New Roman" w:hAnsi="Times New Roman"/>
          <w:sz w:val="18"/>
          <w:szCs w:val="18"/>
          <w:color w:val="010000"/>
        </w:rPr>
      </w:pPr>
    </w:p>
    <w:p>
      <w:pPr>
        <w:ind w:firstLine="1070"/>
        <w:spacing w:after="0" w:line="284" w:lineRule="auto"/>
        <w:tabs>
          <w:tab w:leader="none" w:pos="1425" w:val="left"/>
        </w:tabs>
        <w:numPr>
          <w:ilvl w:val="1"/>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expressly amended pursuant hereto, no other changes, waiver or modifications to the Loan Documents are intended or implied, and in all other respects the Loan Documents are hereby specifically ratified and confirmed by all parties hereto as of the date hereof.</w:t>
      </w:r>
    </w:p>
    <w:p>
      <w:pPr>
        <w:sectPr>
          <w:pgSz w:w="11900" w:h="16838" w:orient="portrait"/>
          <w:cols w:equalWidth="0" w:num="1">
            <w:col w:w="11460"/>
          </w:cols>
          <w:pgMar w:left="220" w:top="327" w:right="219" w:bottom="1440" w:gutter="0" w:footer="0" w:header="0"/>
        </w:sectPr>
      </w:pPr>
    </w:p>
    <w:bookmarkStart w:id="60" w:name="page61"/>
    <w:bookmarkEnd w:id="60"/>
    <w:p>
      <w:pPr>
        <w:spacing w:after="0" w:line="272" w:lineRule="auto"/>
        <w:rPr>
          <w:sz w:val="20"/>
          <w:szCs w:val="20"/>
          <w:color w:val="auto"/>
        </w:rPr>
      </w:pPr>
      <w:r>
        <w:rPr>
          <w:rFonts w:ascii="Times New Roman" w:cs="Times New Roman" w:eastAsia="Times New Roman" w:hAnsi="Times New Roman"/>
          <w:sz w:val="18"/>
          <w:szCs w:val="18"/>
          <w:color w:val="auto"/>
        </w:rPr>
        <w:t>To the extent that any provision of the Credit Agreement, the Guaranty and Security Agreement, or any of the other Loan Documents are inconsistent with the provisions of this Amendment, the provisions of this Amendment shall control.</w:t>
      </w:r>
    </w:p>
    <w:p>
      <w:pPr>
        <w:spacing w:after="0" w:line="126" w:lineRule="exact"/>
        <w:rPr>
          <w:sz w:val="20"/>
          <w:szCs w:val="20"/>
          <w:color w:val="auto"/>
        </w:rPr>
      </w:pPr>
    </w:p>
    <w:p>
      <w:pPr>
        <w:ind w:firstLine="539"/>
        <w:spacing w:after="0" w:line="287" w:lineRule="auto"/>
        <w:tabs>
          <w:tab w:leader="none" w:pos="884" w:val="left"/>
        </w:tabs>
        <w:numPr>
          <w:ilvl w:val="0"/>
          <w:numId w:val="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Loan Parties shall execute and deliver such additional documents and take such additional action as may be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Agent to effectuate the provisions and purposes hereof.</w:t>
      </w:r>
    </w:p>
    <w:p>
      <w:pPr>
        <w:spacing w:after="0" w:line="112" w:lineRule="exact"/>
        <w:rPr>
          <w:rFonts w:ascii="Times New Roman" w:cs="Times New Roman" w:eastAsia="Times New Roman" w:hAnsi="Times New Roman"/>
          <w:sz w:val="18"/>
          <w:szCs w:val="18"/>
          <w:b w:val="1"/>
          <w:bCs w:val="1"/>
          <w:color w:val="010000"/>
        </w:rPr>
      </w:pPr>
    </w:p>
    <w:p>
      <w:pPr>
        <w:jc w:val="both"/>
        <w:ind w:firstLine="539"/>
        <w:spacing w:after="0" w:line="265" w:lineRule="auto"/>
        <w:tabs>
          <w:tab w:leader="none" w:pos="883" w:val="left"/>
        </w:tabs>
        <w:numPr>
          <w:ilvl w:val="0"/>
          <w:numId w:val="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of this Amendment, the construction, interpretation and enforcement hereof, and the rights of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all matters arising hereunder or related thereto shall be determined under, governed by, and construed in accordance with the laws of the State of California.</w:t>
      </w:r>
    </w:p>
    <w:p>
      <w:pPr>
        <w:spacing w:after="0" w:line="132" w:lineRule="exact"/>
        <w:rPr>
          <w:rFonts w:ascii="Times New Roman" w:cs="Times New Roman" w:eastAsia="Times New Roman" w:hAnsi="Times New Roman"/>
          <w:sz w:val="18"/>
          <w:szCs w:val="18"/>
          <w:b w:val="1"/>
          <w:bCs w:val="1"/>
          <w:color w:val="010000"/>
        </w:rPr>
      </w:pPr>
    </w:p>
    <w:p>
      <w:pPr>
        <w:ind w:left="860" w:hanging="321"/>
        <w:spacing w:after="0"/>
        <w:tabs>
          <w:tab w:leader="none" w:pos="860" w:val="left"/>
        </w:tabs>
        <w:numPr>
          <w:ilvl w:val="0"/>
          <w:numId w:val="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This Amendment shall bind and inure to the benefit of the respective successors and assigns of each of the parties hereto.</w:t>
      </w:r>
    </w:p>
    <w:p>
      <w:pPr>
        <w:spacing w:after="0" w:line="190" w:lineRule="exact"/>
        <w:rPr>
          <w:rFonts w:ascii="Times New Roman" w:cs="Times New Roman" w:eastAsia="Times New Roman" w:hAnsi="Times New Roman"/>
          <w:sz w:val="18"/>
          <w:szCs w:val="18"/>
          <w:b w:val="1"/>
          <w:bCs w:val="1"/>
          <w:color w:val="010000"/>
        </w:rPr>
      </w:pPr>
    </w:p>
    <w:p>
      <w:pPr>
        <w:jc w:val="both"/>
        <w:ind w:firstLine="539"/>
        <w:spacing w:after="0" w:line="252" w:lineRule="auto"/>
        <w:tabs>
          <w:tab w:leader="none" w:pos="951" w:val="left"/>
        </w:tabs>
        <w:numPr>
          <w:ilvl w:val="0"/>
          <w:numId w:val="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color w:val="auto"/>
        </w:rPr>
        <w:t xml:space="preserve">Counterparts; Electronic Execution. </w:t>
      </w:r>
      <w:r>
        <w:rPr>
          <w:rFonts w:ascii="Times New Roman" w:cs="Times New Roman" w:eastAsia="Times New Roman" w:hAnsi="Times New Roman"/>
          <w:sz w:val="18"/>
          <w:szCs w:val="18"/>
          <w:color w:val="auto"/>
        </w:rPr>
        <w:t>This Amendment may be executed in any number of counterparts and by different parties on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when executed and delivered, shall be deemed to be an original, and all of which, when taken together, shall constitute but one and the same agreement. Delivery of an executed counterpart of this Amendment by telefacsimile or other electronic method of transmission (including .pdf format) shall be equally as effective as delivery of an original executed counterpart of this Amendment. Any party delivering an executed counterpart of this Amendment by telefacsimile or other electronic method of transmission (including .pdf format) also shall deliver an original executed counterpart of this Amendment but the failure to deliver an original executed counterpart shall not affect the validity, enforceability, and binding effect of this Amendment.</w:t>
      </w:r>
    </w:p>
    <w:p>
      <w:pPr>
        <w:sectPr>
          <w:pgSz w:w="11900" w:h="16838" w:orient="portrait"/>
          <w:cols w:equalWidth="0" w:num="1">
            <w:col w:w="11460"/>
          </w:cols>
          <w:pgMar w:left="220" w:top="327" w:right="219" w:bottom="1440" w:gutter="0" w:footer="0" w:header="0"/>
        </w:sectPr>
      </w:pPr>
    </w:p>
    <w:bookmarkStart w:id="61" w:name="page62"/>
    <w:bookmarkEnd w:id="61"/>
    <w:p>
      <w:pPr>
        <w:ind w:firstLine="531"/>
        <w:spacing w:after="0" w:line="27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and delivered by their respective officers thereunto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ENPHASE ENERGY, INC.</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7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Paul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23495</wp:posOffset>
            </wp:positionV>
            <wp:extent cx="34182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8205" cy="6985"/>
                    </a:xfrm>
                    <a:prstGeom prst="rect">
                      <a:avLst/>
                    </a:prstGeom>
                    <a:noFill/>
                  </pic:spPr>
                </pic:pic>
              </a:graphicData>
            </a:graphic>
          </wp:anchor>
        </w:drawing>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Paul Nahi</w:t>
      </w:r>
    </w:p>
    <w:p>
      <w:pPr>
        <w:spacing w:after="0" w:line="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38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continued on next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3880"/>
        <w:spacing w:after="0"/>
        <w:rPr>
          <w:sz w:val="20"/>
          <w:szCs w:val="20"/>
          <w:color w:val="auto"/>
        </w:rPr>
      </w:pPr>
      <w:r>
        <w:rPr>
          <w:rFonts w:ascii="Times New Roman" w:cs="Times New Roman" w:eastAsia="Times New Roman" w:hAnsi="Times New Roman"/>
          <w:sz w:val="15"/>
          <w:szCs w:val="15"/>
          <w:color w:val="auto"/>
        </w:rPr>
        <w:t>Amendment No. 1 to Amended and Restated Credit Agreement</w:t>
      </w:r>
    </w:p>
    <w:p>
      <w:pPr>
        <w:spacing w:after="0" w:line="19" w:lineRule="exact"/>
        <w:rPr>
          <w:sz w:val="20"/>
          <w:szCs w:val="20"/>
          <w:color w:val="auto"/>
        </w:rPr>
      </w:pPr>
    </w:p>
    <w:p>
      <w:pPr>
        <w:jc w:val="right"/>
        <w:ind w:right="3900"/>
        <w:spacing w:after="0"/>
        <w:rPr>
          <w:sz w:val="20"/>
          <w:szCs w:val="20"/>
          <w:color w:val="auto"/>
        </w:rPr>
      </w:pPr>
      <w:r>
        <w:rPr>
          <w:rFonts w:ascii="Times New Roman" w:cs="Times New Roman" w:eastAsia="Times New Roman" w:hAnsi="Times New Roman"/>
          <w:sz w:val="15"/>
          <w:szCs w:val="15"/>
          <w:color w:val="auto"/>
        </w:rPr>
        <w:t>and Amended and Restated Guaranty and Security Agreement</w:t>
      </w:r>
    </w:p>
    <w:p>
      <w:pPr>
        <w:sectPr>
          <w:pgSz w:w="11900" w:h="16838" w:orient="portrait"/>
          <w:cols w:equalWidth="0" w:num="1">
            <w:col w:w="11460"/>
          </w:cols>
          <w:pgMar w:left="220" w:top="325" w:right="219" w:bottom="1440" w:gutter="0" w:footer="0" w:header="0"/>
        </w:sectPr>
      </w:pPr>
    </w:p>
    <w:bookmarkStart w:id="62" w:name="page63"/>
    <w:bookmarkEnd w:id="62"/>
    <w:p>
      <w:pPr>
        <w:ind w:left="51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 a national</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banking association, as Agent and sole Lender</w:t>
      </w: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/s/ Sylvia S.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23495</wp:posOffset>
            </wp:positionV>
            <wp:extent cx="32708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0885" cy="6985"/>
                    </a:xfrm>
                    <a:prstGeom prst="rect">
                      <a:avLst/>
                    </a:prstGeom>
                    <a:noFill/>
                  </pic:spPr>
                </pic:pic>
              </a:graphicData>
            </a:graphic>
          </wp:anchor>
        </w:drawing>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 Sylvia S. Tran</w:t>
      </w:r>
    </w:p>
    <w:p>
      <w:pPr>
        <w:spacing w:after="0" w:line="3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3680"/>
        <w:spacing w:after="0"/>
        <w:rPr>
          <w:sz w:val="20"/>
          <w:szCs w:val="20"/>
          <w:color w:val="auto"/>
        </w:rPr>
      </w:pPr>
      <w:r>
        <w:rPr>
          <w:rFonts w:ascii="Times New Roman" w:cs="Times New Roman" w:eastAsia="Times New Roman" w:hAnsi="Times New Roman"/>
          <w:sz w:val="14"/>
          <w:szCs w:val="14"/>
          <w:color w:val="auto"/>
        </w:rPr>
        <w:t>Amendment No. 1 to Amended and Restated Credit Agreement</w:t>
      </w:r>
    </w:p>
    <w:p>
      <w:pPr>
        <w:spacing w:after="0" w:line="30" w:lineRule="exact"/>
        <w:rPr>
          <w:sz w:val="20"/>
          <w:szCs w:val="20"/>
          <w:color w:val="auto"/>
        </w:rPr>
      </w:pPr>
    </w:p>
    <w:p>
      <w:pPr>
        <w:jc w:val="right"/>
        <w:ind w:right="3700"/>
        <w:spacing w:after="0"/>
        <w:rPr>
          <w:sz w:val="20"/>
          <w:szCs w:val="20"/>
          <w:color w:val="auto"/>
        </w:rPr>
      </w:pPr>
      <w:r>
        <w:rPr>
          <w:rFonts w:ascii="Times New Roman" w:cs="Times New Roman" w:eastAsia="Times New Roman" w:hAnsi="Times New Roman"/>
          <w:sz w:val="14"/>
          <w:szCs w:val="14"/>
          <w:color w:val="auto"/>
        </w:rPr>
        <w:t>and Amended and Restated Guaranty and Security Agreement</w:t>
      </w:r>
    </w:p>
    <w:p>
      <w:pPr>
        <w:sectPr>
          <w:pgSz w:w="11900" w:h="16838" w:orient="portrait"/>
          <w:cols w:equalWidth="0" w:num="1">
            <w:col w:w="10040"/>
          </w:cols>
          <w:pgMar w:left="1440" w:top="446" w:right="4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LOAN AND SECURITY AGREEMENT</w:t>
      </w:r>
    </w:p>
    <w:p>
      <w:pPr>
        <w:spacing w:after="0" w:line="190" w:lineRule="exact"/>
        <w:rPr>
          <w:sz w:val="20"/>
          <w:szCs w:val="20"/>
          <w:color w:val="auto"/>
        </w:rPr>
      </w:pPr>
    </w:p>
    <w:p>
      <w:pPr>
        <w:ind w:right="140" w:firstLine="531"/>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THIS LOAN AND SECURITY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dated as of July 8, 2016,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is entered into between Enphase Energy, Inc.,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Delaware corporation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each Lender (as defined in Section 14) and Obsidian Agency Services, Inc., a California corporation, in its capacity as administrative and collateral agent (the “</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for Lenders, and provides the terms on which Lenders shall lend to Borrower and Borrower shall repay Lenders. For good and valuable consideration, the receipt and sufficiency of which is hereby acknowledged, the parties agree as follows:</w:t>
      </w:r>
    </w:p>
    <w:p>
      <w:pPr>
        <w:spacing w:after="0" w:line="15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1.</w:t>
      </w:r>
      <w:r>
        <w:rPr>
          <w:sz w:val="20"/>
          <w:szCs w:val="20"/>
          <w:color w:val="auto"/>
        </w:rPr>
        <w:tab/>
      </w:r>
      <w:r>
        <w:rPr>
          <w:rFonts w:ascii="Times New Roman" w:cs="Times New Roman" w:eastAsia="Times New Roman" w:hAnsi="Times New Roman"/>
          <w:sz w:val="16"/>
          <w:szCs w:val="16"/>
          <w:b w:val="1"/>
          <w:bCs w:val="1"/>
          <w:u w:val="single" w:color="auto"/>
          <w:color w:val="auto"/>
        </w:rPr>
        <w:t>LOAN AND TERMS OF PAYMENT</w:t>
      </w:r>
    </w:p>
    <w:p>
      <w:pPr>
        <w:spacing w:after="0" w:line="148" w:lineRule="exact"/>
        <w:rPr>
          <w:sz w:val="20"/>
          <w:szCs w:val="20"/>
          <w:color w:val="auto"/>
        </w:rPr>
      </w:pPr>
    </w:p>
    <w:p>
      <w:pPr>
        <w:ind w:right="28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1.1. Promise to Pay</w:t>
      </w:r>
      <w:r>
        <w:rPr>
          <w:rFonts w:ascii="Times New Roman" w:cs="Times New Roman" w:eastAsia="Times New Roman" w:hAnsi="Times New Roman"/>
          <w:sz w:val="16"/>
          <w:szCs w:val="16"/>
          <w:color w:val="auto"/>
        </w:rPr>
        <w:t>. Borrower hereby unconditionally promises to pay Lenders the outstanding principal amount of all Credit Extensions, all accrued and unpaid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thereon and all other Obligations as and when due in accordance with this Agreement.</w:t>
      </w:r>
    </w:p>
    <w:p>
      <w:pPr>
        <w:spacing w:after="0" w:line="32"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1.2.</w:t>
        <w:tab/>
        <w:t>Term Loan</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20" w:firstLine="1070"/>
        <w:spacing w:after="0" w:line="256" w:lineRule="auto"/>
        <w:tabs>
          <w:tab w:leader="none" w:pos="14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Availability</w:t>
      </w:r>
      <w:r>
        <w:rPr>
          <w:rFonts w:ascii="Times New Roman" w:cs="Times New Roman" w:eastAsia="Times New Roman" w:hAnsi="Times New Roman"/>
          <w:sz w:val="16"/>
          <w:szCs w:val="16"/>
          <w:color w:val="auto"/>
        </w:rPr>
        <w:t xml:space="preserve">. Subject to the terms and conditions of this Agreement, Lenders, severally and not jointly, agree to make in accordance with </w:t>
      </w:r>
      <w:r>
        <w:rPr>
          <w:rFonts w:ascii="Times New Roman" w:cs="Times New Roman" w:eastAsia="Times New Roman" w:hAnsi="Times New Roman"/>
          <w:sz w:val="16"/>
          <w:szCs w:val="16"/>
          <w:u w:val="single" w:color="auto"/>
          <w:color w:val="auto"/>
        </w:rPr>
        <w:t>Schedule 1.2</w:t>
      </w:r>
      <w:r>
        <w:rPr>
          <w:rFonts w:ascii="Times New Roman" w:cs="Times New Roman" w:eastAsia="Times New Roman" w:hAnsi="Times New Roman"/>
          <w:sz w:val="16"/>
          <w:szCs w:val="16"/>
          <w:color w:val="auto"/>
        </w:rPr>
        <w:t xml:space="preserve">, and Borrower agrees to draw, a Credit Extension under the Term Loan in an aggregate amount of Twenty Five Million Dollars ($25,000,000) on the Effective Date. After repayment, Credit Extensions made under the Term Loan may not be reborrowed. Under no circumstances shall a Lender be required to make Credit Extensions in excess of the commitment amount listed next to such Lender’s name on </w:t>
      </w:r>
      <w:r>
        <w:rPr>
          <w:rFonts w:ascii="Times New Roman" w:cs="Times New Roman" w:eastAsia="Times New Roman" w:hAnsi="Times New Roman"/>
          <w:sz w:val="16"/>
          <w:szCs w:val="16"/>
          <w:u w:val="single" w:color="auto"/>
          <w:color w:val="auto"/>
        </w:rPr>
        <w:t>Schedule 1.2</w:t>
      </w:r>
      <w:r>
        <w:rPr>
          <w:rFonts w:ascii="Times New Roman" w:cs="Times New Roman" w:eastAsia="Times New Roman" w:hAnsi="Times New Roman"/>
          <w:sz w:val="16"/>
          <w:szCs w:val="16"/>
          <w:color w:val="auto"/>
        </w:rPr>
        <w:t>.</w:t>
      </w:r>
    </w:p>
    <w:p>
      <w:pPr>
        <w:spacing w:after="0" w:line="55" w:lineRule="exact"/>
        <w:rPr>
          <w:rFonts w:ascii="Times New Roman" w:cs="Times New Roman" w:eastAsia="Times New Roman" w:hAnsi="Times New Roman"/>
          <w:sz w:val="16"/>
          <w:szCs w:val="16"/>
          <w:color w:val="auto"/>
        </w:rPr>
      </w:pPr>
    </w:p>
    <w:p>
      <w:pPr>
        <w:ind w:right="60" w:firstLine="1070"/>
        <w:spacing w:after="0" w:line="250" w:lineRule="auto"/>
        <w:tabs>
          <w:tab w:leader="none" w:pos="141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Repayment</w:t>
      </w:r>
      <w:r>
        <w:rPr>
          <w:rFonts w:ascii="Times New Roman" w:cs="Times New Roman" w:eastAsia="Times New Roman" w:hAnsi="Times New Roman"/>
          <w:sz w:val="16"/>
          <w:szCs w:val="16"/>
          <w:color w:val="auto"/>
        </w:rPr>
        <w:t>. The Term Loan shall be “interest-only” during the Interest Only Period, with interest payable on the outstanding amount of Credit Extensions made under the Term Loan on the Interest Payment Date. Upon termination of the Interest Only Period, the outstanding Credit Extensions under the Term Loan shall be repaid in equal monthly installments (subject to the next sentence) so that all Credit Extensions under the Term Loan and interest accrued thereon shall be repaid on the Term Loan Maturity Date, which payments shall be due on the first Business Day of each month. If the Term Loan Interest Rate changes, the amount of the amortized payments will be recalculated so that remaining periodic payments under the Term Loan (including interest) shall be repaid in equal monthly installments from the date of such change until the Term Loan Maturity Date. Any remaining outstanding principal amount of the Credit Extensions and any accrued and unpaid interest thereon and all other outstanding Obligations are due and payable in full on the Term Loan Maturity Date.</w:t>
      </w:r>
    </w:p>
    <w:p>
      <w:pPr>
        <w:spacing w:after="0" w:line="62" w:lineRule="exact"/>
        <w:rPr>
          <w:rFonts w:ascii="Times New Roman" w:cs="Times New Roman" w:eastAsia="Times New Roman" w:hAnsi="Times New Roman"/>
          <w:sz w:val="16"/>
          <w:szCs w:val="16"/>
          <w:color w:val="auto"/>
        </w:rPr>
      </w:pPr>
    </w:p>
    <w:p>
      <w:pPr>
        <w:ind w:left="1420" w:hanging="350"/>
        <w:spacing w:after="0"/>
        <w:tabs>
          <w:tab w:leader="none" w:pos="1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Prepayment</w:t>
      </w:r>
      <w:r>
        <w:rPr>
          <w:rFonts w:ascii="Times New Roman" w:cs="Times New Roman" w:eastAsia="Times New Roman" w:hAnsi="Times New Roman"/>
          <w:sz w:val="16"/>
          <w:szCs w:val="16"/>
          <w:color w:val="auto"/>
        </w:rPr>
        <w:t>.</w:t>
      </w:r>
    </w:p>
    <w:p>
      <w:pPr>
        <w:spacing w:after="0" w:line="191" w:lineRule="exact"/>
        <w:rPr>
          <w:rFonts w:ascii="Times New Roman" w:cs="Times New Roman" w:eastAsia="Times New Roman" w:hAnsi="Times New Roman"/>
          <w:sz w:val="16"/>
          <w:szCs w:val="16"/>
          <w:color w:val="auto"/>
        </w:rPr>
      </w:pPr>
    </w:p>
    <w:p>
      <w:pPr>
        <w:ind w:right="160" w:firstLine="1335"/>
        <w:spacing w:after="0" w:line="285" w:lineRule="auto"/>
        <w:tabs>
          <w:tab w:leader="none" w:pos="1663"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Mandatory Prepayment Upon Acceleration.</w:t>
      </w:r>
      <w:r>
        <w:rPr>
          <w:rFonts w:ascii="Times New Roman" w:cs="Times New Roman" w:eastAsia="Times New Roman" w:hAnsi="Times New Roman"/>
          <w:sz w:val="16"/>
          <w:szCs w:val="16"/>
          <w:color w:val="auto"/>
        </w:rPr>
        <w:t xml:space="preserve"> If repayment of the Term Loan is accelerated, Borrower shall immediately pay to Lenders an amount equal to the sum of (a) all outstanding principal with respect to the Term Loan, plus accrued and unpaid interest thereon, (b) the Prepayment Fee, (c) the Closing Fee (less any portion of such Closing Fee already paid), and (d) all other sums, including Lender Expenses, if any, that shall have become due and payable hereunder in connection with the Term Loan, including interest at the Default Rate with respect to any past due amounts.</w:t>
      </w:r>
    </w:p>
    <w:p>
      <w:pPr>
        <w:spacing w:after="0" w:line="142" w:lineRule="exact"/>
        <w:rPr>
          <w:rFonts w:ascii="Times New Roman" w:cs="Times New Roman" w:eastAsia="Times New Roman" w:hAnsi="Times New Roman"/>
          <w:sz w:val="16"/>
          <w:szCs w:val="16"/>
          <w:color w:val="auto"/>
        </w:rPr>
      </w:pPr>
    </w:p>
    <w:p>
      <w:pPr>
        <w:ind w:right="40" w:firstLine="1335"/>
        <w:spacing w:after="0" w:line="280" w:lineRule="auto"/>
        <w:tabs>
          <w:tab w:leader="none" w:pos="1752"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Prepayment.</w:t>
      </w:r>
      <w:r>
        <w:rPr>
          <w:rFonts w:ascii="Times New Roman" w:cs="Times New Roman" w:eastAsia="Times New Roman" w:hAnsi="Times New Roman"/>
          <w:sz w:val="16"/>
          <w:szCs w:val="16"/>
          <w:color w:val="auto"/>
        </w:rPr>
        <w:t xml:space="preserve"> Borrower shall have the option to prepay all, or any part, of the Term Loan, provided Borrower (i) delivers written notice to Agent of its election to prepay the Term Loan at least five (5) days prior to such prepayment, and (ii) pays, on the date of such prepayment (a) all or such part of the outstanding principal with respect to the Term Loan set forth in its notice, plus accrued and unpaid interest thereon, (b) the Prepayment Fee, (c) the Closing Fee (or pro rata portion if less than the full amount of the outstanding Term Loan is repaid), and (d) all other sums, including Lender Expenses, if any, that shall have become due and payable hereunder in connection with the Term Loan, including interest at the Default Rate with respect to any past due amounts; provided, that any such notice delivered in connection with any prepayment with the proceeds of any incurrence of Indebtedness or the occurrence of some other identifiable</w:t>
      </w:r>
    </w:p>
    <w:p>
      <w:pPr>
        <w:sectPr>
          <w:pgSz w:w="11900" w:h="16838" w:orient="portrait"/>
          <w:cols w:equalWidth="0" w:num="1">
            <w:col w:w="11460"/>
          </w:cols>
          <w:pgMar w:left="220" w:top="318" w:right="219" w:bottom="1440" w:gutter="0" w:footer="0" w:header="0"/>
        </w:sectPr>
      </w:pPr>
    </w:p>
    <w:bookmarkStart w:id="64" w:name="page65"/>
    <w:bookmarkEnd w:id="64"/>
    <w:p>
      <w:pPr>
        <w:ind w:right="240"/>
        <w:spacing w:after="0" w:line="308" w:lineRule="auto"/>
        <w:rPr>
          <w:sz w:val="20"/>
          <w:szCs w:val="20"/>
          <w:color w:val="auto"/>
        </w:rPr>
      </w:pPr>
      <w:r>
        <w:rPr>
          <w:rFonts w:ascii="Times New Roman" w:cs="Times New Roman" w:eastAsia="Times New Roman" w:hAnsi="Times New Roman"/>
          <w:sz w:val="16"/>
          <w:szCs w:val="16"/>
          <w:color w:val="auto"/>
        </w:rPr>
        <w:t>event or condition, may be, if expressly so stated to be, contingent upon the consummation of such incurrence or occurrence of such other identifiable event or condition and may be revoked by the Borrower in the event such contingency is not met.</w:t>
      </w:r>
    </w:p>
    <w:p>
      <w:pPr>
        <w:spacing w:after="0" w:line="112" w:lineRule="exact"/>
        <w:rPr>
          <w:sz w:val="20"/>
          <w:szCs w:val="20"/>
          <w:color w:val="auto"/>
        </w:rPr>
      </w:pPr>
    </w:p>
    <w:p>
      <w:pPr>
        <w:ind w:left="54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1.3.</w:t>
        <w:tab/>
        <w:t>Payment of Interest on the Credit Extensions</w:t>
      </w:r>
    </w:p>
    <w:p>
      <w:pPr>
        <w:spacing w:after="0" w:line="183" w:lineRule="exact"/>
        <w:rPr>
          <w:sz w:val="20"/>
          <w:szCs w:val="20"/>
          <w:color w:val="auto"/>
        </w:rPr>
      </w:pPr>
    </w:p>
    <w:p>
      <w:pPr>
        <w:jc w:val="both"/>
        <w:ind w:right="100" w:firstLine="1070"/>
        <w:spacing w:after="0" w:line="256" w:lineRule="auto"/>
        <w:tabs>
          <w:tab w:leader="none" w:pos="140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Computation of Interest</w:t>
      </w:r>
      <w:r>
        <w:rPr>
          <w:rFonts w:ascii="Times New Roman" w:cs="Times New Roman" w:eastAsia="Times New Roman" w:hAnsi="Times New Roman"/>
          <w:sz w:val="16"/>
          <w:szCs w:val="16"/>
          <w:color w:val="auto"/>
        </w:rPr>
        <w:t>. Interest on the Credit Extensions and all fees payable hereunder shall be computed on the basis of a 360-day year and the actual number of days elapsed in the period during which such interest accrues. In computing interest on any Credit Extension, the date of the making of such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43" w:lineRule="exact"/>
        <w:rPr>
          <w:rFonts w:ascii="Times New Roman" w:cs="Times New Roman" w:eastAsia="Times New Roman" w:hAnsi="Times New Roman"/>
          <w:sz w:val="16"/>
          <w:szCs w:val="16"/>
          <w:color w:val="auto"/>
        </w:rPr>
      </w:pPr>
    </w:p>
    <w:p>
      <w:pPr>
        <w:ind w:right="400" w:firstLine="1070"/>
        <w:spacing w:after="0" w:line="262" w:lineRule="auto"/>
        <w:tabs>
          <w:tab w:leader="none" w:pos="141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Credit Extensions</w:t>
      </w:r>
      <w:r>
        <w:rPr>
          <w:rFonts w:ascii="Times New Roman" w:cs="Times New Roman" w:eastAsia="Times New Roman" w:hAnsi="Times New Roman"/>
          <w:sz w:val="16"/>
          <w:szCs w:val="16"/>
          <w:color w:val="auto"/>
        </w:rPr>
        <w:t>. Each Credit Extension shall bear interest on the outstanding principal amount thereof from the date when made, continued or converted until paid in full at the Term Loan Interest Rate. Pursuant to the terms hereof, interest on each Credit Extension shall be paid in arrears on each Interest Payment Date.</w:t>
      </w:r>
    </w:p>
    <w:p>
      <w:pPr>
        <w:spacing w:after="0" w:line="138" w:lineRule="exact"/>
        <w:rPr>
          <w:rFonts w:ascii="Times New Roman" w:cs="Times New Roman" w:eastAsia="Times New Roman" w:hAnsi="Times New Roman"/>
          <w:sz w:val="16"/>
          <w:szCs w:val="16"/>
          <w:color w:val="auto"/>
        </w:rPr>
      </w:pPr>
    </w:p>
    <w:p>
      <w:pPr>
        <w:ind w:right="20" w:firstLine="1070"/>
        <w:spacing w:after="0" w:line="250" w:lineRule="auto"/>
        <w:tabs>
          <w:tab w:leader="none" w:pos="140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Interest</w:t>
      </w:r>
      <w:r>
        <w:rPr>
          <w:rFonts w:ascii="Times New Roman" w:cs="Times New Roman" w:eastAsia="Times New Roman" w:hAnsi="Times New Roman"/>
          <w:sz w:val="16"/>
          <w:szCs w:val="16"/>
          <w:color w:val="auto"/>
        </w:rPr>
        <w:t>. At Agent’s election, upon the occurrence and during the continuation of an Event of Default, which election can be retroactive to the date of the Event of Default, and subject to the limitation in Section 13.3 herein, Obligations shall bear interest at five percent (5.00%) above the rate effective immediately before the Event of Default (the “</w:t>
      </w:r>
      <w:r>
        <w:rPr>
          <w:rFonts w:ascii="Times New Roman" w:cs="Times New Roman" w:eastAsia="Times New Roman" w:hAnsi="Times New Roman"/>
          <w:sz w:val="16"/>
          <w:szCs w:val="16"/>
          <w:b w:val="1"/>
          <w:bCs w:val="1"/>
          <w:i w:val="1"/>
          <w:iCs w:val="1"/>
          <w:color w:val="auto"/>
        </w:rPr>
        <w:t>Default Rate</w:t>
      </w:r>
      <w:r>
        <w:rPr>
          <w:rFonts w:ascii="Times New Roman" w:cs="Times New Roman" w:eastAsia="Times New Roman" w:hAnsi="Times New Roman"/>
          <w:sz w:val="16"/>
          <w:szCs w:val="16"/>
          <w:color w:val="auto"/>
        </w:rPr>
        <w:t xml:space="preserve">”). Without limiting the generality of the foregoing, upon the curing or waiver of any Event of Default, the interest applicable to the Obligations shall revert to the interest applicable immediately prior to the occurrence of such Event of Default. Fees and expenses which are required to be paid by Borrower pursuant to the Loan Documents (including, without limitation, Lender Expenses) but are not paid when due shall bear interest until paid at the Default Rate. Payment or acceptance of the increased interest provided in this </w:t>
      </w:r>
      <w:r>
        <w:rPr>
          <w:rFonts w:ascii="Times New Roman" w:cs="Times New Roman" w:eastAsia="Times New Roman" w:hAnsi="Times New Roman"/>
          <w:sz w:val="16"/>
          <w:szCs w:val="16"/>
          <w:u w:val="single" w:color="auto"/>
          <w:color w:val="auto"/>
        </w:rPr>
        <w:t>Section 1.3(c)</w:t>
      </w:r>
      <w:r>
        <w:rPr>
          <w:rFonts w:ascii="Times New Roman" w:cs="Times New Roman" w:eastAsia="Times New Roman" w:hAnsi="Times New Roman"/>
          <w:sz w:val="16"/>
          <w:szCs w:val="16"/>
          <w:color w:val="auto"/>
        </w:rPr>
        <w:t xml:space="preserve"> is not a permitted alternative to timely payment and shall not constitute a waiver of any Event of Default or otherwise prejudice or limit any rights or remedies of Agent or Lender.</w:t>
      </w:r>
    </w:p>
    <w:p>
      <w:pPr>
        <w:spacing w:after="0" w:line="150" w:lineRule="exact"/>
        <w:rPr>
          <w:rFonts w:ascii="Times New Roman" w:cs="Times New Roman" w:eastAsia="Times New Roman" w:hAnsi="Times New Roman"/>
          <w:sz w:val="16"/>
          <w:szCs w:val="16"/>
          <w:color w:val="auto"/>
        </w:rPr>
      </w:pPr>
    </w:p>
    <w:p>
      <w:pPr>
        <w:jc w:val="both"/>
        <w:ind w:left="80" w:firstLine="1056"/>
        <w:spacing w:after="0" w:line="262" w:lineRule="auto"/>
        <w:tabs>
          <w:tab w:leader="none" w:pos="1532"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Rate Changes</w:t>
      </w:r>
      <w:r>
        <w:rPr>
          <w:rFonts w:ascii="Times New Roman" w:cs="Times New Roman" w:eastAsia="Times New Roman" w:hAnsi="Times New Roman"/>
          <w:sz w:val="16"/>
          <w:szCs w:val="16"/>
          <w:color w:val="auto"/>
        </w:rPr>
        <w:t>. Each change in the Term Loan Interest Rate shall be effective on the effective date of the change in the LIBOR Rate. Agent shall use its best efforts to give Borrower prompt notice of any such change; provided, however, that any failure by Agent to provide Borrower with notice hereunder shall not affect Agent’s right to make changes in the applicable interest rate.</w:t>
      </w:r>
    </w:p>
    <w:p>
      <w:pPr>
        <w:spacing w:after="0" w:line="138" w:lineRule="exact"/>
        <w:rPr>
          <w:rFonts w:ascii="Times New Roman" w:cs="Times New Roman" w:eastAsia="Times New Roman" w:hAnsi="Times New Roman"/>
          <w:sz w:val="16"/>
          <w:szCs w:val="16"/>
          <w:color w:val="auto"/>
        </w:rPr>
      </w:pPr>
    </w:p>
    <w:p>
      <w:pPr>
        <w:ind w:left="80" w:right="80" w:firstLine="1056"/>
        <w:spacing w:after="0" w:line="251" w:lineRule="auto"/>
        <w:tabs>
          <w:tab w:leader="none" w:pos="1523"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LIBOR Adjustment</w:t>
      </w:r>
      <w:r>
        <w:rPr>
          <w:rFonts w:ascii="Times New Roman" w:cs="Times New Roman" w:eastAsia="Times New Roman" w:hAnsi="Times New Roman"/>
          <w:sz w:val="16"/>
          <w:szCs w:val="16"/>
          <w:color w:val="auto"/>
        </w:rPr>
        <w:t>. Notwithstanding anything herein to the contrary, in the event Agent shall have determined that Dollar deposits in the principal amounts of the Term Loan are not generally available in the London interbank market, or that the rates at which such dollar deposits are being offered will not adequately and fairly reflect the cost to Lender of making or maintaining loans at the LIBOR Rate, or that reasonable means do not exist for ascertaining the LIBOR Rate, Agent will, as soon as practicable thereafter, provide notice of such determination to Borrower (a “</w:t>
      </w:r>
      <w:r>
        <w:rPr>
          <w:rFonts w:ascii="Times New Roman" w:cs="Times New Roman" w:eastAsia="Times New Roman" w:hAnsi="Times New Roman"/>
          <w:sz w:val="16"/>
          <w:szCs w:val="16"/>
          <w:b w:val="1"/>
          <w:bCs w:val="1"/>
          <w:i w:val="1"/>
          <w:iCs w:val="1"/>
          <w:color w:val="auto"/>
        </w:rPr>
        <w:t>LIBOR Unavailability Notice</w:t>
      </w:r>
      <w:r>
        <w:rPr>
          <w:rFonts w:ascii="Times New Roman" w:cs="Times New Roman" w:eastAsia="Times New Roman" w:hAnsi="Times New Roman"/>
          <w:sz w:val="16"/>
          <w:szCs w:val="16"/>
          <w:color w:val="auto"/>
        </w:rPr>
        <w:t xml:space="preserve">”). In the event of any such determination, until Agent shall have advised Borrower that the circumstances giving rise to such notice no longer exist, interest on the Term Loan shall accrue by reference to the Term Loan Alternate Base Rate. Each determination by Agent under this </w:t>
      </w:r>
      <w:r>
        <w:rPr>
          <w:rFonts w:ascii="Times New Roman" w:cs="Times New Roman" w:eastAsia="Times New Roman" w:hAnsi="Times New Roman"/>
          <w:sz w:val="16"/>
          <w:szCs w:val="16"/>
          <w:u w:val="single" w:color="auto"/>
          <w:color w:val="auto"/>
        </w:rPr>
        <w:t>Section 1.3(e)</w:t>
      </w:r>
      <w:r>
        <w:rPr>
          <w:rFonts w:ascii="Times New Roman" w:cs="Times New Roman" w:eastAsia="Times New Roman" w:hAnsi="Times New Roman"/>
          <w:sz w:val="16"/>
          <w:szCs w:val="16"/>
          <w:color w:val="auto"/>
        </w:rPr>
        <w:t xml:space="preserve"> shall be conclusive absent manifest error.</w:t>
      </w:r>
    </w:p>
    <w:p>
      <w:pPr>
        <w:spacing w:after="0" w:line="148" w:lineRule="exact"/>
        <w:rPr>
          <w:sz w:val="20"/>
          <w:szCs w:val="20"/>
          <w:color w:val="auto"/>
        </w:rPr>
      </w:pPr>
    </w:p>
    <w:p>
      <w:pPr>
        <w:jc w:val="both"/>
        <w:ind w:right="14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1.4. </w:t>
      </w:r>
      <w:r>
        <w:rPr>
          <w:rFonts w:ascii="Times New Roman" w:cs="Times New Roman" w:eastAsia="Times New Roman" w:hAnsi="Times New Roman"/>
          <w:sz w:val="16"/>
          <w:szCs w:val="16"/>
          <w:b w:val="1"/>
          <w:bCs w:val="1"/>
          <w:u w:val="single" w:color="auto"/>
          <w:color w:val="auto"/>
        </w:rPr>
        <w:t>Method of Payment</w:t>
      </w:r>
      <w:r>
        <w:rPr>
          <w:rFonts w:ascii="Times New Roman" w:cs="Times New Roman" w:eastAsia="Times New Roman" w:hAnsi="Times New Roman"/>
          <w:sz w:val="16"/>
          <w:szCs w:val="16"/>
          <w:color w:val="auto"/>
        </w:rPr>
        <w:t>. Unless otherwise approved by Agent, all payments to be made by Borrower under any of the Loan Documents shall be made by same day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wire transfer to Agent for the benefit of Lenders in accordance with the wire transfer instructions set forth on Schedule 1.4, as may be updated in writing from time to time by Agent.</w:t>
      </w:r>
    </w:p>
    <w:p>
      <w:pPr>
        <w:spacing w:after="0" w:line="136"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1.5.</w:t>
      </w:r>
      <w:r>
        <w:rPr>
          <w:sz w:val="20"/>
          <w:szCs w:val="20"/>
          <w:color w:val="auto"/>
        </w:rPr>
        <w:tab/>
      </w:r>
      <w:r>
        <w:rPr>
          <w:rFonts w:ascii="Times New Roman" w:cs="Times New Roman" w:eastAsia="Times New Roman" w:hAnsi="Times New Roman"/>
          <w:sz w:val="16"/>
          <w:szCs w:val="16"/>
          <w:b w:val="1"/>
          <w:bCs w:val="1"/>
          <w:u w:val="single" w:color="auto"/>
          <w:color w:val="auto"/>
        </w:rPr>
        <w:t>Fees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260" w:firstLine="1136"/>
        <w:spacing w:after="0" w:line="279" w:lineRule="auto"/>
        <w:tabs>
          <w:tab w:leader="none" w:pos="151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Commitment Fee</w:t>
      </w:r>
      <w:r>
        <w:rPr>
          <w:rFonts w:ascii="Times New Roman" w:cs="Times New Roman" w:eastAsia="Times New Roman" w:hAnsi="Times New Roman"/>
          <w:sz w:val="16"/>
          <w:szCs w:val="16"/>
          <w:color w:val="auto"/>
        </w:rPr>
        <w:t>. Borrower shall pay the Commitment Fee on the Effective Date, which fee shall be non-refundable and deemed fully earned on the Effective Date. Lenders may deduct the Commitment Fee from the initial Credit Extension.</w:t>
      </w:r>
    </w:p>
    <w:p>
      <w:pPr>
        <w:spacing w:after="0" w:line="36" w:lineRule="exact"/>
        <w:rPr>
          <w:rFonts w:ascii="Times New Roman" w:cs="Times New Roman" w:eastAsia="Times New Roman" w:hAnsi="Times New Roman"/>
          <w:sz w:val="16"/>
          <w:szCs w:val="16"/>
          <w:color w:val="auto"/>
        </w:rPr>
      </w:pPr>
    </w:p>
    <w:p>
      <w:pPr>
        <w:ind w:left="1520" w:hanging="384"/>
        <w:spacing w:after="0"/>
        <w:tabs>
          <w:tab w:leader="none" w:pos="15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Prepayment Fee</w:t>
      </w:r>
      <w:r>
        <w:rPr>
          <w:rFonts w:ascii="Times New Roman" w:cs="Times New Roman" w:eastAsia="Times New Roman" w:hAnsi="Times New Roman"/>
          <w:sz w:val="16"/>
          <w:szCs w:val="16"/>
          <w:color w:val="auto"/>
        </w:rPr>
        <w:t>. Borrower shall pay the Prepayment Fee, if and when due hereunder.</w:t>
      </w:r>
    </w:p>
    <w:p>
      <w:pPr>
        <w:sectPr>
          <w:pgSz w:w="11900" w:h="16838" w:orient="portrait"/>
          <w:cols w:equalWidth="0" w:num="1">
            <w:col w:w="11460"/>
          </w:cols>
          <w:pgMar w:left="220" w:top="419" w:right="219" w:bottom="1440" w:gutter="0" w:footer="0" w:header="0"/>
        </w:sectPr>
      </w:pPr>
    </w:p>
    <w:bookmarkStart w:id="65" w:name="page66"/>
    <w:bookmarkEnd w:id="65"/>
    <w:p>
      <w:pPr>
        <w:ind w:right="80" w:firstLine="1136"/>
        <w:spacing w:after="0" w:line="279" w:lineRule="auto"/>
        <w:tabs>
          <w:tab w:leader="none" w:pos="151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Lender Expenses</w:t>
      </w:r>
      <w:r>
        <w:rPr>
          <w:rFonts w:ascii="Times New Roman" w:cs="Times New Roman" w:eastAsia="Times New Roman" w:hAnsi="Times New Roman"/>
          <w:sz w:val="16"/>
          <w:szCs w:val="16"/>
          <w:color w:val="auto"/>
        </w:rPr>
        <w:t>. Borrower shall pay all Lender Expenses (including reasonable attorneys’ fees and expenses for documentation and negotiation of the Loan Documents) incurred through and after the Effective Date, on demand. Lender may deduct the Lender Expenses from any Credit Extension.</w:t>
      </w:r>
    </w:p>
    <w:p>
      <w:pPr>
        <w:spacing w:after="0" w:line="36" w:lineRule="exact"/>
        <w:rPr>
          <w:rFonts w:ascii="Times New Roman" w:cs="Times New Roman" w:eastAsia="Times New Roman" w:hAnsi="Times New Roman"/>
          <w:sz w:val="16"/>
          <w:szCs w:val="16"/>
          <w:color w:val="auto"/>
        </w:rPr>
      </w:pPr>
    </w:p>
    <w:p>
      <w:pPr>
        <w:ind w:right="460" w:firstLine="1136"/>
        <w:spacing w:after="0" w:line="279" w:lineRule="auto"/>
        <w:tabs>
          <w:tab w:leader="none" w:pos="151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Origination Fee</w:t>
      </w:r>
      <w:r>
        <w:rPr>
          <w:rFonts w:ascii="Times New Roman" w:cs="Times New Roman" w:eastAsia="Times New Roman" w:hAnsi="Times New Roman"/>
          <w:sz w:val="16"/>
          <w:szCs w:val="16"/>
          <w:color w:val="auto"/>
        </w:rPr>
        <w:t>. Borrower has paid the Origination Fee, which fee is deemed fully earned, and which fee shall be used to offset Lender Expenses relating to diligence and other expenses (including attorneys’ fees and expenses) incurred prior to the Effective Date.</w:t>
      </w:r>
    </w:p>
    <w:p>
      <w:pPr>
        <w:spacing w:after="0" w:line="36" w:lineRule="exact"/>
        <w:rPr>
          <w:rFonts w:ascii="Times New Roman" w:cs="Times New Roman" w:eastAsia="Times New Roman" w:hAnsi="Times New Roman"/>
          <w:sz w:val="16"/>
          <w:szCs w:val="16"/>
          <w:color w:val="auto"/>
        </w:rPr>
      </w:pPr>
    </w:p>
    <w:p>
      <w:pPr>
        <w:ind w:right="140" w:firstLine="1136"/>
        <w:spacing w:after="0" w:line="253" w:lineRule="auto"/>
        <w:tabs>
          <w:tab w:leader="none" w:pos="151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Fee</w:t>
      </w:r>
      <w:r>
        <w:rPr>
          <w:rFonts w:ascii="Times New Roman" w:cs="Times New Roman" w:eastAsia="Times New Roman" w:hAnsi="Times New Roman"/>
          <w:sz w:val="16"/>
          <w:szCs w:val="16"/>
          <w:color w:val="auto"/>
        </w:rPr>
        <w:t xml:space="preserve">. Borrower shall pay 25% of the Closing Fee on each anniversary of the Effective Date,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if the entire Term Loan is prepaid or if it becomes due and payable prior to the Term Loan Maturity Date, the entire Closing Fee (less any portion of the Closing Fee previously paid) shall be due and payable,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if less than the entire Term Loan is prepaid, an amount of the Closing Fee (less any portion of the Closing Fee previously paid) equal to the percentage of the Term Loan being prepaid shall be due and payable. Notwithstanding the foregoing, in no event shall Borrower be required to pay in excess of $2,500,000 under this Section 1.5(e). The Closing Fee shall be deemed fully earned on the Effective Date notwithstanding its receipt at a different time.</w:t>
      </w:r>
    </w:p>
    <w:p>
      <w:pPr>
        <w:spacing w:after="0" w:line="145" w:lineRule="exact"/>
        <w:rPr>
          <w:sz w:val="20"/>
          <w:szCs w:val="20"/>
          <w:color w:val="auto"/>
        </w:rPr>
      </w:pPr>
    </w:p>
    <w:p>
      <w:pPr>
        <w:ind w:right="4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1.6. Payments; Application of Payments. </w:t>
      </w:r>
      <w:r>
        <w:rPr>
          <w:rFonts w:ascii="Times New Roman" w:cs="Times New Roman" w:eastAsia="Times New Roman" w:hAnsi="Times New Roman"/>
          <w:sz w:val="16"/>
          <w:szCs w:val="16"/>
          <w:color w:val="auto"/>
        </w:rPr>
        <w:t>All payments (including prepayments) to be made by Borrower under any Loan Document shall be made in immediately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available funds in U.S. Dollars, without setoff or counterclaim, before 12:00 p.m. California time on the date when due. Payments of principal and/or interest received after 12:00 p.m. California time are considered received at the opening of business on the next Business Day. When a payment is due on a day that is not a Business Day, the payment shall be due the next Business Day, and additional fees or interest, as applicable, shall continue to accrue until paid. The order and method of application of funds with respect to principal, interest and fees owed shall be made in the sole discretion of Agent.</w:t>
      </w:r>
    </w:p>
    <w:p>
      <w:pPr>
        <w:spacing w:after="0" w:line="143" w:lineRule="exact"/>
        <w:rPr>
          <w:sz w:val="20"/>
          <w:szCs w:val="20"/>
          <w:color w:val="auto"/>
        </w:rPr>
      </w:pPr>
    </w:p>
    <w:p>
      <w:pPr>
        <w:ind w:right="4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1.7. Promissory Notes</w:t>
      </w:r>
      <w:r>
        <w:rPr>
          <w:rFonts w:ascii="Times New Roman" w:cs="Times New Roman" w:eastAsia="Times New Roman" w:hAnsi="Times New Roman"/>
          <w:sz w:val="16"/>
          <w:szCs w:val="16"/>
          <w:color w:val="auto"/>
        </w:rPr>
        <w:t>. Notwithstanding anything to the contrary contained in this Agreement, Notes shall only be delivered to Agent on request. No failure of Agent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any Lender to request or obtain a Note evidencing the Credit Extensions to Borrower shall affect or in any manner impair the obligations of Borrower to pay the Credit Extensions (and all related Obligations) incurred by Borrower that would otherwise be evidenced thereby in accordance with the requirements of this Agreement, and shall not in any way affect the security or guaranties therefor provided pursuant to the Loan Documents. At any time when Agent requests the delivery of a Note to evidence any of the Credit Extensions, Borrower shall promptly execute and deliver to Agent the requested Note in the appropriate amount or amounts to evidence such Credit Extensions.</w:t>
      </w:r>
    </w:p>
    <w:p>
      <w:pPr>
        <w:spacing w:after="0" w:line="143"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1.8</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b w:val="1"/>
          <w:bCs w:val="1"/>
          <w:color w:val="auto"/>
        </w:rPr>
        <w:tab/>
        <w:t>Reserved</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right="4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1.9. Pro Rata Treatment</w:t>
      </w:r>
      <w:r>
        <w:rPr>
          <w:rFonts w:ascii="Times New Roman" w:cs="Times New Roman" w:eastAsia="Times New Roman" w:hAnsi="Times New Roman"/>
          <w:sz w:val="16"/>
          <w:szCs w:val="16"/>
          <w:color w:val="auto"/>
        </w:rPr>
        <w:t>. Except as otherwise provided in this Agreement, Agent agrees that promptly after its receipt of each payment from or on behalf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Borrower in respect of any Obligations hereunder, Agent shall distribute such payment to Lenders entitled thereto (other than any Lender that has consented in writing to waive its pro rata share of any such payment) on a pro rata basis among the Lenders in accordance with their respective Pro Rata Percentage.</w:t>
      </w:r>
    </w:p>
    <w:p>
      <w:pPr>
        <w:spacing w:after="0" w:line="136"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b w:val="1"/>
          <w:bCs w:val="1"/>
          <w:color w:val="auto"/>
        </w:rPr>
        <w:t>1.10. Ratable Sharing</w:t>
      </w:r>
      <w:r>
        <w:rPr>
          <w:rFonts w:ascii="Times New Roman" w:cs="Times New Roman" w:eastAsia="Times New Roman" w:hAnsi="Times New Roman"/>
          <w:sz w:val="16"/>
          <w:szCs w:val="16"/>
          <w:color w:val="auto"/>
        </w:rPr>
        <w:t>. Each Lender agrees that if it shall, through the exercise of a right of banker’s lien, setoff or counterclaim against Borrower or any other Loan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or pursuant to a secured claim under Section 506 of the Bankruptcy Code or other security or interest arising from, or in lieu of, such secured claim, received by such Lender under any applicable Bankruptcy Law, or by any other means (but excluding any sale or participation of its Loan to a Person other than Borrower or an Affiliate thereof, which shall be included), obtain payment (voluntary or involuntary) in respect of any principal of or interest on any Credit Extension as a result of which the unpaid principal portion of its Credit Extensions shall be proportionately less than the unpaid principal portion of the Credit Extensions of any other Lender, it shall (a) notify Agent of such fact and (b) be deemed simultaneously to have purchased from such other Lender at face value, and shall promptly pay to such other Lender the purchase price for, a participation in the Credit Extensions of such other Lender, so that the aggregate unpaid principal amount of the Credit Extensions and participations held by each Lender shall be in the same proportion to the aggregate unpaid principal amount of all Credit Extensions then outstanding as the principal amount of its Credit Extensions prior to such exercise of banker’s lien, setoff or counterclaim or other event was to the principal amount of all Credit Extensions outstanding prior to such</w:t>
      </w:r>
    </w:p>
    <w:p>
      <w:pPr>
        <w:sectPr>
          <w:pgSz w:w="11900" w:h="16838" w:orient="portrait"/>
          <w:cols w:equalWidth="0" w:num="1">
            <w:col w:w="11440"/>
          </w:cols>
          <w:pgMar w:left="220" w:top="320" w:right="239" w:bottom="1440" w:gutter="0" w:footer="0" w:header="0"/>
        </w:sectPr>
      </w:pPr>
    </w:p>
    <w:bookmarkStart w:id="66" w:name="page67"/>
    <w:bookmarkEnd w:id="66"/>
    <w:p>
      <w:pPr>
        <w:ind w:right="100"/>
        <w:spacing w:after="0" w:line="251" w:lineRule="auto"/>
        <w:rPr>
          <w:sz w:val="20"/>
          <w:szCs w:val="20"/>
          <w:color w:val="auto"/>
        </w:rPr>
      </w:pPr>
      <w:r>
        <w:rPr>
          <w:rFonts w:ascii="Times New Roman" w:cs="Times New Roman" w:eastAsia="Times New Roman" w:hAnsi="Times New Roman"/>
          <w:sz w:val="16"/>
          <w:szCs w:val="16"/>
          <w:color w:val="auto"/>
        </w:rPr>
        <w:t xml:space="preserve">exercise of banker’s lien, setoff or counterclaim or other event; provided, however, that if any such purchase or purchases or adjustments shall be made pursuant to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1.10</w:t>
      </w:r>
      <w:r>
        <w:rPr>
          <w:rFonts w:ascii="Times New Roman" w:cs="Times New Roman" w:eastAsia="Times New Roman" w:hAnsi="Times New Roman"/>
          <w:sz w:val="16"/>
          <w:szCs w:val="16"/>
          <w:color w:val="auto"/>
        </w:rPr>
        <w:t xml:space="preserve"> and the payment giving rise thereto shall thereafter be recovered, such purchase or purchases or adjustments shall be rescinded to the extent of such recovery and the purchase price or prices or adjustment restored without interest. The Loan Parties expressly consent to the foregoing arrangements and agree that any Lender holding a participation in the Term Loan deemed to have been so purchased may exercise any and all rights of banker’s lien, setoff or counterclaim or other event with respect to any and all moneys owing by the Loan Parties to such Lender by reason thereof as fully as if such Lender had made a Term Loan directly to Borrower in the amount of such participation.</w:t>
      </w:r>
    </w:p>
    <w:p>
      <w:pPr>
        <w:spacing w:after="0" w:line="148" w:lineRule="exact"/>
        <w:rPr>
          <w:sz w:val="20"/>
          <w:szCs w:val="20"/>
          <w:color w:val="auto"/>
        </w:rPr>
      </w:pPr>
    </w:p>
    <w:p>
      <w:pPr>
        <w:ind w:left="540"/>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1.11.</w:t>
      </w:r>
      <w:r>
        <w:rPr>
          <w:sz w:val="20"/>
          <w:szCs w:val="20"/>
          <w:color w:val="auto"/>
        </w:rPr>
        <w:tab/>
      </w: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w:t>
      </w:r>
    </w:p>
    <w:p>
      <w:pPr>
        <w:spacing w:after="0" w:line="94" w:lineRule="exact"/>
        <w:rPr>
          <w:sz w:val="20"/>
          <w:szCs w:val="20"/>
          <w:color w:val="auto"/>
        </w:rPr>
      </w:pPr>
    </w:p>
    <w:p>
      <w:pPr>
        <w:ind w:right="20" w:firstLine="1070"/>
        <w:spacing w:after="0" w:line="251" w:lineRule="auto"/>
        <w:tabs>
          <w:tab w:leader="none" w:pos="139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payments by or on account of any obligation of any Loan Party under any Loan Document shall be made without deduction or withholding for any Taxes, except as required by applicable law. If any applicable law (as determined in the good faith discretion of Agent) requires the deduction or withholding of any Tax from any such payment by a Loan Party or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49" w:lineRule="exact"/>
        <w:rPr>
          <w:rFonts w:ascii="Times New Roman" w:cs="Times New Roman" w:eastAsia="Times New Roman" w:hAnsi="Times New Roman"/>
          <w:sz w:val="16"/>
          <w:szCs w:val="16"/>
          <w:color w:val="auto"/>
        </w:rPr>
      </w:pPr>
    </w:p>
    <w:p>
      <w:pPr>
        <w:ind w:right="120" w:firstLine="1070"/>
        <w:spacing w:after="0" w:line="279" w:lineRule="auto"/>
        <w:tabs>
          <w:tab w:leader="none" w:pos="1412"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or shall cause each of the Loan Parties to, timely pay to the relevant Governmental Authority in accordance with applicable law, or at the option of Agent timely reimburse it for the payment of, any Other Taxes.</w:t>
      </w:r>
    </w:p>
    <w:p>
      <w:pPr>
        <w:spacing w:after="0" w:line="36" w:lineRule="exact"/>
        <w:rPr>
          <w:rFonts w:ascii="Times New Roman" w:cs="Times New Roman" w:eastAsia="Times New Roman" w:hAnsi="Times New Roman"/>
          <w:sz w:val="16"/>
          <w:szCs w:val="16"/>
          <w:color w:val="auto"/>
        </w:rPr>
      </w:pPr>
    </w:p>
    <w:p>
      <w:pPr>
        <w:ind w:right="60" w:firstLine="1070"/>
        <w:spacing w:after="0" w:line="253" w:lineRule="auto"/>
        <w:tabs>
          <w:tab w:leader="none" w:pos="14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Agent or a Lender shall be conclusive absent manifest error.</w:t>
      </w:r>
    </w:p>
    <w:p>
      <w:pPr>
        <w:spacing w:after="0" w:line="58" w:lineRule="exact"/>
        <w:rPr>
          <w:rFonts w:ascii="Times New Roman" w:cs="Times New Roman" w:eastAsia="Times New Roman" w:hAnsi="Times New Roman"/>
          <w:sz w:val="16"/>
          <w:szCs w:val="16"/>
          <w:color w:val="auto"/>
        </w:rPr>
      </w:pPr>
    </w:p>
    <w:p>
      <w:pPr>
        <w:ind w:right="60" w:firstLine="1070"/>
        <w:spacing w:after="0" w:line="256" w:lineRule="auto"/>
        <w:tabs>
          <w:tab w:leader="none" w:pos="1412"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shall severally indemnify Agent, within 10 days after demand therefor, for (i) any Indemnified Taxes attributable to such Lender (but only to the extent that Agent has not already been indemnified by any of the Loan Parties for such Indemnified Taxes and without limiting the obligation of the Loan Parties to do so),</w:t>
      </w:r>
    </w:p>
    <w:p>
      <w:pPr>
        <w:spacing w:after="0" w:line="1" w:lineRule="exact"/>
        <w:rPr>
          <w:rFonts w:ascii="Times New Roman" w:cs="Times New Roman" w:eastAsia="Times New Roman" w:hAnsi="Times New Roman"/>
          <w:sz w:val="16"/>
          <w:szCs w:val="16"/>
          <w:color w:val="auto"/>
        </w:rPr>
      </w:pPr>
    </w:p>
    <w:p>
      <w:pPr>
        <w:ind w:right="120" w:firstLine="8"/>
        <w:spacing w:after="0" w:line="247" w:lineRule="auto"/>
        <w:tabs>
          <w:tab w:leader="none" w:pos="23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Taxes attributable to such Lender’s failure to comply with the provisions of </w:t>
      </w:r>
      <w:r>
        <w:rPr>
          <w:rFonts w:ascii="Times New Roman" w:cs="Times New Roman" w:eastAsia="Times New Roman" w:hAnsi="Times New Roman"/>
          <w:sz w:val="16"/>
          <w:szCs w:val="16"/>
          <w:u w:val="single" w:color="auto"/>
          <w:color w:val="auto"/>
        </w:rPr>
        <w:t>Section 13.1(f)</w:t>
      </w:r>
      <w:r>
        <w:rPr>
          <w:rFonts w:ascii="Times New Roman" w:cs="Times New Roman" w:eastAsia="Times New Roman" w:hAnsi="Times New Roman"/>
          <w:sz w:val="16"/>
          <w:szCs w:val="16"/>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 from any other source against any amount due to Agent under this paragraph (d).</w:t>
      </w:r>
    </w:p>
    <w:p>
      <w:pPr>
        <w:spacing w:after="0" w:line="61" w:lineRule="exact"/>
        <w:rPr>
          <w:rFonts w:ascii="Times New Roman" w:cs="Times New Roman" w:eastAsia="Times New Roman" w:hAnsi="Times New Roman"/>
          <w:sz w:val="16"/>
          <w:szCs w:val="16"/>
          <w:color w:val="auto"/>
        </w:rPr>
      </w:pPr>
    </w:p>
    <w:p>
      <w:pPr>
        <w:ind w:right="160" w:firstLine="1070"/>
        <w:spacing w:after="0" w:line="262" w:lineRule="auto"/>
        <w:tabs>
          <w:tab w:leader="none" w:pos="1394"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soon as practicable after any payment of Taxes by any Loan Party to a Governmental Authority pursuant to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Borrower shall, or shall cause the Loan Party to, deliver to Agent the original or a certified copy of a receipt issued by such Governmental Authority evidencing such payment, a copy of the return reporting such payment or other evidence of such payment reasonably satisfactory to Agent.</w:t>
      </w:r>
    </w:p>
    <w:p>
      <w:pPr>
        <w:spacing w:after="0" w:line="50" w:lineRule="exact"/>
        <w:rPr>
          <w:sz w:val="20"/>
          <w:szCs w:val="20"/>
          <w:color w:val="auto"/>
        </w:rPr>
      </w:pPr>
    </w:p>
    <w:p>
      <w:pPr>
        <w:ind w:firstLine="1061"/>
        <w:spacing w:after="0" w:line="256" w:lineRule="auto"/>
        <w:rPr>
          <w:sz w:val="20"/>
          <w:szCs w:val="20"/>
          <w:color w:val="auto"/>
        </w:rPr>
      </w:pPr>
      <w:r>
        <w:rPr>
          <w:rFonts w:ascii="Times New Roman" w:cs="Times New Roman" w:eastAsia="Times New Roman" w:hAnsi="Times New Roman"/>
          <w:sz w:val="16"/>
          <w:szCs w:val="16"/>
          <w:color w:val="auto"/>
        </w:rPr>
        <w:t>(f)(i) Any Lender that is entitled to an exemption from or reduction of withholding Tax with respect to payments under any Loan Document shall deliver to Borrower and Agent, at the time or times prescribed by applicable law, or as reasonably requested by Borrower or Agent such properly completed and executed documentation prescribed by applicable law or as reasonably requested by Borrower or Agent as will permit such payments to be made without withholding or at a reduced rate of withholding. In addition, any</w:t>
      </w:r>
    </w:p>
    <w:p>
      <w:pPr>
        <w:sectPr>
          <w:pgSz w:w="11900" w:h="16838" w:orient="portrait"/>
          <w:cols w:equalWidth="0" w:num="1">
            <w:col w:w="11460"/>
          </w:cols>
          <w:pgMar w:left="220" w:top="408" w:right="219" w:bottom="1440" w:gutter="0" w:footer="0" w:header="0"/>
        </w:sectPr>
      </w:pPr>
    </w:p>
    <w:bookmarkStart w:id="67" w:name="page68"/>
    <w:bookmarkEnd w:id="67"/>
    <w:p>
      <w:pPr>
        <w:ind w:right="200"/>
        <w:spacing w:after="0" w:line="279" w:lineRule="auto"/>
        <w:rPr>
          <w:sz w:val="20"/>
          <w:szCs w:val="20"/>
          <w:color w:val="auto"/>
        </w:rPr>
      </w:pPr>
      <w:r>
        <w:rPr>
          <w:rFonts w:ascii="Times New Roman" w:cs="Times New Roman" w:eastAsia="Times New Roman" w:hAnsi="Times New Roman"/>
          <w:sz w:val="16"/>
          <w:szCs w:val="16"/>
          <w:color w:val="auto"/>
        </w:rPr>
        <w:t>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w:t>
      </w:r>
    </w:p>
    <w:p>
      <w:pPr>
        <w:spacing w:after="0" w:line="48" w:lineRule="exact"/>
        <w:rPr>
          <w:sz w:val="20"/>
          <w:szCs w:val="20"/>
          <w:color w:val="auto"/>
        </w:rPr>
      </w:pPr>
    </w:p>
    <w:p>
      <w:pPr>
        <w:ind w:right="80" w:firstLine="1268"/>
        <w:spacing w:after="0" w:line="291" w:lineRule="auto"/>
        <w:tabs>
          <w:tab w:leader="none" w:pos="168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the foregoing, any Lender shall, to the extent it is legally entitled to do so, deliver to Borrower and Agent (in such number of copies as shall be requested by the recipient) on or prior to the date on which such Lender becomes a Lender under this Agreement (and from time to time thereafter upon the request of Borrower or Agent), whichever of the following is applicable:</w:t>
      </w:r>
    </w:p>
    <w:p>
      <w:pPr>
        <w:spacing w:after="0" w:line="49" w:lineRule="exact"/>
        <w:rPr>
          <w:rFonts w:ascii="Times New Roman" w:cs="Times New Roman" w:eastAsia="Times New Roman" w:hAnsi="Times New Roman"/>
          <w:sz w:val="16"/>
          <w:szCs w:val="16"/>
          <w:color w:val="auto"/>
        </w:rPr>
      </w:pPr>
    </w:p>
    <w:p>
      <w:pPr>
        <w:jc w:val="both"/>
        <w:ind w:left="1740" w:right="60" w:firstLine="59"/>
        <w:spacing w:after="0" w:line="291" w:lineRule="auto"/>
        <w:tabs>
          <w:tab w:leader="none" w:pos="2363"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Borrower and Agent on or prior to the date on which such Lender becomes a Lender under this Agreement (and from time to time thereafter upon the reasonable request of Borrower or Agent), executed originals of IRS Form W-9 certifying that such Lender is exempt from U.S. federal backup withholding tax;</w:t>
      </w:r>
    </w:p>
    <w:p>
      <w:pPr>
        <w:spacing w:after="0" w:line="104" w:lineRule="exact"/>
        <w:rPr>
          <w:rFonts w:ascii="Times New Roman" w:cs="Times New Roman" w:eastAsia="Times New Roman" w:hAnsi="Times New Roman"/>
          <w:sz w:val="16"/>
          <w:szCs w:val="16"/>
          <w:color w:val="auto"/>
        </w:rPr>
      </w:pPr>
    </w:p>
    <w:p>
      <w:pPr>
        <w:ind w:left="1740" w:right="60" w:firstLine="59"/>
        <w:spacing w:after="0" w:line="308" w:lineRule="auto"/>
        <w:tabs>
          <w:tab w:leader="none" w:pos="2354"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Lender shall deliver to Borrower and Agent on or prior to the date on which such Foreign Lender becomes a Lender under this Agreement whichever of the following is applicable:</w:t>
      </w:r>
    </w:p>
    <w:p>
      <w:pPr>
        <w:spacing w:after="0" w:line="91" w:lineRule="exact"/>
        <w:rPr>
          <w:rFonts w:ascii="Times New Roman" w:cs="Times New Roman" w:eastAsia="Times New Roman" w:hAnsi="Times New Roman"/>
          <w:sz w:val="16"/>
          <w:szCs w:val="16"/>
          <w:color w:val="auto"/>
        </w:rPr>
      </w:pPr>
    </w:p>
    <w:p>
      <w:pPr>
        <w:ind w:left="2140" w:right="120" w:hanging="9"/>
        <w:spacing w:after="0" w:line="282" w:lineRule="auto"/>
        <w:tabs>
          <w:tab w:leader="none" w:pos="2557"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12" w:lineRule="exact"/>
        <w:rPr>
          <w:rFonts w:ascii="Times New Roman" w:cs="Times New Roman" w:eastAsia="Times New Roman" w:hAnsi="Times New Roman"/>
          <w:sz w:val="16"/>
          <w:szCs w:val="16"/>
          <w:color w:val="auto"/>
        </w:rPr>
      </w:pPr>
    </w:p>
    <w:p>
      <w:pPr>
        <w:ind w:left="2600" w:hanging="469"/>
        <w:spacing w:after="0"/>
        <w:tabs>
          <w:tab w:leader="none" w:pos="2600"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executed originals of IRS Form W-8ECI;</w:t>
      </w:r>
    </w:p>
    <w:p>
      <w:pPr>
        <w:spacing w:after="0" w:line="169" w:lineRule="exact"/>
        <w:rPr>
          <w:rFonts w:ascii="Times New Roman" w:cs="Times New Roman" w:eastAsia="Times New Roman" w:hAnsi="Times New Roman"/>
          <w:sz w:val="16"/>
          <w:szCs w:val="16"/>
          <w:color w:val="auto"/>
        </w:rPr>
      </w:pPr>
    </w:p>
    <w:p>
      <w:pPr>
        <w:ind w:left="2140" w:hanging="9"/>
        <w:spacing w:after="0" w:line="280" w:lineRule="auto"/>
        <w:tabs>
          <w:tab w:leader="none" w:pos="2647"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the exemption for portfolio interest under Section 881(c) of the IRC, (x) a certificate substantially in the form of Exhibit H-1 to the effect that (A) such Foreign Lender is not a “bank” within the meaning of Section 881(c)(3)(A) of the IRC, a “10 percent shareholder” of Borrower within the meaning of Section 881(c)(3)(B) of the IRC, or a “controlled foreign corporation” described in Section 881(c)(3)(C) of the IRC and (B) the interest payments in question are not effectively connected with a U.S. trade or business conducted by such Foreign Lender (a “</w:t>
      </w:r>
      <w:r>
        <w:rPr>
          <w:rFonts w:ascii="Times New Roman" w:cs="Times New Roman" w:eastAsia="Times New Roman" w:hAnsi="Times New Roman"/>
          <w:sz w:val="16"/>
          <w:szCs w:val="16"/>
          <w:b w:val="1"/>
          <w:bCs w:val="1"/>
          <w:i w:val="1"/>
          <w:iCs w:val="1"/>
          <w:color w:val="auto"/>
        </w:rPr>
        <w:t>U.S. Tax Compliance Certificate</w:t>
      </w:r>
      <w:r>
        <w:rPr>
          <w:rFonts w:ascii="Times New Roman" w:cs="Times New Roman" w:eastAsia="Times New Roman" w:hAnsi="Times New Roman"/>
          <w:sz w:val="16"/>
          <w:szCs w:val="16"/>
          <w:color w:val="auto"/>
        </w:rPr>
        <w:t>”) and (y) executed originals of IRS Form W-8BEN or W-8BEN-E;</w:t>
      </w:r>
    </w:p>
    <w:p>
      <w:pPr>
        <w:spacing w:after="0" w:line="115" w:lineRule="exact"/>
        <w:rPr>
          <w:rFonts w:ascii="Times New Roman" w:cs="Times New Roman" w:eastAsia="Times New Roman" w:hAnsi="Times New Roman"/>
          <w:sz w:val="16"/>
          <w:szCs w:val="16"/>
          <w:color w:val="auto"/>
        </w:rPr>
      </w:pPr>
    </w:p>
    <w:p>
      <w:pPr>
        <w:ind w:left="2140" w:right="60" w:hanging="9"/>
        <w:spacing w:after="0" w:line="280" w:lineRule="auto"/>
        <w:tabs>
          <w:tab w:leader="none" w:pos="2628"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a Foreign Lender is not the beneficial owner (for example, where the Foreign Lender is a partnership or participating Lender granting a typical participation), executed originals of IRS Form W-8IMY, accompanied by an IRS Form W-8ECI, IRS Form W-8BEN or W-8BEN-E, a U.S. Tax Compliance Certificate substantially in the form of Exhibit H-2 or Exhibit H-3, IRS Form W-9, and/or other certification documents from each beneficial owner, as 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H-4 on behalf of each such direct and indirect partner; or</w:t>
      </w:r>
    </w:p>
    <w:p>
      <w:pPr>
        <w:spacing w:after="0" w:line="115" w:lineRule="exact"/>
        <w:rPr>
          <w:rFonts w:ascii="Times New Roman" w:cs="Times New Roman" w:eastAsia="Times New Roman" w:hAnsi="Times New Roman"/>
          <w:sz w:val="16"/>
          <w:szCs w:val="16"/>
          <w:color w:val="auto"/>
        </w:rPr>
      </w:pPr>
    </w:p>
    <w:p>
      <w:pPr>
        <w:ind w:left="2140" w:right="120" w:hanging="9"/>
        <w:spacing w:after="0" w:line="308" w:lineRule="auto"/>
        <w:tabs>
          <w:tab w:leader="none" w:pos="2583" w:val="left"/>
        </w:tabs>
        <w:numPr>
          <w:ilvl w:val="2"/>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executed originals of any other form prescribed by applicable law as a basis for claiming exemption from or a reduction in U.S. federal withholding</w:t>
      </w:r>
    </w:p>
    <w:p>
      <w:pPr>
        <w:sectPr>
          <w:pgSz w:w="11900" w:h="16838" w:orient="portrait"/>
          <w:cols w:equalWidth="0" w:num="1">
            <w:col w:w="11440"/>
          </w:cols>
          <w:pgMar w:left="220" w:top="320" w:right="239" w:bottom="1440" w:gutter="0" w:footer="0" w:header="0"/>
        </w:sectPr>
      </w:pPr>
    </w:p>
    <w:bookmarkStart w:id="68" w:name="page69"/>
    <w:bookmarkEnd w:id="68"/>
    <w:p>
      <w:pPr>
        <w:ind w:left="2140" w:right="80"/>
        <w:spacing w:after="0" w:line="308" w:lineRule="auto"/>
        <w:rPr>
          <w:sz w:val="20"/>
          <w:szCs w:val="20"/>
          <w:color w:val="auto"/>
        </w:rPr>
      </w:pPr>
      <w:r>
        <w:rPr>
          <w:rFonts w:ascii="Times New Roman" w:cs="Times New Roman" w:eastAsia="Times New Roman" w:hAnsi="Times New Roman"/>
          <w:sz w:val="16"/>
          <w:szCs w:val="16"/>
          <w:color w:val="auto"/>
        </w:rPr>
        <w:t>Tax, duly completed, together with such supplementary documentation as may be prescribed by applicable law to permit Borrower or Agent to determine the withholding or deduction required to be made.</w:t>
      </w:r>
    </w:p>
    <w:p>
      <w:pPr>
        <w:spacing w:after="0" w:line="80" w:lineRule="exact"/>
        <w:rPr>
          <w:sz w:val="20"/>
          <w:szCs w:val="20"/>
          <w:color w:val="auto"/>
        </w:rPr>
      </w:pPr>
    </w:p>
    <w:p>
      <w:pPr>
        <w:ind w:left="1740" w:hanging="405"/>
        <w:spacing w:after="0" w:line="250" w:lineRule="auto"/>
        <w:tabs>
          <w:tab w:leader="none" w:pos="17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to deduct and withhold from such payment. Solely for purposes of this clause (iii), “FATCA” shall include any amendments made to FATCA after the date of this Agreement.</w:t>
      </w:r>
    </w:p>
    <w:p>
      <w:pPr>
        <w:spacing w:after="0" w:line="147"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6"/>
          <w:szCs w:val="16"/>
          <w:color w:val="auto"/>
        </w:rPr>
        <w:t>Each Lender agrees that if any form or certification it previously delivered expires or becomes obsolete or inaccurate in any respect, it shall promptly update such form or certification or promptly notify Borrower and Agent in writing of its legal inability to do so.</w:t>
      </w:r>
    </w:p>
    <w:p>
      <w:pPr>
        <w:spacing w:after="0" w:line="92" w:lineRule="exact"/>
        <w:rPr>
          <w:sz w:val="20"/>
          <w:szCs w:val="20"/>
          <w:color w:val="auto"/>
        </w:rPr>
      </w:pPr>
    </w:p>
    <w:p>
      <w:pPr>
        <w:ind w:right="40" w:firstLine="1335"/>
        <w:spacing w:after="0" w:line="248" w:lineRule="auto"/>
        <w:tabs>
          <w:tab w:leader="none" w:pos="167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Agent or any Lender determines, in its sole discretion exercised in good faith, that it has received a refund of any Taxes as to which it has been indemnified pursuant to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(including by the payment of additional amounts pursuant to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Tax subject to indemnification and giving rise to such refund had not been deducted, withheld or otherwise imposed and the indemnification payments or additional amounts giving rise to such refund had never been paid.</w:t>
      </w:r>
    </w:p>
    <w:p>
      <w:pPr>
        <w:spacing w:after="0" w:line="66" w:lineRule="exact"/>
        <w:rPr>
          <w:rFonts w:ascii="Times New Roman" w:cs="Times New Roman" w:eastAsia="Times New Roman" w:hAnsi="Times New Roman"/>
          <w:sz w:val="16"/>
          <w:szCs w:val="16"/>
          <w:color w:val="auto"/>
        </w:rPr>
      </w:pPr>
    </w:p>
    <w:p>
      <w:pPr>
        <w:ind w:right="220" w:firstLine="1335"/>
        <w:spacing w:after="0" w:line="279" w:lineRule="auto"/>
        <w:tabs>
          <w:tab w:leader="none" w:pos="167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shall require any Lender (or any transferee or assignee) or Agent to make available any of its Tax Returns or any other information that it reasonably deems to be confidential or proprietary.</w:t>
      </w:r>
    </w:p>
    <w:p>
      <w:pPr>
        <w:spacing w:after="0" w:line="1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2.</w:t>
      </w:r>
      <w:r>
        <w:rPr>
          <w:sz w:val="20"/>
          <w:szCs w:val="20"/>
          <w:color w:val="auto"/>
        </w:rPr>
        <w:tab/>
      </w:r>
      <w:r>
        <w:rPr>
          <w:rFonts w:ascii="Times New Roman" w:cs="Times New Roman" w:eastAsia="Times New Roman" w:hAnsi="Times New Roman"/>
          <w:sz w:val="16"/>
          <w:szCs w:val="16"/>
          <w:b w:val="1"/>
          <w:bCs w:val="1"/>
          <w:u w:val="single" w:color="auto"/>
          <w:color w:val="auto"/>
        </w:rPr>
        <w:t>CONDITIONS OF CREDIT EXTENSIONS</w:t>
      </w:r>
    </w:p>
    <w:p>
      <w:pPr>
        <w:spacing w:after="0" w:line="181" w:lineRule="exact"/>
        <w:rPr>
          <w:sz w:val="20"/>
          <w:szCs w:val="20"/>
          <w:color w:val="auto"/>
        </w:rPr>
      </w:pPr>
    </w:p>
    <w:p>
      <w:pPr>
        <w:jc w:val="both"/>
        <w:ind w:right="38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2.1. Conditions Precedent to Initial Credit Extension</w:t>
      </w:r>
      <w:r>
        <w:rPr>
          <w:rFonts w:ascii="Times New Roman" w:cs="Times New Roman" w:eastAsia="Times New Roman" w:hAnsi="Times New Roman"/>
          <w:sz w:val="16"/>
          <w:szCs w:val="16"/>
          <w:color w:val="auto"/>
        </w:rPr>
        <w:t>. Each Lender’s obligation to make the initial Credit Extension is subject to the condition precedent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Agent shall have received, in form and substance satisfactory to Agent, such documents, and evidence of completion of such other matters, as Agent may reasonably deem necessary or appropriate, including, without limitation:</w:t>
      </w:r>
    </w:p>
    <w:p>
      <w:pPr>
        <w:spacing w:after="0" w:line="138" w:lineRule="exact"/>
        <w:rPr>
          <w:sz w:val="20"/>
          <w:szCs w:val="20"/>
          <w:color w:val="auto"/>
        </w:rPr>
      </w:pPr>
    </w:p>
    <w:p>
      <w:pPr>
        <w:ind w:left="1400" w:hanging="330"/>
        <w:spacing w:after="0"/>
        <w:tabs>
          <w:tab w:leader="none" w:pos="1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duly executed signatures to the Loan Documents;</w:t>
      </w:r>
    </w:p>
    <w:p>
      <w:pPr>
        <w:spacing w:after="0" w:line="180" w:lineRule="exact"/>
        <w:rPr>
          <w:rFonts w:ascii="Times New Roman" w:cs="Times New Roman" w:eastAsia="Times New Roman" w:hAnsi="Times New Roman"/>
          <w:sz w:val="16"/>
          <w:szCs w:val="16"/>
          <w:color w:val="auto"/>
        </w:rPr>
      </w:pPr>
    </w:p>
    <w:p>
      <w:pPr>
        <w:ind w:right="20" w:firstLine="1070"/>
        <w:spacing w:after="0" w:line="262" w:lineRule="auto"/>
        <w:tabs>
          <w:tab w:leader="none" w:pos="139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duly executed certificate from Borrower and any Joining Party’s secretary containing approved Borrowing Resolutions, current Certificate of Incorporation (or equivalent document), Bylaws and a good standing certificate from the jurisdiction of Borrower’s and any Joining Party’s formation as well as any state where they maintain a business presence;</w:t>
      </w:r>
    </w:p>
    <w:p>
      <w:pPr>
        <w:spacing w:after="0" w:line="138" w:lineRule="exact"/>
        <w:rPr>
          <w:rFonts w:ascii="Times New Roman" w:cs="Times New Roman" w:eastAsia="Times New Roman" w:hAnsi="Times New Roman"/>
          <w:sz w:val="16"/>
          <w:szCs w:val="16"/>
          <w:color w:val="auto"/>
        </w:rPr>
      </w:pPr>
    </w:p>
    <w:p>
      <w:pPr>
        <w:ind w:left="1400" w:hanging="330"/>
        <w:spacing w:after="0"/>
        <w:tabs>
          <w:tab w:leader="none" w:pos="14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duly executed signatures to the Intercreditor Agreement;</w:t>
      </w:r>
    </w:p>
    <w:p>
      <w:pPr>
        <w:sectPr>
          <w:pgSz w:w="11900" w:h="16838" w:orient="portrait"/>
          <w:cols w:equalWidth="0" w:num="1">
            <w:col w:w="11460"/>
          </w:cols>
          <w:pgMar w:left="220" w:top="331" w:right="219" w:bottom="1440" w:gutter="0" w:footer="0" w:header="0"/>
        </w:sectPr>
      </w:pPr>
    </w:p>
    <w:bookmarkStart w:id="69" w:name="page70"/>
    <w:bookmarkEnd w:id="69"/>
    <w:p>
      <w:pPr>
        <w:ind w:left="1400" w:hanging="330"/>
        <w:spacing w:after="0"/>
        <w:tabs>
          <w:tab w:leader="none" w:pos="14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documentation Agent reasonably requests; and</w:t>
      </w:r>
    </w:p>
    <w:p>
      <w:pPr>
        <w:spacing w:after="0" w:line="180" w:lineRule="exact"/>
        <w:rPr>
          <w:rFonts w:ascii="Times New Roman" w:cs="Times New Roman" w:eastAsia="Times New Roman" w:hAnsi="Times New Roman"/>
          <w:sz w:val="16"/>
          <w:szCs w:val="16"/>
          <w:color w:val="auto"/>
        </w:rPr>
      </w:pPr>
    </w:p>
    <w:p>
      <w:pPr>
        <w:ind w:left="1400" w:hanging="330"/>
        <w:spacing w:after="0"/>
        <w:tabs>
          <w:tab w:leader="none" w:pos="14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the Origination Fee (which has been paid), Commitment Fee and Lender Expenses.</w:t>
      </w:r>
    </w:p>
    <w:p>
      <w:pPr>
        <w:spacing w:after="0" w:line="179" w:lineRule="exact"/>
        <w:rPr>
          <w:sz w:val="20"/>
          <w:szCs w:val="20"/>
          <w:color w:val="auto"/>
        </w:rPr>
      </w:pPr>
    </w:p>
    <w:p>
      <w:pPr>
        <w:ind w:firstLine="464"/>
        <w:spacing w:after="0" w:line="282" w:lineRule="auto"/>
        <w:rPr>
          <w:sz w:val="20"/>
          <w:szCs w:val="20"/>
          <w:color w:val="auto"/>
        </w:rPr>
      </w:pPr>
      <w:r>
        <w:rPr>
          <w:rFonts w:ascii="Times New Roman" w:cs="Times New Roman" w:eastAsia="Times New Roman" w:hAnsi="Times New Roman"/>
          <w:sz w:val="16"/>
          <w:szCs w:val="16"/>
          <w:b w:val="1"/>
          <w:bCs w:val="1"/>
          <w:color w:val="auto"/>
        </w:rPr>
        <w:t>2.2. Conditions Precedent to all Credit Extensions</w:t>
      </w:r>
      <w:r>
        <w:rPr>
          <w:rFonts w:ascii="Times New Roman" w:cs="Times New Roman" w:eastAsia="Times New Roman" w:hAnsi="Times New Roman"/>
          <w:sz w:val="16"/>
          <w:szCs w:val="16"/>
          <w:color w:val="auto"/>
        </w:rPr>
        <w:t>. Each Lender’s obligations to make each Credit Extension, including the initial Credit Extension, is subject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conditions precedent:</w:t>
      </w:r>
    </w:p>
    <w:p>
      <w:pPr>
        <w:spacing w:after="0" w:line="34" w:lineRule="exact"/>
        <w:rPr>
          <w:sz w:val="20"/>
          <w:szCs w:val="20"/>
          <w:color w:val="auto"/>
        </w:rPr>
      </w:pPr>
    </w:p>
    <w:p>
      <w:pPr>
        <w:ind w:left="1460" w:hanging="324"/>
        <w:spacing w:after="0"/>
        <w:tabs>
          <w:tab w:leader="none" w:pos="14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receipt of a completed Notice of Borrowing; and</w:t>
      </w:r>
    </w:p>
    <w:p>
      <w:pPr>
        <w:spacing w:after="0" w:line="92" w:lineRule="exact"/>
        <w:rPr>
          <w:rFonts w:ascii="Times New Roman" w:cs="Times New Roman" w:eastAsia="Times New Roman" w:hAnsi="Times New Roman"/>
          <w:sz w:val="16"/>
          <w:szCs w:val="16"/>
          <w:color w:val="auto"/>
        </w:rPr>
      </w:pPr>
    </w:p>
    <w:p>
      <w:pPr>
        <w:ind w:right="60" w:firstLine="1136"/>
        <w:spacing w:after="0" w:line="253" w:lineRule="auto"/>
        <w:tabs>
          <w:tab w:leader="none" w:pos="146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in this Agreement shall be true, accurate, and complete in all material respects on the date of the Notice of Borrowing and on the Funding Date of each Credit Extension, provided, however, that those representations and warranties expressly referring to a specific date shall be true, accurate and complete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provided, however, that those representations and warranties expressly referring to a specific date shall be true, accurate and complete as of such date; and</w:t>
      </w:r>
    </w:p>
    <w:p>
      <w:pPr>
        <w:spacing w:after="0" w:line="58" w:lineRule="exact"/>
        <w:rPr>
          <w:rFonts w:ascii="Times New Roman" w:cs="Times New Roman" w:eastAsia="Times New Roman" w:hAnsi="Times New Roman"/>
          <w:sz w:val="16"/>
          <w:szCs w:val="16"/>
          <w:color w:val="auto"/>
        </w:rPr>
      </w:pPr>
    </w:p>
    <w:p>
      <w:pPr>
        <w:ind w:right="20" w:firstLine="1136"/>
        <w:spacing w:after="0" w:line="279" w:lineRule="auto"/>
        <w:tabs>
          <w:tab w:leader="none" w:pos="145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Agent’s reasonable discretion, there has not been any material impairment in the Collateral, general affairs, management, results of operation, financial condition or the prospect of repayment of the Obligations.</w:t>
      </w:r>
    </w:p>
    <w:p>
      <w:pPr>
        <w:spacing w:after="0" w:line="34" w:lineRule="exact"/>
        <w:rPr>
          <w:sz w:val="20"/>
          <w:szCs w:val="20"/>
          <w:color w:val="auto"/>
        </w:rPr>
      </w:pPr>
    </w:p>
    <w:p>
      <w:pPr>
        <w:ind w:right="40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2.3. Covenant to Deliver</w:t>
      </w:r>
      <w:r>
        <w:rPr>
          <w:rFonts w:ascii="Times New Roman" w:cs="Times New Roman" w:eastAsia="Times New Roman" w:hAnsi="Times New Roman"/>
          <w:sz w:val="16"/>
          <w:szCs w:val="16"/>
          <w:color w:val="auto"/>
        </w:rPr>
        <w:t>. Borrower agrees to deliver to Lenders and Agent each item required to be delivered to Lender or Agent under this Agreement as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 precedent to any Credit Extension. Borrower expressly agrees that a Credit Extension made prior to the receipt by Lender or Agent of any such item shall not constitute a waiver by Lender or Agent of Borrower’s obligation to deliver such item, and the making of any Credit Extension in the absence of a required item shall be in Lender’s and Agent’s sole discretion.</w:t>
      </w:r>
    </w:p>
    <w:p>
      <w:pPr>
        <w:spacing w:after="0" w:line="52"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2.4.</w:t>
        <w:tab/>
        <w:t>Procedure for the Borrowing of Credit Extensions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20" w:firstLine="1070"/>
        <w:spacing w:after="0" w:line="252" w:lineRule="auto"/>
        <w:tabs>
          <w:tab w:leader="none" w:pos="138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prior satisfaction of all other applicable conditions to the making of a Credit Extension set forth in this Agreement, each Credit Extension shall be made upon Borrower’s irrevocable written notice delivered to Agent in the form of a completed Notice of Borrowing executed by a Responsible Officer of Borrower or without instructions if the Credit Extensions are necessary to meet Obligations which have become due. Such Notice of Borrowing must be received by Agent prior to</w:t>
      </w:r>
    </w:p>
    <w:p>
      <w:pPr>
        <w:spacing w:after="0" w:line="2" w:lineRule="exact"/>
        <w:rPr>
          <w:rFonts w:ascii="Times New Roman" w:cs="Times New Roman" w:eastAsia="Times New Roman" w:hAnsi="Times New Roman"/>
          <w:sz w:val="16"/>
          <w:szCs w:val="16"/>
          <w:color w:val="auto"/>
        </w:rPr>
      </w:pPr>
    </w:p>
    <w:p>
      <w:pPr>
        <w:ind w:right="18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12:00 p.m. California time at least three (3) Business Days prior to the requested Funding Date, provided that the Notice of Borrowing for the initial Credit Extension may be provided on the Effective Date.</w:t>
      </w:r>
    </w:p>
    <w:p>
      <w:pPr>
        <w:spacing w:after="0" w:line="53" w:lineRule="exact"/>
        <w:rPr>
          <w:rFonts w:ascii="Times New Roman" w:cs="Times New Roman" w:eastAsia="Times New Roman" w:hAnsi="Times New Roman"/>
          <w:sz w:val="16"/>
          <w:szCs w:val="16"/>
          <w:color w:val="auto"/>
        </w:rPr>
      </w:pPr>
    </w:p>
    <w:p>
      <w:pPr>
        <w:ind w:right="40" w:firstLine="1070"/>
        <w:spacing w:after="0" w:line="262" w:lineRule="auto"/>
        <w:tabs>
          <w:tab w:leader="none" w:pos="139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the proceeds of all such Credit Extensions will then be made available to Borrower on the Funding Date by Lender by transfer to the account specified in the Notice of Borrowing. No Credit Extensions shall be deemed made to Borrower, and no interest shall accrue on any such Credit Extension, until the related funds have been deposited in the account specified in the applicable Notice of Borrowing.</w:t>
      </w:r>
    </w:p>
    <w:p>
      <w:pPr>
        <w:spacing w:after="0" w:line="4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3.</w:t>
      </w:r>
      <w:r>
        <w:rPr>
          <w:sz w:val="20"/>
          <w:szCs w:val="20"/>
          <w:color w:val="auto"/>
        </w:rPr>
        <w:tab/>
      </w:r>
      <w:r>
        <w:rPr>
          <w:rFonts w:ascii="Times New Roman" w:cs="Times New Roman" w:eastAsia="Times New Roman" w:hAnsi="Times New Roman"/>
          <w:sz w:val="16"/>
          <w:szCs w:val="16"/>
          <w:b w:val="1"/>
          <w:bCs w:val="1"/>
          <w:u w:val="single" w:color="auto"/>
          <w:color w:val="auto"/>
        </w:rPr>
        <w:t>CREATION OF SECURITY INTEREST</w:t>
      </w:r>
    </w:p>
    <w:p>
      <w:pPr>
        <w:spacing w:after="0" w:line="92" w:lineRule="exact"/>
        <w:rPr>
          <w:sz w:val="20"/>
          <w:szCs w:val="20"/>
          <w:color w:val="auto"/>
        </w:rPr>
      </w:pPr>
    </w:p>
    <w:p>
      <w:pPr>
        <w:ind w:right="20" w:firstLine="531"/>
        <w:spacing w:after="0" w:line="251" w:lineRule="auto"/>
        <w:rPr>
          <w:sz w:val="20"/>
          <w:szCs w:val="20"/>
          <w:color w:val="auto"/>
        </w:rPr>
      </w:pPr>
      <w:r>
        <w:rPr>
          <w:rFonts w:ascii="Times New Roman" w:cs="Times New Roman" w:eastAsia="Times New Roman" w:hAnsi="Times New Roman"/>
          <w:sz w:val="16"/>
          <w:szCs w:val="16"/>
          <w:b w:val="1"/>
          <w:bCs w:val="1"/>
          <w:color w:val="auto"/>
        </w:rPr>
        <w:t>3.1. Grant of Security Interest</w:t>
      </w:r>
      <w:r>
        <w:rPr>
          <w:rFonts w:ascii="Times New Roman" w:cs="Times New Roman" w:eastAsia="Times New Roman" w:hAnsi="Times New Roman"/>
          <w:sz w:val="16"/>
          <w:szCs w:val="16"/>
          <w:color w:val="auto"/>
        </w:rPr>
        <w:t>. Borrower hereby grants Agent, for the benefit of Agent and Lenders, to secure the payment and performance in full of all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Obligations, a continuing security interest in, and pledges to Agent, for the benefit of Agent and Lenders, the Collateral, wherever located, whether now owned or hereafter acquired or arising, and all proceeds and products thereof. If Agent determines that the perfection of its security interest in any Collateral requires the recordation or filing of documentation other than a Financing Statement, Borrower shall promptly execute such additional documentation upon presentation. If Agent determines that the perfection of its security interest in any Collateral requires the possession or control of such Collateral, Borrower shall, subject to the Intercreditor Agreement and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promptly deliver such Collateral to Agent or enter into a control agreement satisfactory to the Agent to establish such control. Notwithstanding anything to the contrary in this agreement, (a) so long as the Wells Fargo Indebtedness remains outstanding and Wells Fargo has not taken any actions to create or perfect its</w:t>
      </w:r>
    </w:p>
    <w:p>
      <w:pPr>
        <w:sectPr>
          <w:pgSz w:w="11900" w:h="16838" w:orient="portrait"/>
          <w:cols w:equalWidth="0" w:num="1">
            <w:col w:w="11440"/>
          </w:cols>
          <w:pgMar w:left="220" w:top="408" w:right="239" w:bottom="1440" w:gutter="0" w:footer="0" w:header="0"/>
        </w:sectPr>
      </w:pPr>
    </w:p>
    <w:bookmarkStart w:id="70" w:name="page71"/>
    <w:bookmarkEnd w:id="70"/>
    <w:p>
      <w:pPr>
        <w:ind w:right="200"/>
        <w:spacing w:after="0" w:line="256" w:lineRule="auto"/>
        <w:rPr>
          <w:sz w:val="20"/>
          <w:szCs w:val="20"/>
          <w:color w:val="auto"/>
        </w:rPr>
      </w:pPr>
      <w:r>
        <w:rPr>
          <w:rFonts w:ascii="Times New Roman" w:cs="Times New Roman" w:eastAsia="Times New Roman" w:hAnsi="Times New Roman"/>
          <w:sz w:val="16"/>
          <w:szCs w:val="16"/>
          <w:color w:val="auto"/>
        </w:rPr>
        <w:t>security interest outside of the United States, then except for Pledged Account, no such actions shall be required or taken by Agent or the Lenders in order to create or perfect any security interests in assets of Borrower and its Subsidiaries located or titled outside of the United States; and (b) so long as the Wells Fargo Indebtedness remains outstanding and Wells Fargo has not taken any actions to create or perfect its security interest in any real estate of Borrower and its Subsidiaries, then no such actions shall be required or taken by Agent or the Lenders in order to create or perfect any security interest in any real estate.</w:t>
      </w:r>
    </w:p>
    <w:p>
      <w:pPr>
        <w:spacing w:after="0" w:line="53" w:lineRule="exact"/>
        <w:rPr>
          <w:sz w:val="20"/>
          <w:szCs w:val="20"/>
          <w:color w:val="auto"/>
        </w:rPr>
      </w:pPr>
    </w:p>
    <w:p>
      <w:pPr>
        <w:ind w:right="8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3.2. Priority of Security Interest</w:t>
      </w:r>
      <w:r>
        <w:rPr>
          <w:rFonts w:ascii="Times New Roman" w:cs="Times New Roman" w:eastAsia="Times New Roman" w:hAnsi="Times New Roman"/>
          <w:sz w:val="16"/>
          <w:szCs w:val="16"/>
          <w:color w:val="auto"/>
        </w:rPr>
        <w:t>. Borrower represents, warrants, and covenants that the security interest granted herein is and shall at all times continue to be a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priority perfected security interest in the Collateral (subject only to Permitted Liens described in Subsections (a) through (m) of the definition of Permitted Liens that may have superior priority to Agent’s Lien under this Agreement). If Borrower shall acquire a Commercial Tort Claim in an amount greater than Two Hundred Fifty Thousand Dollars ($250,000), Borrower shall promptly notify Agent in a writing signed by Borrower of the general details thereof and upon request grant to Agent in such writing a security interest therein and in the proceeds thereof, all upon the terms of this Agreement, with such writing to be in form and substance reasonably satisfactory to Agent.</w:t>
      </w:r>
    </w:p>
    <w:p>
      <w:pPr>
        <w:spacing w:after="0" w:line="54" w:lineRule="exact"/>
        <w:rPr>
          <w:sz w:val="20"/>
          <w:szCs w:val="20"/>
          <w:color w:val="auto"/>
        </w:rPr>
      </w:pPr>
    </w:p>
    <w:p>
      <w:pPr>
        <w:ind w:right="60" w:firstLine="531"/>
        <w:spacing w:after="0" w:line="250" w:lineRule="auto"/>
        <w:rPr>
          <w:sz w:val="20"/>
          <w:szCs w:val="20"/>
          <w:color w:val="auto"/>
        </w:rPr>
      </w:pPr>
      <w:r>
        <w:rPr>
          <w:rFonts w:ascii="Times New Roman" w:cs="Times New Roman" w:eastAsia="Times New Roman" w:hAnsi="Times New Roman"/>
          <w:sz w:val="16"/>
          <w:szCs w:val="16"/>
          <w:b w:val="1"/>
          <w:bCs w:val="1"/>
          <w:color w:val="auto"/>
        </w:rPr>
        <w:t>3.3. Termination</w:t>
      </w:r>
      <w:r>
        <w:rPr>
          <w:rFonts w:ascii="Times New Roman" w:cs="Times New Roman" w:eastAsia="Times New Roman" w:hAnsi="Times New Roman"/>
          <w:sz w:val="16"/>
          <w:szCs w:val="16"/>
          <w:color w:val="auto"/>
        </w:rPr>
        <w:t>. If the Obligations (other than inchoate indemnity obligations) are satisfied in full and this Agreement is terminated, Agent’s Lien on the Collateral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automatically terminate and all rights therein shall revert to each Loan Party and Agent shall, at such Loan Party’s sole cost and expense, execute such documentation and take such further action as may be reasonably necessary to evidence the termination contemplated by this Section 3.3. If at any time after such termination or Agent’s release of its security interest granted herein any Collateral or other property Lender receives in satisfaction of the Obligations is recovered, disgorged, set aside or otherwise avoided, or is subject to recovery, disgorgement, being set aside or avoided (whether through a formal court proceeding or otherwise) by or to Borrower, a bankruptcy trustee, a receiver or similar representative, then this Agreement and any other Loan Documents as Agent may elect shall be deemed revived, reinstated and in full force and effect as if the original termination did not occur, and Agent’s security interest and all other rights in the Collateral shall be deemed in full force and effect until the full and final repayment of all Obligations (other than inchoate indemnity obligations).</w:t>
      </w:r>
    </w:p>
    <w:p>
      <w:pPr>
        <w:spacing w:after="0" w:line="60" w:lineRule="exact"/>
        <w:rPr>
          <w:sz w:val="20"/>
          <w:szCs w:val="20"/>
          <w:color w:val="auto"/>
        </w:rPr>
      </w:pPr>
    </w:p>
    <w:p>
      <w:pPr>
        <w:ind w:right="100" w:firstLine="531"/>
        <w:spacing w:after="0" w:line="253" w:lineRule="auto"/>
        <w:rPr>
          <w:sz w:val="20"/>
          <w:szCs w:val="20"/>
          <w:color w:val="auto"/>
        </w:rPr>
      </w:pPr>
      <w:r>
        <w:rPr>
          <w:rFonts w:ascii="Times New Roman" w:cs="Times New Roman" w:eastAsia="Times New Roman" w:hAnsi="Times New Roman"/>
          <w:sz w:val="16"/>
          <w:szCs w:val="16"/>
          <w:color w:val="auto"/>
        </w:rPr>
        <w:t>Notwithstanding anything herein to the contrary, upon the consummation of any sale or other disposition by any Loan Party of any Collateral to a third party that is not a Loan Party in a transaction permitted under this Agreement or any other Loan Document, or upon the effectiveness in accordance with this Agreement of any written consent to the release of the security interest in any Collateral, the security interests in such Collateral shall be automatically released (but shall attach to the proceeds or products thereof) without further action by any party. In connection with any such release, the Agent shall execute and deliver to any Loan Party, at such Loan Party’s expense and without recourse to or warranty by the Agent, all documents that such Loan Party shall reasonably request to evidence such release, including a UCC-3 to reflect such release.</w:t>
      </w:r>
    </w:p>
    <w:p>
      <w:pPr>
        <w:spacing w:after="0" w:line="56" w:lineRule="exact"/>
        <w:rPr>
          <w:sz w:val="20"/>
          <w:szCs w:val="20"/>
          <w:color w:val="auto"/>
        </w:rPr>
      </w:pPr>
    </w:p>
    <w:p>
      <w:pPr>
        <w:ind w:right="20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3.4. Authorization to File Financing Statements</w:t>
      </w:r>
      <w:r>
        <w:rPr>
          <w:rFonts w:ascii="Times New Roman" w:cs="Times New Roman" w:eastAsia="Times New Roman" w:hAnsi="Times New Roman"/>
          <w:sz w:val="16"/>
          <w:szCs w:val="16"/>
          <w:color w:val="auto"/>
        </w:rPr>
        <w:t>. Borrower hereby authorizes Agent to file financing statements, without notice to Borrower, with all appropriate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jurisdictions to perfect or protect Agent and Lenders’ interest or rights hereunder, including a notice that any disposition of the Collateral, by either Borrower or any other Person, shall be deemed to violate Agent’s and Lenders’ rights under the Code.</w:t>
      </w:r>
    </w:p>
    <w:p>
      <w:pPr>
        <w:spacing w:after="0" w:line="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4.</w:t>
      </w:r>
      <w:r>
        <w:rPr>
          <w:sz w:val="20"/>
          <w:szCs w:val="20"/>
          <w:color w:val="auto"/>
        </w:rPr>
        <w:tab/>
      </w:r>
      <w:r>
        <w:rPr>
          <w:rFonts w:ascii="Times New Roman" w:cs="Times New Roman" w:eastAsia="Times New Roman" w:hAnsi="Times New Roman"/>
          <w:sz w:val="15"/>
          <w:szCs w:val="15"/>
          <w:b w:val="1"/>
          <w:bCs w:val="1"/>
          <w:u w:val="single" w:color="auto"/>
          <w:color w:val="auto"/>
        </w:rPr>
        <w:t>REPRESENTATIONS AND WARRANTIES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represents and warrants as follows:</w:t>
      </w:r>
    </w:p>
    <w:p>
      <w:pPr>
        <w:spacing w:after="0" w:line="90"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4.1.</w:t>
        <w:tab/>
        <w:t>Due Organization, Authorization; Power and Authority; Enforceability</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firstLine="1136"/>
        <w:spacing w:after="0" w:line="251" w:lineRule="auto"/>
        <w:tabs>
          <w:tab w:leader="none" w:pos="145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is and each of its Subsidiaries are duly existing and in good standing as a Registered Organization in their jurisdiction of formation and are qualified and licensed to do business and are in good standing in any jurisdiction in which the conduct of its business or its ownership of property requires that it be qualified. In connection with this Agreement, Borrower and each of its Subsidiaries has delivered to Agent a completed and signed certificate entitled “</w:t>
      </w:r>
      <w:r>
        <w:rPr>
          <w:rFonts w:ascii="Times New Roman" w:cs="Times New Roman" w:eastAsia="Times New Roman" w:hAnsi="Times New Roman"/>
          <w:sz w:val="16"/>
          <w:szCs w:val="16"/>
          <w:b w:val="1"/>
          <w:bCs w:val="1"/>
          <w:i w:val="1"/>
          <w:iCs w:val="1"/>
          <w:color w:val="auto"/>
        </w:rPr>
        <w:t>Perfection Certificate</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i w:val="1"/>
          <w:iCs w:val="1"/>
          <w:color w:val="auto"/>
        </w:rPr>
        <w:t>Perfection Certificates</w:t>
      </w:r>
      <w:r>
        <w:rPr>
          <w:rFonts w:ascii="Times New Roman" w:cs="Times New Roman" w:eastAsia="Times New Roman" w:hAnsi="Times New Roman"/>
          <w:sz w:val="16"/>
          <w:szCs w:val="16"/>
          <w:color w:val="auto"/>
        </w:rPr>
        <w:t xml:space="preserve">.” Borrower represents and warrants to Lenders and Agent, as of the Effective Date, as of the date that each Compliance Certificate is to be delivered and as of the date each Compliance Certificate is delivered, that (i) Borrower and each Subsidiary’s exact legal name and address is as indicated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4.1(a)</w:t>
      </w:r>
      <w:r>
        <w:rPr>
          <w:rFonts w:ascii="Times New Roman" w:cs="Times New Roman" w:eastAsia="Times New Roman" w:hAnsi="Times New Roman"/>
          <w:sz w:val="16"/>
          <w:szCs w:val="16"/>
          <w:color w:val="auto"/>
        </w:rPr>
        <w:t xml:space="preserve"> of the Perfection Certificates; (ii) Borrower and each Subsidiary is an organization of the type and is organized in the</w:t>
      </w:r>
    </w:p>
    <w:p>
      <w:pPr>
        <w:sectPr>
          <w:pgSz w:w="11900" w:h="16838" w:orient="portrait"/>
          <w:cols w:equalWidth="0" w:num="1">
            <w:col w:w="11460"/>
          </w:cols>
          <w:pgMar w:left="220" w:top="408" w:right="219" w:bottom="1440" w:gutter="0" w:footer="0" w:header="0"/>
        </w:sectPr>
      </w:pPr>
    </w:p>
    <w:bookmarkStart w:id="71" w:name="page72"/>
    <w:bookmarkEnd w:id="71"/>
    <w:p>
      <w:pPr>
        <w:ind w:right="20"/>
        <w:spacing w:after="0" w:line="250" w:lineRule="auto"/>
        <w:rPr>
          <w:sz w:val="20"/>
          <w:szCs w:val="20"/>
          <w:color w:val="auto"/>
        </w:rPr>
      </w:pPr>
      <w:r>
        <w:rPr>
          <w:rFonts w:ascii="Times New Roman" w:cs="Times New Roman" w:eastAsia="Times New Roman" w:hAnsi="Times New Roman"/>
          <w:sz w:val="16"/>
          <w:szCs w:val="16"/>
          <w:color w:val="auto"/>
        </w:rPr>
        <w:t xml:space="preserve">jurisdiction set forth in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 xml:space="preserve"> of the Perfection Certificates; (iii) Section 4.1(a) of Perfection Certificates accurately sets forth Borrower and each Subsidiary’s organizational identification number or accurately states that there is none; (iv)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 xml:space="preserve"> of the Perfection Certificates accurately sets forth the names (formal and informal), jurisdiction of formation, organizational structure or type, and organizational number assigned by its jurisdiction that Borrower and each Subsidiary used for the past five (5) years; and (v) all other information set forth on the Perfection Certificates is accurate and complete (it being understood that (A) if any information contained in the Perfection Certificates changes after the Effective Date and if that information relates to a Subsection of this Section 4 which specifically allows for information in the Perfection Certificates to be updated after the Effective Date, Borrower shall, or Borrower shall cause its applicable Subsidiary to, update such information in Borrower’s next timely delivered Compliance Certificate, and (B) that any such update shall be effective only to update changes and not to correct errors). After the Effective Date, Borrower and its Subsidiaries may update any information under Section 4.1(a) of the Perfection Certificates by delivery of a written notice to Agent.</w:t>
      </w:r>
    </w:p>
    <w:p>
      <w:pPr>
        <w:spacing w:after="0" w:line="58" w:lineRule="exact"/>
        <w:rPr>
          <w:sz w:val="20"/>
          <w:szCs w:val="20"/>
          <w:color w:val="auto"/>
        </w:rPr>
      </w:pPr>
    </w:p>
    <w:p>
      <w:pPr>
        <w:ind w:firstLine="1127"/>
        <w:spacing w:after="0" w:line="251" w:lineRule="auto"/>
        <w:rPr>
          <w:sz w:val="20"/>
          <w:szCs w:val="20"/>
          <w:color w:val="auto"/>
        </w:rPr>
      </w:pPr>
      <w:r>
        <w:rPr>
          <w:rFonts w:ascii="Times New Roman" w:cs="Times New Roman" w:eastAsia="Times New Roman" w:hAnsi="Times New Roman"/>
          <w:sz w:val="16"/>
          <w:szCs w:val="16"/>
          <w:color w:val="auto"/>
        </w:rPr>
        <w:t>(b)The execution, delivery and performance by Borrower and each other Loan Party of the Loan Documents to which they are a party have been duly authorized, and do not (i) conflict with Borrower’s or any Loan Party’s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or (v) constitute an event of default under any material agreement by which Borrower or any Subsidiary is bound.</w:t>
      </w:r>
    </w:p>
    <w:p>
      <w:pPr>
        <w:spacing w:after="0" w:line="61" w:lineRule="exact"/>
        <w:rPr>
          <w:sz w:val="20"/>
          <w:szCs w:val="20"/>
          <w:color w:val="auto"/>
        </w:rPr>
      </w:pPr>
    </w:p>
    <w:p>
      <w:pPr>
        <w:ind w:right="120" w:firstLine="1127"/>
        <w:spacing w:after="0" w:line="256" w:lineRule="auto"/>
        <w:rPr>
          <w:sz w:val="20"/>
          <w:szCs w:val="20"/>
          <w:color w:val="auto"/>
        </w:rPr>
      </w:pPr>
      <w:r>
        <w:rPr>
          <w:rFonts w:ascii="Times New Roman" w:cs="Times New Roman" w:eastAsia="Times New Roman" w:hAnsi="Times New Roman"/>
          <w:sz w:val="16"/>
          <w:szCs w:val="16"/>
          <w:color w:val="auto"/>
        </w:rPr>
        <w:t>(c)This Agreement has been duly executed and delivered by Borrower and constitutes, and each other Loan Document when executed and delivered by each Loan Party party thereto will constitute, a legal, valid and binding obligation of such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4.2. Collateral</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40" w:firstLine="1061"/>
        <w:spacing w:after="0" w:line="253" w:lineRule="auto"/>
        <w:rPr>
          <w:sz w:val="20"/>
          <w:szCs w:val="20"/>
          <w:color w:val="auto"/>
        </w:rPr>
      </w:pPr>
      <w:r>
        <w:rPr>
          <w:rFonts w:ascii="Times New Roman" w:cs="Times New Roman" w:eastAsia="Times New Roman" w:hAnsi="Times New Roman"/>
          <w:sz w:val="16"/>
          <w:szCs w:val="16"/>
          <w:color w:val="auto"/>
        </w:rPr>
        <w:t xml:space="preserve">(c)Except as disclosed in the Perfection Certificate, Borrower has good title to, has rights in, and the power to Dispose of each item of the Collateral upon which it purports to grant a Lien hereunder, free and clear of any and all Liens except Permitted Liens. Borrower has no Pledged Accounts other than the Pledged Accounts (i) described in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 xml:space="preserve"> of the Perfection Certificates (which may be amended to add or remove Pledged Accounts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xml:space="preserve">) delivered to Lenders and Agent in connection herewith, or (ii) of which Borrower has given Lenders and Agent notice and taken such actions as are necessary to give Agent a perfected security interest therein (other than with respect to Excluded Accounts). Borrower’s Accounts and those of its Subsidiaries are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existing obligations of the Account Debtors.</w:t>
      </w:r>
    </w:p>
    <w:p>
      <w:pPr>
        <w:spacing w:after="0" w:line="58" w:lineRule="exact"/>
        <w:rPr>
          <w:sz w:val="20"/>
          <w:szCs w:val="20"/>
          <w:color w:val="auto"/>
        </w:rPr>
      </w:pPr>
    </w:p>
    <w:p>
      <w:pPr>
        <w:ind w:right="120" w:firstLine="1061"/>
        <w:spacing w:after="0" w:line="256" w:lineRule="auto"/>
        <w:rPr>
          <w:sz w:val="20"/>
          <w:szCs w:val="20"/>
          <w:color w:val="auto"/>
        </w:rPr>
      </w:pPr>
      <w:r>
        <w:rPr>
          <w:rFonts w:ascii="Times New Roman" w:cs="Times New Roman" w:eastAsia="Times New Roman" w:hAnsi="Times New Roman"/>
          <w:sz w:val="16"/>
          <w:szCs w:val="16"/>
          <w:color w:val="auto"/>
        </w:rPr>
        <w:t xml:space="preserve">(d)The Collateral is not in the possession of any third party bailee (such as a warehouse) except as otherwise provided in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of the Perfection Certificates, which may be amended to add or remove bailees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xml:space="preserve">, above or as permitted pursuant to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None of the components of the Collateral shall be maintained at locations other than as provided in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Schedule H</w:t>
      </w:r>
      <w:r>
        <w:rPr>
          <w:rFonts w:ascii="Times New Roman" w:cs="Times New Roman" w:eastAsia="Times New Roman" w:hAnsi="Times New Roman"/>
          <w:sz w:val="16"/>
          <w:szCs w:val="16"/>
          <w:color w:val="auto"/>
        </w:rPr>
        <w:t xml:space="preserve"> of the Perfection Certificates, which may be amended to add or remove bailees and real property locations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xml:space="preserve">, above or as permitted pursuant to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w:t>
      </w:r>
    </w:p>
    <w:p>
      <w:pPr>
        <w:spacing w:after="0" w:line="55" w:lineRule="exact"/>
        <w:rPr>
          <w:sz w:val="20"/>
          <w:szCs w:val="20"/>
          <w:color w:val="auto"/>
        </w:rPr>
      </w:pPr>
    </w:p>
    <w:p>
      <w:pPr>
        <w:ind w:right="80" w:firstLine="1061"/>
        <w:spacing w:after="0" w:line="262" w:lineRule="auto"/>
        <w:rPr>
          <w:sz w:val="20"/>
          <w:szCs w:val="20"/>
          <w:color w:val="auto"/>
        </w:rPr>
      </w:pPr>
      <w:r>
        <w:rPr>
          <w:rFonts w:ascii="Times New Roman" w:cs="Times New Roman" w:eastAsia="Times New Roman" w:hAnsi="Times New Roman"/>
          <w:sz w:val="16"/>
          <w:szCs w:val="16"/>
          <w:color w:val="auto"/>
        </w:rPr>
        <w:t>(e)To the extent that Inventory exists, all Borrower’s and its Subsidiaries’ Inventory is in all material respects of good and marketable quality, free from defect (other than defects that do not prevent satisfaction of the standard requirements for delivery and acceptance of such Inventory and except for obsolete, damaged, defective or slow-moving items that have been written off or written down to fair market value or for which adequate reserves have been established).</w:t>
      </w:r>
    </w:p>
    <w:p>
      <w:pPr>
        <w:spacing w:after="0" w:line="50" w:lineRule="exact"/>
        <w:rPr>
          <w:sz w:val="20"/>
          <w:szCs w:val="20"/>
          <w:color w:val="auto"/>
        </w:rPr>
      </w:pPr>
    </w:p>
    <w:p>
      <w:pPr>
        <w:ind w:right="220" w:firstLine="1061"/>
        <w:spacing w:after="0" w:line="279" w:lineRule="auto"/>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u w:val="single" w:color="auto"/>
          <w:color w:val="auto"/>
        </w:rPr>
        <w:t>Section 4.2(d)</w:t>
      </w:r>
      <w:r>
        <w:rPr>
          <w:rFonts w:ascii="Times New Roman" w:cs="Times New Roman" w:eastAsia="Times New Roman" w:hAnsi="Times New Roman"/>
          <w:sz w:val="16"/>
          <w:szCs w:val="16"/>
          <w:color w:val="auto"/>
        </w:rPr>
        <w:t xml:space="preserve"> of the Perfection Certificates lists all Intellectual Property of Borrower and its Subsidiaries (other than over-the-counter software and other non-customized mass market licenses that are</w:t>
      </w:r>
    </w:p>
    <w:p>
      <w:pPr>
        <w:sectPr>
          <w:pgSz w:w="11900" w:h="16838" w:orient="portrait"/>
          <w:cols w:equalWidth="0" w:num="1">
            <w:col w:w="11400"/>
          </w:cols>
          <w:pgMar w:left="220" w:top="408" w:right="279" w:bottom="1440" w:gutter="0" w:footer="0" w:header="0"/>
        </w:sectPr>
      </w:pPr>
    </w:p>
    <w:bookmarkStart w:id="72" w:name="page73"/>
    <w:bookmarkEnd w:id="72"/>
    <w:p>
      <w:pPr>
        <w:ind w:right="40"/>
        <w:spacing w:after="0" w:line="250" w:lineRule="auto"/>
        <w:rPr>
          <w:sz w:val="20"/>
          <w:szCs w:val="20"/>
          <w:color w:val="auto"/>
        </w:rPr>
      </w:pPr>
      <w:r>
        <w:rPr>
          <w:rFonts w:ascii="Times New Roman" w:cs="Times New Roman" w:eastAsia="Times New Roman" w:hAnsi="Times New Roman"/>
          <w:sz w:val="16"/>
          <w:szCs w:val="16"/>
          <w:color w:val="auto"/>
        </w:rPr>
        <w:t xml:space="preserve">commercially available to the public), and may be updated to add or remove Intellectual Property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xml:space="preserve">, above. Borrower is the sole owner of the Intellectual Property which it owns or purports to own except for (i) non-exclusive licenses granted to its customers in the ordinary course of business, (ii) over-the-counter software and other non-customized mass market licenses that are commercially available to the public, and (iii) material Intellectual Property licensed to Borrower or its Subsidiaries and noted on the Perfection Certificates. Except as specifically noted in </w:t>
      </w:r>
      <w:r>
        <w:rPr>
          <w:rFonts w:ascii="Times New Roman" w:cs="Times New Roman" w:eastAsia="Times New Roman" w:hAnsi="Times New Roman"/>
          <w:sz w:val="16"/>
          <w:szCs w:val="16"/>
          <w:u w:val="single" w:color="auto"/>
          <w:color w:val="auto"/>
        </w:rPr>
        <w:t>Section 4.2(d)</w:t>
      </w:r>
      <w:r>
        <w:rPr>
          <w:rFonts w:ascii="Times New Roman" w:cs="Times New Roman" w:eastAsia="Times New Roman" w:hAnsi="Times New Roman"/>
          <w:sz w:val="16"/>
          <w:szCs w:val="16"/>
          <w:color w:val="auto"/>
        </w:rPr>
        <w:t xml:space="preserve"> of the Perfection Certificates, each Loan Party has the full right and authority to Dispose of its Intellectual Property, and each of its Subsidiaries has the full right and authority to Dispose of its Intellectual Property. Except as specifically noted in </w:t>
      </w:r>
      <w:r>
        <w:rPr>
          <w:rFonts w:ascii="Times New Roman" w:cs="Times New Roman" w:eastAsia="Times New Roman" w:hAnsi="Times New Roman"/>
          <w:sz w:val="16"/>
          <w:szCs w:val="16"/>
          <w:u w:val="single" w:color="auto"/>
          <w:color w:val="auto"/>
        </w:rPr>
        <w:t>Section 4.2(d)</w:t>
      </w:r>
      <w:r>
        <w:rPr>
          <w:rFonts w:ascii="Times New Roman" w:cs="Times New Roman" w:eastAsia="Times New Roman" w:hAnsi="Times New Roman"/>
          <w:sz w:val="16"/>
          <w:szCs w:val="16"/>
          <w:color w:val="auto"/>
        </w:rPr>
        <w:t xml:space="preserve"> of the Perfection Certificates, each Patent and Trademark which Borrower or any of its Subsidiaries own or purport to own is valid and enforceable, and no part of such Intellectual Property has been judged invalid or unenforceable, in whole or in part. Neither Borrower nor any of its Subsidiaries is in breach of any agreement related to their Intellectual Property, and no claim has been made in writing that any part of such Intellectual Property violates the rights of any third party.</w:t>
      </w:r>
    </w:p>
    <w:p>
      <w:pPr>
        <w:spacing w:after="0" w:line="58" w:lineRule="exact"/>
        <w:rPr>
          <w:sz w:val="20"/>
          <w:szCs w:val="20"/>
          <w:color w:val="auto"/>
        </w:rPr>
      </w:pPr>
    </w:p>
    <w:p>
      <w:pPr>
        <w:ind w:right="480" w:firstLine="1061"/>
        <w:spacing w:after="0" w:line="279" w:lineRule="auto"/>
        <w:rPr>
          <w:sz w:val="20"/>
          <w:szCs w:val="20"/>
          <w:color w:val="auto"/>
        </w:rPr>
      </w:pPr>
      <w:r>
        <w:rPr>
          <w:rFonts w:ascii="Times New Roman" w:cs="Times New Roman" w:eastAsia="Times New Roman" w:hAnsi="Times New Roman"/>
          <w:sz w:val="16"/>
          <w:szCs w:val="16"/>
          <w:color w:val="auto"/>
        </w:rPr>
        <w:t xml:space="preserve">(g)Except as noted in </w:t>
      </w:r>
      <w:r>
        <w:rPr>
          <w:rFonts w:ascii="Times New Roman" w:cs="Times New Roman" w:eastAsia="Times New Roman" w:hAnsi="Times New Roman"/>
          <w:sz w:val="16"/>
          <w:szCs w:val="16"/>
          <w:u w:val="single" w:color="auto"/>
          <w:color w:val="auto"/>
        </w:rPr>
        <w:t>Section 4.2(e)</w:t>
      </w:r>
      <w:r>
        <w:rPr>
          <w:rFonts w:ascii="Times New Roman" w:cs="Times New Roman" w:eastAsia="Times New Roman" w:hAnsi="Times New Roman"/>
          <w:sz w:val="16"/>
          <w:szCs w:val="16"/>
          <w:color w:val="auto"/>
        </w:rPr>
        <w:t xml:space="preserve"> of the Perfection Certificates, neither Borrower nor any of its Subsidiaries are a party to, or bound by, any Restricted License. </w:t>
      </w:r>
      <w:r>
        <w:rPr>
          <w:rFonts w:ascii="Times New Roman" w:cs="Times New Roman" w:eastAsia="Times New Roman" w:hAnsi="Times New Roman"/>
          <w:sz w:val="16"/>
          <w:szCs w:val="16"/>
          <w:u w:val="single" w:color="auto"/>
          <w:color w:val="auto"/>
        </w:rPr>
        <w:t>Section 4.2(e)</w:t>
      </w:r>
      <w:r>
        <w:rPr>
          <w:rFonts w:ascii="Times New Roman" w:cs="Times New Roman" w:eastAsia="Times New Roman" w:hAnsi="Times New Roman"/>
          <w:sz w:val="16"/>
          <w:szCs w:val="16"/>
          <w:color w:val="auto"/>
        </w:rPr>
        <w:t xml:space="preserve"> of the Perfection Certificates may be updated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above.</w:t>
      </w:r>
    </w:p>
    <w:p>
      <w:pPr>
        <w:spacing w:after="0" w:line="36" w:lineRule="exact"/>
        <w:rPr>
          <w:sz w:val="20"/>
          <w:szCs w:val="20"/>
          <w:color w:val="auto"/>
        </w:rPr>
      </w:pPr>
    </w:p>
    <w:p>
      <w:pPr>
        <w:ind w:right="240" w:firstLine="1061"/>
        <w:spacing w:after="0" w:line="262" w:lineRule="auto"/>
        <w:rPr>
          <w:sz w:val="20"/>
          <w:szCs w:val="20"/>
          <w:color w:val="auto"/>
        </w:rPr>
      </w:pPr>
      <w:r>
        <w:rPr>
          <w:rFonts w:ascii="Times New Roman" w:cs="Times New Roman" w:eastAsia="Times New Roman" w:hAnsi="Times New Roman"/>
          <w:sz w:val="16"/>
          <w:szCs w:val="16"/>
          <w:color w:val="auto"/>
        </w:rPr>
        <w:t xml:space="preserve">(h)Except as noted in </w:t>
      </w:r>
      <w:r>
        <w:rPr>
          <w:rFonts w:ascii="Times New Roman" w:cs="Times New Roman" w:eastAsia="Times New Roman" w:hAnsi="Times New Roman"/>
          <w:sz w:val="16"/>
          <w:szCs w:val="16"/>
          <w:u w:val="single" w:color="auto"/>
          <w:color w:val="auto"/>
        </w:rPr>
        <w:t>Section 4.2(f)</w:t>
      </w:r>
      <w:r>
        <w:rPr>
          <w:rFonts w:ascii="Times New Roman" w:cs="Times New Roman" w:eastAsia="Times New Roman" w:hAnsi="Times New Roman"/>
          <w:sz w:val="16"/>
          <w:szCs w:val="16"/>
          <w:color w:val="auto"/>
        </w:rPr>
        <w:t xml:space="preserve"> of the Perfection Certificates, Borrower’s ownership interests in the entities listed in </w:t>
      </w:r>
      <w:r>
        <w:rPr>
          <w:rFonts w:ascii="Times New Roman" w:cs="Times New Roman" w:eastAsia="Times New Roman" w:hAnsi="Times New Roman"/>
          <w:sz w:val="16"/>
          <w:szCs w:val="16"/>
          <w:u w:val="single" w:color="auto"/>
          <w:color w:val="auto"/>
        </w:rPr>
        <w:t>Section 4.2(f)</w:t>
      </w:r>
      <w:r>
        <w:rPr>
          <w:rFonts w:ascii="Times New Roman" w:cs="Times New Roman" w:eastAsia="Times New Roman" w:hAnsi="Times New Roman"/>
          <w:sz w:val="16"/>
          <w:szCs w:val="16"/>
          <w:color w:val="auto"/>
        </w:rPr>
        <w:t xml:space="preserve"> of the Perfection Certificates are uncertificated, and shall not be certificated unless Borrower and each of the entities listed in </w:t>
      </w:r>
      <w:r>
        <w:rPr>
          <w:rFonts w:ascii="Times New Roman" w:cs="Times New Roman" w:eastAsia="Times New Roman" w:hAnsi="Times New Roman"/>
          <w:sz w:val="16"/>
          <w:szCs w:val="16"/>
          <w:u w:val="single" w:color="auto"/>
          <w:color w:val="auto"/>
        </w:rPr>
        <w:t>Section 4.2(f)</w:t>
      </w:r>
      <w:r>
        <w:rPr>
          <w:rFonts w:ascii="Times New Roman" w:cs="Times New Roman" w:eastAsia="Times New Roman" w:hAnsi="Times New Roman"/>
          <w:sz w:val="16"/>
          <w:szCs w:val="16"/>
          <w:color w:val="auto"/>
        </w:rPr>
        <w:t xml:space="preserve"> of the Perfection Certificates comply with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6.11</w:t>
      </w:r>
      <w:r>
        <w:rPr>
          <w:rFonts w:ascii="Times New Roman" w:cs="Times New Roman" w:eastAsia="Times New Roman" w:hAnsi="Times New Roman"/>
          <w:sz w:val="16"/>
          <w:szCs w:val="16"/>
          <w:color w:val="auto"/>
        </w:rPr>
        <w:t xml:space="preserve">, below. </w:t>
      </w:r>
      <w:r>
        <w:rPr>
          <w:rFonts w:ascii="Times New Roman" w:cs="Times New Roman" w:eastAsia="Times New Roman" w:hAnsi="Times New Roman"/>
          <w:sz w:val="16"/>
          <w:szCs w:val="16"/>
          <w:u w:val="single" w:color="auto"/>
          <w:color w:val="auto"/>
        </w:rPr>
        <w:t>Section 4.2(f)</w:t>
      </w:r>
      <w:r>
        <w:rPr>
          <w:rFonts w:ascii="Times New Roman" w:cs="Times New Roman" w:eastAsia="Times New Roman" w:hAnsi="Times New Roman"/>
          <w:sz w:val="16"/>
          <w:szCs w:val="16"/>
          <w:color w:val="auto"/>
        </w:rPr>
        <w:t xml:space="preserve"> of the Perfection Certificates may be updated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above.</w:t>
      </w:r>
    </w:p>
    <w:p>
      <w:pPr>
        <w:spacing w:after="0" w:line="48" w:lineRule="exact"/>
        <w:rPr>
          <w:sz w:val="20"/>
          <w:szCs w:val="20"/>
          <w:color w:val="auto"/>
        </w:rPr>
      </w:pPr>
    </w:p>
    <w:p>
      <w:pPr>
        <w:ind w:right="48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4.3. Accounts</w:t>
      </w:r>
      <w:r>
        <w:rPr>
          <w:rFonts w:ascii="Times New Roman" w:cs="Times New Roman" w:eastAsia="Times New Roman" w:hAnsi="Times New Roman"/>
          <w:sz w:val="16"/>
          <w:szCs w:val="16"/>
          <w:color w:val="auto"/>
        </w:rPr>
        <w:t>. Upon the occurrence of an Event of Default that is continuing, Agent may notify any Account Debtor owing Borrower money of Agent’s security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in such funds and verify the amount of such Account. Borrower has no knowledge of any actual or imminent Insolvency Proceeding of any Account Debtor.</w:t>
      </w:r>
    </w:p>
    <w:p>
      <w:pPr>
        <w:spacing w:after="0" w:line="32" w:lineRule="exact"/>
        <w:rPr>
          <w:sz w:val="20"/>
          <w:szCs w:val="20"/>
          <w:color w:val="auto"/>
        </w:rPr>
      </w:pPr>
    </w:p>
    <w:p>
      <w:pPr>
        <w:ind w:firstLine="531"/>
        <w:spacing w:after="0" w:line="250" w:lineRule="auto"/>
        <w:rPr>
          <w:sz w:val="20"/>
          <w:szCs w:val="20"/>
          <w:color w:val="auto"/>
        </w:rPr>
      </w:pPr>
      <w:r>
        <w:rPr>
          <w:rFonts w:ascii="Times New Roman" w:cs="Times New Roman" w:eastAsia="Times New Roman" w:hAnsi="Times New Roman"/>
          <w:sz w:val="16"/>
          <w:szCs w:val="16"/>
          <w:b w:val="1"/>
          <w:bCs w:val="1"/>
          <w:color w:val="auto"/>
        </w:rPr>
        <w:t>4.4. Litigation; Governmental Action</w:t>
      </w:r>
      <w:r>
        <w:rPr>
          <w:rFonts w:ascii="Times New Roman" w:cs="Times New Roman" w:eastAsia="Times New Roman" w:hAnsi="Times New Roman"/>
          <w:sz w:val="16"/>
          <w:szCs w:val="16"/>
          <w:color w:val="auto"/>
        </w:rPr>
        <w:t>. Except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Perfection Certificates (which may be updated as provided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above, to include claims asserted by Borrower), there are no actions or proceedings pending or, to the knowledge of the Responsible Officers, threatened in writing by or against Borrower or any of its Subsidiaries involving (i) more than, individually or in the aggregate, Five Hundred Thousand Dollars ($500,000), or (ii) fines, penalties or other sanctions by any Governmental Authority. Except as set forth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of the Perfection Certificates (which may be updated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xml:space="preserve">, above), there are no actions or proceedings pending by Borrower or any of its Subsidiaries involving more than, individually or in the aggregate, Five Hundred Thousand Dollars ($500,000). Except as set forth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of the Perfection Certificates, there is no action or proceeding pending by or against Borrower or any of its Subsidiaries where Borrower or any Subsidiary has incurred in excess of Five Hundred Thousand Dollars ($500,000) in legal expenses, including without limitation, attorneys’ fees, for which Borrower has not been reimbursed by third party insurance (i.e., not self-insurance) within 60 days of Borrower’s written request for reimbursement.</w:t>
      </w:r>
    </w:p>
    <w:p>
      <w:pPr>
        <w:spacing w:after="0" w:line="58" w:lineRule="exact"/>
        <w:rPr>
          <w:sz w:val="20"/>
          <w:szCs w:val="20"/>
          <w:color w:val="auto"/>
        </w:rPr>
      </w:pPr>
    </w:p>
    <w:p>
      <w:pPr>
        <w:ind w:right="80" w:firstLine="531"/>
        <w:spacing w:after="0" w:line="252" w:lineRule="auto"/>
        <w:rPr>
          <w:sz w:val="20"/>
          <w:szCs w:val="20"/>
          <w:color w:val="auto"/>
        </w:rPr>
      </w:pPr>
      <w:r>
        <w:rPr>
          <w:rFonts w:ascii="Times New Roman" w:cs="Times New Roman" w:eastAsia="Times New Roman" w:hAnsi="Times New Roman"/>
          <w:sz w:val="16"/>
          <w:szCs w:val="16"/>
          <w:b w:val="1"/>
          <w:bCs w:val="1"/>
          <w:color w:val="auto"/>
        </w:rPr>
        <w:t>4.5. Financial Statements; Financial Condition</w:t>
      </w:r>
      <w:r>
        <w:rPr>
          <w:rFonts w:ascii="Times New Roman" w:cs="Times New Roman" w:eastAsia="Times New Roman" w:hAnsi="Times New Roman"/>
          <w:sz w:val="16"/>
          <w:szCs w:val="16"/>
          <w:color w:val="auto"/>
        </w:rPr>
        <w:t>. All consolidated financial statements for Borrower and any of its Subsidiaries delivered to Lenders and Agent fairly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present in all material respects Borrower’s consolidated financial condition and Borrower’s consolidated results of operations (other than, in the case of unaudited financial statements, the absence of footnotes and normal year-end adjustments) for the periods presented. There has not been any material deterioration in Borrower’s consolidated financial condition since the date of the most recent financial statements submitted to Lenders and Agent. Except as set forth in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of the Perfection Certificates (as may be updated as provided by </w:t>
      </w:r>
      <w:r>
        <w:rPr>
          <w:rFonts w:ascii="Times New Roman" w:cs="Times New Roman" w:eastAsia="Times New Roman" w:hAnsi="Times New Roman"/>
          <w:sz w:val="16"/>
          <w:szCs w:val="16"/>
          <w:u w:val="single" w:color="auto"/>
          <w:color w:val="auto"/>
        </w:rPr>
        <w:t>Section 4.1(a)(v)</w:t>
      </w:r>
      <w:r>
        <w:rPr>
          <w:rFonts w:ascii="Times New Roman" w:cs="Times New Roman" w:eastAsia="Times New Roman" w:hAnsi="Times New Roman"/>
          <w:sz w:val="16"/>
          <w:szCs w:val="16"/>
          <w:color w:val="auto"/>
        </w:rPr>
        <w:t>, above), there are no loans to Borrower’s or any of its Subsidiaries’ employees or directors, and there are no loans from such employees and directors to Borrower or any of its Subsidiaries other than unreimbursed expenses occurring in the ordinary course of business.</w:t>
      </w:r>
    </w:p>
    <w:p>
      <w:pPr>
        <w:spacing w:after="0" w:line="57" w:lineRule="exact"/>
        <w:rPr>
          <w:sz w:val="20"/>
          <w:szCs w:val="20"/>
          <w:color w:val="auto"/>
        </w:rPr>
      </w:pPr>
    </w:p>
    <w:p>
      <w:pPr>
        <w:ind w:right="40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4.6. Material Adverse Change; Solvency</w:t>
      </w:r>
      <w:r>
        <w:rPr>
          <w:rFonts w:ascii="Times New Roman" w:cs="Times New Roman" w:eastAsia="Times New Roman" w:hAnsi="Times New Roman"/>
          <w:sz w:val="16"/>
          <w:szCs w:val="16"/>
          <w:color w:val="auto"/>
        </w:rPr>
        <w:t>. No Material Adverse Change has occurred since the date of the most recent financial statements submitted to Lenders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Agent (whether as required by this</w:t>
      </w:r>
    </w:p>
    <w:p>
      <w:pPr>
        <w:sectPr>
          <w:pgSz w:w="11900" w:h="16838" w:orient="portrait"/>
          <w:cols w:equalWidth="0" w:num="1">
            <w:col w:w="11460"/>
          </w:cols>
          <w:pgMar w:left="220" w:top="408" w:right="2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color w:val="auto"/>
        </w:rPr>
        <w:t>Agreement or otherwise provided). Borrower is, and Borrower and its Subsidiaries, on a consolidated basis, are, Solvent.</w:t>
      </w:r>
    </w:p>
    <w:p>
      <w:pPr>
        <w:spacing w:after="0" w:line="90" w:lineRule="exact"/>
        <w:rPr>
          <w:sz w:val="20"/>
          <w:szCs w:val="20"/>
          <w:color w:val="auto"/>
        </w:rPr>
      </w:pPr>
    </w:p>
    <w:p>
      <w:pPr>
        <w:ind w:right="40" w:firstLine="531"/>
        <w:spacing w:after="0" w:line="248" w:lineRule="auto"/>
        <w:rPr>
          <w:sz w:val="20"/>
          <w:szCs w:val="20"/>
          <w:color w:val="auto"/>
        </w:rPr>
      </w:pPr>
      <w:r>
        <w:rPr>
          <w:rFonts w:ascii="Times New Roman" w:cs="Times New Roman" w:eastAsia="Times New Roman" w:hAnsi="Times New Roman"/>
          <w:sz w:val="16"/>
          <w:szCs w:val="16"/>
          <w:b w:val="1"/>
          <w:bCs w:val="1"/>
          <w:color w:val="auto"/>
        </w:rPr>
        <w:t>4.7. Regulatory Compliance</w:t>
      </w:r>
      <w:r>
        <w:rPr>
          <w:rFonts w:ascii="Times New Roman" w:cs="Times New Roman" w:eastAsia="Times New Roman" w:hAnsi="Times New Roman"/>
          <w:sz w:val="16"/>
          <w:szCs w:val="16"/>
          <w:color w:val="auto"/>
        </w:rPr>
        <w:t>. Borrower is not an “investment company” or a company “controlled” by an “investment company” under the Investment Company 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1940, as amended. Borrower is not engaged as one of its important activities in extending credit for margin stock (under Regulations X, T and U of the Federal Reserve Board of Governors). Borrower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Borrower has not violated any laws, ordinances or rules, the violation of which could reasonably be expected to result in liability in excess of Five Hundred Thousand Dollars ($500,000). None of Borrower’s or any of its Subsidiaries’ properties or assets has been used by Borrower or any Subsidiary or, to the best of Borrower’s knowledge, by previous Persons, in disposing, producing, storing, treating, or transporting any hazardous substance other than in material compliance with applicable</w:t>
      </w:r>
    </w:p>
    <w:p>
      <w:pPr>
        <w:spacing w:after="0" w:line="5"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6"/>
          <w:szCs w:val="16"/>
          <w:color w:val="auto"/>
        </w:rPr>
        <w:t>laws.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4.8. Investments</w:t>
      </w:r>
      <w:r>
        <w:rPr>
          <w:rFonts w:ascii="Times New Roman" w:cs="Times New Roman" w:eastAsia="Times New Roman" w:hAnsi="Times New Roman"/>
          <w:sz w:val="16"/>
          <w:szCs w:val="16"/>
          <w:color w:val="auto"/>
        </w:rPr>
        <w:t>. Borrower and its Subsidiaries do not own any Equity Interests except for Permitted Investments.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4.9. Tax Returns and Payments; Pension Contributions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firstLine="1070"/>
        <w:spacing w:after="0" w:line="248" w:lineRule="auto"/>
        <w:tabs>
          <w:tab w:leader="none" w:pos="128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and its Subsidiaries have timely filed all required Tax Returns and reports, and have timely paid (after giving effect to any duly filed extension) all foreign, federal, state and local Taxes due and payable and all assessments, deposits and contributions owed, in each case where such liability is in excess of $25,000. Borrower may, and may allow its Subsidiaries to, defer payment of any contested Taxes, provided that Borrower or its Subsidiaries, as applicable, (a) in good faith contests its obligation to pay the Taxes by appropriate proceedings promptly and diligently instituted and conducted, (b) notifies Agent in writing of the commencement of, and any material development in, the proceedings, (c) posts bonds or takes any other steps required to prevent the governmental authority levying such contested Taxes from obtaining a Lien upon any of the Collateral that is other than a “Permitted Lien”. Borrower is unaware of any claims or adjustments proposed for any of Borrower's or its Subsidiaries’ prior tax years which could result in additional Taxes in excess of $25,000 becoming due and payable. Borrower and its Subsidiaries have paid all amounts necessary, if any, to fund all present pension, profit sharing and deferred compensation plans in accordance with their terms, and neither Borrower nor any of its Subsidiaries have not withdrawn from participation in, and have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agency.</w:t>
      </w:r>
    </w:p>
    <w:p>
      <w:pPr>
        <w:spacing w:after="0" w:line="254" w:lineRule="exact"/>
        <w:rPr>
          <w:sz w:val="20"/>
          <w:szCs w:val="20"/>
          <w:color w:val="auto"/>
        </w:rPr>
      </w:pPr>
    </w:p>
    <w:p>
      <w:pPr>
        <w:ind w:right="460" w:firstLine="1061"/>
        <w:spacing w:after="0" w:line="262" w:lineRule="auto"/>
        <w:rPr>
          <w:sz w:val="20"/>
          <w:szCs w:val="20"/>
          <w:color w:val="auto"/>
        </w:rPr>
      </w:pPr>
      <w:r>
        <w:rPr>
          <w:rFonts w:ascii="Times New Roman" w:cs="Times New Roman" w:eastAsia="Times New Roman" w:hAnsi="Times New Roman"/>
          <w:sz w:val="16"/>
          <w:szCs w:val="16"/>
          <w:color w:val="auto"/>
        </w:rPr>
        <w:t>(b)Neither Borrower nor any of its Subsidiaries ever has been, is, or, upon the consummation of the transactions contemplated hereby, by any other Loan Document or any related agreements, will be (i) a “passive foreign investment company” within the meaning of Section 1297 of the IRC or (ii) a “controlled foreign corporation” within the meaning of Section 957(a) of the IRC.</w:t>
      </w:r>
    </w:p>
    <w:p>
      <w:pPr>
        <w:spacing w:after="0" w:line="48" w:lineRule="exact"/>
        <w:rPr>
          <w:sz w:val="20"/>
          <w:szCs w:val="20"/>
          <w:color w:val="auto"/>
        </w:rPr>
      </w:pPr>
    </w:p>
    <w:p>
      <w:pPr>
        <w:ind w:right="4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4.10. Use of Proceeds</w:t>
      </w:r>
      <w:r>
        <w:rPr>
          <w:rFonts w:ascii="Times New Roman" w:cs="Times New Roman" w:eastAsia="Times New Roman" w:hAnsi="Times New Roman"/>
          <w:sz w:val="16"/>
          <w:szCs w:val="16"/>
          <w:color w:val="auto"/>
        </w:rPr>
        <w:t>. Borrower shall use the proceeds of the Credit Extensions (i) to refinance existing Indebtedness, (ii) as working capital and other corporate uses,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(iii) to fund its general business requirements and not for personal, family, household or agricultural purposes.</w:t>
      </w:r>
    </w:p>
    <w:p>
      <w:pPr>
        <w:spacing w:after="0" w:line="32" w:lineRule="exact"/>
        <w:rPr>
          <w:sz w:val="20"/>
          <w:szCs w:val="20"/>
          <w:color w:val="auto"/>
        </w:rPr>
      </w:pPr>
    </w:p>
    <w:p>
      <w:pPr>
        <w:ind w:right="4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4.11. Full Disclosure</w:t>
      </w:r>
      <w:r>
        <w:rPr>
          <w:rFonts w:ascii="Times New Roman" w:cs="Times New Roman" w:eastAsia="Times New Roman" w:hAnsi="Times New Roman"/>
          <w:sz w:val="16"/>
          <w:szCs w:val="16"/>
          <w:color w:val="auto"/>
        </w:rPr>
        <w:t>. No written representation, warranty or other statement of Borrower or any of its Subsidiaries in any certificate or written statement given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Lenders or Agent, when taken as a whole, as of the date such representation, warranty, or other statement was made, taken together with all such written certificates and written statements given to Lenders or Agent, contains any untrue statement of a material fact or omits to state a material fact necessary to make the statements contained in the certificates or statements not misleading (it being recognized by Lenders and Agent that projections and forecasts provided by Borrower or its Subsidiaries in good faith and based upon reasonable assumptions are not viewed as facts and that actual</w:t>
      </w:r>
    </w:p>
    <w:p>
      <w:pPr>
        <w:sectPr>
          <w:pgSz w:w="11900" w:h="16838" w:orient="portrait"/>
          <w:cols w:equalWidth="0" w:num="1">
            <w:col w:w="11440"/>
          </w:cols>
          <w:pgMar w:left="220" w:top="408" w:right="239" w:bottom="1440" w:gutter="0" w:footer="0" w:header="0"/>
        </w:sectPr>
      </w:pPr>
    </w:p>
    <w:bookmarkStart w:id="74" w:name="page75"/>
    <w:bookmarkEnd w:id="74"/>
    <w:p>
      <w:pPr>
        <w:ind w:right="40"/>
        <w:spacing w:after="0" w:line="262" w:lineRule="auto"/>
        <w:rPr>
          <w:sz w:val="20"/>
          <w:szCs w:val="20"/>
          <w:color w:val="auto"/>
        </w:rPr>
      </w:pPr>
      <w:r>
        <w:rPr>
          <w:rFonts w:ascii="Times New Roman" w:cs="Times New Roman" w:eastAsia="Times New Roman" w:hAnsi="Times New Roman"/>
          <w:sz w:val="16"/>
          <w:szCs w:val="16"/>
          <w:color w:val="auto"/>
        </w:rPr>
        <w:t>results during the period or periods covered by such projections and forecasts may differ from the projected or forecasted results). All projections and forecasts Borrower or any Subsidiary provides to Lenders or Agent shall be provided in good faith and based on the most current information available to Borrower or such Subsidiary at the time of the delivery thereof to Agent.</w:t>
      </w:r>
    </w:p>
    <w:p>
      <w:pPr>
        <w:spacing w:after="0" w:line="48" w:lineRule="exact"/>
        <w:rPr>
          <w:sz w:val="20"/>
          <w:szCs w:val="20"/>
          <w:color w:val="auto"/>
        </w:rPr>
      </w:pPr>
    </w:p>
    <w:p>
      <w:pPr>
        <w:ind w:right="48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4.12. Capitalization and Organization</w:t>
      </w:r>
      <w:r>
        <w:rPr>
          <w:rFonts w:ascii="Times New Roman" w:cs="Times New Roman" w:eastAsia="Times New Roman" w:hAnsi="Times New Roman"/>
          <w:sz w:val="16"/>
          <w:szCs w:val="16"/>
          <w:color w:val="auto"/>
        </w:rPr>
        <w:t>. As of the Effective Date, the capitalization of Borrower’s Subsidiaries is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4.12(a)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Perfection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Certificate. Borrower’s organization structure is as set forth in </w:t>
      </w:r>
      <w:r>
        <w:rPr>
          <w:rFonts w:ascii="Times New Roman" w:cs="Times New Roman" w:eastAsia="Times New Roman" w:hAnsi="Times New Roman"/>
          <w:sz w:val="16"/>
          <w:szCs w:val="16"/>
          <w:u w:val="single" w:color="auto"/>
          <w:color w:val="auto"/>
        </w:rPr>
        <w:t>Section 4.12(b)</w:t>
      </w:r>
      <w:r>
        <w:rPr>
          <w:rFonts w:ascii="Times New Roman" w:cs="Times New Roman" w:eastAsia="Times New Roman" w:hAnsi="Times New Roman"/>
          <w:sz w:val="16"/>
          <w:szCs w:val="16"/>
          <w:color w:val="auto"/>
        </w:rPr>
        <w:t xml:space="preserve"> of the Perfection Certificate, which may be amended as provided by Section 4.1(a)(v).</w:t>
      </w:r>
    </w:p>
    <w:p>
      <w:pPr>
        <w:spacing w:after="0" w:line="32" w:lineRule="exact"/>
        <w:rPr>
          <w:sz w:val="20"/>
          <w:szCs w:val="20"/>
          <w:color w:val="auto"/>
        </w:rPr>
      </w:pPr>
    </w:p>
    <w:p>
      <w:pPr>
        <w:ind w:right="8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4.13. Sanctioned Persons</w:t>
      </w:r>
      <w:r>
        <w:rPr>
          <w:rFonts w:ascii="Times New Roman" w:cs="Times New Roman" w:eastAsia="Times New Roman" w:hAnsi="Times New Roman"/>
          <w:sz w:val="16"/>
          <w:szCs w:val="16"/>
          <w:color w:val="auto"/>
        </w:rPr>
        <w:t>. None of Borrower or any of its Subsidiaries, and to Borrower’s knowledge, any of their directors, officers, agents, employees or Affiliate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currently subject to any U.S. sanctions administered by the Office of Foreign Assets Control of the U.S. Treasury Department (“</w:t>
      </w:r>
      <w:r>
        <w:rPr>
          <w:rFonts w:ascii="Times New Roman" w:cs="Times New Roman" w:eastAsia="Times New Roman" w:hAnsi="Times New Roman"/>
          <w:sz w:val="16"/>
          <w:szCs w:val="16"/>
          <w:b w:val="1"/>
          <w:bCs w:val="1"/>
          <w:i w:val="1"/>
          <w:iCs w:val="1"/>
          <w:color w:val="auto"/>
        </w:rPr>
        <w:t>OFAC</w:t>
      </w:r>
      <w:r>
        <w:rPr>
          <w:rFonts w:ascii="Times New Roman" w:cs="Times New Roman" w:eastAsia="Times New Roman" w:hAnsi="Times New Roman"/>
          <w:sz w:val="16"/>
          <w:szCs w:val="16"/>
          <w:color w:val="auto"/>
        </w:rPr>
        <w:t>”). Borrower will not directly or indirectly use the proceeds of any Credit Extension or otherwise make available such proceeds to any Person, for the purpose of financing the activities of any Person currently subject to any U.S. sanctions administered by OFAC.</w:t>
      </w:r>
    </w:p>
    <w:p>
      <w:pPr>
        <w:spacing w:after="0" w:line="70" w:lineRule="exact"/>
        <w:rPr>
          <w:sz w:val="20"/>
          <w:szCs w:val="20"/>
          <w:color w:val="auto"/>
        </w:rPr>
      </w:pPr>
    </w:p>
    <w:p>
      <w:pPr>
        <w:ind w:left="5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4.14.</w:t>
      </w:r>
      <w:r>
        <w:rPr>
          <w:sz w:val="20"/>
          <w:szCs w:val="20"/>
          <w:color w:val="auto"/>
        </w:rPr>
        <w:tab/>
      </w:r>
      <w:r>
        <w:rPr>
          <w:rFonts w:ascii="Times New Roman" w:cs="Times New Roman" w:eastAsia="Times New Roman" w:hAnsi="Times New Roman"/>
          <w:sz w:val="17"/>
          <w:szCs w:val="17"/>
          <w:b w:val="1"/>
          <w:bCs w:val="1"/>
          <w:color w:val="auto"/>
        </w:rPr>
        <w:t>Foreign Assets Control Regulations, Etc</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right="60" w:firstLine="1070"/>
        <w:spacing w:after="0" w:line="250" w:lineRule="auto"/>
        <w:tabs>
          <w:tab w:leader="none" w:pos="138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borrowing of any Credit Extension by Borrower hereunder nor its use thereof will violate (i) the United States Trading with the Enemy Act, as amended, (ii) any of the foreign assets control regulations of the United States Treasury Department (31 CFR, Subtitle B, Chapter V, as amended) or any enabling legislation or executive order relating thereto, (iii) Executive Order No. 13,224, 66 Fed Reg 49,079 (2001), issued by the President of the United States (Executive Order Blocking Property and Prohibiting Transactions with Persons Who Commit, Threaten to Commit or Support Terrorism) (the “</w:t>
      </w:r>
      <w:r>
        <w:rPr>
          <w:rFonts w:ascii="Times New Roman" w:cs="Times New Roman" w:eastAsia="Times New Roman" w:hAnsi="Times New Roman"/>
          <w:sz w:val="16"/>
          <w:szCs w:val="16"/>
          <w:b w:val="1"/>
          <w:bCs w:val="1"/>
          <w:i w:val="1"/>
          <w:iCs w:val="1"/>
          <w:color w:val="auto"/>
        </w:rPr>
        <w:t>Terrorism Order</w:t>
      </w:r>
      <w:r>
        <w:rPr>
          <w:rFonts w:ascii="Times New Roman" w:cs="Times New Roman" w:eastAsia="Times New Roman" w:hAnsi="Times New Roman"/>
          <w:sz w:val="16"/>
          <w:szCs w:val="16"/>
          <w:color w:val="auto"/>
        </w:rPr>
        <w:t>”), (iv) USA PATRIOT ACT, or (v) USA FREEDOM ACT. No part of the Credit Extensions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62" w:lineRule="exact"/>
        <w:rPr>
          <w:rFonts w:ascii="Times New Roman" w:cs="Times New Roman" w:eastAsia="Times New Roman" w:hAnsi="Times New Roman"/>
          <w:sz w:val="16"/>
          <w:szCs w:val="16"/>
          <w:color w:val="auto"/>
        </w:rPr>
      </w:pPr>
    </w:p>
    <w:p>
      <w:pPr>
        <w:ind w:right="140" w:firstLine="1070"/>
        <w:spacing w:after="0" w:line="279" w:lineRule="auto"/>
        <w:tabs>
          <w:tab w:leader="none" w:pos="139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Loan Party (i) is or will become a “blocked person” as described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of the Terrorism Order or (ii) engages or will engage in any dealings or transactions, or is otherwise associated, with any such blocked person.</w:t>
      </w:r>
    </w:p>
    <w:p>
      <w:pPr>
        <w:spacing w:after="0" w:line="36" w:lineRule="exact"/>
        <w:rPr>
          <w:rFonts w:ascii="Times New Roman" w:cs="Times New Roman" w:eastAsia="Times New Roman" w:hAnsi="Times New Roman"/>
          <w:sz w:val="16"/>
          <w:szCs w:val="16"/>
          <w:color w:val="auto"/>
        </w:rPr>
      </w:pPr>
    </w:p>
    <w:p>
      <w:pPr>
        <w:ind w:left="1400" w:hanging="330"/>
        <w:spacing w:after="0"/>
        <w:tabs>
          <w:tab w:leader="none" w:pos="14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Loan Parties and its Affiliates are in compliance, in all material respects, with the USA PATRIOT ACT and the USA FREEDOM ACT.</w:t>
      </w:r>
    </w:p>
    <w:p>
      <w:pPr>
        <w:spacing w:after="0" w:line="90" w:lineRule="exact"/>
        <w:rPr>
          <w:sz w:val="20"/>
          <w:szCs w:val="20"/>
          <w:color w:val="auto"/>
        </w:rPr>
      </w:pPr>
    </w:p>
    <w:p>
      <w:pPr>
        <w:ind w:right="8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4.15. Definition of “knowledge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the Loan Documents, whenever a representation or warranty is made to Borrower’s knowledge or awareness,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“best of” Borrower’s knowledge, or with a similar qualification, knowledge or awareness means the actual knowledge, after reasonable investigation, of the Responsible Officers.</w:t>
      </w:r>
    </w:p>
    <w:p>
      <w:pPr>
        <w:spacing w:after="0" w:line="4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5.</w:t>
        <w:tab/>
        <w:t>AFFIRMATIVE COVENANTS</w:t>
      </w:r>
    </w:p>
    <w:p>
      <w:pPr>
        <w:spacing w:after="0" w:line="94" w:lineRule="exact"/>
        <w:rPr>
          <w:sz w:val="20"/>
          <w:szCs w:val="20"/>
          <w:color w:val="auto"/>
        </w:rPr>
      </w:pPr>
    </w:p>
    <w:p>
      <w:pPr>
        <w:ind w:right="420" w:firstLine="531"/>
        <w:spacing w:after="0" w:line="279" w:lineRule="auto"/>
        <w:rPr>
          <w:sz w:val="20"/>
          <w:szCs w:val="20"/>
          <w:color w:val="auto"/>
        </w:rPr>
      </w:pPr>
      <w:r>
        <w:rPr>
          <w:rFonts w:ascii="Times New Roman" w:cs="Times New Roman" w:eastAsia="Times New Roman" w:hAnsi="Times New Roman"/>
          <w:sz w:val="16"/>
          <w:szCs w:val="16"/>
          <w:color w:val="auto"/>
        </w:rPr>
        <w:t>Until all Obligations (other than inchoate indemnity obligations) have been satisfied in full and Lenders are under no further obligation to make Credit Extensions hereunder, Borrower shall comply with each of the covenants in this Section 5:</w:t>
      </w:r>
    </w:p>
    <w:p>
      <w:pPr>
        <w:spacing w:after="0" w:line="34" w:lineRule="exact"/>
        <w:rPr>
          <w:sz w:val="20"/>
          <w:szCs w:val="20"/>
          <w:color w:val="auto"/>
        </w:rPr>
      </w:pPr>
    </w:p>
    <w:p>
      <w:pPr>
        <w:ind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5.1. Government Compliance</w:t>
      </w:r>
      <w:r>
        <w:rPr>
          <w:rFonts w:ascii="Times New Roman" w:cs="Times New Roman" w:eastAsia="Times New Roman" w:hAnsi="Times New Roman"/>
          <w:sz w:val="16"/>
          <w:szCs w:val="16"/>
          <w:color w:val="auto"/>
        </w:rPr>
        <w:t>. Borrower shall maintain its and all its Subsidiaries’ legal existence and good standing in their respective jurisdictions of formation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maintain qualification in each jurisdiction which requires such qualification to be maintained, except that Borrower’s Subsidiaries may be dissolved, liquidated or merged with another Person to the extent permitted by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Borrower shall comply, and have each Subsidiary comply, with all laws, ordinances and regulations to which it is subject.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5.2. Financial Statements, Reports, Certificates</w:t>
      </w:r>
      <w:r>
        <w:rPr>
          <w:rFonts w:ascii="Times New Roman" w:cs="Times New Roman" w:eastAsia="Times New Roman" w:hAnsi="Times New Roman"/>
          <w:sz w:val="16"/>
          <w:szCs w:val="16"/>
          <w:color w:val="auto"/>
        </w:rPr>
        <w:t>. Borrower shall deliver the following items to Agent:</w:t>
      </w:r>
    </w:p>
    <w:p>
      <w:pPr>
        <w:spacing w:after="0" w:line="94" w:lineRule="exact"/>
        <w:rPr>
          <w:sz w:val="20"/>
          <w:szCs w:val="20"/>
          <w:color w:val="auto"/>
        </w:rPr>
      </w:pPr>
    </w:p>
    <w:p>
      <w:pPr>
        <w:ind w:right="100" w:firstLine="1070"/>
        <w:spacing w:after="0" w:line="279" w:lineRule="auto"/>
        <w:tabs>
          <w:tab w:leader="none" w:pos="128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Monthly Financial Statements.</w:t>
      </w:r>
      <w:r>
        <w:rPr>
          <w:rFonts w:ascii="Times New Roman" w:cs="Times New Roman" w:eastAsia="Times New Roman" w:hAnsi="Times New Roman"/>
          <w:sz w:val="16"/>
          <w:szCs w:val="16"/>
          <w:color w:val="auto"/>
        </w:rPr>
        <w:t xml:space="preserve"> As soon as available, but no later than thirty (30) days after the last day of each month (other than (x) in the case of a month that is the end of one of Borrower’s fiscal</w:t>
      </w:r>
    </w:p>
    <w:p>
      <w:pPr>
        <w:sectPr>
          <w:pgSz w:w="11900" w:h="16838" w:orient="portrait"/>
          <w:cols w:equalWidth="0" w:num="1">
            <w:col w:w="11460"/>
          </w:cols>
          <w:pgMar w:left="220" w:top="408" w:right="219" w:bottom="1440" w:gutter="0" w:footer="0" w:header="0"/>
        </w:sectPr>
      </w:pPr>
    </w:p>
    <w:bookmarkStart w:id="75" w:name="page76"/>
    <w:bookmarkEnd w:id="75"/>
    <w:p>
      <w:pPr>
        <w:spacing w:after="0" w:line="256" w:lineRule="auto"/>
        <w:rPr>
          <w:sz w:val="20"/>
          <w:szCs w:val="20"/>
          <w:color w:val="auto"/>
        </w:rPr>
      </w:pPr>
      <w:r>
        <w:rPr>
          <w:rFonts w:ascii="Times New Roman" w:cs="Times New Roman" w:eastAsia="Times New Roman" w:hAnsi="Times New Roman"/>
          <w:sz w:val="16"/>
          <w:szCs w:val="16"/>
          <w:color w:val="auto"/>
        </w:rPr>
        <w:t>quarters, which shall be no later than forty-five (45) days after the last day of such month, and (y) in the case of a month that is the end of one of Borrower’s fiscal years, which shall be no later than sixty (60) days after the last day of such month), a company prepared consolidated balance sheet and income statement covering Borrower’s consolidated operations for such month setting forth in each case in comparative form to the figures for the previous fiscal year, certified by a Responsible Officer and in a form acceptable to Agent (the “</w:t>
      </w:r>
      <w:r>
        <w:rPr>
          <w:rFonts w:ascii="Times New Roman" w:cs="Times New Roman" w:eastAsia="Times New Roman" w:hAnsi="Times New Roman"/>
          <w:sz w:val="16"/>
          <w:szCs w:val="16"/>
          <w:b w:val="1"/>
          <w:bCs w:val="1"/>
          <w:color w:val="auto"/>
        </w:rPr>
        <w:t>Monthly Financial Statements</w:t>
      </w:r>
      <w:r>
        <w:rPr>
          <w:rFonts w:ascii="Times New Roman" w:cs="Times New Roman" w:eastAsia="Times New Roman" w:hAnsi="Times New Roman"/>
          <w:sz w:val="16"/>
          <w:szCs w:val="16"/>
          <w:color w:val="auto"/>
        </w:rPr>
        <w:t>”);</w:t>
      </w:r>
    </w:p>
    <w:p>
      <w:pPr>
        <w:spacing w:after="0" w:line="55" w:lineRule="exact"/>
        <w:rPr>
          <w:sz w:val="20"/>
          <w:szCs w:val="20"/>
          <w:color w:val="auto"/>
        </w:rPr>
      </w:pPr>
    </w:p>
    <w:p>
      <w:pPr>
        <w:ind w:right="40" w:firstLine="1070"/>
        <w:spacing w:after="0" w:line="253" w:lineRule="auto"/>
        <w:tabs>
          <w:tab w:leader="none" w:pos="129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Quarterly Financial Statements.</w:t>
      </w:r>
      <w:r>
        <w:rPr>
          <w:rFonts w:ascii="Times New Roman" w:cs="Times New Roman" w:eastAsia="Times New Roman" w:hAnsi="Times New Roman"/>
          <w:sz w:val="16"/>
          <w:szCs w:val="16"/>
          <w:color w:val="auto"/>
        </w:rPr>
        <w:t xml:space="preserve"> As soon as available, but no later than forty-five (45) days after the last day of each quarter, a company prepared consolidated balance sheet, income statement and related statements of operations, stockholders’ equity and cash flows covering Borrower’s consolidated operations for such quarter setting forth in each case in comparative form the figures for the previous fiscal year, certified by a Responsible Officer and in a form reasonably acceptable to Agent (it being understood that financial statements satisfying the requirements of Form 10-Q are acceptable to Agent), with a statement of reconciliation to GAAP (the “</w:t>
      </w:r>
      <w:r>
        <w:rPr>
          <w:rFonts w:ascii="Times New Roman" w:cs="Times New Roman" w:eastAsia="Times New Roman" w:hAnsi="Times New Roman"/>
          <w:sz w:val="16"/>
          <w:szCs w:val="16"/>
          <w:b w:val="1"/>
          <w:bCs w:val="1"/>
          <w:color w:val="auto"/>
        </w:rPr>
        <w:t>Quarterly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Financial Statements</w:t>
      </w:r>
      <w:r>
        <w:rPr>
          <w:rFonts w:ascii="Times New Roman" w:cs="Times New Roman" w:eastAsia="Times New Roman" w:hAnsi="Times New Roman"/>
          <w:sz w:val="16"/>
          <w:szCs w:val="16"/>
          <w:color w:val="auto"/>
        </w:rPr>
        <w:t>”);</w:t>
      </w:r>
    </w:p>
    <w:p>
      <w:pPr>
        <w:spacing w:after="0" w:line="58" w:lineRule="exact"/>
        <w:rPr>
          <w:rFonts w:ascii="Times New Roman" w:cs="Times New Roman" w:eastAsia="Times New Roman" w:hAnsi="Times New Roman"/>
          <w:sz w:val="16"/>
          <w:szCs w:val="16"/>
          <w:color w:val="auto"/>
        </w:rPr>
      </w:pPr>
    </w:p>
    <w:p>
      <w:pPr>
        <w:ind w:right="140" w:firstLine="1070"/>
        <w:spacing w:after="0" w:line="250" w:lineRule="auto"/>
        <w:tabs>
          <w:tab w:leader="none" w:pos="128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Audited Financial Statements</w:t>
      </w:r>
      <w:r>
        <w:rPr>
          <w:rFonts w:ascii="Times New Roman" w:cs="Times New Roman" w:eastAsia="Times New Roman" w:hAnsi="Times New Roman"/>
          <w:sz w:val="16"/>
          <w:szCs w:val="16"/>
          <w:color w:val="auto"/>
        </w:rPr>
        <w:t>. As soon as available, but no later than ninety (90) days after the last day of Borrower’s fiscal year, audited consolidated balance sheet, income statement and related statements of operations, stockholders’ equity and cash flows as of the end of and for such year, setting forth in each case in comparative form the figures for the previous fiscal year, together with an unqualified opinion on the financial statements from an independent certified public accounting firm reasonably acceptable to Agent (it being agreed that Deloitte &amp; Touche LLP and any other public accounting firm of national standing is acceptable to Agent) to the effect that such consolidated financial statements present fairly in all material respects the financial condition and results of operations of Borrower and its consolidated Subsidiaries on a consolidated basis in accordance with GAAP consistently applied, together with a customary “management discussion and analysis” section (“</w:t>
      </w:r>
      <w:r>
        <w:rPr>
          <w:rFonts w:ascii="Times New Roman" w:cs="Times New Roman" w:eastAsia="Times New Roman" w:hAnsi="Times New Roman"/>
          <w:sz w:val="16"/>
          <w:szCs w:val="16"/>
          <w:b w:val="1"/>
          <w:bCs w:val="1"/>
          <w:color w:val="auto"/>
        </w:rPr>
        <w:t>Annual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Audited Financial Statements</w:t>
      </w:r>
      <w:r>
        <w:rPr>
          <w:rFonts w:ascii="Times New Roman" w:cs="Times New Roman" w:eastAsia="Times New Roman" w:hAnsi="Times New Roman"/>
          <w:sz w:val="16"/>
          <w:szCs w:val="16"/>
          <w:color w:val="auto"/>
        </w:rPr>
        <w:t>”);</w:t>
      </w:r>
    </w:p>
    <w:p>
      <w:pPr>
        <w:spacing w:after="0" w:line="62" w:lineRule="exact"/>
        <w:rPr>
          <w:rFonts w:ascii="Times New Roman" w:cs="Times New Roman" w:eastAsia="Times New Roman" w:hAnsi="Times New Roman"/>
          <w:sz w:val="16"/>
          <w:szCs w:val="16"/>
          <w:color w:val="auto"/>
        </w:rPr>
      </w:pPr>
    </w:p>
    <w:p>
      <w:pPr>
        <w:ind w:right="20" w:firstLine="1070"/>
        <w:spacing w:after="0" w:line="262" w:lineRule="auto"/>
        <w:tabs>
          <w:tab w:leader="none" w:pos="129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 xml:space="preserve"> Concurrently with the delivery of the financial statements required under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a duly completed Compliance Certificate signed by a Responsible Officer, certifying that as of the end of such month, Borrower was in full compliance with all of the terms and conditions of this Agreement, and setting forth such other information as Agent shall reasonably request;</w:t>
      </w:r>
    </w:p>
    <w:p>
      <w:pPr>
        <w:spacing w:after="0" w:line="49" w:lineRule="exact"/>
        <w:rPr>
          <w:rFonts w:ascii="Times New Roman" w:cs="Times New Roman" w:eastAsia="Times New Roman" w:hAnsi="Times New Roman"/>
          <w:sz w:val="16"/>
          <w:szCs w:val="16"/>
          <w:color w:val="auto"/>
        </w:rPr>
      </w:pPr>
    </w:p>
    <w:p>
      <w:pPr>
        <w:ind w:right="60" w:firstLine="1070"/>
        <w:spacing w:after="0" w:line="269" w:lineRule="auto"/>
        <w:tabs>
          <w:tab w:leader="none" w:pos="128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Operating Budget</w:t>
      </w:r>
      <w:r>
        <w:rPr>
          <w:rFonts w:ascii="Times New Roman" w:cs="Times New Roman" w:eastAsia="Times New Roman" w:hAnsi="Times New Roman"/>
          <w:sz w:val="16"/>
          <w:szCs w:val="16"/>
          <w:color w:val="auto"/>
        </w:rPr>
        <w:t>. As soon as available, but no later than sixty (60) days after the last day of Borrower’s fiscal year, a Board-approved operating budget for Borrower and its Subsidiaries (which shall include projected Revenue and net cash flows) prepared and adopted in good faith as to the then current calendar year (the “</w:t>
      </w:r>
      <w:r>
        <w:rPr>
          <w:rFonts w:ascii="Times New Roman" w:cs="Times New Roman" w:eastAsia="Times New Roman" w:hAnsi="Times New Roman"/>
          <w:sz w:val="16"/>
          <w:szCs w:val="16"/>
          <w:b w:val="1"/>
          <w:bCs w:val="1"/>
          <w:i w:val="1"/>
          <w:iCs w:val="1"/>
          <w:color w:val="auto"/>
        </w:rPr>
        <w:t>Budget</w:t>
      </w:r>
      <w:r>
        <w:rPr>
          <w:rFonts w:ascii="Times New Roman" w:cs="Times New Roman" w:eastAsia="Times New Roman" w:hAnsi="Times New Roman"/>
          <w:sz w:val="16"/>
          <w:szCs w:val="16"/>
          <w:color w:val="auto"/>
        </w:rPr>
        <w:t>”).</w:t>
      </w:r>
    </w:p>
    <w:p>
      <w:pPr>
        <w:spacing w:after="0" w:line="239" w:lineRule="exact"/>
        <w:rPr>
          <w:rFonts w:ascii="Times New Roman" w:cs="Times New Roman" w:eastAsia="Times New Roman" w:hAnsi="Times New Roman"/>
          <w:sz w:val="16"/>
          <w:szCs w:val="16"/>
          <w:color w:val="auto"/>
        </w:rPr>
      </w:pPr>
    </w:p>
    <w:p>
      <w:pPr>
        <w:ind w:right="20" w:firstLine="1070"/>
        <w:spacing w:after="0" w:line="256" w:lineRule="auto"/>
        <w:tabs>
          <w:tab w:leader="none" w:pos="126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Action Notice</w:t>
      </w:r>
      <w:r>
        <w:rPr>
          <w:rFonts w:ascii="Times New Roman" w:cs="Times New Roman" w:eastAsia="Times New Roman" w:hAnsi="Times New Roman"/>
          <w:sz w:val="16"/>
          <w:szCs w:val="16"/>
          <w:color w:val="auto"/>
        </w:rPr>
        <w:t>. A prompt report (but in any event within five (5) Business Days after the service of process with respect thereto on Borrower or any of its Subsidiaries) of any legal actions pending or threatened in writing against Borrower or any of its Subsidiaries that could reasonably be expected to result in (i) damages or costs to Borrower or any of its Subsidiaries of, individually or in the aggregate, Five Hundred Thousand Dollars ($500,000) or more, (ii) fines, penalties or other sanctions by any Governmental Authority, or (iii) claims for injunctive or equitable relief;</w:t>
      </w:r>
    </w:p>
    <w:p>
      <w:pPr>
        <w:spacing w:after="0" w:line="55" w:lineRule="exact"/>
        <w:rPr>
          <w:rFonts w:ascii="Times New Roman" w:cs="Times New Roman" w:eastAsia="Times New Roman" w:hAnsi="Times New Roman"/>
          <w:sz w:val="16"/>
          <w:szCs w:val="16"/>
          <w:color w:val="auto"/>
        </w:rPr>
      </w:pPr>
    </w:p>
    <w:p>
      <w:pPr>
        <w:ind w:right="20" w:firstLine="1070"/>
        <w:spacing w:after="0" w:line="253" w:lineRule="auto"/>
        <w:tabs>
          <w:tab w:leader="none" w:pos="129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Notice</w:t>
      </w:r>
      <w:r>
        <w:rPr>
          <w:rFonts w:ascii="Times New Roman" w:cs="Times New Roman" w:eastAsia="Times New Roman" w:hAnsi="Times New Roman"/>
          <w:sz w:val="16"/>
          <w:szCs w:val="16"/>
          <w:color w:val="auto"/>
        </w:rPr>
        <w:t xml:space="preserve">. On each Compliance Certificate required to be delivered under </w:t>
      </w:r>
      <w:r>
        <w:rPr>
          <w:rFonts w:ascii="Times New Roman" w:cs="Times New Roman" w:eastAsia="Times New Roman" w:hAnsi="Times New Roman"/>
          <w:sz w:val="16"/>
          <w:szCs w:val="16"/>
          <w:u w:val="single" w:color="auto"/>
          <w:color w:val="auto"/>
        </w:rPr>
        <w:t>Section 5.2(d)</w:t>
      </w:r>
      <w:r>
        <w:rPr>
          <w:rFonts w:ascii="Times New Roman" w:cs="Times New Roman" w:eastAsia="Times New Roman" w:hAnsi="Times New Roman"/>
          <w:sz w:val="16"/>
          <w:szCs w:val="16"/>
          <w:color w:val="auto"/>
        </w:rPr>
        <w:t xml:space="preserve"> concurrently with the financial statements required to be delivered under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for the months of March, June, September and December, written notice of (i) any material change in the composition of Borrower’s or any of its Subsidiaries’ Intellectual Property, (ii) the registration of any copyright or trademark, or the filing of any patent, including any subsequent ownership right of Borrower or any of its Subsidiaries’ in or to any registered copyright, patent or trademark not shown in the Perfection Certificates, and (iii) Borrower’s knowledge of an event that could reasonably be expected to materially and adversely affect the value of its or any of its Subsidiaries’ Intellectual Property; and</w:t>
      </w:r>
    </w:p>
    <w:p>
      <w:pPr>
        <w:spacing w:after="0" w:line="58" w:lineRule="exact"/>
        <w:rPr>
          <w:rFonts w:ascii="Times New Roman" w:cs="Times New Roman" w:eastAsia="Times New Roman" w:hAnsi="Times New Roman"/>
          <w:sz w:val="16"/>
          <w:szCs w:val="16"/>
          <w:color w:val="auto"/>
        </w:rPr>
      </w:pPr>
    </w:p>
    <w:p>
      <w:pPr>
        <w:ind w:right="700" w:firstLine="1070"/>
        <w:spacing w:after="0" w:line="279" w:lineRule="auto"/>
        <w:tabs>
          <w:tab w:leader="none" w:pos="129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Information</w:t>
      </w:r>
      <w:r>
        <w:rPr>
          <w:rFonts w:ascii="Times New Roman" w:cs="Times New Roman" w:eastAsia="Times New Roman" w:hAnsi="Times New Roman"/>
          <w:sz w:val="16"/>
          <w:szCs w:val="16"/>
          <w:color w:val="auto"/>
        </w:rPr>
        <w:t>. Borrower’s budgets, sales projections, operating plan and other information within thirty (30) days following Agent’s written reasonable request therefor.</w:t>
      </w:r>
    </w:p>
    <w:p>
      <w:pPr>
        <w:spacing w:after="0" w:line="3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color w:val="auto"/>
        </w:rPr>
        <w:t>Notwithstanding the foregoing, documents required to be delivered pursuant to clauses (b) or (c) of this Section 5.2 shall be deemed to have been furnished to Agent on the date on which the Borrower files such documents with the SEC and such documents are publicly available on the SEC’s EDGAR filing system or any</w:t>
      </w:r>
    </w:p>
    <w:p>
      <w:pPr>
        <w:sectPr>
          <w:pgSz w:w="11900" w:h="16838" w:orient="portrait"/>
          <w:cols w:equalWidth="0" w:num="1">
            <w:col w:w="11460"/>
          </w:cols>
          <w:pgMar w:left="220" w:top="408" w:right="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successor thereto provided that Borrower emails Agent notice of the filing which notice contains a link to the applicable document(s).</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5.3. Notification of Noncompliance</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180" w:firstLine="1070"/>
        <w:spacing w:after="0" w:line="279" w:lineRule="auto"/>
        <w:tabs>
          <w:tab w:leader="none" w:pos="128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notify Agent within five (5) Business Days of having knowledge (i) that it is not in compliance with any of its obligations under any of the Loan Documents, or (ii) of the occurrence of any Event of Default.</w:t>
      </w:r>
    </w:p>
    <w:p>
      <w:pPr>
        <w:spacing w:after="0" w:line="36" w:lineRule="exact"/>
        <w:rPr>
          <w:rFonts w:ascii="Times New Roman" w:cs="Times New Roman" w:eastAsia="Times New Roman" w:hAnsi="Times New Roman"/>
          <w:sz w:val="16"/>
          <w:szCs w:val="16"/>
          <w:color w:val="auto"/>
        </w:rPr>
      </w:pPr>
    </w:p>
    <w:p>
      <w:pPr>
        <w:ind w:right="60" w:firstLine="1070"/>
        <w:spacing w:after="0" w:line="256" w:lineRule="auto"/>
        <w:tabs>
          <w:tab w:leader="none" w:pos="129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information contained in the Perfection Certificates changes after the Effective Date and if that information relates to a subsection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which specifically allows for information in the Perfection Certificates to be updated after the Effective Date, Borrower shall update such information in Borrower’s next due Compliance Certificate, provided however, that updates related to Section 4.2(d) shall only be required to be delivered concurrently with the financial statements required to be delivered under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for the months of March, June, September and December.</w:t>
      </w:r>
    </w:p>
    <w:p>
      <w:pPr>
        <w:spacing w:after="0" w:line="55" w:lineRule="exact"/>
        <w:rPr>
          <w:rFonts w:ascii="Times New Roman" w:cs="Times New Roman" w:eastAsia="Times New Roman" w:hAnsi="Times New Roman"/>
          <w:sz w:val="16"/>
          <w:szCs w:val="16"/>
          <w:color w:val="auto"/>
        </w:rPr>
      </w:pPr>
    </w:p>
    <w:p>
      <w:pPr>
        <w:ind w:right="40" w:firstLine="1070"/>
        <w:spacing w:after="0" w:line="256" w:lineRule="auto"/>
        <w:tabs>
          <w:tab w:leader="none" w:pos="128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subsection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is no longer true, accurate and complete and such subsection does not specifically authorize Borrower to update such subsection, Borrower shall indicate how such subsection is no longer true, accurate and complete in Borrower’s next due Compliance Certificate, provided however, that updates related to Section 4.2(d) shall only be required to be delivered concurrently with the financial statements required to be delivered under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for the months of March, June, September and December.</w:t>
      </w:r>
    </w:p>
    <w:p>
      <w:pPr>
        <w:spacing w:after="0" w:line="53" w:lineRule="exact"/>
        <w:rPr>
          <w:sz w:val="20"/>
          <w:szCs w:val="20"/>
          <w:color w:val="auto"/>
        </w:rPr>
      </w:pPr>
    </w:p>
    <w:p>
      <w:pPr>
        <w:ind w:right="28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5.4. Taxes; Pensions</w:t>
      </w:r>
      <w:r>
        <w:rPr>
          <w:rFonts w:ascii="Times New Roman" w:cs="Times New Roman" w:eastAsia="Times New Roman" w:hAnsi="Times New Roman"/>
          <w:sz w:val="16"/>
          <w:szCs w:val="16"/>
          <w:color w:val="auto"/>
        </w:rPr>
        <w:t>. Timely file, and cause each of its Subsidiaries to timely file, all required Tax Returns and reports and timely pay, and cause each of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Subsidiaries to timely pay, all foreign, federal, state and all other Taxes, assessments, deposits and contributions owed by Borrower and each of its Subsidiaries, in each case where such liability is in excess of $25,000, except for deferred payment of any Taxes contested pursuant to the terms of </w:t>
      </w:r>
      <w:r>
        <w:rPr>
          <w:rFonts w:ascii="Times New Roman" w:cs="Times New Roman" w:eastAsia="Times New Roman" w:hAnsi="Times New Roman"/>
          <w:sz w:val="16"/>
          <w:szCs w:val="16"/>
          <w:u w:val="single" w:color="auto"/>
          <w:color w:val="auto"/>
        </w:rPr>
        <w:t>Section 4.9</w:t>
      </w:r>
      <w:r>
        <w:rPr>
          <w:rFonts w:ascii="Times New Roman" w:cs="Times New Roman" w:eastAsia="Times New Roman" w:hAnsi="Times New Roman"/>
          <w:sz w:val="16"/>
          <w:szCs w:val="16"/>
          <w:color w:val="auto"/>
        </w:rPr>
        <w:t xml:space="preserve"> hereof, and shall deliver to Agent, on demand, appropriate certificates attesting to such payments, and pay all amounts necessary to fund all present pension, profit sharing and deferred compensation plans in accordance with their terms.</w:t>
      </w:r>
    </w:p>
    <w:p>
      <w:pPr>
        <w:spacing w:after="0" w:line="54"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5.5. Management Rights; Access to Collateral; Books and Records. </w:t>
      </w:r>
      <w:r>
        <w:rPr>
          <w:rFonts w:ascii="Times New Roman" w:cs="Times New Roman" w:eastAsia="Times New Roman" w:hAnsi="Times New Roman"/>
          <w:sz w:val="16"/>
          <w:szCs w:val="16"/>
          <w:color w:val="auto"/>
        </w:rPr>
        <w:t>Borrower’s officers, and key employees shall meet with Lenders or Agent and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representatives from time to time and upon reasonable notice and during normal business hours for the purpose of consulting with, rendering recommendations to the management of Borrower and its Subsidiaries or obtaining information regarding their operations, activities and prospects and expressing its views thereon. Borrower shall consider in good faith the recommendations of Lender and Agent in connection with the matters on which it is consulted as described above, recognizing that the ultimate discretion with respect to all such matters shall be retained by Borrower, Subsidiary and their management. At reasonable times, on seven (7) Business Days’ notice (provided no notice is required if an Event of Default has occurred and is continuing), Agent or its agents, shall have the right to inspect the Collateral, to audit and copy Borrower’s Books, and to conduct field audits of Borrower and any Subsidiary. Such inspections and audits shall be conducted no more often than twice every twelve (12) months unless an Event of Default has occurred and is continuing, provided that an initial field audit may be conducted within the first forty-five (45) days following the Effective date without constituting one of the two annual audits. The foregoing inspections and audits shall be at Borrower’s expense.</w:t>
      </w:r>
    </w:p>
    <w:p>
      <w:pPr>
        <w:spacing w:after="0" w:line="62" w:lineRule="exact"/>
        <w:rPr>
          <w:sz w:val="20"/>
          <w:szCs w:val="20"/>
          <w:color w:val="auto"/>
        </w:rPr>
      </w:pPr>
    </w:p>
    <w:p>
      <w:pPr>
        <w:jc w:val="both"/>
        <w:ind w:right="40" w:firstLine="531"/>
        <w:spacing w:after="0" w:line="253" w:lineRule="auto"/>
        <w:rPr>
          <w:sz w:val="20"/>
          <w:szCs w:val="20"/>
          <w:color w:val="auto"/>
        </w:rPr>
      </w:pPr>
      <w:r>
        <w:rPr>
          <w:rFonts w:ascii="Times New Roman" w:cs="Times New Roman" w:eastAsia="Times New Roman" w:hAnsi="Times New Roman"/>
          <w:sz w:val="16"/>
          <w:szCs w:val="16"/>
          <w:b w:val="1"/>
          <w:bCs w:val="1"/>
          <w:color w:val="auto"/>
        </w:rPr>
        <w:t>5.6. Insurance</w:t>
      </w:r>
      <w:r>
        <w:rPr>
          <w:rFonts w:ascii="Times New Roman" w:cs="Times New Roman" w:eastAsia="Times New Roman" w:hAnsi="Times New Roman"/>
          <w:sz w:val="16"/>
          <w:szCs w:val="16"/>
          <w:color w:val="auto"/>
        </w:rPr>
        <w:t>. Borrower shall keep its business and the Collateral insured for risks and in amounts standard for companies in Borrower’s industry and location and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Agent may reasonably request. Insurance policies shall be in a form, with companies, and in amounts that are reasonably satisfactory to Agent. All property policies shall have a lender’s loss payable endorsement showing Agent as lender loss payee and waive subrogation against Agent and shall provide that the insurer must give Agent at least thirty</w:t>
      </w:r>
    </w:p>
    <w:p>
      <w:pPr>
        <w:spacing w:after="0" w:line="2" w:lineRule="exact"/>
        <w:rPr>
          <w:sz w:val="20"/>
          <w:szCs w:val="20"/>
          <w:color w:val="auto"/>
        </w:rPr>
      </w:pPr>
    </w:p>
    <w:p>
      <w:pPr>
        <w:jc w:val="both"/>
        <w:ind w:right="120" w:firstLine="8"/>
        <w:spacing w:after="0" w:line="245" w:lineRule="auto"/>
        <w:tabs>
          <w:tab w:leader="none" w:pos="31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notice before canceling, amending, or declining to renew its policy. All liability policies shall show, or have endorsements showing, Agent as an additional insured with a waiver of subrogation rights, and all such policies (or the loss payable and additional insured endorsements) shall provide that the insurer shall give Agent at least thirty</w:t>
      </w:r>
    </w:p>
    <w:p>
      <w:pPr>
        <w:ind w:right="540" w:firstLine="8"/>
        <w:spacing w:after="0" w:line="256" w:lineRule="auto"/>
        <w:tabs>
          <w:tab w:leader="none" w:pos="31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notice before canceling, amending, or declining to renew its policy. At Agent’s request, Borrower shall deliver certified copies of policies and evidence of all premium payments. Proceeds payable under any policy shall, at Agent’s option, be payable to Agent on account of the Obligations. If</w:t>
      </w:r>
    </w:p>
    <w:p>
      <w:pPr>
        <w:sectPr>
          <w:pgSz w:w="11900" w:h="16838" w:orient="portrait"/>
          <w:cols w:equalWidth="0" w:num="1">
            <w:col w:w="11460"/>
          </w:cols>
          <w:pgMar w:left="220" w:top="408" w:right="219" w:bottom="1440" w:gutter="0" w:footer="0" w:header="0"/>
        </w:sectPr>
      </w:pPr>
    </w:p>
    <w:bookmarkStart w:id="77" w:name="page78"/>
    <w:bookmarkEnd w:id="77"/>
    <w:p>
      <w:pPr>
        <w:ind w:right="20"/>
        <w:spacing w:after="0" w:line="253" w:lineRule="auto"/>
        <w:rPr>
          <w:sz w:val="20"/>
          <w:szCs w:val="20"/>
          <w:color w:val="auto"/>
        </w:rPr>
      </w:pPr>
      <w:r>
        <w:rPr>
          <w:rFonts w:ascii="Times New Roman" w:cs="Times New Roman" w:eastAsia="Times New Roman" w:hAnsi="Times New Roman"/>
          <w:sz w:val="16"/>
          <w:szCs w:val="16"/>
          <w:color w:val="auto"/>
        </w:rPr>
        <w:t xml:space="preserve">Borrower fails to obtain insurance as required under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or to pay any amount or furnish any required proof of payment to third persons and Agent, Agent may make all or part of such payment or obtain such insurance policies required in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and take any action under the policies Agent deems prudent. Borrower shall have until ten (10) Business Days after the Effective Date to provide the endorsements required in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Notwithstanding anything to the contrary in this paragraph, so long as the Wells Fargo Indebtedness remains outstanding, in no event shall Agent or the Lenders require any modification of the insurance for Borrower and/or its Subsidiaries or accept any proceeds payable under any policy.</w:t>
      </w:r>
    </w:p>
    <w:p>
      <w:pPr>
        <w:spacing w:after="0" w:line="56" w:lineRule="exact"/>
        <w:rPr>
          <w:sz w:val="20"/>
          <w:szCs w:val="20"/>
          <w:color w:val="auto"/>
        </w:rPr>
      </w:pPr>
    </w:p>
    <w:p>
      <w:pPr>
        <w:ind w:right="18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5.7. Pledged Accounts</w:t>
      </w:r>
      <w:r>
        <w:rPr>
          <w:rFonts w:ascii="Times New Roman" w:cs="Times New Roman" w:eastAsia="Times New Roman" w:hAnsi="Times New Roman"/>
          <w:sz w:val="16"/>
          <w:szCs w:val="16"/>
          <w:color w:val="auto"/>
        </w:rPr>
        <w:t>. Borrower’s and each Subsidiary’s Pledged Accounts (other than Excluded Accounts) shall at all times be subject to a Control Agreement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 and substance acceptable to Agent, provided however, that Borrower’s Pledged Account maintained at Bridge Bank, National Association shall not be required to be subject to a Control Agreement until five (5) Business Days after the Effective Date.</w:t>
      </w:r>
    </w:p>
    <w:p>
      <w:pPr>
        <w:spacing w:after="0" w:line="47"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5.8.</w:t>
        <w:tab/>
        <w:t>Protection and Registration of Intellectual Property Rights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20" w:firstLine="1070"/>
        <w:spacing w:after="0" w:line="256" w:lineRule="auto"/>
        <w:tabs>
          <w:tab w:leader="none" w:pos="138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(i) as determined in Borrower’s reasonable business judgment to be necessary in the operation of its business, protect, defend and maintain the validity and enforceability of Borrower’s Intellectual Property that is material to its business or the business of any of its Subsidiaries; (ii) promptly advise Agent in writing of infringements of Borrower’s Intellectual Property of which Borrower has knowledge; and (iii) not allow any Intellectual Property material to Borrower’s business, in Borrower’s reasonable business judgment, to be abandoned, forfeited or dedicated to the public, except as permitted by this Agreement.</w:t>
      </w:r>
    </w:p>
    <w:p>
      <w:pPr>
        <w:spacing w:after="0" w:line="55" w:lineRule="exact"/>
        <w:rPr>
          <w:rFonts w:ascii="Times New Roman" w:cs="Times New Roman" w:eastAsia="Times New Roman" w:hAnsi="Times New Roman"/>
          <w:sz w:val="16"/>
          <w:szCs w:val="16"/>
          <w:color w:val="auto"/>
        </w:rPr>
      </w:pPr>
    </w:p>
    <w:p>
      <w:pPr>
        <w:ind w:right="20" w:firstLine="1070"/>
        <w:spacing w:after="0" w:line="253" w:lineRule="auto"/>
        <w:tabs>
          <w:tab w:leader="none" w:pos="139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cause each of its Subsidiaries to: (i) as determined in such Subsidiary’s reasonable business judgment to be necessary in the operation of its business, protect, defend and maintain the validity and enforceability of such Subsidiary’s Intellectual Property that is necessary in or material to its business or the business of Borrower; (ii) promptly advise Agent in writing of infringements of such Subsidiary’s Intellectual Property of which Borrower and such Subsidiary have knowledge; and (iii) not allow any Intellectual Property material to such Subsidiary’s business, is such Subsidiary’s reasonable business judgment, to be abandoned, forfeited or dedicated to the public, except as permitted by this Agreement.</w:t>
      </w:r>
    </w:p>
    <w:p>
      <w:pPr>
        <w:spacing w:after="0" w:line="58" w:lineRule="exact"/>
        <w:rPr>
          <w:rFonts w:ascii="Times New Roman" w:cs="Times New Roman" w:eastAsia="Times New Roman" w:hAnsi="Times New Roman"/>
          <w:sz w:val="16"/>
          <w:szCs w:val="16"/>
          <w:color w:val="auto"/>
        </w:rPr>
      </w:pPr>
    </w:p>
    <w:p>
      <w:pPr>
        <w:ind w:right="120" w:firstLine="1070"/>
        <w:spacing w:after="0" w:line="262" w:lineRule="auto"/>
        <w:tabs>
          <w:tab w:leader="none" w:pos="138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Borrower or any of its Subsidiaries (i) obtain any Patent, registered Trademark, registered Copyright, registered mask work, or any pending application for any of the foregoing, whether as owner, licensee or otherwise, or (ii) apply for any Patent or the registration of any Trademark, then Borrower shall provide written notice thereof to Agent in accordance with Section 5.2(g).</w:t>
      </w:r>
    </w:p>
    <w:p>
      <w:pPr>
        <w:spacing w:after="0" w:line="49" w:lineRule="exact"/>
        <w:rPr>
          <w:rFonts w:ascii="Times New Roman" w:cs="Times New Roman" w:eastAsia="Times New Roman" w:hAnsi="Times New Roman"/>
          <w:sz w:val="16"/>
          <w:szCs w:val="16"/>
          <w:color w:val="auto"/>
        </w:rPr>
      </w:pPr>
    </w:p>
    <w:p>
      <w:pPr>
        <w:ind w:right="140" w:firstLine="1070"/>
        <w:spacing w:after="0" w:line="251" w:lineRule="auto"/>
        <w:tabs>
          <w:tab w:leader="none" w:pos="137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 shall provide written notice to Agent on the Compliance Certificate next delivered after entering or becoming bound by any Restricted License (other than over-the-counter software and other non-customized mass market licenses that are commercially available to the public). Borrower shall take such steps as Agent reasonably requests to obtain the consent of, or waiver by, any person whose consent or waiver is necessary for (i) any Restricted License (other than any Restricted License which is an Intellectual Property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Lenders’ and Agent’s rights and remedies under this Agreement and the other Loan Documents.</w:t>
      </w:r>
    </w:p>
    <w:p>
      <w:pPr>
        <w:spacing w:after="0" w:line="59" w:lineRule="exact"/>
        <w:rPr>
          <w:sz w:val="20"/>
          <w:szCs w:val="20"/>
          <w:color w:val="auto"/>
        </w:rPr>
      </w:pPr>
    </w:p>
    <w:p>
      <w:pPr>
        <w:ind w:right="8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5.9. Further Assurances</w:t>
      </w:r>
      <w:r>
        <w:rPr>
          <w:rFonts w:ascii="Times New Roman" w:cs="Times New Roman" w:eastAsia="Times New Roman" w:hAnsi="Times New Roman"/>
          <w:sz w:val="16"/>
          <w:szCs w:val="16"/>
          <w:color w:val="auto"/>
        </w:rPr>
        <w:t>. Borrower shall execute any further instruments and take further action as Agent reasonably requests to perfect or continue Agent’s Lien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Collateral or to effect the purposes of this Agreement.</w:t>
      </w:r>
    </w:p>
    <w:p>
      <w:pPr>
        <w:spacing w:after="0" w:line="32" w:lineRule="exact"/>
        <w:rPr>
          <w:sz w:val="20"/>
          <w:szCs w:val="20"/>
          <w:color w:val="auto"/>
        </w:rPr>
      </w:pPr>
    </w:p>
    <w:p>
      <w:pPr>
        <w:ind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5.10. Creation/Acquisition of Subsidiaries. </w:t>
      </w:r>
      <w:r>
        <w:rPr>
          <w:rFonts w:ascii="Times New Roman" w:cs="Times New Roman" w:eastAsia="Times New Roman" w:hAnsi="Times New Roman"/>
          <w:sz w:val="16"/>
          <w:szCs w:val="16"/>
          <w:color w:val="auto"/>
        </w:rPr>
        <w:t>Borrower shall, at the time that any Loan Party forms any direct or indirect Subsidiary or acquires any direct or indirect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Subsidiary after the Effective Date, within fifteen (15) days of such formation or acquisition (a) cause such new Subsidiary (except for any Foreign Subsidiary or Excluded Domestic Subsidiary (or any of their respective Subsidiaries)) to become a Joining Party under the Loan Documents and grant a continuing pledge and security interest in and to all the assets of such Subsidiary, as well as provide the appropriate financing statements, all in form and substance reasonably satisfactory to Agent (including being sufficient to grant Agent a first priority Lien (subject to Permitted Liens)</w:t>
      </w:r>
    </w:p>
    <w:p>
      <w:pPr>
        <w:sectPr>
          <w:pgSz w:w="11900" w:h="16838" w:orient="portrait"/>
          <w:cols w:equalWidth="0" w:num="1">
            <w:col w:w="11460"/>
          </w:cols>
          <w:pgMar w:left="220" w:top="408" w:right="219" w:bottom="1440" w:gutter="0" w:footer="0" w:header="0"/>
        </w:sectPr>
      </w:pPr>
    </w:p>
    <w:bookmarkStart w:id="78" w:name="page79"/>
    <w:bookmarkEnd w:id="78"/>
    <w:p>
      <w:pPr>
        <w:jc w:val="both"/>
        <w:ind w:right="360"/>
        <w:spacing w:after="0" w:line="253" w:lineRule="auto"/>
        <w:rPr>
          <w:sz w:val="20"/>
          <w:szCs w:val="20"/>
          <w:color w:val="auto"/>
        </w:rPr>
      </w:pPr>
      <w:r>
        <w:rPr>
          <w:rFonts w:ascii="Times New Roman" w:cs="Times New Roman" w:eastAsia="Times New Roman" w:hAnsi="Times New Roman"/>
          <w:sz w:val="16"/>
          <w:szCs w:val="16"/>
          <w:color w:val="auto"/>
        </w:rPr>
        <w:t>in and to the assets of such newly formed or acquired Subsidiary), and (b) provide appropriate certificates and powers or financing statements, pledging all of the direct or beneficial ownership interest in such new Subsidiary in form and substance reasonably satisfactory to Agent, provided that only 65% of the total outstanding voting Equity Interests of any first tier Foreign Subsidiary or Excluded Domestic Subsidiary (and none of the Equity Interests of any Subsidiary of such Foreign Subsidiary or Excluded Domestic Subsidiary) shall be required to be pledged. Borrower shall also procure the issuer’s agreement to follow Agent’s instructions regarding any Disposition of such securities, such agreement to be in form and substance satisfactory to Agent.</w:t>
      </w:r>
    </w:p>
    <w:p>
      <w:pPr>
        <w:spacing w:after="0" w:line="5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6.</w:t>
      </w:r>
      <w:r>
        <w:rPr>
          <w:sz w:val="20"/>
          <w:szCs w:val="20"/>
          <w:color w:val="auto"/>
        </w:rPr>
        <w:tab/>
      </w:r>
      <w:r>
        <w:rPr>
          <w:rFonts w:ascii="Times New Roman" w:cs="Times New Roman" w:eastAsia="Times New Roman" w:hAnsi="Times New Roman"/>
          <w:sz w:val="16"/>
          <w:szCs w:val="16"/>
          <w:b w:val="1"/>
          <w:bCs w:val="1"/>
          <w:u w:val="single" w:color="auto"/>
          <w:color w:val="auto"/>
        </w:rPr>
        <w:t>NEGATIVE COVENANTS</w:t>
      </w:r>
    </w:p>
    <w:p>
      <w:pPr>
        <w:spacing w:after="0" w:line="94" w:lineRule="exact"/>
        <w:rPr>
          <w:sz w:val="20"/>
          <w:szCs w:val="20"/>
          <w:color w:val="auto"/>
        </w:rPr>
      </w:pPr>
    </w:p>
    <w:p>
      <w:pPr>
        <w:ind w:right="420" w:firstLine="531"/>
        <w:spacing w:after="0" w:line="279" w:lineRule="auto"/>
        <w:rPr>
          <w:sz w:val="20"/>
          <w:szCs w:val="20"/>
          <w:color w:val="auto"/>
        </w:rPr>
      </w:pPr>
      <w:r>
        <w:rPr>
          <w:rFonts w:ascii="Times New Roman" w:cs="Times New Roman" w:eastAsia="Times New Roman" w:hAnsi="Times New Roman"/>
          <w:sz w:val="16"/>
          <w:szCs w:val="16"/>
          <w:color w:val="auto"/>
        </w:rPr>
        <w:t>Until all Obligations (other than inchoate indemnity obligations) have been satisfied in full and Lenders are under no further obligation to make Credit Extensions hereunder, Borrower shall comply with each of the covenants in this Section 6:</w:t>
      </w:r>
    </w:p>
    <w:p>
      <w:pPr>
        <w:spacing w:after="0" w:line="34" w:lineRule="exact"/>
        <w:rPr>
          <w:sz w:val="20"/>
          <w:szCs w:val="20"/>
          <w:color w:val="auto"/>
        </w:rPr>
      </w:pPr>
    </w:p>
    <w:p>
      <w:pPr>
        <w:ind w:right="20" w:firstLine="531"/>
        <w:spacing w:after="0" w:line="253" w:lineRule="auto"/>
        <w:rPr>
          <w:sz w:val="20"/>
          <w:szCs w:val="20"/>
          <w:color w:val="auto"/>
        </w:rPr>
      </w:pPr>
      <w:r>
        <w:rPr>
          <w:rFonts w:ascii="Times New Roman" w:cs="Times New Roman" w:eastAsia="Times New Roman" w:hAnsi="Times New Roman"/>
          <w:sz w:val="16"/>
          <w:szCs w:val="16"/>
          <w:b w:val="1"/>
          <w:bCs w:val="1"/>
          <w:color w:val="auto"/>
        </w:rPr>
        <w:t>6.1. Dispositions; Negative Pledge</w:t>
      </w:r>
      <w:r>
        <w:rPr>
          <w:rFonts w:ascii="Times New Roman" w:cs="Times New Roman" w:eastAsia="Times New Roman" w:hAnsi="Times New Roman"/>
          <w:sz w:val="16"/>
          <w:szCs w:val="16"/>
          <w:color w:val="auto"/>
        </w:rPr>
        <w:t>. Borrower shall not Dispose, or permit any of its Subsidiaries to Dispose, of all or any part of its business or property, except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Dispositions (a) of Inventory in the ordinary course of business; (b) of worn-out, damaged or obsolete Equipment in the ordinary course of business for fair market value and leases or subleases of real property not useful in the conduct of the business of Borrower and its Subsidiaries; (c) in connection with Permitted Liens and Permitted Investments;</w:t>
      </w:r>
    </w:p>
    <w:p>
      <w:pPr>
        <w:spacing w:after="0" w:line="2" w:lineRule="exact"/>
        <w:rPr>
          <w:sz w:val="20"/>
          <w:szCs w:val="20"/>
          <w:color w:val="auto"/>
        </w:rPr>
      </w:pPr>
    </w:p>
    <w:p>
      <w:pPr>
        <w:ind w:firstLine="8"/>
        <w:spacing w:after="0" w:line="245" w:lineRule="auto"/>
        <w:tabs>
          <w:tab w:leader="none" w:pos="22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non-exclusive licenses for the use of the property (including Intellectual Property) of Borrower or its Subsidiaries in the ordinary course of business; (e) the use or transfer of money or Cash Equivalents in a manner that is not prohibited by the terms of the Agreement or the other Loan Documents; (f) without recourse of accounts receivable arising in the ordinary course of business, but only in connection with the compromise or collection thereof; (g) resulting in (i) the lapse of registered Patents, Trademarks and Copyrights property of Borrower and its Subsidiaries to the extent not economically desirable in the conduct of their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Lenders; (h) the making of Restricted Payments that are expressly permitted to be made pursuant to the Agreement; (i) of assets (i) from Borrower or any of its Subsidiaries to a Loan Party, and (ii) from any Subsidiary of Borrower that is not a Loan Party to any other Subsidiary of Borrower; (j) dispositions of assets constituting Equipment sold to Flextronics so long as: (i) it is maintained at one of Flextronics’ facilities located in Mexico or the People’s Republic of China, (ii) such Equipment is re-acquired by Borrower within 30 days after its arrival at the relevant facility, (iii) at the time of any such disposition of such Equipment and immediately after giving effect to the same, Liquidity is equal to or greater than $25,000,000 and Availability is equal to or greater than $12,500,000; and (k) of property (other than Accounts, Inventory, Equity Interests of Subsidiaries of Borrower) not otherwise permitted in clauses (a) through (i) so long as made at fair market value and the aggregate fair market value of all assets disposed of in a fiscal year (including the proposed disposition) would not exceed Five Hundred Thousand Dollars ($500,000) in the aggregate. Other than Permitted Liens, Borrower shall not, nor shall Borrower permit any Subsidiary to, grant a security interest in, otherwise pledge or allow any Lien on any assets other than in favor of Agent. Notwithstanding the foregoing, without Agent’s prior written consent, Borrower shall not pledge or allow any Liens on its Intellectual Property or the Intellectual Property of any Subsidiary other than Permitted Liens.</w:t>
      </w:r>
    </w:p>
    <w:p>
      <w:pPr>
        <w:spacing w:after="0" w:line="70" w:lineRule="exact"/>
        <w:rPr>
          <w:sz w:val="20"/>
          <w:szCs w:val="20"/>
          <w:color w:val="auto"/>
        </w:rPr>
      </w:pPr>
    </w:p>
    <w:p>
      <w:pPr>
        <w:ind w:right="80" w:firstLine="531"/>
        <w:spacing w:after="0" w:line="251" w:lineRule="auto"/>
        <w:rPr>
          <w:sz w:val="20"/>
          <w:szCs w:val="20"/>
          <w:color w:val="auto"/>
        </w:rPr>
      </w:pPr>
      <w:r>
        <w:rPr>
          <w:rFonts w:ascii="Times New Roman" w:cs="Times New Roman" w:eastAsia="Times New Roman" w:hAnsi="Times New Roman"/>
          <w:sz w:val="16"/>
          <w:szCs w:val="16"/>
          <w:b w:val="1"/>
          <w:bCs w:val="1"/>
          <w:color w:val="auto"/>
        </w:rPr>
        <w:t>6.2. Changes in Business and Ownership</w:t>
      </w:r>
      <w:r>
        <w:rPr>
          <w:rFonts w:ascii="Times New Roman" w:cs="Times New Roman" w:eastAsia="Times New Roman" w:hAnsi="Times New Roman"/>
          <w:sz w:val="16"/>
          <w:szCs w:val="16"/>
          <w:color w:val="auto"/>
        </w:rPr>
        <w:t>. Borrower shall not (a) engage in or permit any of its Subsidiaries to engage in any business other than the businesses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currently engaged in by Borrower and such Subsidiary, as applicable, or reasonably related thereto; provided, that the foregoing shall not prevent Borrower and its Subsidiaries from discontinuing any line of business if in the reasonable business and commercial judgment of the officers of Borrower, it is no longer desirable to be engaged in such business, and if such discontinuation does not adversely affect the Lenders in any material respect; (b) liquidate or dissolve (other than the liquidation or dissolution of Subsidiaries that (x) are not Loan Parties or (y) whose assets are transferred to Borrower or another Loan Party at the time of such liquidation or dissolution); or (c) enter into any transaction or series of related transactions in which the stockholders of Borrower who were not stockholders immediately prior to the first such transaction own more than fifty percent (50%) of the voting</w:t>
      </w:r>
    </w:p>
    <w:p>
      <w:pPr>
        <w:sectPr>
          <w:pgSz w:w="11900" w:h="16838" w:orient="portrait"/>
          <w:cols w:equalWidth="0" w:num="1">
            <w:col w:w="11460"/>
          </w:cols>
          <w:pgMar w:left="220" w:top="408" w:right="2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Equity Interests of Borrower immediately after giving effect to such transaction or related series of such transactions.</w:t>
      </w:r>
    </w:p>
    <w:p>
      <w:pPr>
        <w:spacing w:after="0" w:line="90" w:lineRule="exact"/>
        <w:rPr>
          <w:sz w:val="20"/>
          <w:szCs w:val="20"/>
          <w:color w:val="auto"/>
        </w:rPr>
      </w:pPr>
    </w:p>
    <w:p>
      <w:pPr>
        <w:ind w:firstLine="531"/>
        <w:spacing w:after="0" w:line="248" w:lineRule="auto"/>
        <w:rPr>
          <w:sz w:val="20"/>
          <w:szCs w:val="20"/>
          <w:color w:val="auto"/>
        </w:rPr>
      </w:pPr>
      <w:r>
        <w:rPr>
          <w:rFonts w:ascii="Times New Roman" w:cs="Times New Roman" w:eastAsia="Times New Roman" w:hAnsi="Times New Roman"/>
          <w:sz w:val="16"/>
          <w:szCs w:val="16"/>
          <w:b w:val="1"/>
          <w:bCs w:val="1"/>
          <w:color w:val="auto"/>
        </w:rPr>
        <w:t>6.3. Business and Collateral Locations</w:t>
      </w:r>
      <w:r>
        <w:rPr>
          <w:rFonts w:ascii="Times New Roman" w:cs="Times New Roman" w:eastAsia="Times New Roman" w:hAnsi="Times New Roman"/>
          <w:sz w:val="16"/>
          <w:szCs w:val="16"/>
          <w:color w:val="auto"/>
        </w:rPr>
        <w:t>. Borrower shall not, or permit any Subsidiary to, without at least ten (10) days prior written notice to Agent: (a) change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jurisdiction of organization, (b) change its organizational structure or type, (c) change its legal name, or (d) change any organizational number (if any) assigned by its jurisdiction of organization. Borrower shall not, or permit any Loan Party to keep its and their Inventory, to the extent located within the United States, at any location other than the Flextronics Facility and the locations identified in the Perfection Certificates, in each case subject to a bailee agreement in form and substance satisfactory to Agent; provided, that (A) Borrower and the other Loan Parties may keep up to $5,000,000 of Inventory in the aggregate at any time at other locations located within the United States; provided that no more than $50,000 of such Inventory in the aggregate may be kept at any individual location; (B) up to $3,000,000 of Inventory may be transferred by Borrower to an international Flextronics location or to an Expeditors International Pty Ltd. location for the sale of such Inventory by a Subsidiary of Borrower organized outside of the United States in the ordinary course of business; and (C) Borrower may maintain (1) (x) test equipment, (y) up to $3,000,000 at any one time of raw materials and</w:t>
      </w:r>
    </w:p>
    <w:p>
      <w:pPr>
        <w:spacing w:after="0" w:line="2" w:lineRule="exact"/>
        <w:rPr>
          <w:sz w:val="20"/>
          <w:szCs w:val="20"/>
          <w:color w:val="auto"/>
        </w:rPr>
      </w:pPr>
    </w:p>
    <w:p>
      <w:pPr>
        <w:ind w:right="240" w:firstLine="8"/>
        <w:spacing w:after="0" w:line="256" w:lineRule="auto"/>
        <w:tabs>
          <w:tab w:leader="none" w:pos="2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Equipment, in each case in transit from Borrower’s suppliers to the Flextronics Facility and (2) test equipment and other Equipment disposed of in accordance with </w:t>
      </w:r>
      <w:r>
        <w:rPr>
          <w:rFonts w:ascii="Times New Roman" w:cs="Times New Roman" w:eastAsia="Times New Roman" w:hAnsi="Times New Roman"/>
          <w:sz w:val="16"/>
          <w:szCs w:val="16"/>
          <w:u w:val="single" w:color="auto"/>
          <w:color w:val="auto"/>
        </w:rPr>
        <w:t>Section 6.1(j)</w:t>
      </w:r>
      <w:r>
        <w:rPr>
          <w:rFonts w:ascii="Times New Roman" w:cs="Times New Roman" w:eastAsia="Times New Roman" w:hAnsi="Times New Roman"/>
          <w:sz w:val="16"/>
          <w:szCs w:val="16"/>
          <w:color w:val="auto"/>
        </w:rPr>
        <w:t xml:space="preserve"> at any Flextronics facility in Mexico or the People’s Republic of China.</w:t>
      </w:r>
    </w:p>
    <w:p>
      <w:pPr>
        <w:spacing w:after="0" w:line="52" w:lineRule="exact"/>
        <w:rPr>
          <w:sz w:val="20"/>
          <w:szCs w:val="20"/>
          <w:color w:val="auto"/>
        </w:rPr>
      </w:pPr>
    </w:p>
    <w:p>
      <w:pPr>
        <w:ind w:right="320" w:firstLine="531"/>
        <w:spacing w:after="0" w:line="258" w:lineRule="auto"/>
        <w:rPr>
          <w:sz w:val="20"/>
          <w:szCs w:val="20"/>
          <w:color w:val="auto"/>
        </w:rPr>
      </w:pPr>
      <w:r>
        <w:rPr>
          <w:rFonts w:ascii="Times New Roman" w:cs="Times New Roman" w:eastAsia="Times New Roman" w:hAnsi="Times New Roman"/>
          <w:sz w:val="16"/>
          <w:szCs w:val="16"/>
          <w:b w:val="1"/>
          <w:bCs w:val="1"/>
          <w:color w:val="auto"/>
        </w:rPr>
        <w:t>6.4. Mergers or Acquisitions</w:t>
      </w:r>
      <w:r>
        <w:rPr>
          <w:rFonts w:ascii="Times New Roman" w:cs="Times New Roman" w:eastAsia="Times New Roman" w:hAnsi="Times New Roman"/>
          <w:sz w:val="16"/>
          <w:szCs w:val="16"/>
          <w:color w:val="auto"/>
        </w:rPr>
        <w:t>. Without the prior written consent of Agent, Borrower shall not merge or consolidate, or permit any of its Subsidiaries to merge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consolidate, with any other Person, or acquire, or permit any of its Subsidiaries to acquire, all or substantially all of the Equity Interests or property of another</w:t>
      </w:r>
    </w:p>
    <w:p>
      <w:pPr>
        <w:ind w:right="400"/>
        <w:spacing w:after="0" w:line="256" w:lineRule="auto"/>
        <w:rPr>
          <w:sz w:val="20"/>
          <w:szCs w:val="20"/>
          <w:color w:val="auto"/>
        </w:rPr>
      </w:pPr>
      <w:r>
        <w:rPr>
          <w:rFonts w:ascii="Times New Roman" w:cs="Times New Roman" w:eastAsia="Times New Roman" w:hAnsi="Times New Roman"/>
          <w:sz w:val="16"/>
          <w:szCs w:val="16"/>
          <w:color w:val="auto"/>
        </w:rPr>
        <w:t>Person. Notwithstanding the foregoing, a Subsidiary may merge or consolidate into Borrower or another Subsidiary, provided that in the case of a merger or consolidation involving a Loan Party, the surviving Person shall be a Loan Party.</w:t>
      </w:r>
    </w:p>
    <w:p>
      <w:pPr>
        <w:spacing w:after="0" w:line="52"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6.5.</w:t>
        <w:tab/>
        <w:t>Indebtedness</w:t>
      </w:r>
      <w:r>
        <w:rPr>
          <w:rFonts w:ascii="Times New Roman" w:cs="Times New Roman" w:eastAsia="Times New Roman" w:hAnsi="Times New Roman"/>
          <w:sz w:val="16"/>
          <w:szCs w:val="16"/>
          <w:color w:val="auto"/>
        </w:rPr>
        <w:t>. Borrower shall not create, incur, assume, or be liable for any Indebtedness, or permit any Subsidiary to do so, other than Permitted Indebtedness.</w:t>
      </w:r>
    </w:p>
    <w:p>
      <w:pPr>
        <w:spacing w:after="0" w:line="92" w:lineRule="exact"/>
        <w:rPr>
          <w:sz w:val="20"/>
          <w:szCs w:val="20"/>
          <w:color w:val="auto"/>
        </w:rPr>
      </w:pPr>
    </w:p>
    <w:p>
      <w:pPr>
        <w:jc w:val="both"/>
        <w:ind w:right="26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6.6. Encumbrance</w:t>
      </w:r>
      <w:r>
        <w:rPr>
          <w:rFonts w:ascii="Times New Roman" w:cs="Times New Roman" w:eastAsia="Times New Roman" w:hAnsi="Times New Roman"/>
          <w:sz w:val="16"/>
          <w:szCs w:val="16"/>
          <w:color w:val="auto"/>
        </w:rPr>
        <w:t>. Except for Permitted Liens, Borrower shall not create, incur, allow, or suffer any Lien on any of its property, or assign or convey any right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receive income, including the sale of any Accounts, or permit any of its Subsidiaries to do so. Except for Permitted Liens, Borrower shall not permit any Collateral not to be subject to the first priority security interest granted herein.</w:t>
      </w:r>
    </w:p>
    <w:p>
      <w:pPr>
        <w:spacing w:after="0" w:line="47" w:lineRule="exact"/>
        <w:rPr>
          <w:sz w:val="20"/>
          <w:szCs w:val="20"/>
          <w:color w:val="auto"/>
        </w:rPr>
      </w:pPr>
    </w:p>
    <w:p>
      <w:pPr>
        <w:ind w:right="20" w:firstLine="531"/>
        <w:spacing w:after="0" w:line="247" w:lineRule="auto"/>
        <w:rPr>
          <w:sz w:val="20"/>
          <w:szCs w:val="20"/>
          <w:color w:val="auto"/>
        </w:rPr>
      </w:pPr>
      <w:r>
        <w:rPr>
          <w:rFonts w:ascii="Times New Roman" w:cs="Times New Roman" w:eastAsia="Times New Roman" w:hAnsi="Times New Roman"/>
          <w:sz w:val="16"/>
          <w:szCs w:val="16"/>
          <w:b w:val="1"/>
          <w:bCs w:val="1"/>
          <w:color w:val="auto"/>
        </w:rPr>
        <w:t>6.7. Distributions; Investments</w:t>
      </w:r>
      <w:r>
        <w:rPr>
          <w:rFonts w:ascii="Times New Roman" w:cs="Times New Roman" w:eastAsia="Times New Roman" w:hAnsi="Times New Roman"/>
          <w:sz w:val="16"/>
          <w:szCs w:val="16"/>
          <w:color w:val="auto"/>
        </w:rPr>
        <w:t>. Borrower shall not, nor shall it permit any Subsidiary to (a) directly or indirectly make any Investment other than Permitted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or (b) pay any dividends or make any distribution or payment on or in respect of its Equity Interests, or redeem, retire or repurchase any Equity Interests (or any securities or instruments convertible into or exercisable for, or other rights to acquire, directly or indirectly, Equity Interests) (each a “</w:t>
      </w:r>
      <w:r>
        <w:rPr>
          <w:rFonts w:ascii="Times New Roman" w:cs="Times New Roman" w:eastAsia="Times New Roman" w:hAnsi="Times New Roman"/>
          <w:sz w:val="16"/>
          <w:szCs w:val="16"/>
          <w:b w:val="1"/>
          <w:bCs w:val="1"/>
          <w:i w:val="1"/>
          <w:iCs w:val="1"/>
          <w:color w:val="auto"/>
        </w:rPr>
        <w:t>Restricted Payment</w:t>
      </w:r>
      <w:r>
        <w:rPr>
          <w:rFonts w:ascii="Times New Roman" w:cs="Times New Roman" w:eastAsia="Times New Roman" w:hAnsi="Times New Roman"/>
          <w:sz w:val="16"/>
          <w:szCs w:val="16"/>
          <w:color w:val="auto"/>
        </w:rPr>
        <w:t>”) from the holders thereof, provided however, that (i) Borrower may convert any of its convertible securities into other securities pursuant to the terms of such convertible securities or otherwise in exchange thereof, (ii) Borrower and any of its Subsidiaries may make payment of cash not to exceed an aggregate of Fifty Thousand Dollars ($50,000) in lieu of the issuance of fractional shares upon (x) exercise of options or warrants, or (y) the conversion or exchange of such Person’s Equity Interests; (iii) each Loan Party may pay dividends solely in Equity Interests of such Loan Party; (iv) Borrower may repurchase the Equity Interests of Borrower of employees, former employees, officers, former officers, directors, former directors, or consultants of Borrower or any Subsidiary (or any spouses, ex-spouses, or estates of any of the foregoing) at the original sales price pursuant to Board-approved repurchase agreements, in an aggregate amount for all such repurchases, plus the amount of Indebtedness outstanding under clause (o) of the definition of Permitted Indebtedness, not to exceed Two Hundred Fifty Thousand Dollars ($250,000), so long as no Default or Event of Default has occurred and is continuing at the time of any such repurchase and would not exist immediately after giving effect to any such repurchase; (v) Borrower may make distributions to former employees, officers, or directors of Borrower (or any spouses, ex-spouses, or estates of any of the foregoing), solely in the form of forgiveness of Indebtedness of such Persons owing to Borrower on account of repurchases of the Equity Interests of Borrower held by such Persons; provided, that such Indebtedness was incurred by such Persons solely to acquire Equity Interests of Borrower; (vi) (A) each</w:t>
      </w:r>
    </w:p>
    <w:p>
      <w:pPr>
        <w:sectPr>
          <w:pgSz w:w="11900" w:h="16838" w:orient="portrait"/>
          <w:cols w:equalWidth="0" w:num="1">
            <w:col w:w="11440"/>
          </w:cols>
          <w:pgMar w:left="220" w:top="408" w:right="239" w:bottom="1440" w:gutter="0" w:footer="0" w:header="0"/>
        </w:sectPr>
      </w:pPr>
    </w:p>
    <w:bookmarkStart w:id="80" w:name="page81"/>
    <w:bookmarkEnd w:id="80"/>
    <w:p>
      <w:pPr>
        <w:ind w:right="80"/>
        <w:spacing w:after="0" w:line="253" w:lineRule="auto"/>
        <w:rPr>
          <w:sz w:val="20"/>
          <w:szCs w:val="20"/>
          <w:color w:val="auto"/>
        </w:rPr>
      </w:pPr>
      <w:r>
        <w:rPr>
          <w:rFonts w:ascii="Times New Roman" w:cs="Times New Roman" w:eastAsia="Times New Roman" w:hAnsi="Times New Roman"/>
          <w:sz w:val="16"/>
          <w:szCs w:val="16"/>
          <w:color w:val="auto"/>
        </w:rPr>
        <w:t>Subsidiary may make Restricted Payments to any Loan Party; and (B) any non-wholly owned Subsidiary may make a Restricted Payment ratably to all Persons that own an Equity Interest in such non-wholly owned Subsidiary; and (vii) so long as it constitutes a non-cash transaction, Borrower may make repurchases of Equity Interests deemed to occur (i) upon the exercise of stock options to the extent such Equity Interests represent a portion of the exercise price of those stock options, and (ii) upon the withholding of a portion of the Equity Interests granted or awarded to an employees, former employees, officers, former officers, directors, former directors, or consultants of Borrower (or any spouse, ex-spouse, or estate of any of the foregoing) payable by such Person upon such grant or award (or vesting thereof).</w:t>
      </w:r>
    </w:p>
    <w:p>
      <w:pPr>
        <w:spacing w:after="0" w:line="56"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b w:val="1"/>
          <w:bCs w:val="1"/>
          <w:color w:val="auto"/>
        </w:rPr>
        <w:t>6.8. Transactions with Affiliates</w:t>
      </w:r>
      <w:r>
        <w:rPr>
          <w:rFonts w:ascii="Times New Roman" w:cs="Times New Roman" w:eastAsia="Times New Roman" w:hAnsi="Times New Roman"/>
          <w:sz w:val="16"/>
          <w:szCs w:val="16"/>
          <w:color w:val="auto"/>
        </w:rPr>
        <w:t>. Borrower shall not, nor shall it permit any Subsidiary to directly or indirectly enter into or permit to exist any material transaction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with any Affiliate of Borrower, except for (a) transactions that are in the ordinary course of Borrower’s business, upon fair and reasonable terms that are no less favorable to Borrower than would be obtained in an arm’s length transaction with a non-affiliated Person, (b) transactions permitted pursuant to the terms of Section 6.4 hereof, (c) transactions permitted by </w:t>
      </w:r>
      <w:r>
        <w:rPr>
          <w:rFonts w:ascii="Times New Roman" w:cs="Times New Roman" w:eastAsia="Times New Roman" w:hAnsi="Times New Roman"/>
          <w:sz w:val="16"/>
          <w:szCs w:val="16"/>
          <w:u w:val="single" w:color="auto"/>
          <w:color w:val="auto"/>
        </w:rPr>
        <w:t>Section 6.7(a)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and Permitted Intercompany Advances; (d) equity financings permitted pursuant to the terms of Section 6.2 hereof; (e) unsecured debt financings from Borrower's investors so long as all such Indebtedness is Subordinated Debt; (f) so long as it has been approved by Borrower’s or its applicable Subsidiary’s board of directors (or comparable governing body) in accordance with applicable law and in the ordinary course of business, any indemnity provided for the benefit of directors (or comparable managers) of Borrower or its applicable Subsidiary; (g) employment agreements, employee benefit plans, officer or director indemnification agreements or any similar arrangements entered into by any Loan Party or any of its Subsidiaries in the ordinary course of business; and (h) the payment for Goods by Borrower to any Subsidiary (direct or indirect) in the ordinary course of business.</w:t>
      </w:r>
    </w:p>
    <w:p>
      <w:pPr>
        <w:spacing w:after="0" w:line="62" w:lineRule="exact"/>
        <w:rPr>
          <w:sz w:val="20"/>
          <w:szCs w:val="20"/>
          <w:color w:val="auto"/>
        </w:rPr>
      </w:pPr>
    </w:p>
    <w:p>
      <w:pPr>
        <w:ind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6.9. Subordinated Debt</w:t>
      </w:r>
      <w:r>
        <w:rPr>
          <w:rFonts w:ascii="Times New Roman" w:cs="Times New Roman" w:eastAsia="Times New Roman" w:hAnsi="Times New Roman"/>
          <w:sz w:val="16"/>
          <w:szCs w:val="16"/>
          <w:color w:val="auto"/>
        </w:rPr>
        <w:t>. Borrower shall not, nor shall it permit any Subsidiary to (a) make or permit any payment on any Subordinated Debt, except under the terms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subordination, intercreditor, or other similar agreement to which such Subordinated Debt is subject, or (b) amend any provision in any document relating to the Subordinated Debt which would increase the amount thereof or adversely affect the subordination thereof to Obligations owed to Lenders without Agent’s prior written consent.</w:t>
      </w:r>
    </w:p>
    <w:p>
      <w:pPr>
        <w:spacing w:after="0" w:line="47" w:lineRule="exact"/>
        <w:rPr>
          <w:sz w:val="20"/>
          <w:szCs w:val="20"/>
          <w:color w:val="auto"/>
        </w:rPr>
      </w:pPr>
    </w:p>
    <w:p>
      <w:pPr>
        <w:ind w:right="20" w:firstLine="531"/>
        <w:spacing w:after="0" w:line="250" w:lineRule="auto"/>
        <w:rPr>
          <w:sz w:val="20"/>
          <w:szCs w:val="20"/>
          <w:color w:val="auto"/>
        </w:rPr>
      </w:pPr>
      <w:r>
        <w:rPr>
          <w:rFonts w:ascii="Times New Roman" w:cs="Times New Roman" w:eastAsia="Times New Roman" w:hAnsi="Times New Roman"/>
          <w:sz w:val="16"/>
          <w:szCs w:val="16"/>
          <w:b w:val="1"/>
          <w:bCs w:val="1"/>
          <w:color w:val="auto"/>
        </w:rPr>
        <w:t>6.10. Compliance</w:t>
      </w:r>
      <w:r>
        <w:rPr>
          <w:rFonts w:ascii="Times New Roman" w:cs="Times New Roman" w:eastAsia="Times New Roman" w:hAnsi="Times New Roman"/>
          <w:sz w:val="16"/>
          <w:szCs w:val="16"/>
          <w:color w:val="auto"/>
        </w:rPr>
        <w:t>. Borrower shall not, nor shall it permit any Subsidiary to become an “investment company” or a company controlled by an “investment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58" w:lineRule="exact"/>
        <w:rPr>
          <w:sz w:val="20"/>
          <w:szCs w:val="20"/>
          <w:color w:val="auto"/>
        </w:rPr>
      </w:pPr>
    </w:p>
    <w:p>
      <w:pPr>
        <w:ind w:right="60" w:firstLine="531"/>
        <w:spacing w:after="0" w:line="251" w:lineRule="auto"/>
        <w:rPr>
          <w:sz w:val="20"/>
          <w:szCs w:val="20"/>
          <w:color w:val="auto"/>
        </w:rPr>
      </w:pPr>
      <w:r>
        <w:rPr>
          <w:rFonts w:ascii="Times New Roman" w:cs="Times New Roman" w:eastAsia="Times New Roman" w:hAnsi="Times New Roman"/>
          <w:sz w:val="16"/>
          <w:szCs w:val="16"/>
          <w:b w:val="1"/>
          <w:bCs w:val="1"/>
          <w:color w:val="auto"/>
        </w:rPr>
        <w:t>6.11. Publicity</w:t>
      </w:r>
      <w:r>
        <w:rPr>
          <w:rFonts w:ascii="Times New Roman" w:cs="Times New Roman" w:eastAsia="Times New Roman" w:hAnsi="Times New Roman"/>
          <w:sz w:val="16"/>
          <w:szCs w:val="16"/>
          <w:color w:val="auto"/>
        </w:rPr>
        <w:t>. Borrower shall not, nor shall it permit any Subsidiary to, directly or indirectly publish, disclose or otherwise use in any public disclosure, advertising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material, promotional material, press release or interview, any reference to the name, logo or any trademark of Agent or any Lender or any of their Affiliates or any reference to this Agreement or the financing evidenced hereby, in any case except as required by applicable law, subpoena or judicial or similar order, in which case Borrower shall endeavor to give Agent prior written notice of such publication or other disclosure. Each Lender and Borrower hereby authorizes each Lender to publish the name of such Lender and Borrower,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such Lender elects to submit for publication. In addition, each Lender and Borrower agrees that each Lender may</w:t>
      </w:r>
    </w:p>
    <w:p>
      <w:pPr>
        <w:sectPr>
          <w:pgSz w:w="11900" w:h="16838" w:orient="portrait"/>
          <w:cols w:equalWidth="0" w:num="1">
            <w:col w:w="11460"/>
          </w:cols>
          <w:pgMar w:left="220" w:top="408" w:right="2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provide lending industry trade organizations with information necessary and customary for inclusion in league table measurements after the Effective Date.</w:t>
      </w:r>
    </w:p>
    <w:p>
      <w:pPr>
        <w:spacing w:after="0" w:line="90" w:lineRule="exact"/>
        <w:rPr>
          <w:sz w:val="20"/>
          <w:szCs w:val="20"/>
          <w:color w:val="auto"/>
        </w:rPr>
      </w:pPr>
    </w:p>
    <w:p>
      <w:pPr>
        <w:ind w:right="22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6.12. Uncertificated Securities</w:t>
      </w:r>
      <w:r>
        <w:rPr>
          <w:rFonts w:ascii="Times New Roman" w:cs="Times New Roman" w:eastAsia="Times New Roman" w:hAnsi="Times New Roman"/>
          <w:sz w:val="16"/>
          <w:szCs w:val="16"/>
          <w:color w:val="auto"/>
        </w:rPr>
        <w:t>. Borrower shall not allow any Collateral consisting of uncertificated securities to be certificated without the prompt execution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Pledge Agreement satisfactory to Agent which is signed by Borrower and the issuer of the securities.</w:t>
      </w:r>
    </w:p>
    <w:p>
      <w:pPr>
        <w:spacing w:after="0" w:line="32" w:lineRule="exact"/>
        <w:rPr>
          <w:sz w:val="20"/>
          <w:szCs w:val="20"/>
          <w:color w:val="auto"/>
        </w:rPr>
      </w:pPr>
    </w:p>
    <w:p>
      <w:pPr>
        <w:ind w:firstLine="531"/>
        <w:spacing w:after="0" w:line="248" w:lineRule="auto"/>
        <w:rPr>
          <w:sz w:val="20"/>
          <w:szCs w:val="20"/>
          <w:color w:val="auto"/>
        </w:rPr>
      </w:pPr>
      <w:r>
        <w:rPr>
          <w:rFonts w:ascii="Times New Roman" w:cs="Times New Roman" w:eastAsia="Times New Roman" w:hAnsi="Times New Roman"/>
          <w:sz w:val="16"/>
          <w:szCs w:val="16"/>
          <w:b w:val="1"/>
          <w:bCs w:val="1"/>
          <w:color w:val="auto"/>
        </w:rPr>
        <w:t>6.13. First Lien Loan Restrictions</w:t>
      </w:r>
      <w:r>
        <w:rPr>
          <w:rFonts w:ascii="Times New Roman" w:cs="Times New Roman" w:eastAsia="Times New Roman" w:hAnsi="Times New Roman"/>
          <w:sz w:val="16"/>
          <w:szCs w:val="16"/>
          <w:color w:val="auto"/>
        </w:rPr>
        <w:t>. Without Agent’s prior written consent, the agreements underlying or related to the Wells Fargo Indebtedness may not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or otherwise modified to (a) increase the principal amount of the Wells Fargo Indebtedness or the rate of interest applicable to the Wells Fargo Indebtedness, (b) increase the amount of or accelerate the time for payment of principal, interest or other amounts due under the First Lien Loan Documents, (c) change or add any event of default or covenant to the First Lien Loan Documents (except to match changes to equivalent covenants in the Loan Documents with "cushions" commensurate to the cushions on other covenants in the First Lien Loan Documents), (d) change any redemption or prepayment provisions of the First Lien Loan Documents, (e) provide for additional security for the Wells Fargo Indebtedness unless Agent also obtains a Lien in such additional security, (f) increase fees with respect to the Wells Fargo Indebtedness, provided that First Lien Agent may assess reasonable, non-recurring fees for amendments, consents, forbearances, waivers or other modifications relating to the First Lien Loan Documents, (g) extend the final maturity date of the Wells Fargo Indebtedness, (h) shorten the amortization of any portion of the Wells Fargo Indebtedness, (i) amend any defined term in any of the First Lien Loan Documents where such term is used in this Agreement, or (j) impose any additional restrictions on the payment of the Obligations or amendment of the Loan Documents other than restrictions contained in the Intercreditor Agreement; provided, for the avoidance of doubt, that nothing in this Section 6.13 shall require the prior written consent of Agent or any Lender to the assessment by First Lien Creditors of default interest as a consequence of the occurrence of any “Event of Default” under (and as defined in) the Wells Fargo Credit Agreement.</w:t>
      </w:r>
    </w:p>
    <w:p>
      <w:pPr>
        <w:spacing w:after="0" w:line="33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7.</w:t>
      </w:r>
      <w:r>
        <w:rPr>
          <w:sz w:val="20"/>
          <w:szCs w:val="20"/>
          <w:color w:val="auto"/>
        </w:rPr>
        <w:tab/>
      </w:r>
      <w:r>
        <w:rPr>
          <w:rFonts w:ascii="Times New Roman" w:cs="Times New Roman" w:eastAsia="Times New Roman" w:hAnsi="Times New Roman"/>
          <w:sz w:val="16"/>
          <w:szCs w:val="16"/>
          <w:b w:val="1"/>
          <w:bCs w:val="1"/>
          <w:u w:val="single" w:color="auto"/>
          <w:color w:val="auto"/>
        </w:rPr>
        <w:t>EVENTS OF DEFAULT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Any one of the following shall constitute an event of default (an “</w:t>
      </w:r>
      <w:r>
        <w:rPr>
          <w:rFonts w:ascii="Times New Roman" w:cs="Times New Roman" w:eastAsia="Times New Roman" w:hAnsi="Times New Roman"/>
          <w:sz w:val="16"/>
          <w:szCs w:val="16"/>
          <w:b w:val="1"/>
          <w:bCs w:val="1"/>
          <w:i w:val="1"/>
          <w:iCs w:val="1"/>
          <w:color w:val="auto"/>
        </w:rPr>
        <w:t>Event of Default</w:t>
      </w:r>
      <w:r>
        <w:rPr>
          <w:rFonts w:ascii="Times New Roman" w:cs="Times New Roman" w:eastAsia="Times New Roman" w:hAnsi="Times New Roman"/>
          <w:sz w:val="16"/>
          <w:szCs w:val="16"/>
          <w:color w:val="auto"/>
        </w:rPr>
        <w:t>”) under this Agreement:</w:t>
      </w:r>
    </w:p>
    <w:p>
      <w:pPr>
        <w:spacing w:after="0" w:line="183"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7.1.</w:t>
        <w:tab/>
        <w:t>Payment Default</w:t>
      </w:r>
      <w:r>
        <w:rPr>
          <w:rFonts w:ascii="Times New Roman" w:cs="Times New Roman" w:eastAsia="Times New Roman" w:hAnsi="Times New Roman"/>
          <w:sz w:val="16"/>
          <w:szCs w:val="16"/>
          <w:color w:val="auto"/>
        </w:rPr>
        <w:t>. Borrower fails to make any payment as required under the Agreement or any of the other Loan Documents;</w:t>
      </w:r>
    </w:p>
    <w:p>
      <w:pPr>
        <w:spacing w:after="0" w:line="181"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7.2.</w:t>
        <w:tab/>
        <w:t>Covenant Default</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1400" w:hanging="330"/>
        <w:spacing w:after="0"/>
        <w:tabs>
          <w:tab w:leader="none" w:pos="14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fails or neglects to perform any obligation in </w:t>
      </w:r>
      <w:r>
        <w:rPr>
          <w:rFonts w:ascii="Times New Roman" w:cs="Times New Roman" w:eastAsia="Times New Roman" w:hAnsi="Times New Roman"/>
          <w:sz w:val="16"/>
          <w:szCs w:val="16"/>
          <w:u w:val="single" w:color="auto"/>
          <w:color w:val="auto"/>
        </w:rPr>
        <w:t>Sections 5.2(d)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5.7</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5.11</w:t>
      </w:r>
      <w:r>
        <w:rPr>
          <w:rFonts w:ascii="Times New Roman" w:cs="Times New Roman" w:eastAsia="Times New Roman" w:hAnsi="Times New Roman"/>
          <w:sz w:val="16"/>
          <w:szCs w:val="16"/>
          <w:color w:val="auto"/>
        </w:rPr>
        <w:t xml:space="preserve"> or violates any covenant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or</w:t>
      </w:r>
    </w:p>
    <w:p>
      <w:pPr>
        <w:spacing w:after="0" w:line="180" w:lineRule="exact"/>
        <w:rPr>
          <w:rFonts w:ascii="Times New Roman" w:cs="Times New Roman" w:eastAsia="Times New Roman" w:hAnsi="Times New Roman"/>
          <w:sz w:val="16"/>
          <w:szCs w:val="16"/>
          <w:color w:val="auto"/>
        </w:rPr>
      </w:pPr>
    </w:p>
    <w:p>
      <w:pPr>
        <w:ind w:right="140" w:firstLine="1070"/>
        <w:spacing w:after="0" w:line="256" w:lineRule="auto"/>
        <w:tabs>
          <w:tab w:leader="none" w:pos="139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Borrower fails or neglects to perform, keep, or observe any other term, provision, condition, covenant or agreement contained in this Agreement or any Loan Documents, and as to any default (other than those specified in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under such other term, provision, condition, covenant or agreement that can be cured, has failed to cure the default within ten (10) days after the occurrence thereof (but no Credit Extensions shall be made during such cure period). Cure periods provided under this section shall not apply to covenants set forth in clause (a) above, Section 7.1, Section 7.3 or Section 7.6.</w:t>
      </w:r>
    </w:p>
    <w:p>
      <w:pPr>
        <w:spacing w:after="0" w:line="53"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7.3.</w:t>
        <w:tab/>
        <w:t>Material Adverse Change</w:t>
      </w:r>
      <w:r>
        <w:rPr>
          <w:rFonts w:ascii="Times New Roman" w:cs="Times New Roman" w:eastAsia="Times New Roman" w:hAnsi="Times New Roman"/>
          <w:sz w:val="16"/>
          <w:szCs w:val="16"/>
          <w:color w:val="auto"/>
        </w:rPr>
        <w:t>. A Material Adverse Change has occurred;</w:t>
      </w:r>
    </w:p>
    <w:p>
      <w:pPr>
        <w:spacing w:after="0" w:line="148" w:lineRule="exact"/>
        <w:rPr>
          <w:sz w:val="20"/>
          <w:szCs w:val="20"/>
          <w:color w:val="auto"/>
        </w:rPr>
      </w:pPr>
    </w:p>
    <w:p>
      <w:pPr>
        <w:ind w:left="540"/>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7.4.</w:t>
        <w:tab/>
        <w:t>Attachment; Levy; Restraint on Business</w:t>
      </w:r>
      <w:r>
        <w:rPr>
          <w:rFonts w:ascii="Times New Roman" w:cs="Times New Roman" w:eastAsia="Times New Roman" w:hAnsi="Times New Roman"/>
          <w:sz w:val="16"/>
          <w:szCs w:val="16"/>
          <w:color w:val="auto"/>
        </w:rPr>
        <w:t>.</w:t>
      </w:r>
    </w:p>
    <w:p>
      <w:pPr>
        <w:spacing w:after="0" w:line="238" w:lineRule="exact"/>
        <w:rPr>
          <w:sz w:val="20"/>
          <w:szCs w:val="20"/>
          <w:color w:val="auto"/>
        </w:rPr>
      </w:pPr>
    </w:p>
    <w:p>
      <w:pPr>
        <w:ind w:right="120" w:firstLine="1070"/>
        <w:spacing w:after="0" w:line="262" w:lineRule="auto"/>
        <w:tabs>
          <w:tab w:leader="none" w:pos="138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service of process seeking to attach, by trustee or similar process, funds of Borrower or of any entity under the control of Borrower (including a Subsidiary), or a notice of lien or levy is filed against Borrower’s (or a Subsidiary’s) assets by any government agency, in each case in excess of Two Hundred Fifty Thousand Dollars ($250,000), and are not within ten (10) days after the occurrence thereof, removed or rescinded; or</w:t>
      </w:r>
    </w:p>
    <w:p>
      <w:pPr>
        <w:sectPr>
          <w:pgSz w:w="11900" w:h="16838" w:orient="portrait"/>
          <w:cols w:equalWidth="0" w:num="1">
            <w:col w:w="11420"/>
          </w:cols>
          <w:pgMar w:left="220" w:top="408" w:right="259" w:bottom="1440" w:gutter="0" w:footer="0" w:header="0"/>
        </w:sectPr>
      </w:pPr>
    </w:p>
    <w:bookmarkStart w:id="82" w:name="page83"/>
    <w:bookmarkEnd w:id="82"/>
    <w:p>
      <w:pPr>
        <w:ind w:right="140" w:firstLine="1070"/>
        <w:spacing w:after="0" w:line="279" w:lineRule="auto"/>
        <w:tabs>
          <w:tab w:leader="none" w:pos="139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Borrower’s (or a Subsidiary’s) assets with a value in excess of Two Hundred Fifty Thousand Dollars ($250,000) are attached, seized, levied on, or comes into possession of a trustee or receiver, or any court order enjoins, restrains, or prevents Borrower from conducting any part of its business;</w:t>
      </w:r>
    </w:p>
    <w:p>
      <w:pPr>
        <w:spacing w:after="0" w:line="34" w:lineRule="exact"/>
        <w:rPr>
          <w:sz w:val="20"/>
          <w:szCs w:val="20"/>
          <w:color w:val="auto"/>
        </w:rPr>
      </w:pPr>
    </w:p>
    <w:p>
      <w:pPr>
        <w:ind w:right="14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7.5. Insolvency</w:t>
      </w:r>
      <w:r>
        <w:rPr>
          <w:rFonts w:ascii="Times New Roman" w:cs="Times New Roman" w:eastAsia="Times New Roman" w:hAnsi="Times New Roman"/>
          <w:sz w:val="16"/>
          <w:szCs w:val="16"/>
          <w:color w:val="auto"/>
        </w:rPr>
        <w:t>. (a) Borrower is unable to pay its debts (including trade debts) as they become due or otherwise becomes insolven</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6"/>
          <w:szCs w:val="16"/>
          <w:color w:val="auto"/>
        </w:rPr>
        <w:t>; (b) Borrower begins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Insolvency Proceeding; or (c) an Insolvency Proceeding is begun against Borrower and not dismissed or stayed within sixty (60) days (but no Credit Extensions shall be made while any of the conditions described in clause (a) exist and/or until any Insolvency Proceeding is dismissed);</w:t>
      </w:r>
    </w:p>
    <w:p>
      <w:pPr>
        <w:spacing w:after="0" w:line="103" w:lineRule="exact"/>
        <w:rPr>
          <w:sz w:val="20"/>
          <w:szCs w:val="20"/>
          <w:color w:val="auto"/>
        </w:rPr>
      </w:pPr>
    </w:p>
    <w:p>
      <w:pPr>
        <w:jc w:val="both"/>
        <w:ind w:right="12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7.6. Other Agreements</w:t>
      </w:r>
      <w:r>
        <w:rPr>
          <w:rFonts w:ascii="Times New Roman" w:cs="Times New Roman" w:eastAsia="Times New Roman" w:hAnsi="Times New Roman"/>
          <w:sz w:val="16"/>
          <w:szCs w:val="16"/>
          <w:color w:val="auto"/>
        </w:rPr>
        <w:t>. There is, under any agreement to which Borrower is a party with a third party or parties (including the “Loan Documents” as defined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Wells Fargo Credit Agreement), any breach or default, whether or not declared but after taking into account any applicable cure period provided in such agreement, involving Indebtedness in an amount individually or in the aggregate in excess of Seven Hundred Fifty Thousand Dollars ($750,000);</w:t>
      </w:r>
    </w:p>
    <w:p>
      <w:pPr>
        <w:spacing w:after="0" w:line="103" w:lineRule="exact"/>
        <w:rPr>
          <w:sz w:val="20"/>
          <w:szCs w:val="20"/>
          <w:color w:val="auto"/>
        </w:rPr>
      </w:pPr>
    </w:p>
    <w:p>
      <w:pPr>
        <w:ind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7.7. Judgments</w:t>
      </w:r>
      <w:r>
        <w:rPr>
          <w:rFonts w:ascii="Times New Roman" w:cs="Times New Roman" w:eastAsia="Times New Roman" w:hAnsi="Times New Roman"/>
          <w:sz w:val="16"/>
          <w:szCs w:val="16"/>
          <w:color w:val="auto"/>
        </w:rPr>
        <w:t>. One or more final judgments, orders, or decrees for the payment of money in an amount, individually or in the aggregate, of at least Two Hundred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Fifty Thousand Dollars ($250,000) (not covered by independent third-party insurance as to which liability has been accepted by such insurance carrier) shall be rendered against Borrower and the same are not, within thirty (30) days after the entry thereof, discharged or execution thereof stayed or bonded pending appeal, or such judgments are not discharged prior to the expiration of any such stay (provided that no Credit Extensions shall be made prior to the discharge, stay, or bonding of such judgment, order, or decree);</w:t>
      </w:r>
    </w:p>
    <w:p>
      <w:pPr>
        <w:spacing w:after="0" w:line="107" w:lineRule="exact"/>
        <w:rPr>
          <w:sz w:val="20"/>
          <w:szCs w:val="20"/>
          <w:color w:val="auto"/>
        </w:rPr>
      </w:pPr>
    </w:p>
    <w:p>
      <w:pPr>
        <w:ind w:right="24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7.8. Misrepresentations</w:t>
      </w:r>
      <w:r>
        <w:rPr>
          <w:rFonts w:ascii="Times New Roman" w:cs="Times New Roman" w:eastAsia="Times New Roman" w:hAnsi="Times New Roman"/>
          <w:sz w:val="16"/>
          <w:szCs w:val="16"/>
          <w:color w:val="auto"/>
        </w:rPr>
        <w:t>. Borrower or any Person acting for Borrower makes any representation, warranty, or other statement now or later in this Agreement,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 Document or in any writing delivered to Lenders or Agent, or to induce Lenders or Agent to enter this Agreement or any Loan Document, and such representation, warranty, or other statement is incorrect in any material respect when made or deemed made; or</w:t>
      </w:r>
    </w:p>
    <w:p>
      <w:pPr>
        <w:spacing w:after="0" w:line="103" w:lineRule="exact"/>
        <w:rPr>
          <w:sz w:val="20"/>
          <w:szCs w:val="20"/>
          <w:color w:val="auto"/>
        </w:rPr>
      </w:pPr>
    </w:p>
    <w:p>
      <w:pPr>
        <w:ind w:right="6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7.9. Subordinated Debt</w:t>
      </w:r>
      <w:r>
        <w:rPr>
          <w:rFonts w:ascii="Times New Roman" w:cs="Times New Roman" w:eastAsia="Times New Roman" w:hAnsi="Times New Roman"/>
          <w:sz w:val="16"/>
          <w:szCs w:val="16"/>
          <w:color w:val="auto"/>
        </w:rPr>
        <w:t>. Any document, instrument, or agreement evidencing any Subordinated Debt shall for any reason be revoked or invalidated or otherwise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cease to be in full force and effect (other than pursuant to its terms), any Person shall be in breach thereof or contest in any manner the validity or enforceability thereof or deny that it has any further liability or obligation thereunder, or, except as otherwise provided herein, the Obligations shall for any reason be subordinated or shall not have the priority contemplated by this Agreement.</w:t>
      </w:r>
    </w:p>
    <w:p>
      <w:pPr>
        <w:spacing w:after="0" w:line="10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8.</w:t>
      </w:r>
      <w:r>
        <w:rPr>
          <w:sz w:val="20"/>
          <w:szCs w:val="20"/>
          <w:color w:val="auto"/>
        </w:rPr>
        <w:tab/>
      </w:r>
      <w:r>
        <w:rPr>
          <w:rFonts w:ascii="Times New Roman" w:cs="Times New Roman" w:eastAsia="Times New Roman" w:hAnsi="Times New Roman"/>
          <w:sz w:val="16"/>
          <w:szCs w:val="16"/>
          <w:b w:val="1"/>
          <w:bCs w:val="1"/>
          <w:u w:val="single" w:color="auto"/>
          <w:color w:val="auto"/>
        </w:rPr>
        <w:t>AGENT’S RIGHTS AND REMEDIES</w:t>
      </w:r>
    </w:p>
    <w:p>
      <w:pPr>
        <w:spacing w:after="0" w:line="148" w:lineRule="exact"/>
        <w:rPr>
          <w:sz w:val="20"/>
          <w:szCs w:val="20"/>
          <w:color w:val="auto"/>
        </w:rPr>
      </w:pPr>
    </w:p>
    <w:p>
      <w:pPr>
        <w:ind w:left="5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8.1.</w:t>
        <w:tab/>
        <w:t>Rights and Remedies</w:t>
      </w:r>
      <w:r>
        <w:rPr>
          <w:rFonts w:ascii="Times New Roman" w:cs="Times New Roman" w:eastAsia="Times New Roman" w:hAnsi="Times New Roman"/>
          <w:sz w:val="16"/>
          <w:szCs w:val="16"/>
          <w:color w:val="auto"/>
        </w:rPr>
        <w:t>. While an Event of Default occurs and continues Agent may, without notice or demand, do any or all of the following:</w:t>
      </w:r>
    </w:p>
    <w:p>
      <w:pPr>
        <w:spacing w:after="0" w:line="161" w:lineRule="exact"/>
        <w:rPr>
          <w:sz w:val="20"/>
          <w:szCs w:val="20"/>
          <w:color w:val="auto"/>
        </w:rPr>
      </w:pPr>
    </w:p>
    <w:p>
      <w:pPr>
        <w:ind w:right="260" w:firstLine="1070"/>
        <w:spacing w:after="0" w:line="308" w:lineRule="auto"/>
        <w:tabs>
          <w:tab w:leader="none" w:pos="157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declare all Obligations immediately due and payable (but if an Event of Default described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occurs, all Obligations are immediately due and payable without any action by Agent);</w:t>
      </w:r>
    </w:p>
    <w:p>
      <w:pPr>
        <w:spacing w:after="0" w:line="91" w:lineRule="exact"/>
        <w:rPr>
          <w:rFonts w:ascii="Times New Roman" w:cs="Times New Roman" w:eastAsia="Times New Roman" w:hAnsi="Times New Roman"/>
          <w:sz w:val="16"/>
          <w:szCs w:val="16"/>
          <w:color w:val="auto"/>
        </w:rPr>
      </w:pPr>
    </w:p>
    <w:p>
      <w:pPr>
        <w:ind w:right="580" w:firstLine="1070"/>
        <w:spacing w:after="0" w:line="308" w:lineRule="auto"/>
        <w:tabs>
          <w:tab w:leader="none" w:pos="158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stop processing any advances of money or extending credit for Borrower’s benefit under this Agreement or under any other agreement between Borrower and any Lender without creating any liability on behalf of Agent or any Lender;</w:t>
      </w:r>
    </w:p>
    <w:p>
      <w:pPr>
        <w:spacing w:after="0" w:line="91" w:lineRule="exact"/>
        <w:rPr>
          <w:rFonts w:ascii="Times New Roman" w:cs="Times New Roman" w:eastAsia="Times New Roman" w:hAnsi="Times New Roman"/>
          <w:sz w:val="16"/>
          <w:szCs w:val="16"/>
          <w:color w:val="auto"/>
        </w:rPr>
      </w:pPr>
    </w:p>
    <w:p>
      <w:pPr>
        <w:ind w:right="340" w:firstLine="1070"/>
        <w:spacing w:after="0" w:line="308" w:lineRule="auto"/>
        <w:tabs>
          <w:tab w:leader="none" w:pos="157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or adjust disputes and claims directly with Account Debtors for amounts on terms and in any order that Agent considers advisable, notify any Person owing Borrower money of Agent’s security interest in such funds, and verify the amount of such account;</w:t>
      </w:r>
    </w:p>
    <w:p>
      <w:pPr>
        <w:spacing w:after="0" w:line="91" w:lineRule="exact"/>
        <w:rPr>
          <w:rFonts w:ascii="Times New Roman" w:cs="Times New Roman" w:eastAsia="Times New Roman" w:hAnsi="Times New Roman"/>
          <w:sz w:val="16"/>
          <w:szCs w:val="16"/>
          <w:color w:val="auto"/>
        </w:rPr>
      </w:pPr>
    </w:p>
    <w:p>
      <w:pPr>
        <w:ind w:right="60" w:firstLine="1070"/>
        <w:spacing w:after="0" w:line="291" w:lineRule="auto"/>
        <w:tabs>
          <w:tab w:leader="none" w:pos="158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payments and do any acts it considers necessary or reasonable to protect the Collateral and/or its security interest in the Collateral. Borrower shall assemble the Collateral if Agent requests and make it available as Agent designates. Agent or its designees may enter premises where the Collateral is located, take and maintain possession of any part of the Collateral, and pay, purchase, contest, or compromise</w:t>
      </w:r>
    </w:p>
    <w:p>
      <w:pPr>
        <w:sectPr>
          <w:pgSz w:w="11900" w:h="16838" w:orient="portrait"/>
          <w:cols w:equalWidth="0" w:num="1">
            <w:col w:w="11460"/>
          </w:cols>
          <w:pgMar w:left="220" w:top="408" w:right="219" w:bottom="1440" w:gutter="0" w:footer="0" w:header="0"/>
        </w:sectPr>
      </w:pPr>
    </w:p>
    <w:bookmarkStart w:id="83" w:name="page84"/>
    <w:bookmarkEnd w:id="83"/>
    <w:p>
      <w:pPr>
        <w:ind w:right="160"/>
        <w:spacing w:after="0" w:line="308" w:lineRule="auto"/>
        <w:rPr>
          <w:sz w:val="20"/>
          <w:szCs w:val="20"/>
          <w:color w:val="auto"/>
        </w:rPr>
      </w:pPr>
      <w:r>
        <w:rPr>
          <w:rFonts w:ascii="Times New Roman" w:cs="Times New Roman" w:eastAsia="Times New Roman" w:hAnsi="Times New Roman"/>
          <w:sz w:val="16"/>
          <w:szCs w:val="16"/>
          <w:color w:val="auto"/>
        </w:rPr>
        <w:t>any Lien which appears to be prior or superior to its security interest and pay all expenses incurred. Borrower grants Agent and its designees a license to enter and occupy any of its premises, without charge, to exercise any of Agent’s rights or remedies;</w:t>
      </w:r>
    </w:p>
    <w:p>
      <w:pPr>
        <w:spacing w:after="0" w:line="91" w:lineRule="exact"/>
        <w:rPr>
          <w:sz w:val="20"/>
          <w:szCs w:val="20"/>
          <w:color w:val="auto"/>
        </w:rPr>
      </w:pPr>
    </w:p>
    <w:p>
      <w:pPr>
        <w:ind w:left="1580" w:hanging="510"/>
        <w:spacing w:after="0"/>
        <w:tabs>
          <w:tab w:leader="none" w:pos="1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the Obligations any amount held by Lenders or Agent owing to or for the credit of Borrower;</w:t>
      </w:r>
    </w:p>
    <w:p>
      <w:pPr>
        <w:spacing w:after="0" w:line="169" w:lineRule="exact"/>
        <w:rPr>
          <w:rFonts w:ascii="Times New Roman" w:cs="Times New Roman" w:eastAsia="Times New Roman" w:hAnsi="Times New Roman"/>
          <w:sz w:val="16"/>
          <w:szCs w:val="16"/>
          <w:color w:val="auto"/>
        </w:rPr>
      </w:pPr>
    </w:p>
    <w:p>
      <w:pPr>
        <w:ind w:right="20" w:firstLine="1070"/>
        <w:spacing w:after="0" w:line="285" w:lineRule="auto"/>
        <w:tabs>
          <w:tab w:leader="none" w:pos="155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ship, reclaim, recover, store, finish, maintain, repair, prepare for sale, advertise for sale, and sell the Collateral. Agent is hereby granted a non-exclusive, sub-licensable,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Borrower’s rights under all licenses and all franchise agreements inure to Agent’s benefit;</w:t>
      </w:r>
    </w:p>
    <w:p>
      <w:pPr>
        <w:spacing w:after="0" w:line="109" w:lineRule="exact"/>
        <w:rPr>
          <w:rFonts w:ascii="Times New Roman" w:cs="Times New Roman" w:eastAsia="Times New Roman" w:hAnsi="Times New Roman"/>
          <w:sz w:val="16"/>
          <w:szCs w:val="16"/>
          <w:color w:val="auto"/>
        </w:rPr>
      </w:pPr>
    </w:p>
    <w:p>
      <w:pPr>
        <w:ind w:right="60" w:firstLine="1070"/>
        <w:spacing w:after="0" w:line="308" w:lineRule="auto"/>
        <w:tabs>
          <w:tab w:leader="none" w:pos="1582"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a notice of exclusive control, any entitlement order, or other directions or instructions pursuant to any Control Agreement or similar agreements providing control of any Collateral;</w:t>
      </w:r>
    </w:p>
    <w:p>
      <w:pPr>
        <w:spacing w:after="0" w:line="91" w:lineRule="exact"/>
        <w:rPr>
          <w:rFonts w:ascii="Times New Roman" w:cs="Times New Roman" w:eastAsia="Times New Roman" w:hAnsi="Times New Roman"/>
          <w:sz w:val="16"/>
          <w:szCs w:val="16"/>
          <w:color w:val="auto"/>
        </w:rPr>
      </w:pPr>
    </w:p>
    <w:p>
      <w:pPr>
        <w:ind w:left="1600" w:hanging="530"/>
        <w:spacing w:after="0"/>
        <w:tabs>
          <w:tab w:leader="none" w:pos="16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demand and receive possession of Borrower’s Books; and</w:t>
      </w:r>
    </w:p>
    <w:p>
      <w:pPr>
        <w:spacing w:after="0" w:line="169" w:lineRule="exact"/>
        <w:rPr>
          <w:rFonts w:ascii="Times New Roman" w:cs="Times New Roman" w:eastAsia="Times New Roman" w:hAnsi="Times New Roman"/>
          <w:sz w:val="16"/>
          <w:szCs w:val="16"/>
          <w:color w:val="auto"/>
        </w:rPr>
      </w:pPr>
    </w:p>
    <w:p>
      <w:pPr>
        <w:ind w:right="100" w:firstLine="1070"/>
        <w:spacing w:after="0" w:line="308" w:lineRule="auto"/>
        <w:tabs>
          <w:tab w:leader="none" w:pos="154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all rights and remedies available to Lenders or Agent under the Loan Documents or at law or equity, including all remedies provided under the Code (including disposal of the Collateral pursuant to the terms thereof).</w:t>
      </w:r>
    </w:p>
    <w:p>
      <w:pPr>
        <w:spacing w:after="0" w:line="167"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b w:val="1"/>
          <w:bCs w:val="1"/>
          <w:color w:val="auto"/>
        </w:rPr>
        <w:t>8.2. Power of Attorney</w:t>
      </w:r>
      <w:r>
        <w:rPr>
          <w:rFonts w:ascii="Times New Roman" w:cs="Times New Roman" w:eastAsia="Times New Roman" w:hAnsi="Times New Roman"/>
          <w:sz w:val="16"/>
          <w:szCs w:val="16"/>
          <w:color w:val="auto"/>
        </w:rPr>
        <w:t>. Borrower hereby irrevocably appoints Agent as its lawful attorney-in-fact, exercisable upon the occurrence and during the continuance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make any Disposition of the Collateral into the name of Agent or a third party as the Code permits. Borrower hereby appoints Agent as its lawful attorney-in-fact to sign Borrower’s name on any documents necessary to perfect or continue the perfection of Agent’s security interest in the Collateral regardless of whether an Event of Default has occurred until all Obligations (other than inchoate indemnity obligations) have been satisfied in full and Lenders are under no further obligation to make Credit Extensions hereunder. Agent’s foregoing appointment as Borrower’s attorney in fact, and all of Lender’s and Agent’s rights and powers, coupled with an interest, are irrevocable until all Obligations (other than inchoate indemnity obligations) have been fully repaid and performed and Lenders’ obligation to provide Credit Extensions terminates.</w:t>
      </w:r>
    </w:p>
    <w:p>
      <w:pPr>
        <w:spacing w:after="0" w:line="59" w:lineRule="exact"/>
        <w:rPr>
          <w:sz w:val="20"/>
          <w:szCs w:val="20"/>
          <w:color w:val="auto"/>
        </w:rPr>
      </w:pPr>
    </w:p>
    <w:p>
      <w:pPr>
        <w:ind w:right="4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8.3. Protective Payments</w:t>
      </w:r>
      <w:r>
        <w:rPr>
          <w:rFonts w:ascii="Times New Roman" w:cs="Times New Roman" w:eastAsia="Times New Roman" w:hAnsi="Times New Roman"/>
          <w:sz w:val="16"/>
          <w:szCs w:val="16"/>
          <w:color w:val="auto"/>
        </w:rPr>
        <w:t>. If Borrower fails to obtain the insurance called for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fails to pay any premium thereon or fails to pay any other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Borrower is obligated to pay under this Agreement or any other Loan Document, Agent may obtain such insurance or make such payment, and all amounts so paid by Lenders or Agent are Lender Expenses and immediately due and payable, bearing interest at the Default Rate if not paid when due, and secured by the Collateral. No payments by Agent or Lenders are deemed an agreement to make similar payments in the future or Agent’s or Lender’s waiver of any Event of Default.</w:t>
      </w:r>
    </w:p>
    <w:p>
      <w:pPr>
        <w:spacing w:after="0" w:line="107" w:lineRule="exact"/>
        <w:rPr>
          <w:sz w:val="20"/>
          <w:szCs w:val="20"/>
          <w:color w:val="auto"/>
        </w:rPr>
      </w:pPr>
    </w:p>
    <w:p>
      <w:pPr>
        <w:ind w:right="2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8.4. Application of Payments and Proceeds Upon Default</w:t>
      </w:r>
      <w:r>
        <w:rPr>
          <w:rFonts w:ascii="Times New Roman" w:cs="Times New Roman" w:eastAsia="Times New Roman" w:hAnsi="Times New Roman"/>
          <w:sz w:val="16"/>
          <w:szCs w:val="16"/>
          <w:color w:val="auto"/>
        </w:rPr>
        <w:t>. If an Event of Default has occurred and is continuing, Agent may apply any funds in its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Lender’s possession, whether from payments, proceeds realized as the result of any collection of Accounts or other disposition of the Collateral, or otherwise, to the Obligations in such order as Agent shall determine in its sole discretion. Any surplus shall be paid to Borrower or other Persons legally entitled thereto. Borrower shall remain liable to Lenders for any deficiency. If Agent, in its good faith business judgment, directly or indirectly enters into a deferred payment or other credit transaction with any purchaser at any sale of Collateral, Agent shall have the option, exercisable</w:t>
      </w:r>
    </w:p>
    <w:p>
      <w:pPr>
        <w:sectPr>
          <w:pgSz w:w="11900" w:h="16838" w:orient="portrait"/>
          <w:cols w:equalWidth="0" w:num="1">
            <w:col w:w="11460"/>
          </w:cols>
          <w:pgMar w:left="220" w:top="331" w:right="219" w:bottom="1440" w:gutter="0" w:footer="0" w:header="0"/>
        </w:sectPr>
      </w:pPr>
    </w:p>
    <w:bookmarkStart w:id="84" w:name="page85"/>
    <w:bookmarkEnd w:id="84"/>
    <w:p>
      <w:pPr>
        <w:ind w:right="280"/>
        <w:spacing w:after="0" w:line="279" w:lineRule="auto"/>
        <w:rPr>
          <w:sz w:val="20"/>
          <w:szCs w:val="20"/>
          <w:color w:val="auto"/>
        </w:rPr>
      </w:pPr>
      <w:r>
        <w:rPr>
          <w:rFonts w:ascii="Times New Roman" w:cs="Times New Roman" w:eastAsia="Times New Roman" w:hAnsi="Times New Roman"/>
          <w:sz w:val="16"/>
          <w:szCs w:val="16"/>
          <w:color w:val="auto"/>
        </w:rPr>
        <w:t>at any time, of either reducing the Obligations by the principal amount of the purchase price or deferring the reduction of the Obligations until the actual receipt by Agent of cash therefor.</w:t>
      </w:r>
    </w:p>
    <w:p>
      <w:pPr>
        <w:spacing w:after="0" w:line="90" w:lineRule="exact"/>
        <w:rPr>
          <w:sz w:val="20"/>
          <w:szCs w:val="20"/>
          <w:color w:val="auto"/>
        </w:rPr>
      </w:pPr>
    </w:p>
    <w:p>
      <w:pPr>
        <w:ind w:right="16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8.5. Liability for Collateral</w:t>
      </w:r>
      <w:r>
        <w:rPr>
          <w:rFonts w:ascii="Times New Roman" w:cs="Times New Roman" w:eastAsia="Times New Roman" w:hAnsi="Times New Roman"/>
          <w:sz w:val="16"/>
          <w:szCs w:val="16"/>
          <w:color w:val="auto"/>
        </w:rPr>
        <w:t>. So long as Agent complies with reasonable lending practices regarding the safekeeping of the Collateral in Agent’s or Lender’s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possession or under their control, neither Agent nor Lender shall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07" w:lineRule="exact"/>
        <w:rPr>
          <w:sz w:val="20"/>
          <w:szCs w:val="20"/>
          <w:color w:val="auto"/>
        </w:rPr>
      </w:pPr>
    </w:p>
    <w:p>
      <w:pPr>
        <w:ind w:right="160" w:firstLine="531"/>
        <w:spacing w:after="0" w:line="251" w:lineRule="auto"/>
        <w:rPr>
          <w:sz w:val="20"/>
          <w:szCs w:val="20"/>
          <w:color w:val="auto"/>
        </w:rPr>
      </w:pPr>
      <w:r>
        <w:rPr>
          <w:rFonts w:ascii="Times New Roman" w:cs="Times New Roman" w:eastAsia="Times New Roman" w:hAnsi="Times New Roman"/>
          <w:sz w:val="16"/>
          <w:szCs w:val="16"/>
          <w:b w:val="1"/>
          <w:bCs w:val="1"/>
          <w:color w:val="auto"/>
        </w:rPr>
        <w:t>8.6. No Waiver; Remedies Cumulative</w:t>
      </w:r>
      <w:r>
        <w:rPr>
          <w:rFonts w:ascii="Times New Roman" w:cs="Times New Roman" w:eastAsia="Times New Roman" w:hAnsi="Times New Roman"/>
          <w:sz w:val="16"/>
          <w:szCs w:val="16"/>
          <w:color w:val="auto"/>
        </w:rPr>
        <w:t>. Agent’s or any Lender’s failure, at any time or times, to require strict performance by Borrower of any provision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or any other Loan Document shall not waive, affect, or diminish any right of Agent or Lender thereafter to demand strict performance and compliance herewith or therewith. No waiver hereunder shall be effective unless signed by the party granting the waiver and then is only effective for the specific instance and purpose for which it is given. Agent’s and Lenders’ rights and remedies under this Agreement and the other Loan Documents are cumulative. Agent and Lenders have all rights and remedies provided under the Code, by law, or in equity. Agent’s or Lenders’ exercise of one right or remedy is not an election and shall not preclude either from exercising any other remedy under this Agreement or other remedy available at law or in equity, and Agent’s or Lenders’ waiver of any Event of Default is not a continuing waiver. Agent’s or Lenders’ delay in exercising any remedy is not a waiver, election, or acquiescence.</w:t>
      </w:r>
    </w:p>
    <w:p>
      <w:pPr>
        <w:spacing w:after="0" w:line="112" w:lineRule="exact"/>
        <w:rPr>
          <w:sz w:val="20"/>
          <w:szCs w:val="20"/>
          <w:color w:val="auto"/>
        </w:rPr>
      </w:pPr>
    </w:p>
    <w:p>
      <w:pPr>
        <w:jc w:val="both"/>
        <w:ind w:right="18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8.7. Demand Waiver</w:t>
      </w:r>
      <w:r>
        <w:rPr>
          <w:rFonts w:ascii="Times New Roman" w:cs="Times New Roman" w:eastAsia="Times New Roman" w:hAnsi="Times New Roman"/>
          <w:sz w:val="16"/>
          <w:szCs w:val="16"/>
          <w:color w:val="auto"/>
        </w:rPr>
        <w:t>. Borrower waives demand, notice of default or dishonor, notice of payment and nonpayment, notice of any default, nonpayment at maturity,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release, compromise, settlement, extension, or renewal of accounts, documents, instruments, chattel paper, and guarantees held by Agent or any Lender on which Borrower is liable, except when any such notice, demand or any other of the foregoing actions are specifically provided for in this Agreement.</w:t>
      </w:r>
    </w:p>
    <w:p>
      <w:pPr>
        <w:spacing w:after="0" w:line="191" w:lineRule="exact"/>
        <w:rPr>
          <w:sz w:val="20"/>
          <w:szCs w:val="20"/>
          <w:color w:val="auto"/>
        </w:rPr>
      </w:pPr>
    </w:p>
    <w:p>
      <w:pPr>
        <w:ind w:firstLine="531"/>
        <w:spacing w:after="0" w:line="250" w:lineRule="auto"/>
        <w:rPr>
          <w:sz w:val="20"/>
          <w:szCs w:val="20"/>
          <w:color w:val="auto"/>
        </w:rPr>
      </w:pPr>
      <w:r>
        <w:rPr>
          <w:rFonts w:ascii="Times New Roman" w:cs="Times New Roman" w:eastAsia="Times New Roman" w:hAnsi="Times New Roman"/>
          <w:sz w:val="16"/>
          <w:szCs w:val="16"/>
          <w:b w:val="1"/>
          <w:bCs w:val="1"/>
          <w:color w:val="auto"/>
        </w:rPr>
        <w:t>8.8. No Marshaling or Related Rights</w:t>
      </w:r>
      <w:r>
        <w:rPr>
          <w:rFonts w:ascii="Times New Roman" w:cs="Times New Roman" w:eastAsia="Times New Roman" w:hAnsi="Times New Roman"/>
          <w:sz w:val="16"/>
          <w:szCs w:val="16"/>
          <w:color w:val="auto"/>
        </w:rPr>
        <w:t>. Borrower waives (a) any suretyship defenses available to it under the Code or any other applicable law, and (b) any right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require Agent or Lenders to: (i) proceed against any other person; (ii) proceed against or exhaust any security; or (iii) pursue any other remedy. Agent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Borrower irrevocably waives all rights that it may have at law or in equity (including, without limitation, any law subrogating Borrower to the rights of Agent or Lenders under this Agreement) to benefit from, or to participate in, any security for the Obligations as a result of any payment made with respect to the Obligations in connection with this Agreement or otherwise. If any payment is made to Borrower in contravention of this </w:t>
      </w:r>
      <w:r>
        <w:rPr>
          <w:rFonts w:ascii="Times New Roman" w:cs="Times New Roman" w:eastAsia="Times New Roman" w:hAnsi="Times New Roman"/>
          <w:sz w:val="16"/>
          <w:szCs w:val="16"/>
          <w:u w:val="single" w:color="auto"/>
          <w:color w:val="auto"/>
        </w:rPr>
        <w:t>Section 8.8</w:t>
      </w:r>
      <w:r>
        <w:rPr>
          <w:rFonts w:ascii="Times New Roman" w:cs="Times New Roman" w:eastAsia="Times New Roman" w:hAnsi="Times New Roman"/>
          <w:sz w:val="16"/>
          <w:szCs w:val="16"/>
          <w:color w:val="auto"/>
        </w:rPr>
        <w:t>, Borrower shall hold such payment in trust for Agent and such payment shall be promptly delivered to Agent for application to the Obligations, whether matured or unmatured.</w:t>
      </w:r>
    </w:p>
    <w:p>
      <w:pPr>
        <w:spacing w:after="0" w:line="25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SECTION 9.</w:t>
      </w:r>
      <w:r>
        <w:rPr>
          <w:sz w:val="20"/>
          <w:szCs w:val="20"/>
          <w:color w:val="auto"/>
        </w:rPr>
        <w:tab/>
      </w:r>
      <w:r>
        <w:rPr>
          <w:rFonts w:ascii="Times New Roman" w:cs="Times New Roman" w:eastAsia="Times New Roman" w:hAnsi="Times New Roman"/>
          <w:sz w:val="16"/>
          <w:szCs w:val="16"/>
          <w:b w:val="1"/>
          <w:bCs w:val="1"/>
          <w:u w:val="single" w:color="auto"/>
          <w:color w:val="auto"/>
        </w:rPr>
        <w:t>RESERVED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SECTION 10. </w:t>
      </w:r>
      <w:r>
        <w:rPr>
          <w:rFonts w:ascii="Times New Roman" w:cs="Times New Roman" w:eastAsia="Times New Roman" w:hAnsi="Times New Roman"/>
          <w:sz w:val="16"/>
          <w:szCs w:val="16"/>
          <w:b w:val="1"/>
          <w:bCs w:val="1"/>
          <w:u w:val="single" w:color="auto"/>
          <w:color w:val="auto"/>
        </w:rPr>
        <w:t>NOTICES</w:t>
      </w:r>
    </w:p>
    <w:p>
      <w:pPr>
        <w:spacing w:after="0" w:line="238"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6"/>
          <w:szCs w:val="16"/>
          <w:color w:val="auto"/>
        </w:rPr>
        <w:t>Notices and other communications provided for herein or any of the other Loan Documents shall be in writing and shall be delivered by hand or overnight courier service, mailed by certified or registered mail, sent by fax or email, as follows:</w:t>
      </w:r>
    </w:p>
    <w:p>
      <w:pPr>
        <w:spacing w:after="0" w:line="36" w:lineRule="exact"/>
        <w:rPr>
          <w:sz w:val="20"/>
          <w:szCs w:val="20"/>
          <w:color w:val="auto"/>
        </w:rPr>
      </w:pPr>
    </w:p>
    <w:p>
      <w:pPr>
        <w:ind w:left="540" w:right="160" w:firstLine="530"/>
        <w:spacing w:after="0" w:line="279" w:lineRule="auto"/>
        <w:tabs>
          <w:tab w:leader="none" w:pos="138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Borrower, to it at 1420 N. McDowell Blvd., Petaluma, California 94954, Attention: Chief Financial Officer, Director of Legal Affairs (Fax No. 707-795-5835), (email: ksennesael@enphaseenergy.com and legal@enphaseenergy.com);</w:t>
      </w:r>
    </w:p>
    <w:p>
      <w:pPr>
        <w:spacing w:after="0" w:line="124" w:lineRule="exact"/>
        <w:rPr>
          <w:rFonts w:ascii="Times New Roman" w:cs="Times New Roman" w:eastAsia="Times New Roman" w:hAnsi="Times New Roman"/>
          <w:sz w:val="16"/>
          <w:szCs w:val="16"/>
          <w:color w:val="auto"/>
        </w:rPr>
      </w:pPr>
    </w:p>
    <w:p>
      <w:pPr>
        <w:ind w:left="540" w:right="120" w:firstLine="530"/>
        <w:spacing w:after="0" w:line="230" w:lineRule="auto"/>
        <w:tabs>
          <w:tab w:leader="none" w:pos="143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Agent, to it at 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 Santa Monica, CA 90405, Attention: Todd Jaquez-Fissori (email: todd.fissori@tennenbaumcapital.com), with a copy to </w:t>
      </w:r>
      <w:r>
        <w:rPr>
          <w:rFonts w:ascii="Times New Roman" w:cs="Times New Roman" w:eastAsia="Times New Roman" w:hAnsi="Times New Roman"/>
          <w:sz w:val="16"/>
          <w:szCs w:val="16"/>
          <w:u w:val="single" w:color="auto"/>
          <w:color w:val="auto"/>
        </w:rPr>
        <w:t>asher.finci@tennenbaumcapital.com</w:t>
      </w:r>
      <w:r>
        <w:rPr>
          <w:rFonts w:ascii="Times New Roman" w:cs="Times New Roman" w:eastAsia="Times New Roman" w:hAnsi="Times New Roman"/>
          <w:sz w:val="16"/>
          <w:szCs w:val="16"/>
          <w:color w:val="auto"/>
        </w:rPr>
        <w:t>);</w:t>
      </w:r>
    </w:p>
    <w:p>
      <w:pPr>
        <w:sectPr>
          <w:pgSz w:w="11900" w:h="16838" w:orient="portrait"/>
          <w:cols w:equalWidth="0" w:num="1">
            <w:col w:w="11460"/>
          </w:cols>
          <w:pgMar w:left="220" w:top="320" w:right="219" w:bottom="1440" w:gutter="0" w:footer="0" w:header="0"/>
        </w:sectPr>
      </w:pPr>
    </w:p>
    <w:bookmarkStart w:id="85" w:name="page86"/>
    <w:bookmarkEnd w:id="85"/>
    <w:p>
      <w:pPr>
        <w:ind w:left="540" w:firstLine="530"/>
        <w:spacing w:after="0" w:line="279" w:lineRule="auto"/>
        <w:tabs>
          <w:tab w:leader="none" w:pos="151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any Lender, the address listed on its signature page to this Agreement, or such other address provided in writing to Borrower and Agent from time to time after the Effective Date.</w:t>
      </w:r>
    </w:p>
    <w:p>
      <w:pPr>
        <w:spacing w:after="0" w:line="1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email or on the date five (5) Business Days after dispatch by certified or registered mail if mailed, in each case delivered, sent or mailed (properly addressed) to such party as provided in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or in accordance with the latest unrevoked direction from such party given in accordance with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All reports and other information required under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shall be delivered by Borrower by email, but if email is unavailable, then by fax.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11. CHOICE OF LAW, VENUE, JURY TRIAL WAIVER</w:t>
      </w:r>
    </w:p>
    <w:p>
      <w:pPr>
        <w:spacing w:after="0" w:line="148"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b w:val="1"/>
          <w:bCs w:val="1"/>
          <w:color w:val="auto"/>
        </w:rPr>
        <w:t>11.1 Governing Law</w:t>
      </w:r>
      <w:r>
        <w:rPr>
          <w:rFonts w:ascii="Times New Roman" w:cs="Times New Roman" w:eastAsia="Times New Roman" w:hAnsi="Times New Roman"/>
          <w:sz w:val="16"/>
          <w:szCs w:val="16"/>
          <w:color w:val="auto"/>
        </w:rPr>
        <w:t>. California law governs the Loan Documents without regard to principles of conflicts of law. Borrowers and Lender each submit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exclusive jurisdiction of the State and Federal courts in Los Angeles County, California; provided, however, that nothing in this Agreement shall be deemed to operate to preclude Lender from bringing suit or taking other legal action in any other jurisdiction to realize on the Collateral or any other security for the Obligations, or to enforce a judgment or other court order in favor of Lender. Borrower expressly submits and consents in advance to such jurisdiction in any action or suit commenced in any such court, and Borrower hereby waives any objection that it may have based upon lack of personal jurisdiction, improper venue, or </w:t>
      </w:r>
      <w:r>
        <w:rPr>
          <w:rFonts w:ascii="Times New Roman" w:cs="Times New Roman" w:eastAsia="Times New Roman" w:hAnsi="Times New Roman"/>
          <w:sz w:val="16"/>
          <w:szCs w:val="16"/>
          <w:i w:val="1"/>
          <w:iCs w:val="1"/>
          <w:color w:val="auto"/>
        </w:rPr>
        <w:t>forum non conveniens</w:t>
      </w:r>
      <w:r>
        <w:rPr>
          <w:rFonts w:ascii="Times New Roman" w:cs="Times New Roman" w:eastAsia="Times New Roman" w:hAnsi="Times New Roman"/>
          <w:sz w:val="16"/>
          <w:szCs w:val="16"/>
          <w:color w:val="auto"/>
        </w:rPr>
        <w:t xml:space="preserve">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Borrowers in accordance with,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this Agreement and that service so made shall be deemed completed upon the earlier to occur of Borrowers’ actual receipt thereof or three (3) days after deposit in the U.S. mails, proper postage prepaid.</w:t>
      </w:r>
    </w:p>
    <w:p>
      <w:pPr>
        <w:spacing w:after="0" w:line="117" w:lineRule="exact"/>
        <w:rPr>
          <w:sz w:val="20"/>
          <w:szCs w:val="20"/>
          <w:color w:val="auto"/>
        </w:rPr>
      </w:pPr>
    </w:p>
    <w:p>
      <w:pPr>
        <w:ind w:right="16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11.2 Waiver of Jury Trial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TO THE FULLEST EXTENT PERMITTED BY APPLICABLE LAW, BORROWER, AGENT AND EACH LENDER WAIVE THEIR RIGHT TO A JURY TRIAL OF ANY CLAIM OR CAUSE OF ACTION ARISING OUT OF OR BASED UPON THE LOAN DOCUMENTS OR ANY CONTEMPLATED TRANSACTION, INCLUDING CONTRACT, TORT, BREACH OF DUTY AND ALL OTHER CLAIMS. THIS WAIVER IS A MATERIAL INDUCEMENT FOR BOTH PARTIES TO ENTER INTO THIS AGREEMENT. EACH PARTY HAS REVIEWED THIS WAIVER WITH ITS COUNSEL</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ind w:right="60" w:firstLine="531"/>
        <w:spacing w:after="0" w:line="248" w:lineRule="auto"/>
        <w:rPr>
          <w:sz w:val="20"/>
          <w:szCs w:val="20"/>
          <w:color w:val="auto"/>
        </w:rPr>
      </w:pPr>
      <w:r>
        <w:rPr>
          <w:rFonts w:ascii="Times New Roman" w:cs="Times New Roman" w:eastAsia="Times New Roman" w:hAnsi="Times New Roman"/>
          <w:sz w:val="16"/>
          <w:szCs w:val="16"/>
          <w:b w:val="1"/>
          <w:bCs w:val="1"/>
          <w:color w:val="auto"/>
        </w:rPr>
        <w:t>11.3 Judicial Reference</w:t>
      </w:r>
      <w:r>
        <w:rPr>
          <w:rFonts w:ascii="Times New Roman" w:cs="Times New Roman" w:eastAsia="Times New Roman" w:hAnsi="Times New Roman"/>
          <w:sz w:val="16"/>
          <w:szCs w:val="16"/>
          <w:color w:val="auto"/>
        </w:rPr>
        <w:t>. WITHOUT INTENDING IN ANY WAY TO LIMIT THE PARTIES’ AGREEMENT TO WAIVE THEIR RESPECTIVE RIGHT 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Los Angeles County, California Superior Court) appointed in accordance with California Code of Civil Procedure Section 638 (or pursuant to comparable provisions of federal law if the dispute falls within the exclusive jurisdiction of the federal courts), sitting without a jury, in Los Angeles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Los Angeles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w:t>
      </w:r>
    </w:p>
    <w:p>
      <w:pPr>
        <w:sectPr>
          <w:pgSz w:w="11900" w:h="16838" w:orient="portrait"/>
          <w:cols w:equalWidth="0" w:num="1">
            <w:col w:w="11460"/>
          </w:cols>
          <w:pgMar w:left="220" w:top="320" w:right="219" w:bottom="1440" w:gutter="0" w:footer="0" w:header="0"/>
        </w:sectPr>
      </w:pPr>
    </w:p>
    <w:bookmarkStart w:id="86" w:name="page87"/>
    <w:bookmarkEnd w:id="86"/>
    <w:p>
      <w:pPr>
        <w:ind w:right="200"/>
        <w:spacing w:after="0" w:line="279" w:lineRule="auto"/>
        <w:rPr>
          <w:sz w:val="20"/>
          <w:szCs w:val="20"/>
          <w:color w:val="auto"/>
        </w:rPr>
      </w:pPr>
      <w:r>
        <w:rPr>
          <w:rFonts w:ascii="Times New Roman" w:cs="Times New Roman" w:eastAsia="Times New Roman" w:hAnsi="Times New Roman"/>
          <w:sz w:val="16"/>
          <w:szCs w:val="16"/>
          <w:color w:val="auto"/>
        </w:rPr>
        <w:t>of discovery applicable to judicial proceedings. The private judge shall oversee discovery and may enforce all discovery rules and orders applicable to judicial proceedings in the same manner as a trial court judge.</w:t>
      </w:r>
    </w:p>
    <w:p>
      <w:pPr>
        <w:spacing w:after="0" w:line="90" w:lineRule="exact"/>
        <w:rPr>
          <w:sz w:val="20"/>
          <w:szCs w:val="20"/>
          <w:color w:val="auto"/>
        </w:rPr>
      </w:pPr>
    </w:p>
    <w:p>
      <w:pPr>
        <w:ind w:right="6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11.4 Scope of Authority</w:t>
      </w:r>
      <w:r>
        <w:rPr>
          <w:rFonts w:ascii="Times New Roman" w:cs="Times New Roman" w:eastAsia="Times New Roman" w:hAnsi="Times New Roman"/>
          <w:sz w:val="16"/>
          <w:szCs w:val="16"/>
          <w:color w:val="auto"/>
        </w:rPr>
        <w:t>. The parties agree that the selected or appointed private judge shall have the power to decide all issues in the action or proceeding, whether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12. AGENT PROVISIONS</w:t>
      </w:r>
    </w:p>
    <w:p>
      <w:pPr>
        <w:spacing w:after="0" w:line="148" w:lineRule="exact"/>
        <w:rPr>
          <w:sz w:val="20"/>
          <w:szCs w:val="20"/>
          <w:color w:val="auto"/>
        </w:rPr>
      </w:pPr>
    </w:p>
    <w:p>
      <w:pPr>
        <w:ind w:right="10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12.1 Appointment</w:t>
      </w:r>
      <w:r>
        <w:rPr>
          <w:rFonts w:ascii="Times New Roman" w:cs="Times New Roman" w:eastAsia="Times New Roman" w:hAnsi="Times New Roman"/>
          <w:sz w:val="16"/>
          <w:szCs w:val="16"/>
          <w:color w:val="auto"/>
        </w:rPr>
        <w:t>. Each Lender hereby irrevocably appoints Agent its agent and authorizes Agent to take such actions on its behalf and to exercise such powers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delegated to such Agent by the terms of the Loan Documents, together with such actions and powers as are reasonably incidental thereto. Without limiting the generality of the foregoing, Agent is hereby expressly authorized to execute any and all documents (including releases) with respect to the Collateral and the rights of Lenders with respect thereto, as contemplated by and in accordance with the provisions of this Agreement and the Security Documents.</w:t>
      </w:r>
    </w:p>
    <w:p>
      <w:pPr>
        <w:spacing w:after="0" w:line="107" w:lineRule="exact"/>
        <w:rPr>
          <w:sz w:val="20"/>
          <w:szCs w:val="20"/>
          <w:color w:val="auto"/>
        </w:rPr>
      </w:pPr>
    </w:p>
    <w:p>
      <w:pPr>
        <w:ind w:right="220"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12.2 Dual Capacities</w:t>
      </w:r>
      <w:r>
        <w:rPr>
          <w:rFonts w:ascii="Times New Roman" w:cs="Times New Roman" w:eastAsia="Times New Roman" w:hAnsi="Times New Roman"/>
          <w:sz w:val="16"/>
          <w:szCs w:val="16"/>
          <w:color w:val="auto"/>
        </w:rPr>
        <w:t>. The Person serving as Agent hereunder shall have the same rights and powers in its capacity as a Lender as any other Lender and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the same as though it were not an Agent, and such Person and its Affiliates may provide debt financing, equity capital or other services (including financial advisory services) to any of the Loan Parties (or any Person engaged in similar business as that engaged in by any of the Loan Parties) as if such Person was not performing the duties specified herein, and may accept fees and other consideration from any of the Loan Parties for services in connection with this Agreement and otherwise without having to account for the same to Lenders.</w:t>
      </w:r>
    </w:p>
    <w:p>
      <w:pPr>
        <w:spacing w:after="0" w:line="110" w:lineRule="exact"/>
        <w:rPr>
          <w:sz w:val="20"/>
          <w:szCs w:val="20"/>
          <w:color w:val="auto"/>
        </w:rPr>
      </w:pPr>
    </w:p>
    <w:p>
      <w:pPr>
        <w:ind w:left="54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12.3</w:t>
        <w:tab/>
        <w:t>Limitation of Liability</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1070"/>
        <w:spacing w:after="0" w:line="276" w:lineRule="auto"/>
        <w:tabs>
          <w:tab w:leader="none" w:pos="149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Agent shall have no duties or obligations except those expressly set forth in the Loan Documents. Without limiting the generality of the foregoing, (i) Agent shall not be subject to any fiduciary or other implied duties, regardless of whether an Event of Default has occurred and is continuing, (ii) Agent shall have no duty to take any discretionary action or exercise any discretionary powers, except discretionary rights and powers expressly contemplated hereby that such Agent is instructed in writing to exercise by the Required Lenders (or such other number or percentage of Lenders as shall be necessary under the circumstances as provided in </w:t>
      </w:r>
      <w:r>
        <w:rPr>
          <w:rFonts w:ascii="Times New Roman" w:cs="Times New Roman" w:eastAsia="Times New Roman" w:hAnsi="Times New Roman"/>
          <w:sz w:val="16"/>
          <w:szCs w:val="16"/>
          <w:u w:val="single" w:color="auto"/>
          <w:color w:val="auto"/>
        </w:rPr>
        <w:t>Section 13.7</w:t>
      </w:r>
      <w:r>
        <w:rPr>
          <w:rFonts w:ascii="Times New Roman" w:cs="Times New Roman" w:eastAsia="Times New Roman" w:hAnsi="Times New Roman"/>
          <w:sz w:val="16"/>
          <w:szCs w:val="16"/>
          <w:color w:val="auto"/>
        </w:rPr>
        <w:t xml:space="preserve">), and (iii) except as expressly set forth in the Loan Documents, Agent shall not have any duty to disclose, nor shall it be liable for the failure to disclose, any information relating to Borrower or any of the Subsidiaries that is communicated to or obtained by the Person serving as Agent and/or Agent or any of its Affiliates in any capacity. Agent shall not be liable for any action taken or not taken by it with the consent or at the request of the Required Lenders (or such other number or percentage of Lenders as shall be necessary under the circumstances as provided in </w:t>
      </w:r>
      <w:r>
        <w:rPr>
          <w:rFonts w:ascii="Times New Roman" w:cs="Times New Roman" w:eastAsia="Times New Roman" w:hAnsi="Times New Roman"/>
          <w:sz w:val="16"/>
          <w:szCs w:val="16"/>
          <w:u w:val="single" w:color="auto"/>
          <w:color w:val="auto"/>
        </w:rPr>
        <w:t>Section 13.7</w:t>
      </w:r>
      <w:r>
        <w:rPr>
          <w:rFonts w:ascii="Times New Roman" w:cs="Times New Roman" w:eastAsia="Times New Roman" w:hAnsi="Times New Roman"/>
          <w:sz w:val="16"/>
          <w:szCs w:val="16"/>
          <w:color w:val="auto"/>
        </w:rPr>
        <w:t>) or in the absence of its own gross negligence or willful misconduct as finally judicially determined by a court of competent jurisdiction. Neither Agent nor any Lender shall be deemed to have knowledge of any Event of Default unless and until written notice thereof is given to such Agent or such Lender by Borrower, a Joining Party or a Lender, and neither Agent nor any Lender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any Loan Document, other than to confirm receipt of items expressly required to be delivered to such Agent or such Lender.</w:t>
      </w:r>
    </w:p>
    <w:p>
      <w:pPr>
        <w:spacing w:after="0" w:line="121" w:lineRule="exact"/>
        <w:rPr>
          <w:rFonts w:ascii="Times New Roman" w:cs="Times New Roman" w:eastAsia="Times New Roman" w:hAnsi="Times New Roman"/>
          <w:sz w:val="16"/>
          <w:szCs w:val="16"/>
          <w:color w:val="auto"/>
        </w:rPr>
      </w:pPr>
    </w:p>
    <w:p>
      <w:pPr>
        <w:ind w:right="340" w:firstLine="1070"/>
        <w:spacing w:after="0" w:line="308" w:lineRule="auto"/>
        <w:tabs>
          <w:tab w:leader="none" w:pos="151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 shall be entitled to rely upon, and shall not incur any liability for relying upon, any notice, request, certificate, consent, statement, instrument, document or other writing believed by it to be genuine and to have been signed or sent by the proper Person. Agent may also rely upon any statement made</w:t>
      </w:r>
    </w:p>
    <w:p>
      <w:pPr>
        <w:sectPr>
          <w:pgSz w:w="11900" w:h="16838" w:orient="portrait"/>
          <w:cols w:equalWidth="0" w:num="1">
            <w:col w:w="11460"/>
          </w:cols>
          <w:pgMar w:left="220" w:top="320" w:right="219" w:bottom="1440" w:gutter="0" w:footer="0" w:header="0"/>
        </w:sectPr>
      </w:pPr>
    </w:p>
    <w:bookmarkStart w:id="87" w:name="page88"/>
    <w:bookmarkEnd w:id="87"/>
    <w:p>
      <w:pPr>
        <w:ind w:right="20"/>
        <w:spacing w:after="0" w:line="291" w:lineRule="auto"/>
        <w:rPr>
          <w:sz w:val="20"/>
          <w:szCs w:val="20"/>
          <w:color w:val="auto"/>
        </w:rPr>
      </w:pPr>
      <w:r>
        <w:rPr>
          <w:rFonts w:ascii="Times New Roman" w:cs="Times New Roman" w:eastAsia="Times New Roman" w:hAnsi="Times New Roman"/>
          <w:sz w:val="16"/>
          <w:szCs w:val="16"/>
          <w:color w:val="auto"/>
        </w:rPr>
        <w:t>to it orally or by 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04" w:lineRule="exact"/>
        <w:rPr>
          <w:sz w:val="20"/>
          <w:szCs w:val="20"/>
          <w:color w:val="auto"/>
        </w:rPr>
      </w:pPr>
    </w:p>
    <w:p>
      <w:pPr>
        <w:ind w:right="220" w:firstLine="1070"/>
        <w:spacing w:after="0" w:line="285" w:lineRule="auto"/>
        <w:tabs>
          <w:tab w:leader="none" w:pos="149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 may perform any and all its duties and exercise its rights and powers by or through any one or more sub-agents appointed by it. Agent and any such sub-agent may perform any and all its duties and exercise its rights and powers by or through their respective Affiliates. The exculpatory provisions of the preceding paragraphs shall apply to any such sub-agent and to their Affiliates and any such sub-agent, and shall apply to their respective activities in connection with the syndication of the Term Loan as well as activities as Agent.</w:t>
      </w:r>
    </w:p>
    <w:p>
      <w:pPr>
        <w:spacing w:after="0" w:line="97" w:lineRule="exact"/>
        <w:rPr>
          <w:sz w:val="20"/>
          <w:szCs w:val="20"/>
          <w:color w:val="auto"/>
        </w:rPr>
      </w:pPr>
    </w:p>
    <w:p>
      <w:pPr>
        <w:ind w:right="180" w:firstLine="531"/>
        <w:spacing w:after="0" w:line="250" w:lineRule="auto"/>
        <w:rPr>
          <w:sz w:val="20"/>
          <w:szCs w:val="20"/>
          <w:color w:val="auto"/>
        </w:rPr>
      </w:pPr>
      <w:r>
        <w:rPr>
          <w:rFonts w:ascii="Times New Roman" w:cs="Times New Roman" w:eastAsia="Times New Roman" w:hAnsi="Times New Roman"/>
          <w:sz w:val="16"/>
          <w:szCs w:val="16"/>
          <w:b w:val="1"/>
          <w:bCs w:val="1"/>
          <w:color w:val="auto"/>
        </w:rPr>
        <w:t>12.4 Assignment</w:t>
      </w:r>
      <w:r>
        <w:rPr>
          <w:rFonts w:ascii="Times New Roman" w:cs="Times New Roman" w:eastAsia="Times New Roman" w:hAnsi="Times New Roman"/>
          <w:sz w:val="16"/>
          <w:szCs w:val="16"/>
          <w:color w:val="auto"/>
        </w:rPr>
        <w:t>. Subject to the appointment and acceptance of a successor Agent as provided below, Agent may resign at any time by notifying Lenders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Borrower. Upon any such resignation, the Required Lenders shall have the right to appoint a successor. If no successor shall have been so appointed by the Required Lenders and shall have accepted such appointment within 30 days after the retiring Agent gives notice of its resignation, then the retiring Agent may, on behalf of Lenders, appoint a successor Agent which shall be a bank with an office in California or New York, or an Affiliate of any such bank.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Borrower shall pay the reasonable fees of a successor Agent. After Agent’s resignation hereunder, the provisions of this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13.2</w:t>
      </w:r>
      <w:r>
        <w:rPr>
          <w:rFonts w:ascii="Times New Roman" w:cs="Times New Roman" w:eastAsia="Times New Roman" w:hAnsi="Times New Roman"/>
          <w:sz w:val="16"/>
          <w:szCs w:val="16"/>
          <w:color w:val="auto"/>
        </w:rPr>
        <w:t xml:space="preserve"> shall continue in effect for the benefit of such retiring Agent, its sub-agents and their respective Related Parties in respect of any actions taken or omitted to be taken by any of them while acting as Agent.</w:t>
      </w:r>
    </w:p>
    <w:p>
      <w:pPr>
        <w:spacing w:after="0" w:line="58" w:lineRule="exact"/>
        <w:rPr>
          <w:sz w:val="20"/>
          <w:szCs w:val="20"/>
          <w:color w:val="auto"/>
        </w:rPr>
      </w:pPr>
    </w:p>
    <w:p>
      <w:pPr>
        <w:ind w:right="20" w:firstLine="531"/>
        <w:spacing w:after="0" w:line="255" w:lineRule="auto"/>
        <w:rPr>
          <w:sz w:val="20"/>
          <w:szCs w:val="20"/>
          <w:color w:val="auto"/>
        </w:rPr>
      </w:pPr>
      <w:r>
        <w:rPr>
          <w:rFonts w:ascii="Times New Roman" w:cs="Times New Roman" w:eastAsia="Times New Roman" w:hAnsi="Times New Roman"/>
          <w:sz w:val="16"/>
          <w:szCs w:val="16"/>
          <w:b w:val="1"/>
          <w:bCs w:val="1"/>
          <w:color w:val="auto"/>
        </w:rPr>
        <w:t>12.5 Exculpation</w:t>
      </w:r>
      <w:r>
        <w:rPr>
          <w:rFonts w:ascii="Times New Roman" w:cs="Times New Roman" w:eastAsia="Times New Roman" w:hAnsi="Times New Roman"/>
          <w:sz w:val="16"/>
          <w:szCs w:val="16"/>
          <w:color w:val="auto"/>
        </w:rPr>
        <w:t>. Each Lender acknowledges that it has, independently and without reliance upon Agent or any other Lender and based on such documents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as it has deemed appropriate, made its own credit analysis and decision to enter into this Agreement. Each Lender also acknowledges that it will, independently and without reliance upon Agent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301" w:lineRule="exact"/>
        <w:rPr>
          <w:sz w:val="20"/>
          <w:szCs w:val="20"/>
          <w:color w:val="auto"/>
        </w:rPr>
      </w:pPr>
    </w:p>
    <w:p>
      <w:pPr>
        <w:ind w:firstLine="531"/>
        <w:spacing w:after="0" w:line="247" w:lineRule="auto"/>
        <w:rPr>
          <w:sz w:val="20"/>
          <w:szCs w:val="20"/>
          <w:color w:val="auto"/>
        </w:rPr>
      </w:pPr>
      <w:r>
        <w:rPr>
          <w:rFonts w:ascii="Times New Roman" w:cs="Times New Roman" w:eastAsia="Times New Roman" w:hAnsi="Times New Roman"/>
          <w:sz w:val="16"/>
          <w:szCs w:val="16"/>
          <w:b w:val="1"/>
          <w:bCs w:val="1"/>
          <w:color w:val="auto"/>
        </w:rPr>
        <w:t>12.6 Authorization</w:t>
      </w:r>
      <w:r>
        <w:rPr>
          <w:rFonts w:ascii="Times New Roman" w:cs="Times New Roman" w:eastAsia="Times New Roman" w:hAnsi="Times New Roman"/>
          <w:sz w:val="16"/>
          <w:szCs w:val="16"/>
          <w:color w:val="auto"/>
        </w:rPr>
        <w:t>. Each Lender hereby further authorizes Agent, on behalf of and for the benefit of Lenders, to enter into any of the Security Documents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Loan Document as secured party and to be Agent for and representative of Lenders thereunder, and each Lender agrees to be bound by the terms of each such document; provided that Agent shall not (i) enter into or consent to any material amendment, modification, termination or waiver of any provision contained in any such document or (ii) release any Collateral (except as otherwise expressly permitted or required pursuant to the terms of this Agreement or the applicable Security Document or Loan Document), in the case of each of clauses (i) and (ii) without the prior consent of Required Lenders (or, if required pursuant to </w:t>
      </w:r>
      <w:r>
        <w:rPr>
          <w:rFonts w:ascii="Times New Roman" w:cs="Times New Roman" w:eastAsia="Times New Roman" w:hAnsi="Times New Roman"/>
          <w:sz w:val="16"/>
          <w:szCs w:val="16"/>
          <w:u w:val="single" w:color="auto"/>
          <w:color w:val="auto"/>
        </w:rPr>
        <w:t>Section 13.7</w:t>
      </w:r>
      <w:r>
        <w:rPr>
          <w:rFonts w:ascii="Times New Roman" w:cs="Times New Roman" w:eastAsia="Times New Roman" w:hAnsi="Times New Roman"/>
          <w:sz w:val="16"/>
          <w:szCs w:val="16"/>
          <w:color w:val="auto"/>
        </w:rPr>
        <w:t>, all Lenders); provided further, however, that, without further written consent or authorization from Lenders, Agent may execute any documents or instruments necessary to (a) release any Lien encumbering any item of Collateral that is the subject of a sale or other Disposition of assets permitted by this Agreement or to which Required Lenders have otherwise consented, (b) release any Joining Party from the Joinder if all of the Equity Interests of such Joining Party are sold or otherwise Disposed of to any Person (other than an Affiliate of a Loan Party) pursuant to a sale or other Disposition permitted hereunder or to which Required Lenders have otherwise consented, or (c) subordinate the Liens of Agent, on behalf of Lenders, to any Permitted Liens or (d) release all Liens in accordance with Section 3.3. Anything contained in any of the Loan Documents to the contrary notwithstanding, Borrower, Agent and each Lender hereby agree that (1) no Lender shall have any right individually to realize upon any of the Collateral under or otherwise enforce any Security Document, it being understood and agreed that all powers, rights and remedies under the Security Documents may be exercised solely by Agent for the benefit of Lenders in accordance with the terms thereof, and (2) in the event of a foreclosure by either on any of the Collateral pursuant to a public or private sale, either Agent or any Lender may be the purchaser of any or all of such Collateral at any such sale and Agent, as agent for and representative of Lenders (but not any Lender or</w:t>
      </w:r>
    </w:p>
    <w:p>
      <w:pPr>
        <w:sectPr>
          <w:pgSz w:w="11900" w:h="16838" w:orient="portrait"/>
          <w:cols w:equalWidth="0" w:num="1">
            <w:col w:w="11460"/>
          </w:cols>
          <w:pgMar w:left="220" w:top="331" w:right="219" w:bottom="1440" w:gutter="0" w:footer="0" w:header="0"/>
        </w:sectPr>
      </w:pPr>
    </w:p>
    <w:bookmarkStart w:id="88" w:name="page89"/>
    <w:bookmarkEnd w:id="88"/>
    <w:p>
      <w:pPr>
        <w:ind w:right="60"/>
        <w:spacing w:after="0" w:line="256" w:lineRule="auto"/>
        <w:rPr>
          <w:sz w:val="20"/>
          <w:szCs w:val="20"/>
          <w:color w:val="auto"/>
        </w:rPr>
      </w:pPr>
      <w:r>
        <w:rPr>
          <w:rFonts w:ascii="Times New Roman" w:cs="Times New Roman" w:eastAsia="Times New Roman" w:hAnsi="Times New Roman"/>
          <w:sz w:val="16"/>
          <w:szCs w:val="16"/>
          <w:color w:val="auto"/>
        </w:rPr>
        <w:t>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Agent at such sale. Notwithstanding anything to the contrary herein, Agent shall be permitted to take any action it is authorized to take under any Loan Document.</w:t>
      </w:r>
    </w:p>
    <w:p>
      <w:pPr>
        <w:spacing w:after="0" w:line="108" w:lineRule="exact"/>
        <w:rPr>
          <w:sz w:val="20"/>
          <w:szCs w:val="20"/>
          <w:color w:val="auto"/>
        </w:rPr>
      </w:pPr>
    </w:p>
    <w:p>
      <w:pPr>
        <w:jc w:val="both"/>
        <w:ind w:right="32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12.7 Bankruptcy</w:t>
      </w:r>
      <w:r>
        <w:rPr>
          <w:rFonts w:ascii="Times New Roman" w:cs="Times New Roman" w:eastAsia="Times New Roman" w:hAnsi="Times New Roman"/>
          <w:sz w:val="16"/>
          <w:szCs w:val="16"/>
          <w:color w:val="auto"/>
        </w:rPr>
        <w:t>. In case of the pendency of any case or proceeding under any applicable Bankruptcy Law or any other judicial proceeding relative to any Loan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Agent (irrespective of whether the principal of any Loan shall then be due and payable as herein expressed or by declaration or otherwise and irrespective of whether Agent shall have made any demand on Borrower) shall be entitled and empowered (but not obligated) by intervention in such proceeding or otherwise:</w:t>
      </w:r>
    </w:p>
    <w:p>
      <w:pPr>
        <w:spacing w:after="0" w:line="116" w:lineRule="exact"/>
        <w:rPr>
          <w:sz w:val="20"/>
          <w:szCs w:val="20"/>
          <w:color w:val="auto"/>
        </w:rPr>
      </w:pPr>
    </w:p>
    <w:p>
      <w:pPr>
        <w:ind w:left="540" w:right="140" w:firstLine="530"/>
        <w:spacing w:after="0" w:line="278" w:lineRule="auto"/>
        <w:tabs>
          <w:tab w:leader="none" w:pos="150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file and prove a claim for the whole amount of the principal and interest owing and unpaid in respect of the Term Loan and all other Obligations that are owing or unpaid and to file such other documents as may be necessary or advisable in order to have the claims of Lenders and Agent (including any claim for the reasonable compensation, expenses, disbursements and advances of Lenders and Agent and their respective agents and counsel and all other amounts due Lenders and Agent under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13.2</w:t>
      </w:r>
      <w:r>
        <w:rPr>
          <w:rFonts w:ascii="Times New Roman" w:cs="Times New Roman" w:eastAsia="Times New Roman" w:hAnsi="Times New Roman"/>
          <w:sz w:val="16"/>
          <w:szCs w:val="16"/>
          <w:color w:val="auto"/>
        </w:rPr>
        <w:t>) allowed in such judicial proceeding; and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Agent and, in the event that Agent shall consent to the making of such payments directly to Lenders, to pay to Agent any amount due for the reasonable compensation, expenses, disbursements and advances of Agent and its agents and counsel, and any other amounts due Agent;</w:t>
      </w:r>
    </w:p>
    <w:p>
      <w:pPr>
        <w:spacing w:after="0" w:line="118" w:lineRule="exact"/>
        <w:rPr>
          <w:rFonts w:ascii="Times New Roman" w:cs="Times New Roman" w:eastAsia="Times New Roman" w:hAnsi="Times New Roman"/>
          <w:sz w:val="16"/>
          <w:szCs w:val="16"/>
          <w:color w:val="auto"/>
        </w:rPr>
      </w:pPr>
    </w:p>
    <w:p>
      <w:pPr>
        <w:ind w:left="540" w:right="240" w:firstLine="530"/>
        <w:spacing w:after="0" w:line="308" w:lineRule="auto"/>
        <w:tabs>
          <w:tab w:leader="none" w:pos="152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consent to, accept or adopt on behalf of any Lender any plan of reorganization, adjustment or composition affecting the Obligations or the rights of any Lender; and</w:t>
      </w:r>
    </w:p>
    <w:p>
      <w:pPr>
        <w:spacing w:after="0" w:line="91" w:lineRule="exact"/>
        <w:rPr>
          <w:rFonts w:ascii="Times New Roman" w:cs="Times New Roman" w:eastAsia="Times New Roman" w:hAnsi="Times New Roman"/>
          <w:sz w:val="16"/>
          <w:szCs w:val="16"/>
          <w:color w:val="auto"/>
        </w:rPr>
      </w:pPr>
    </w:p>
    <w:p>
      <w:pPr>
        <w:ind w:left="1500" w:hanging="430"/>
        <w:spacing w:after="0"/>
        <w:tabs>
          <w:tab w:leader="none" w:pos="15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vote in respect of the claim of any Lender in any Insolvency Proceeding.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13. GENERAL PROVISIONS</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13.1 Successors and Assigns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20" w:firstLine="1070"/>
        <w:spacing w:after="0" w:line="291" w:lineRule="auto"/>
        <w:tabs>
          <w:tab w:leader="none" w:pos="145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this Agreement any of the parties hereto is referred to, such reference shall be deemed to include the permitted successors and assigns of such party; and all covenants, promises and agreements by or on behalf of the Loan Parties, Agent or Lenders that are contained in this Agreement shall bind and inure to the benefit of their respective permitted successors and assigns.</w:t>
      </w:r>
    </w:p>
    <w:p>
      <w:pPr>
        <w:spacing w:after="0" w:line="49" w:lineRule="exact"/>
        <w:rPr>
          <w:rFonts w:ascii="Times New Roman" w:cs="Times New Roman" w:eastAsia="Times New Roman" w:hAnsi="Times New Roman"/>
          <w:sz w:val="16"/>
          <w:szCs w:val="16"/>
          <w:color w:val="auto"/>
        </w:rPr>
      </w:pPr>
    </w:p>
    <w:p>
      <w:pPr>
        <w:ind w:firstLine="1070"/>
        <w:spacing w:after="0" w:line="277" w:lineRule="auto"/>
        <w:tabs>
          <w:tab w:leader="none" w:pos="147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Lender shall make any Disposition of any or all of its interests, rights or obligations under this Agreement (including all or a portion of its Term Loan Commitment and the Loan at the time owing to it) without the prior written consent of Agent, which consent may be provided or withheld in Agent’s sole discretion. Any approved assignment shall be in an integral multiple of, and not less than, $1,000,000 (or, if less, the entire remaining amount of such Lender’s Commitment or Loan), the parties to such assignment shall execute and deliver to Agent an Assignment and Acceptance, together with a processing and recordation fee of $3,500 (provided that only one such fee shall be payable in the case of concurrent assignments to Persons that, after giving effect to such assignments, will be Related Funds), and the assignee, if it shall not be a Lender, shall deliver to Agent an Administrative Questionnaire and all applicable tax forms. Upon acceptance and recording pursuant to paragraph (d) of this Section 13.1,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w:t>
      </w:r>
    </w:p>
    <w:p>
      <w:pPr>
        <w:sectPr>
          <w:pgSz w:w="11900" w:h="16838" w:orient="portrait"/>
          <w:cols w:equalWidth="0" w:num="1">
            <w:col w:w="11460"/>
          </w:cols>
          <w:pgMar w:left="220" w:top="320" w:right="2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color w:val="auto"/>
        </w:rPr>
        <w:t>obligations under this Agreement, such Lender shall cease to be a party hereto but shall continue to be entitled to the benefits of Section 1.8, Section 1.11 and Section 13.2).</w:t>
      </w:r>
    </w:p>
    <w:p>
      <w:pPr>
        <w:spacing w:after="0" w:line="114" w:lineRule="exact"/>
        <w:rPr>
          <w:sz w:val="20"/>
          <w:szCs w:val="20"/>
          <w:color w:val="auto"/>
        </w:rPr>
      </w:pPr>
    </w:p>
    <w:p>
      <w:pPr>
        <w:ind w:firstLine="1070"/>
        <w:spacing w:after="0" w:line="276" w:lineRule="auto"/>
        <w:tabs>
          <w:tab w:leader="none" w:pos="145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that its Term Loan Commitment, and the outstanding balance of its Loan,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any other Loan Document or any other instrument or document furnished pursuant hereto, or the financial condition of Borrower or any Subsidiary or the performance or observance by Borrower or any Subsidiary of any of its obligations under this Agreement, any other Loan Document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referred to in Section 5.2 and such other documents and information as it has deemed appropriate to make its own credit analysis and decision to enter into such Assignment and Acceptance; (v) such assignee will independently and without reliance upon Agent, such assigning Lender or any other Lender and based on such documents and information as it shall deem appropriate at the time, continue to make its own credit decisions in taking or not taking action under the Loan Documents; (vi) such assignee appoints and authorizes Agent to take such action as Agent on its behalf and to exercise such powers under this Agreement as are delegated to Agent by the terms hereof, together with such powers as are reasonably incidental thereto; and (vii) such assignee agrees that it will perform in accordance with their terms all the obligations which by the terms of the Loan Documents are required to be performed by it as a Lender.</w:t>
      </w:r>
    </w:p>
    <w:p>
      <w:pPr>
        <w:spacing w:after="0" w:line="64" w:lineRule="exact"/>
        <w:rPr>
          <w:rFonts w:ascii="Times New Roman" w:cs="Times New Roman" w:eastAsia="Times New Roman" w:hAnsi="Times New Roman"/>
          <w:sz w:val="16"/>
          <w:szCs w:val="16"/>
          <w:color w:val="auto"/>
        </w:rPr>
      </w:pPr>
    </w:p>
    <w:p>
      <w:pPr>
        <w:ind w:right="20" w:firstLine="1070"/>
        <w:spacing w:after="0" w:line="282" w:lineRule="auto"/>
        <w:tabs>
          <w:tab w:leader="none" w:pos="147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 shall maintain at its principal executive offices a copy of each Assignment and Acceptance delivered to it and a register for the recordation of the names and addresses of Lenders, and the Term Loan Commitment of, and principal amount (and stated interest) of the Loan owing to, each Lender pursuant to the terms hereof from time to time (the “Register”). Absent manifest error, Borrower, Agent and Lenders shall treat each Person whose name is recorded in the Register pursuant to the terms hereof as a Lender hereunder for all purposes of this Agreement, notwithstanding notice to the contrary. The Register shall be available for inspection by Agent, Borrower and any Lender, at any reasonable time and from time to time upon reasonable prior notice.</w:t>
      </w:r>
    </w:p>
    <w:p>
      <w:pPr>
        <w:spacing w:after="0" w:line="57" w:lineRule="exact"/>
        <w:rPr>
          <w:rFonts w:ascii="Times New Roman" w:cs="Times New Roman" w:eastAsia="Times New Roman" w:hAnsi="Times New Roman"/>
          <w:sz w:val="16"/>
          <w:szCs w:val="16"/>
          <w:color w:val="auto"/>
        </w:rPr>
      </w:pPr>
    </w:p>
    <w:p>
      <w:pPr>
        <w:ind w:right="160" w:firstLine="1070"/>
        <w:spacing w:after="0" w:line="291" w:lineRule="auto"/>
        <w:tabs>
          <w:tab w:leader="none" w:pos="145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its receipt of, and consent to,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if applicable, and the written consent of Agent to such assignment and any applicable tax forms, Agent shall accept such Assignment and Acceptance.</w:t>
      </w:r>
    </w:p>
    <w:p>
      <w:pPr>
        <w:spacing w:after="0" w:line="49" w:lineRule="exact"/>
        <w:rPr>
          <w:rFonts w:ascii="Times New Roman" w:cs="Times New Roman" w:eastAsia="Times New Roman" w:hAnsi="Times New Roman"/>
          <w:sz w:val="16"/>
          <w:szCs w:val="16"/>
          <w:color w:val="auto"/>
        </w:rPr>
      </w:pPr>
    </w:p>
    <w:p>
      <w:pPr>
        <w:ind w:firstLine="1070"/>
        <w:spacing w:after="0" w:line="280" w:lineRule="auto"/>
        <w:tabs>
          <w:tab w:leader="none" w:pos="141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Lender is allowed to and proceeds with selling a participation of all or part of its rights and obligations under this Agreement, such Lender shall, acting solely for this purpose as an agent of Borrower and Agent, maintain a register on which it enters the name and address of each participant and the principal amounts (and stated interest) of each participant’s interest in the Loan or other obligations under the Loan Documents (the “Participant Register”).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60" w:lineRule="exact"/>
        <w:rPr>
          <w:rFonts w:ascii="Times New Roman" w:cs="Times New Roman" w:eastAsia="Times New Roman" w:hAnsi="Times New Roman"/>
          <w:sz w:val="16"/>
          <w:szCs w:val="16"/>
          <w:color w:val="auto"/>
        </w:rPr>
      </w:pPr>
    </w:p>
    <w:p>
      <w:pPr>
        <w:ind w:right="240" w:firstLine="1070"/>
        <w:spacing w:after="0" w:line="308" w:lineRule="auto"/>
        <w:tabs>
          <w:tab w:leader="none" w:pos="147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or participant may, in connection with any permitted assignment or participation or proposed assignment or participation pursuant to this Section 13.1, disclose to the assignee or participant or proposed assignee or participant any information relating to Borrower furnished to such Lender</w:t>
      </w:r>
    </w:p>
    <w:p>
      <w:pPr>
        <w:sectPr>
          <w:pgSz w:w="11900" w:h="16838" w:orient="portrait"/>
          <w:cols w:equalWidth="0" w:num="1">
            <w:col w:w="11400"/>
          </w:cols>
          <w:pgMar w:left="220" w:top="331" w:right="279" w:bottom="1440" w:gutter="0" w:footer="0" w:header="0"/>
        </w:sectPr>
      </w:pPr>
    </w:p>
    <w:bookmarkStart w:id="90" w:name="page91"/>
    <w:bookmarkEnd w:id="90"/>
    <w:p>
      <w:pPr>
        <w:ind w:right="200"/>
        <w:spacing w:after="0" w:line="291" w:lineRule="auto"/>
        <w:rPr>
          <w:sz w:val="20"/>
          <w:szCs w:val="20"/>
          <w:color w:val="auto"/>
        </w:rPr>
      </w:pPr>
      <w:r>
        <w:rPr>
          <w:rFonts w:ascii="Times New Roman" w:cs="Times New Roman" w:eastAsia="Times New Roman" w:hAnsi="Times New Roman"/>
          <w:sz w:val="16"/>
          <w:szCs w:val="16"/>
          <w:color w:val="auto"/>
        </w:rPr>
        <w:t>by or on behalf of Borrower; provided that, prior to any such disclosure of information designated by Borrower as confidential, each such assignee or participant or proposed assignee or participant shall execute an agreement whereby such assignee or participant shall agree (subject to customary exceptions) to preserve the confidentiality of such confidential information on terms no less restrictive than those applicable to Lenders pursuant to Section 13.1.</w:t>
      </w:r>
    </w:p>
    <w:p>
      <w:pPr>
        <w:spacing w:after="0" w:line="49" w:lineRule="exact"/>
        <w:rPr>
          <w:sz w:val="20"/>
          <w:szCs w:val="20"/>
          <w:color w:val="auto"/>
        </w:rPr>
      </w:pPr>
    </w:p>
    <w:p>
      <w:pPr>
        <w:ind w:right="300" w:firstLine="1070"/>
        <w:spacing w:after="0" w:line="308" w:lineRule="auto"/>
        <w:tabs>
          <w:tab w:leader="none" w:pos="147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Loan Party shall assign or delegate any of its rights or duties hereunder without the prior written consent of Agent, and any attempted assignment without such consent shall be null and void.</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13.2 Indemnity</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ind w:right="20" w:firstLine="1070"/>
        <w:spacing w:after="0" w:line="274" w:lineRule="auto"/>
        <w:tabs>
          <w:tab w:leader="none" w:pos="144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Loan Party agrees, jointly and severally, to indemnify Agent, each Lender and each Related Party of any of the foregoing Persons (each such Person being called an “</w:t>
      </w:r>
      <w:r>
        <w:rPr>
          <w:rFonts w:ascii="Times New Roman" w:cs="Times New Roman" w:eastAsia="Times New Roman" w:hAnsi="Times New Roman"/>
          <w:sz w:val="16"/>
          <w:szCs w:val="16"/>
          <w:b w:val="1"/>
          <w:bCs w:val="1"/>
          <w:i w:val="1"/>
          <w:iCs w:val="1"/>
          <w:color w:val="auto"/>
        </w:rPr>
        <w:t>Indemnitee</w:t>
      </w:r>
      <w:r>
        <w:rPr>
          <w:rFonts w:ascii="Times New Roman" w:cs="Times New Roman" w:eastAsia="Times New Roman" w:hAnsi="Times New Roman"/>
          <w:sz w:val="16"/>
          <w:szCs w:val="16"/>
          <w:color w:val="auto"/>
        </w:rPr>
        <w:t>”) against, and to hold each Indemnitee harmless from, any and all losses, claims, damages, liabilities, obligations, penalties, actions, judgments, suits, costs, charges, expenses or disbursements (including Lender’s Expenses and reasonable attorney’s fees and the allocated cost of in-house counsel) of any kind or nature whatsoever incurred by or asserted against any Indemnitee arising out of, in any way connected with, or as a result of (i) the execution, delivery, enforcement or administration of this Agreement or any other Loan Document or any agreement or instrument contemplated thereby, the performance by the parties thereto of their respective obligations thereunder or the consummation of the transactions contemplated thereby (including any syndication of the Loan), (ii) the use of the proceeds of the Loan, (iii) any claim, litigation, investigation or proceeding relating to any of the foregoing (including any case, action or proceeding before any court or other Governmental Authority relating to bankruptcy, reorganization, insolvency, liquidation, dissolution or relief of debtors or any appellate proceeding), whether or not any Indemnitee is a party thereto or the plaintiff or defendant thereunder (and regardless of whether such matter is initiated by a third party, a Lender, Borrower, any other Loan Party or any of their respective Affiliates), or</w:t>
      </w:r>
    </w:p>
    <w:p>
      <w:pPr>
        <w:ind w:right="100" w:firstLine="8"/>
        <w:spacing w:after="0" w:line="282" w:lineRule="auto"/>
        <w:tabs>
          <w:tab w:leader="none" w:pos="27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actual or alleged Environmental Liability related in any way to any Loan Party, provided that such indemnity shall not, as to any Indemnitee, be available to the extent that such losses, claims, damages, liabilities or related expenses are determined by a court of competent jurisdiction by final and nonappealable judgment to have resulted primarily from the gross negligence or willful misconduct of such Indemnitee. The obligations in this </w:t>
      </w:r>
      <w:r>
        <w:rPr>
          <w:rFonts w:ascii="Times New Roman" w:cs="Times New Roman" w:eastAsia="Times New Roman" w:hAnsi="Times New Roman"/>
          <w:sz w:val="16"/>
          <w:szCs w:val="16"/>
          <w:u w:val="single" w:color="auto"/>
          <w:color w:val="auto"/>
        </w:rPr>
        <w:t>Section 13.2</w:t>
      </w:r>
      <w:r>
        <w:rPr>
          <w:rFonts w:ascii="Times New Roman" w:cs="Times New Roman" w:eastAsia="Times New Roman" w:hAnsi="Times New Roman"/>
          <w:sz w:val="16"/>
          <w:szCs w:val="16"/>
          <w:color w:val="auto"/>
        </w:rPr>
        <w:t xml:space="preserve"> shall survive payment of all other Obligations. At the election of any Indemnitee, Borrower shall defend such Indemnitee using legal counsel satisfactory to such Indemnitee in such Person’s sole discretion, at the sole cost and expense of Borrower. All amounts owing under this </w:t>
      </w:r>
      <w:r>
        <w:rPr>
          <w:rFonts w:ascii="Times New Roman" w:cs="Times New Roman" w:eastAsia="Times New Roman" w:hAnsi="Times New Roman"/>
          <w:sz w:val="16"/>
          <w:szCs w:val="16"/>
          <w:u w:val="single" w:color="auto"/>
          <w:color w:val="auto"/>
        </w:rPr>
        <w:t>Section 13.2</w:t>
      </w:r>
      <w:r>
        <w:rPr>
          <w:rFonts w:ascii="Times New Roman" w:cs="Times New Roman" w:eastAsia="Times New Roman" w:hAnsi="Times New Roman"/>
          <w:sz w:val="16"/>
          <w:szCs w:val="16"/>
          <w:color w:val="auto"/>
        </w:rPr>
        <w:t xml:space="preserve"> shall be paid within thirty (30) days after written demand.</w:t>
      </w:r>
    </w:p>
    <w:p>
      <w:pPr>
        <w:spacing w:after="0" w:line="57" w:lineRule="exact"/>
        <w:rPr>
          <w:rFonts w:ascii="Times New Roman" w:cs="Times New Roman" w:eastAsia="Times New Roman" w:hAnsi="Times New Roman"/>
          <w:sz w:val="16"/>
          <w:szCs w:val="16"/>
          <w:color w:val="auto"/>
        </w:rPr>
      </w:pPr>
    </w:p>
    <w:p>
      <w:pPr>
        <w:ind w:right="260" w:firstLine="1070"/>
        <w:spacing w:after="0" w:line="285" w:lineRule="auto"/>
        <w:tabs>
          <w:tab w:leader="none" w:pos="144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that Borrower or any Joining Party fails to pay any amount required to be paid by them to Agent under </w:t>
      </w:r>
      <w:r>
        <w:rPr>
          <w:rFonts w:ascii="Times New Roman" w:cs="Times New Roman" w:eastAsia="Times New Roman" w:hAnsi="Times New Roman"/>
          <w:sz w:val="16"/>
          <w:szCs w:val="16"/>
          <w:u w:val="single" w:color="auto"/>
          <w:color w:val="auto"/>
        </w:rPr>
        <w:t>Section 13.2(a)</w:t>
      </w:r>
      <w:r>
        <w:rPr>
          <w:rFonts w:ascii="Times New Roman" w:cs="Times New Roman" w:eastAsia="Times New Roman" w:hAnsi="Times New Roman"/>
          <w:sz w:val="16"/>
          <w:szCs w:val="16"/>
          <w:color w:val="auto"/>
        </w:rPr>
        <w:t>, each Lender severally agrees to pay to Agent, as the case may be, such Lender’s Pro Rata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Agent in its capacity as such.</w:t>
      </w:r>
    </w:p>
    <w:p>
      <w:pPr>
        <w:spacing w:after="0" w:line="54" w:lineRule="exact"/>
        <w:rPr>
          <w:rFonts w:ascii="Times New Roman" w:cs="Times New Roman" w:eastAsia="Times New Roman" w:hAnsi="Times New Roman"/>
          <w:sz w:val="16"/>
          <w:szCs w:val="16"/>
          <w:color w:val="auto"/>
        </w:rPr>
      </w:pPr>
    </w:p>
    <w:p>
      <w:pPr>
        <w:ind w:right="20" w:firstLine="1070"/>
        <w:spacing w:after="0" w:line="291" w:lineRule="auto"/>
        <w:tabs>
          <w:tab w:leader="none" w:pos="144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neither Borrower nor any Joining Party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any Loan or the use of the proceeds thereof.</w:t>
      </w:r>
    </w:p>
    <w:p>
      <w:pPr>
        <w:spacing w:after="0" w:line="49" w:lineRule="exact"/>
        <w:rPr>
          <w:rFonts w:ascii="Times New Roman" w:cs="Times New Roman" w:eastAsia="Times New Roman" w:hAnsi="Times New Roman"/>
          <w:sz w:val="16"/>
          <w:szCs w:val="16"/>
          <w:color w:val="auto"/>
        </w:rPr>
      </w:pPr>
    </w:p>
    <w:p>
      <w:pPr>
        <w:ind w:right="200" w:firstLine="1070"/>
        <w:spacing w:after="0" w:line="285" w:lineRule="auto"/>
        <w:tabs>
          <w:tab w:leader="none" w:pos="144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13.2</w:t>
      </w:r>
      <w:r>
        <w:rPr>
          <w:rFonts w:ascii="Times New Roman" w:cs="Times New Roman" w:eastAsia="Times New Roman" w:hAnsi="Times New Roman"/>
          <w:sz w:val="16"/>
          <w:szCs w:val="16"/>
          <w:color w:val="auto"/>
        </w:rPr>
        <w:t xml:space="preserve"> shall remain operative and in full force and effect regardless of the expiration of the term of this Agreement, the consummation of the transactions contemplated hereby, the repayment of any of the Loan, the expiration of the Term Loan Commitment, the invalidity or unenforceability of any term or provision of this Agreement or any other Loan Document, or any investigation made by or on behalf of Agent or any Lender. All amounts due under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13.2</w:t>
      </w:r>
      <w:r>
        <w:rPr>
          <w:rFonts w:ascii="Times New Roman" w:cs="Times New Roman" w:eastAsia="Times New Roman" w:hAnsi="Times New Roman"/>
          <w:sz w:val="16"/>
          <w:szCs w:val="16"/>
          <w:color w:val="auto"/>
        </w:rPr>
        <w:t xml:space="preserve"> shall be payable on written demand therefor.</w:t>
      </w:r>
    </w:p>
    <w:p>
      <w:pPr>
        <w:spacing w:after="0" w:line="41" w:lineRule="exact"/>
        <w:rPr>
          <w:sz w:val="20"/>
          <w:szCs w:val="20"/>
          <w:color w:val="auto"/>
        </w:rPr>
      </w:pPr>
    </w:p>
    <w:p>
      <w:pPr>
        <w:ind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13.3 Maximum Rate</w:t>
      </w:r>
      <w:r>
        <w:rPr>
          <w:rFonts w:ascii="Times New Roman" w:cs="Times New Roman" w:eastAsia="Times New Roman" w:hAnsi="Times New Roman"/>
          <w:sz w:val="16"/>
          <w:szCs w:val="16"/>
          <w:color w:val="auto"/>
        </w:rPr>
        <w:t>. Notwithstanding anything herein to the contrary, if at any time the interest rate applicable to the Term Loan, together with all fees, charges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amounts that are treated as interest on</w:t>
      </w:r>
    </w:p>
    <w:p>
      <w:pPr>
        <w:sectPr>
          <w:pgSz w:w="11900" w:h="16838" w:orient="portrait"/>
          <w:cols w:equalWidth="0" w:num="1">
            <w:col w:w="11440"/>
          </w:cols>
          <w:pgMar w:left="220" w:top="331" w:right="239" w:bottom="1440" w:gutter="0" w:footer="0" w:header="0"/>
        </w:sectPr>
      </w:pPr>
    </w:p>
    <w:bookmarkStart w:id="91" w:name="page92"/>
    <w:bookmarkEnd w:id="91"/>
    <w:p>
      <w:pPr>
        <w:ind w:right="140"/>
        <w:spacing w:after="0" w:line="253" w:lineRule="auto"/>
        <w:rPr>
          <w:sz w:val="20"/>
          <w:szCs w:val="20"/>
          <w:color w:val="auto"/>
        </w:rPr>
      </w:pPr>
      <w:r>
        <w:rPr>
          <w:rFonts w:ascii="Times New Roman" w:cs="Times New Roman" w:eastAsia="Times New Roman" w:hAnsi="Times New Roman"/>
          <w:sz w:val="16"/>
          <w:szCs w:val="16"/>
          <w:color w:val="auto"/>
        </w:rPr>
        <w:t>such loans under applicable law (collectively the “</w:t>
      </w:r>
      <w:r>
        <w:rPr>
          <w:rFonts w:ascii="Times New Roman" w:cs="Times New Roman" w:eastAsia="Times New Roman" w:hAnsi="Times New Roman"/>
          <w:sz w:val="16"/>
          <w:szCs w:val="16"/>
          <w:b w:val="1"/>
          <w:bCs w:val="1"/>
          <w:i w:val="1"/>
          <w:iCs w:val="1"/>
          <w:color w:val="auto"/>
        </w:rPr>
        <w:t>Charges</w:t>
      </w:r>
      <w:r>
        <w:rPr>
          <w:rFonts w:ascii="Times New Roman" w:cs="Times New Roman" w:eastAsia="Times New Roman" w:hAnsi="Times New Roman"/>
          <w:sz w:val="16"/>
          <w:szCs w:val="16"/>
          <w:color w:val="auto"/>
        </w:rPr>
        <w:t>”), shall exceed the maximum lawful rate (the “</w:t>
      </w:r>
      <w:r>
        <w:rPr>
          <w:rFonts w:ascii="Times New Roman" w:cs="Times New Roman" w:eastAsia="Times New Roman" w:hAnsi="Times New Roman"/>
          <w:sz w:val="16"/>
          <w:szCs w:val="16"/>
          <w:b w:val="1"/>
          <w:bCs w:val="1"/>
          <w:i w:val="1"/>
          <w:iCs w:val="1"/>
          <w:color w:val="auto"/>
        </w:rPr>
        <w:t>Maximum Rate</w:t>
      </w:r>
      <w:r>
        <w:rPr>
          <w:rFonts w:ascii="Times New Roman" w:cs="Times New Roman" w:eastAsia="Times New Roman" w:hAnsi="Times New Roman"/>
          <w:sz w:val="16"/>
          <w:szCs w:val="16"/>
          <w:color w:val="auto"/>
        </w:rPr>
        <w:t xml:space="preserve">”) that may be contracted for, charged, taken, received or reserved by Lender holding such loans in accordance with applicable law, the rate of interest payable in respect of such loans hereunder, together with all Charges payable in respect thereof, shall be limited to the Maximum Rate and, to the extent lawful, the interest and Charges that would have been payable in respect of such loans but were not payable as a result of the operation of this </w:t>
      </w:r>
      <w:r>
        <w:rPr>
          <w:rFonts w:ascii="Times New Roman" w:cs="Times New Roman" w:eastAsia="Times New Roman" w:hAnsi="Times New Roman"/>
          <w:sz w:val="16"/>
          <w:szCs w:val="16"/>
          <w:u w:val="single" w:color="auto"/>
          <w:color w:val="auto"/>
        </w:rPr>
        <w:t>Section 13.3</w:t>
      </w:r>
      <w:r>
        <w:rPr>
          <w:rFonts w:ascii="Times New Roman" w:cs="Times New Roman" w:eastAsia="Times New Roman" w:hAnsi="Times New Roman"/>
          <w:sz w:val="16"/>
          <w:szCs w:val="16"/>
          <w:color w:val="auto"/>
        </w:rPr>
        <w:t xml:space="preserve"> shall be cumulated and the interest and Charges payable to such Lender in respect of other periods shall be adjusted (but not above the Maximum Rate therefor) until such cumulated amount, together with interest thereon at the Maximum Rate to the date of repayment, shall have been received by such Lender.</w:t>
      </w:r>
    </w:p>
    <w:p>
      <w:pPr>
        <w:spacing w:after="0" w:line="109" w:lineRule="exact"/>
        <w:rPr>
          <w:sz w:val="20"/>
          <w:szCs w:val="20"/>
          <w:color w:val="auto"/>
        </w:rPr>
      </w:pPr>
    </w:p>
    <w:p>
      <w:pPr>
        <w:ind w:left="54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13.4</w:t>
        <w:tab/>
        <w:t>Time of Essence</w:t>
      </w:r>
      <w:r>
        <w:rPr>
          <w:rFonts w:ascii="Times New Roman" w:cs="Times New Roman" w:eastAsia="Times New Roman" w:hAnsi="Times New Roman"/>
          <w:sz w:val="16"/>
          <w:szCs w:val="16"/>
          <w:color w:val="auto"/>
        </w:rPr>
        <w:t>. Time is of the essence for the performance of all Obligations in this Agreement.</w:t>
      </w:r>
    </w:p>
    <w:p>
      <w:pPr>
        <w:spacing w:after="0" w:line="148" w:lineRule="exact"/>
        <w:rPr>
          <w:sz w:val="20"/>
          <w:szCs w:val="20"/>
          <w:color w:val="auto"/>
        </w:rPr>
      </w:pPr>
    </w:p>
    <w:p>
      <w:pPr>
        <w:ind w:left="54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13.5</w:t>
        <w:tab/>
        <w:t>Severability of Provisions</w:t>
      </w:r>
      <w:r>
        <w:rPr>
          <w:rFonts w:ascii="Times New Roman" w:cs="Times New Roman" w:eastAsia="Times New Roman" w:hAnsi="Times New Roman"/>
          <w:sz w:val="16"/>
          <w:szCs w:val="16"/>
          <w:color w:val="auto"/>
        </w:rPr>
        <w:t>. Each provision of this Agreement is severable from every other provision in determining the enforceability of any provision.</w:t>
      </w:r>
    </w:p>
    <w:p>
      <w:pPr>
        <w:spacing w:after="0" w:line="148" w:lineRule="exact"/>
        <w:rPr>
          <w:sz w:val="20"/>
          <w:szCs w:val="20"/>
          <w:color w:val="auto"/>
        </w:rPr>
      </w:pPr>
    </w:p>
    <w:p>
      <w:pPr>
        <w:jc w:val="both"/>
        <w:ind w:right="6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13.6 Correction of Loan Documents</w:t>
      </w:r>
      <w:r>
        <w:rPr>
          <w:rFonts w:ascii="Times New Roman" w:cs="Times New Roman" w:eastAsia="Times New Roman" w:hAnsi="Times New Roman"/>
          <w:sz w:val="16"/>
          <w:szCs w:val="16"/>
          <w:color w:val="auto"/>
        </w:rPr>
        <w:t>. Agent may correct patent errors and fill in any blanks in the Loan Documents consistent with the agreement of the parties so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long as Agent provides Borrower with written notice of such correction and allows Borrower at least ten (10) days to object to such correction. In the event of such objection, such correction shall not be made except by an amendment signed by Agent, Lenders and Borrower.</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13.7 Waivers and Amendments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871"/>
        <w:spacing w:after="0" w:line="279" w:lineRule="auto"/>
        <w:tabs>
          <w:tab w:leader="none" w:pos="130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of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Agent, Agent and Lenders hereunder and under the other Loan Documents are cumulative and are not exclusive of any rights or remedies that they would otherwise have. No waiver of any provision of this Agreement or any other Loan Document or consent to any departure by Borrower or any other Loan Party therefrom shall in any event be effective unless the same shall be permitted by paragraph (b) below, and then such waiver or consent shall be effective only in the specific instance and for the purpose for which given. No notice or demand on Borrower in any case shall entitle Borrower to any other or further notice or demand in similar or other circumstances.</w:t>
      </w:r>
    </w:p>
    <w:p>
      <w:pPr>
        <w:spacing w:after="0" w:line="116" w:lineRule="exact"/>
        <w:rPr>
          <w:rFonts w:ascii="Times New Roman" w:cs="Times New Roman" w:eastAsia="Times New Roman" w:hAnsi="Times New Roman"/>
          <w:sz w:val="16"/>
          <w:szCs w:val="16"/>
          <w:color w:val="auto"/>
        </w:rPr>
      </w:pPr>
    </w:p>
    <w:p>
      <w:pPr>
        <w:ind w:right="60" w:firstLine="871"/>
        <w:spacing w:after="0" w:line="277" w:lineRule="auto"/>
        <w:tabs>
          <w:tab w:leader="none" w:pos="131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this Agreement nor any provision hereof may be waived, amended or modified except pursuant to an agreement or agreements in writing entered into by Borrower, Agent and the Required Lenders; provided, however, that no such agreement shall (i) decrease the principal amount of, or extend the maturity of or any scheduled principal payment date or date for the payment of any interest on any Loan, or waive or excuse any such payment or any part thereof, or decrease the rate of interest on any Loan, without the prior written consent of each Lender directly adversely affected thereby (other than any waiver of any increase in the interest rate applicable to the Loan as a result of the occurrence of an Event of Default), (ii) increase or extend the Term Loan Commitment or decrease or extend the date for payment of any fees of any Lender under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without the prior written consent of such Lender, (iii) amend or modify the provisions of this </w:t>
      </w:r>
      <w:r>
        <w:rPr>
          <w:rFonts w:ascii="Times New Roman" w:cs="Times New Roman" w:eastAsia="Times New Roman" w:hAnsi="Times New Roman"/>
          <w:sz w:val="16"/>
          <w:szCs w:val="16"/>
          <w:u w:val="single" w:color="auto"/>
          <w:color w:val="auto"/>
        </w:rPr>
        <w:t>Section 13.7</w:t>
      </w:r>
      <w:r>
        <w:rPr>
          <w:rFonts w:ascii="Times New Roman" w:cs="Times New Roman" w:eastAsia="Times New Roman" w:hAnsi="Times New Roman"/>
          <w:sz w:val="16"/>
          <w:szCs w:val="16"/>
          <w:color w:val="auto"/>
        </w:rPr>
        <w:t xml:space="preserve"> or release any Joining Party (other than in connection with the sale or other disposition of such Joining Party in a transaction expressly permitted hereunder or all or substantially all of the Collateral), without the prior written consent of each Lender, or (iv) reduce the percentage contained in the definition of the term “Required Lenders” without the prior written consent of each Lender (it being understood that with the consent of the Required Lenders, additional extensions of credit pursuant to this Agreement may be included in the determination of the Required Lenders on substantially the same basis as the Term Loan Commitments on the date hereof); provided further that no such agreement shall amend, modify or otherwise affect the rights or duties of Agent hereunder or under any other Loan Document without the prior written consent of Agent.</w:t>
      </w:r>
    </w:p>
    <w:p>
      <w:pPr>
        <w:sectPr>
          <w:pgSz w:w="11900" w:h="16838" w:orient="portrait"/>
          <w:cols w:equalWidth="0" w:num="1">
            <w:col w:w="11400"/>
          </w:cols>
          <w:pgMar w:left="220" w:top="316" w:right="279" w:bottom="1440" w:gutter="0" w:footer="0" w:header="0"/>
        </w:sectPr>
      </w:pPr>
    </w:p>
    <w:bookmarkStart w:id="92" w:name="page93"/>
    <w:bookmarkEnd w:id="92"/>
    <w:p>
      <w:pPr>
        <w:ind w:right="14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13.8 Integration</w:t>
      </w:r>
      <w:r>
        <w:rPr>
          <w:rFonts w:ascii="Times New Roman" w:cs="Times New Roman" w:eastAsia="Times New Roman" w:hAnsi="Times New Roman"/>
          <w:sz w:val="16"/>
          <w:szCs w:val="16"/>
          <w:color w:val="auto"/>
        </w:rPr>
        <w:t>. The Loan Documents represent the entire agreement about this subject matter and supersede prior negotiations or agreements, including 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Lender’s summary of terms presented to Borrower.</w:t>
      </w:r>
    </w:p>
    <w:p>
      <w:pPr>
        <w:spacing w:after="0" w:line="87" w:lineRule="exact"/>
        <w:rPr>
          <w:sz w:val="20"/>
          <w:szCs w:val="20"/>
          <w:color w:val="auto"/>
        </w:rPr>
      </w:pPr>
    </w:p>
    <w:p>
      <w:pPr>
        <w:ind w:right="18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13.9 Counterparts</w:t>
      </w:r>
      <w:r>
        <w:rPr>
          <w:rFonts w:ascii="Times New Roman" w:cs="Times New Roman" w:eastAsia="Times New Roman" w:hAnsi="Times New Roman"/>
          <w:sz w:val="16"/>
          <w:szCs w:val="16"/>
          <w:color w:val="auto"/>
        </w:rPr>
        <w:t>. This Agreement may be executed by facsimile or PDF, and in in any number of counterparts and by different parties on separate counterparts,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of which, when executed and delivered, is an original, and all taken together, constitute one Agreement.</w:t>
      </w:r>
    </w:p>
    <w:p>
      <w:pPr>
        <w:spacing w:after="0" w:line="87" w:lineRule="exact"/>
        <w:rPr>
          <w:sz w:val="20"/>
          <w:szCs w:val="20"/>
          <w:color w:val="auto"/>
        </w:rPr>
      </w:pPr>
    </w:p>
    <w:p>
      <w:pPr>
        <w:ind w:right="20" w:firstLine="531"/>
        <w:spacing w:after="0" w:line="252" w:lineRule="auto"/>
        <w:rPr>
          <w:sz w:val="20"/>
          <w:szCs w:val="20"/>
          <w:color w:val="auto"/>
        </w:rPr>
      </w:pPr>
      <w:r>
        <w:rPr>
          <w:rFonts w:ascii="Times New Roman" w:cs="Times New Roman" w:eastAsia="Times New Roman" w:hAnsi="Times New Roman"/>
          <w:sz w:val="16"/>
          <w:szCs w:val="16"/>
          <w:b w:val="1"/>
          <w:bCs w:val="1"/>
          <w:color w:val="auto"/>
        </w:rPr>
        <w:t>13.10 Survival</w:t>
      </w:r>
      <w:r>
        <w:rPr>
          <w:rFonts w:ascii="Times New Roman" w:cs="Times New Roman" w:eastAsia="Times New Roman" w:hAnsi="Times New Roman"/>
          <w:sz w:val="16"/>
          <w:szCs w:val="16"/>
          <w:color w:val="auto"/>
        </w:rPr>
        <w:t>. All covenants, representations and warranties made in this Agreement continue in full force until this Agreement has terminated pursuant to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terms and all Obligations (other than inchoate indemnity obligations and any other obligations which, by their terms, are to survive the termination of this Agreement) have been paid in full and satisfied. The obligation of Borrower in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to indemnify Agent and Lenders shall survive until the statute of limitations with respect to such claim or cause of action shall have run. Upon such payment as described in the immediately preceding sentence, this Agreement and the other Loan Documents shall terminate and shall be of no further force and effect, provided however, that </w:t>
      </w:r>
      <w:r>
        <w:rPr>
          <w:rFonts w:ascii="Times New Roman" w:cs="Times New Roman" w:eastAsia="Times New Roman" w:hAnsi="Times New Roman"/>
          <w:sz w:val="16"/>
          <w:szCs w:val="16"/>
          <w:u w:val="single" w:color="auto"/>
          <w:color w:val="auto"/>
        </w:rPr>
        <w:t>Section 1.5(c)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of this Agreement, and all indemnities in favor of Lenders or Agent contained in any of the Loan Documents shall survive such termination subject to the applicable statutes of limitations.</w:t>
      </w:r>
    </w:p>
    <w:p>
      <w:pPr>
        <w:spacing w:after="0" w:line="112"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b w:val="1"/>
          <w:bCs w:val="1"/>
          <w:color w:val="auto"/>
        </w:rPr>
        <w:t>13.11 Confidentiality</w:t>
      </w:r>
      <w:r>
        <w:rPr>
          <w:rFonts w:ascii="Times New Roman" w:cs="Times New Roman" w:eastAsia="Times New Roman" w:hAnsi="Times New Roman"/>
          <w:sz w:val="16"/>
          <w:szCs w:val="16"/>
          <w:color w:val="auto"/>
        </w:rPr>
        <w:t>. In handling any Confidential Information of Borrower, Agent and Lenders shall exercise the same degree of care that it exercises for its own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proprietary information, but disclosure of information may be made: (a) to Agent or a Lender’s Subsidiaries or Affiliates; (b) to prospective transferees or purchasers of any interest in the Credit Extensions (provided, however, that any prospective transferee or purchaser shall have entered into an agreement containing provisions substantially the same as those in this </w:t>
      </w:r>
      <w:r>
        <w:rPr>
          <w:rFonts w:ascii="Times New Roman" w:cs="Times New Roman" w:eastAsia="Times New Roman" w:hAnsi="Times New Roman"/>
          <w:sz w:val="16"/>
          <w:szCs w:val="16"/>
          <w:u w:val="single" w:color="auto"/>
          <w:color w:val="auto"/>
        </w:rPr>
        <w:t>Section 13.11</w:t>
      </w:r>
      <w:r>
        <w:rPr>
          <w:rFonts w:ascii="Times New Roman" w:cs="Times New Roman" w:eastAsia="Times New Roman" w:hAnsi="Times New Roman"/>
          <w:sz w:val="16"/>
          <w:szCs w:val="16"/>
          <w:color w:val="auto"/>
        </w:rPr>
        <w:t>); (c) as required by law, regulation, subpoena, or other order; (d) to Agent’s or a Lender’s regulators or as otherwise required in connection with Agent’s or a Lender’s examination or audit; (e) as Agent or a Lender considers appropriate in exercising remedies under the Loan Documents; and (f) to third-party service providers of Agent or a Lender so long as such service providers have executed a confidentiality agreement with terms no less restrictive than those contained</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6"/>
          <w:szCs w:val="16"/>
          <w:color w:val="auto"/>
        </w:rPr>
        <w:t>herein. Confidential Information does not include information that is: (i) in the public domain or in Agent’s or a Lender’s possession when disclosed to Agent or a Lender, or becomes part of the public domain after disclosure to Agent or a Lender (in each case, through no fault of Agent or a Lender); (ii) disclosed to Agent or a Lender by a third party if Agent or a Lender does not know that the third party is prohibited from disclosing the information; or (iii) that Agent or a Lender develops independently.</w:t>
      </w:r>
    </w:p>
    <w:p>
      <w:pPr>
        <w:spacing w:after="0" w:line="112" w:lineRule="exact"/>
        <w:rPr>
          <w:sz w:val="20"/>
          <w:szCs w:val="20"/>
          <w:color w:val="auto"/>
        </w:rPr>
      </w:pPr>
    </w:p>
    <w:p>
      <w:pPr>
        <w:ind w:firstLine="531"/>
        <w:spacing w:after="0" w:line="251" w:lineRule="auto"/>
        <w:rPr>
          <w:sz w:val="20"/>
          <w:szCs w:val="20"/>
          <w:color w:val="auto"/>
        </w:rPr>
      </w:pPr>
      <w:r>
        <w:rPr>
          <w:rFonts w:ascii="Times New Roman" w:cs="Times New Roman" w:eastAsia="Times New Roman" w:hAnsi="Times New Roman"/>
          <w:sz w:val="16"/>
          <w:szCs w:val="16"/>
          <w:b w:val="1"/>
          <w:bCs w:val="1"/>
          <w:color w:val="auto"/>
        </w:rPr>
        <w:t>13.12 Right of Set Off</w:t>
      </w:r>
      <w:r>
        <w:rPr>
          <w:rFonts w:ascii="Times New Roman" w:cs="Times New Roman" w:eastAsia="Times New Roman" w:hAnsi="Times New Roman"/>
          <w:sz w:val="16"/>
          <w:szCs w:val="16"/>
          <w:color w:val="auto"/>
        </w:rPr>
        <w:t>. Borrower hereby grants to Lender, a lien, security interest and right of set off as security for all Obligations to Lender, whether now existing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hereafter arising upon and against all deposits, credits, collateral and property, now or hereafter in the possession, custody, safekeeping or control of Lender or any entity under the control of Lender (including a Lender subsidiary) or in transit to any of them. At any time after the occurrence and during the continuance of an Event of Default, without demand or notice, Lender may set off the same or any part thereof and apply the same to any liability or obligation of Borrower even though unmatured and regardless of the adequacy of any other collateral securing the Obligations. ANY AND ALL RIGHTS TO REQUIRE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12" w:lineRule="exact"/>
        <w:rPr>
          <w:sz w:val="20"/>
          <w:szCs w:val="20"/>
          <w:color w:val="auto"/>
        </w:rPr>
      </w:pPr>
    </w:p>
    <w:p>
      <w:pPr>
        <w:ind w:right="8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13.13 Electronic Execution of Documents</w:t>
      </w:r>
      <w:r>
        <w:rPr>
          <w:rFonts w:ascii="Times New Roman" w:cs="Times New Roman" w:eastAsia="Times New Roman" w:hAnsi="Times New Roman"/>
          <w:sz w:val="16"/>
          <w:szCs w:val="16"/>
          <w:color w:val="auto"/>
        </w:rPr>
        <w:t>. The words “execution,” “signed,” “signature” and words of like import in any Loan Document shall be deemed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ectPr>
          <w:pgSz w:w="11900" w:h="16838" w:orient="portrait"/>
          <w:cols w:equalWidth="0" w:num="1">
            <w:col w:w="11440"/>
          </w:cols>
          <w:pgMar w:left="220" w:top="318" w:right="239" w:bottom="1440" w:gutter="0" w:footer="0" w:header="0"/>
        </w:sectPr>
      </w:pPr>
    </w:p>
    <w:bookmarkStart w:id="93" w:name="page94"/>
    <w:bookmarkEnd w:id="93"/>
    <w:p>
      <w:pPr>
        <w:ind w:left="540"/>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13.14</w:t>
        <w:tab/>
        <w:t>Captions</w:t>
      </w:r>
      <w:r>
        <w:rPr>
          <w:rFonts w:ascii="Times New Roman" w:cs="Times New Roman" w:eastAsia="Times New Roman" w:hAnsi="Times New Roman"/>
          <w:sz w:val="16"/>
          <w:szCs w:val="16"/>
          <w:color w:val="auto"/>
        </w:rPr>
        <w:t>. The headings used in this Agreement are for convenience only and shall not affect the interpretation of this Agreement.</w:t>
      </w:r>
    </w:p>
    <w:p>
      <w:pPr>
        <w:spacing w:after="0" w:line="148" w:lineRule="exact"/>
        <w:rPr>
          <w:sz w:val="20"/>
          <w:szCs w:val="20"/>
          <w:color w:val="auto"/>
        </w:rPr>
      </w:pPr>
    </w:p>
    <w:p>
      <w:pPr>
        <w:ind w:right="36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13.15 Construction of Agreement</w:t>
      </w:r>
      <w:r>
        <w:rPr>
          <w:rFonts w:ascii="Times New Roman" w:cs="Times New Roman" w:eastAsia="Times New Roman" w:hAnsi="Times New Roman"/>
          <w:sz w:val="16"/>
          <w:szCs w:val="16"/>
          <w:color w:val="auto"/>
        </w:rPr>
        <w:t>. The parties mutually acknowledge that they and their attorneys have participated in the preparation and negotiation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In cases of uncertainty this Agreement shall be construed without regard to which of the parties caused the uncertainty to exist.</w:t>
      </w:r>
    </w:p>
    <w:p>
      <w:pPr>
        <w:spacing w:after="0" w:line="87" w:lineRule="exact"/>
        <w:rPr>
          <w:sz w:val="20"/>
          <w:szCs w:val="20"/>
          <w:color w:val="auto"/>
        </w:rPr>
      </w:pPr>
    </w:p>
    <w:p>
      <w:pPr>
        <w:ind w:right="10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13.16 Relationship</w:t>
      </w:r>
      <w:r>
        <w:rPr>
          <w:rFonts w:ascii="Times New Roman" w:cs="Times New Roman" w:eastAsia="Times New Roman" w:hAnsi="Times New Roman"/>
          <w:sz w:val="16"/>
          <w:szCs w:val="16"/>
          <w:color w:val="auto"/>
        </w:rPr>
        <w:t>. The relationship of the parties to this Agreement is determined solely by the provisions of this Agreement. The parties do not intend to create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agency, partnership, joint venture, trust, fiduciary or other relationship with duties or incidents different from those of parties to an arm’s-length contract.</w:t>
      </w:r>
    </w:p>
    <w:p>
      <w:pPr>
        <w:spacing w:after="0" w:line="87" w:lineRule="exact"/>
        <w:rPr>
          <w:sz w:val="20"/>
          <w:szCs w:val="20"/>
          <w:color w:val="auto"/>
        </w:rPr>
      </w:pPr>
    </w:p>
    <w:p>
      <w:pPr>
        <w:ind w:right="20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13.17 Third Parties</w:t>
      </w:r>
      <w:r>
        <w:rPr>
          <w:rFonts w:ascii="Times New Roman" w:cs="Times New Roman" w:eastAsia="Times New Roman" w:hAnsi="Times New Roman"/>
          <w:sz w:val="16"/>
          <w:szCs w:val="16"/>
          <w:color w:val="auto"/>
        </w:rPr>
        <w:t>. Nothing in this Agreement, whether express or implied, is intended to: (a) confer any benefits, rights or remedies under or by reason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07" w:lineRule="exact"/>
        <w:rPr>
          <w:sz w:val="20"/>
          <w:szCs w:val="20"/>
          <w:color w:val="auto"/>
        </w:rPr>
      </w:pPr>
    </w:p>
    <w:p>
      <w:pPr>
        <w:ind w:right="140" w:firstLine="531"/>
        <w:spacing w:after="0" w:line="257" w:lineRule="auto"/>
        <w:rPr>
          <w:sz w:val="20"/>
          <w:szCs w:val="20"/>
          <w:color w:val="auto"/>
        </w:rPr>
      </w:pPr>
      <w:r>
        <w:rPr>
          <w:rFonts w:ascii="Times New Roman" w:cs="Times New Roman" w:eastAsia="Times New Roman" w:hAnsi="Times New Roman"/>
          <w:sz w:val="16"/>
          <w:szCs w:val="16"/>
          <w:b w:val="1"/>
          <w:bCs w:val="1"/>
          <w:color w:val="auto"/>
        </w:rPr>
        <w:t>13.18 Patriot Act/Freedom Act</w:t>
      </w:r>
      <w:r>
        <w:rPr>
          <w:rFonts w:ascii="Times New Roman" w:cs="Times New Roman" w:eastAsia="Times New Roman" w:hAnsi="Times New Roman"/>
          <w:sz w:val="16"/>
          <w:szCs w:val="16"/>
          <w:color w:val="auto"/>
        </w:rPr>
        <w:t>. Lender hereby notifies Borrower and its Subsidiaries that pursuant to the requirements of the USA PATRIOT Act and USA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FREEDOM Act, it is required to obtain, verify and record information that identifies Borrower and its Subsidiaries, which information includes the name and address of Borrower and its Subsidiaries and other information that will allow Lender to identify Borrower and its Subsidiaries in accordance with the USA PATRIOT Act and the USA FREEDOM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14. DEFINITIONS</w:t>
      </w:r>
    </w:p>
    <w:p>
      <w:pPr>
        <w:spacing w:after="0" w:line="148" w:lineRule="exact"/>
        <w:rPr>
          <w:sz w:val="20"/>
          <w:szCs w:val="20"/>
          <w:color w:val="auto"/>
        </w:rPr>
      </w:pPr>
    </w:p>
    <w:p>
      <w:pPr>
        <w:ind w:right="60" w:firstLine="597"/>
        <w:spacing w:after="0" w:line="254" w:lineRule="auto"/>
        <w:rPr>
          <w:sz w:val="20"/>
          <w:szCs w:val="20"/>
          <w:color w:val="auto"/>
        </w:rPr>
      </w:pPr>
      <w:r>
        <w:rPr>
          <w:rFonts w:ascii="Times New Roman" w:cs="Times New Roman" w:eastAsia="Times New Roman" w:hAnsi="Times New Roman"/>
          <w:sz w:val="16"/>
          <w:szCs w:val="16"/>
          <w:b w:val="1"/>
          <w:bCs w:val="1"/>
          <w:color w:val="auto"/>
        </w:rPr>
        <w:t>14.1 Definitions</w:t>
      </w:r>
      <w:r>
        <w:rPr>
          <w:rFonts w:ascii="Times New Roman" w:cs="Times New Roman" w:eastAsia="Times New Roman" w:hAnsi="Times New Roman"/>
          <w:sz w:val="16"/>
          <w:szCs w:val="16"/>
          <w:color w:val="auto"/>
        </w:rPr>
        <w:t>. Accounting terms not defined in this Agreement shall be construed following GAAP. Calculations and determinations must be made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GAAP. Capitalized terms not otherwise defined in this Agreement shall have the meanings set forth in this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54" w:lineRule="exact"/>
        <w:rPr>
          <w:sz w:val="20"/>
          <w:szCs w:val="20"/>
          <w:color w:val="auto"/>
        </w:rPr>
      </w:pPr>
    </w:p>
    <w:p>
      <w:pPr>
        <w:ind w:right="3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Account</w:t>
      </w:r>
      <w:r>
        <w:rPr>
          <w:rFonts w:ascii="Times New Roman" w:cs="Times New Roman" w:eastAsia="Times New Roman" w:hAnsi="Times New Roman"/>
          <w:sz w:val="16"/>
          <w:szCs w:val="16"/>
          <w:color w:val="auto"/>
        </w:rPr>
        <w:t>” means any “account” as defined in the Code with such additions to such term as may hereafter be made, and includes, without limitation, all accounts receivable and other sums owing to Borrower.</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Account Debtor</w:t>
      </w:r>
      <w:r>
        <w:rPr>
          <w:rFonts w:ascii="Times New Roman" w:cs="Times New Roman" w:eastAsia="Times New Roman" w:hAnsi="Times New Roman"/>
          <w:sz w:val="16"/>
          <w:szCs w:val="16"/>
          <w:color w:val="auto"/>
        </w:rPr>
        <w:t>” means any “account debtor” as defined in the Code with such additions to such term as may hereafter be made.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Administrative Questionnaire</w:t>
      </w:r>
      <w:r>
        <w:rPr>
          <w:rFonts w:ascii="Times New Roman" w:cs="Times New Roman" w:eastAsia="Times New Roman" w:hAnsi="Times New Roman"/>
          <w:sz w:val="16"/>
          <w:szCs w:val="16"/>
          <w:color w:val="auto"/>
        </w:rPr>
        <w:t xml:space="preserve">” means an Administrative Questionnaire in the form of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or such other form as may be supplied from time to time by Agent.</w:t>
      </w:r>
    </w:p>
    <w:p>
      <w:pPr>
        <w:spacing w:after="0" w:line="192" w:lineRule="exact"/>
        <w:rPr>
          <w:sz w:val="20"/>
          <w:szCs w:val="20"/>
          <w:color w:val="auto"/>
        </w:rPr>
      </w:pPr>
    </w:p>
    <w:p>
      <w:pPr>
        <w:jc w:val="both"/>
        <w:ind w:right="12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Person, each other Person that owns 10% or more of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is defined in the preamble.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defined in the preamble.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Annual Audited Financial Statements</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5.2(c)</w:t>
      </w:r>
      <w:r>
        <w:rPr>
          <w:rFonts w:ascii="Times New Roman" w:cs="Times New Roman" w:eastAsia="Times New Roman" w:hAnsi="Times New Roman"/>
          <w:sz w:val="16"/>
          <w:szCs w:val="16"/>
          <w:color w:val="auto"/>
        </w:rPr>
        <w:t>.</w:t>
      </w:r>
    </w:p>
    <w:p>
      <w:pPr>
        <w:sectPr>
          <w:pgSz w:w="11900" w:h="16838" w:orient="portrait"/>
          <w:cols w:equalWidth="0" w:num="1">
            <w:col w:w="11380"/>
          </w:cols>
          <w:pgMar w:left="220" w:top="318" w:right="299" w:bottom="1440" w:gutter="0" w:footer="0" w:header="0"/>
        </w:sectPr>
      </w:pPr>
    </w:p>
    <w:bookmarkStart w:id="94" w:name="page95"/>
    <w:bookmarkEnd w:id="94"/>
    <w:p>
      <w:pPr>
        <w:ind w:right="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Assignment and Acceptance</w:t>
      </w:r>
      <w:r>
        <w:rPr>
          <w:rFonts w:ascii="Times New Roman" w:cs="Times New Roman" w:eastAsia="Times New Roman" w:hAnsi="Times New Roman"/>
          <w:sz w:val="16"/>
          <w:szCs w:val="16"/>
          <w:color w:val="auto"/>
        </w:rPr>
        <w:t xml:space="preserve">” means an assignment and acceptance entered into by a Lender and a permitted assignee, in the form of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or such other form as shall be approved by Agent.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Bankruptcy Code</w:t>
      </w:r>
      <w:r>
        <w:rPr>
          <w:rFonts w:ascii="Times New Roman" w:cs="Times New Roman" w:eastAsia="Times New Roman" w:hAnsi="Times New Roman"/>
          <w:sz w:val="16"/>
          <w:szCs w:val="16"/>
          <w:color w:val="auto"/>
        </w:rPr>
        <w:t>” means Title 11 of the United States Code, as amended, or any similar federal or state law for the relief of debtors.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Bankruptcy Law</w:t>
      </w:r>
      <w:r>
        <w:rPr>
          <w:rFonts w:ascii="Times New Roman" w:cs="Times New Roman" w:eastAsia="Times New Roman" w:hAnsi="Times New Roman"/>
          <w:sz w:val="16"/>
          <w:szCs w:val="16"/>
          <w:color w:val="auto"/>
        </w:rPr>
        <w:t>” means the Bankruptcy Code or any other foreign, federal or state bankruptcy, insolvency, receivership, creditors’ rights or similar law.</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means Borrower’s board of directors.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 is defined in the preamble.</w:t>
      </w:r>
    </w:p>
    <w:p>
      <w:pPr>
        <w:spacing w:after="0" w:line="192" w:lineRule="exact"/>
        <w:rPr>
          <w:sz w:val="20"/>
          <w:szCs w:val="20"/>
          <w:color w:val="auto"/>
        </w:rPr>
      </w:pPr>
    </w:p>
    <w:p>
      <w:pPr>
        <w:ind w:right="1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Borrower’s Books</w:t>
      </w:r>
      <w:r>
        <w:rPr>
          <w:rFonts w:ascii="Times New Roman" w:cs="Times New Roman" w:eastAsia="Times New Roman" w:hAnsi="Times New Roman"/>
          <w:sz w:val="16"/>
          <w:szCs w:val="16"/>
          <w:color w:val="auto"/>
        </w:rPr>
        <w:t>” mean all Borrower and each of its Subsidiary’s books and records including ledgers, federal and state Tax Returns, records regarding their assets or liabilities, the Collateral, business operations or financial condition, and all computer programs or storage or any equipment containing such information.</w:t>
      </w:r>
    </w:p>
    <w:p>
      <w:pPr>
        <w:spacing w:after="0" w:line="131" w:lineRule="exact"/>
        <w:rPr>
          <w:sz w:val="20"/>
          <w:szCs w:val="20"/>
          <w:color w:val="auto"/>
        </w:rPr>
      </w:pPr>
    </w:p>
    <w:p>
      <w:pPr>
        <w:ind w:firstLine="531"/>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Borrowing Resolutions</w:t>
      </w:r>
      <w:r>
        <w:rPr>
          <w:rFonts w:ascii="Times New Roman" w:cs="Times New Roman" w:eastAsia="Times New Roman" w:hAnsi="Times New Roman"/>
          <w:sz w:val="16"/>
          <w:szCs w:val="16"/>
          <w:color w:val="auto"/>
        </w:rPr>
        <w:t>” mean, with respect to any Person, those resolutions adopted by such Person’s board of directors and delivered by such Person to Agent approving the Loan Documents to which such Person is a party and the transactions contemplated thereby, together with a certificate executed by its Secretary or other authorized officer on behalf of such Person certifying that (a) such Person has the authority to execute, deliver, and perform its obligations under each of the Loan Documents to which it is a party, (b) that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 (d) that Agent and Lenders may conclusively rely on such certificate unless and until such Person shall have delivered to them a further certificate canceling or amending such prior certificate.</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Budget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5.2(e)</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80" w:firstLine="531"/>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a Saturday, Sunday or other day on which banking institutions in the State of California are authorized or required by law or other governmental action to close.</w:t>
      </w:r>
    </w:p>
    <w:p>
      <w:pPr>
        <w:ind w:left="80" w:right="60" w:firstLine="55"/>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or “Cash Equivalents</w:t>
      </w:r>
      <w:r>
        <w:rPr>
          <w:rFonts w:ascii="Times New Roman" w:cs="Times New Roman" w:eastAsia="Times New Roman" w:hAnsi="Times New Roman"/>
          <w:sz w:val="16"/>
          <w:szCs w:val="16"/>
          <w:color w:val="auto"/>
        </w:rPr>
        <w:t>” means (a) cash, (b) marketable direct obligations issued or unconditionally guaranteed by the United States or any agency or any State thereof having maturities of not more than one (1) year from the date of acquisition, and (c) commercial paper maturing no more than one (1) year after its creation and having the highest rating from either Standard &amp; Poor’s Ratings Group or Moody’s Investors Service, Inc.</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Fee</w:t>
      </w:r>
      <w:r>
        <w:rPr>
          <w:rFonts w:ascii="Times New Roman" w:cs="Times New Roman" w:eastAsia="Times New Roman" w:hAnsi="Times New Roman"/>
          <w:sz w:val="16"/>
          <w:szCs w:val="16"/>
          <w:color w:val="auto"/>
        </w:rPr>
        <w:t>” means Two Million Five Hundred Thousand Dollars ($2,500,000).</w:t>
      </w:r>
    </w:p>
    <w:p>
      <w:pPr>
        <w:spacing w:after="0" w:line="269" w:lineRule="exact"/>
        <w:rPr>
          <w:sz w:val="20"/>
          <w:szCs w:val="20"/>
          <w:color w:val="auto"/>
        </w:rPr>
      </w:pPr>
    </w:p>
    <w:p>
      <w:pPr>
        <w:ind w:left="80" w:right="100" w:firstLine="5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w:t>
      </w:r>
      <w:r>
        <w:rPr>
          <w:rFonts w:ascii="Times New Roman" w:cs="Times New Roman" w:eastAsia="Times New Roman" w:hAnsi="Times New Roman"/>
          <w:sz w:val="16"/>
          <w:szCs w:val="16"/>
          <w:color w:val="auto"/>
        </w:rPr>
        <w:t xml:space="preserve">” means any and all properties, rights and assets of Borrower described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ectPr>
          <w:pgSz w:w="11900" w:h="16838" w:orient="portrait"/>
          <w:cols w:equalWidth="0" w:num="1">
            <w:col w:w="11460"/>
          </w:cols>
          <w:pgMar w:left="220" w:top="318" w:right="219" w:bottom="1440" w:gutter="0" w:footer="0" w:header="0"/>
        </w:sectPr>
      </w:pPr>
    </w:p>
    <w:bookmarkStart w:id="95" w:name="page96"/>
    <w:bookmarkEnd w:id="95"/>
    <w:p>
      <w:pPr>
        <w:ind w:right="1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Comerica Account</w:t>
      </w:r>
      <w:r>
        <w:rPr>
          <w:rFonts w:ascii="Times New Roman" w:cs="Times New Roman" w:eastAsia="Times New Roman" w:hAnsi="Times New Roman"/>
          <w:sz w:val="16"/>
          <w:szCs w:val="16"/>
          <w:color w:val="auto"/>
        </w:rPr>
        <w:t>” means that certain deposit account maintained by Borrower with Comercia Bank, account number 1894409612 as long as such account shall at no time contain more than US $60,000.</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Commitment Fee</w:t>
      </w:r>
      <w:r>
        <w:rPr>
          <w:rFonts w:ascii="Times New Roman" w:cs="Times New Roman" w:eastAsia="Times New Roman" w:hAnsi="Times New Roman"/>
          <w:sz w:val="16"/>
          <w:szCs w:val="16"/>
          <w:color w:val="auto"/>
        </w:rPr>
        <w:t>” means Eight Hundred Twenty-Five Thousand Dollars ($825,000).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Commodity Account</w:t>
      </w:r>
      <w:r>
        <w:rPr>
          <w:rFonts w:ascii="Times New Roman" w:cs="Times New Roman" w:eastAsia="Times New Roman" w:hAnsi="Times New Roman"/>
          <w:sz w:val="16"/>
          <w:szCs w:val="16"/>
          <w:color w:val="auto"/>
        </w:rPr>
        <w:t>” means any “commodity account” as defined in the Code with such additions to such term as may hereafter be made.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Compliance Certificate</w:t>
      </w:r>
      <w:r>
        <w:rPr>
          <w:rFonts w:ascii="Times New Roman" w:cs="Times New Roman" w:eastAsia="Times New Roman" w:hAnsi="Times New Roman"/>
          <w:sz w:val="16"/>
          <w:szCs w:val="16"/>
          <w:color w:val="auto"/>
        </w:rPr>
        <w:t xml:space="preserve">” means that certain certificate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50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xml:space="preserve">” means, subject to the exclusions provided in </w:t>
      </w:r>
      <w:r>
        <w:rPr>
          <w:rFonts w:ascii="Times New Roman" w:cs="Times New Roman" w:eastAsia="Times New Roman" w:hAnsi="Times New Roman"/>
          <w:sz w:val="16"/>
          <w:szCs w:val="16"/>
          <w:u w:val="single" w:color="auto"/>
          <w:color w:val="auto"/>
        </w:rPr>
        <w:t>Section 13.11</w:t>
      </w:r>
      <w:r>
        <w:rPr>
          <w:rFonts w:ascii="Times New Roman" w:cs="Times New Roman" w:eastAsia="Times New Roman" w:hAnsi="Times New Roman"/>
          <w:sz w:val="16"/>
          <w:szCs w:val="16"/>
          <w:color w:val="auto"/>
        </w:rPr>
        <w:t>, information that is generally not available to the public and either (i) is marked as confidential at the time disclosed, or (ii) should under the circumstances be reasonably expected to be confidential.</w:t>
      </w:r>
    </w:p>
    <w:p>
      <w:pPr>
        <w:spacing w:after="0" w:line="131" w:lineRule="exact"/>
        <w:rPr>
          <w:sz w:val="20"/>
          <w:szCs w:val="20"/>
          <w:color w:val="auto"/>
        </w:rPr>
      </w:pPr>
    </w:p>
    <w:p>
      <w:pPr>
        <w:ind w:firstLine="531"/>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Contingent Obligation</w:t>
      </w:r>
      <w:r>
        <w:rPr>
          <w:rFonts w:ascii="Times New Roman" w:cs="Times New Roman" w:eastAsia="Times New Roman" w:hAnsi="Times New Roman"/>
          <w:sz w:val="16"/>
          <w:szCs w:val="16"/>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350" w:lineRule="exact"/>
        <w:rPr>
          <w:sz w:val="20"/>
          <w:szCs w:val="20"/>
          <w:color w:val="auto"/>
        </w:rPr>
      </w:pPr>
    </w:p>
    <w:p>
      <w:pPr>
        <w:ind w:right="40" w:firstLine="531"/>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Control Agreement</w:t>
      </w:r>
      <w:r>
        <w:rPr>
          <w:rFonts w:ascii="Times New Roman" w:cs="Times New Roman" w:eastAsia="Times New Roman" w:hAnsi="Times New Roman"/>
          <w:sz w:val="16"/>
          <w:szCs w:val="16"/>
          <w:color w:val="auto"/>
        </w:rPr>
        <w:t>” means any control agreement in form and substance satisfactory to Agent which is entered into among Borrower, Agent and the depository institution or intermediary at which Borrower maintains a Pledged Account, pursuant to which Agent obtains control (within the meaning of the Code) over such Pledged Account. For the purposes of any Pledged Account maintained outside of the United States, a debenture, in form and substance satisfactory to Agent shall be used to in place of and shall constitute a “Control Agreement.” If an agreement of a different character than a Control Agreement or debenture is needed to perfect or charge a Pledged Account located outside of the United States, such agreement shall constitute a “Control Agreement.”</w:t>
      </w:r>
    </w:p>
    <w:p>
      <w:pPr>
        <w:spacing w:after="0" w:line="154" w:lineRule="exact"/>
        <w:rPr>
          <w:sz w:val="20"/>
          <w:szCs w:val="20"/>
          <w:color w:val="auto"/>
        </w:rPr>
      </w:pPr>
    </w:p>
    <w:p>
      <w:pPr>
        <w:ind w:right="2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Copyrights</w:t>
      </w:r>
      <w:r>
        <w:rPr>
          <w:rFonts w:ascii="Times New Roman" w:cs="Times New Roman" w:eastAsia="Times New Roman" w:hAnsi="Times New Roman"/>
          <w:sz w:val="16"/>
          <w:szCs w:val="16"/>
          <w:color w:val="auto"/>
        </w:rPr>
        <w:t>” mean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Credit Extension</w:t>
      </w:r>
      <w:r>
        <w:rPr>
          <w:rFonts w:ascii="Times New Roman" w:cs="Times New Roman" w:eastAsia="Times New Roman" w:hAnsi="Times New Roman"/>
          <w:sz w:val="16"/>
          <w:szCs w:val="16"/>
          <w:color w:val="auto"/>
        </w:rPr>
        <w:t>” means any advance of funds under the Term Loan, or any other extension of credit by a Lender for Borrower’s benefit.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Rate</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1.3(c)</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 Account</w:t>
      </w:r>
      <w:r>
        <w:rPr>
          <w:rFonts w:ascii="Times New Roman" w:cs="Times New Roman" w:eastAsia="Times New Roman" w:hAnsi="Times New Roman"/>
          <w:sz w:val="16"/>
          <w:szCs w:val="16"/>
          <w:color w:val="auto"/>
        </w:rPr>
        <w:t>” means any “deposit account” as defined in the Code with such additions to such term as may hereafter be made.</w:t>
      </w:r>
    </w:p>
    <w:p>
      <w:pPr>
        <w:spacing w:after="0" w:line="192" w:lineRule="exact"/>
        <w:rPr>
          <w:sz w:val="20"/>
          <w:szCs w:val="20"/>
          <w:color w:val="auto"/>
        </w:rPr>
      </w:pPr>
    </w:p>
    <w:p>
      <w:pPr>
        <w:ind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Disposition</w:t>
      </w:r>
      <w:r>
        <w:rPr>
          <w:rFonts w:ascii="Times New Roman" w:cs="Times New Roman" w:eastAsia="Times New Roman" w:hAnsi="Times New Roman"/>
          <w:sz w:val="16"/>
          <w:szCs w:val="16"/>
          <w:color w:val="auto"/>
        </w:rPr>
        <w:t>” means with respect to any property, any sale, lease, sublease, sale and leaseback, assignment, participation, pledge, grant of security interest, conveyance, transfer, license or other disposition thereof. The terms “</w:t>
      </w:r>
      <w:r>
        <w:rPr>
          <w:rFonts w:ascii="Times New Roman" w:cs="Times New Roman" w:eastAsia="Times New Roman" w:hAnsi="Times New Roman"/>
          <w:sz w:val="16"/>
          <w:szCs w:val="16"/>
          <w:u w:val="single" w:color="auto"/>
          <w:color w:val="auto"/>
        </w:rPr>
        <w:t>Dispose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Disposed of</w:t>
      </w:r>
      <w:r>
        <w:rPr>
          <w:rFonts w:ascii="Times New Roman" w:cs="Times New Roman" w:eastAsia="Times New Roman" w:hAnsi="Times New Roman"/>
          <w:sz w:val="16"/>
          <w:szCs w:val="16"/>
          <w:color w:val="auto"/>
        </w:rPr>
        <w:t>” shall have correlative meanings.</w:t>
      </w:r>
    </w:p>
    <w:p>
      <w:pPr>
        <w:sectPr>
          <w:pgSz w:w="11900" w:h="16838" w:orient="portrait"/>
          <w:cols w:equalWidth="0" w:num="1">
            <w:col w:w="11440"/>
          </w:cols>
          <w:pgMar w:left="220" w:top="506" w:right="239" w:bottom="1440" w:gutter="0" w:footer="0" w:header="0"/>
        </w:sectPr>
      </w:pPr>
    </w:p>
    <w:bookmarkStart w:id="96" w:name="page97"/>
    <w:bookmarkEnd w:id="96"/>
    <w:p>
      <w:pPr>
        <w:ind w:right="1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Dollars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dollars</w:t>
      </w:r>
      <w:r>
        <w:rPr>
          <w:rFonts w:ascii="Times New Roman" w:cs="Times New Roman" w:eastAsia="Times New Roman" w:hAnsi="Times New Roman"/>
          <w:sz w:val="16"/>
          <w:szCs w:val="16"/>
          <w:color w:val="auto"/>
        </w:rPr>
        <w:t>” or use of the sign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 only lawful money of the United States and not any other currency, regardless of whether that currency uses the “$” sign to denote its currency or may be readily converted into lawful money of the United States.</w:t>
      </w:r>
    </w:p>
    <w:p>
      <w:pPr>
        <w:spacing w:after="0" w:line="131" w:lineRule="exact"/>
        <w:rPr>
          <w:sz w:val="20"/>
          <w:szCs w:val="20"/>
          <w:color w:val="auto"/>
        </w:rPr>
      </w:pPr>
    </w:p>
    <w:p>
      <w:pPr>
        <w:ind w:right="4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Domestic Subsidiary</w:t>
      </w:r>
      <w:r>
        <w:rPr>
          <w:rFonts w:ascii="Times New Roman" w:cs="Times New Roman" w:eastAsia="Times New Roman" w:hAnsi="Times New Roman"/>
          <w:sz w:val="16"/>
          <w:szCs w:val="16"/>
          <w:color w:val="auto"/>
        </w:rPr>
        <w:t>” means any Subsidiary of Borrower that was formed under the laws of the United States or any state of the United States or the District of Columbia.</w:t>
      </w:r>
    </w:p>
    <w:p>
      <w:pPr>
        <w:spacing w:after="0" w:line="131" w:lineRule="exact"/>
        <w:rPr>
          <w:sz w:val="20"/>
          <w:szCs w:val="20"/>
          <w:color w:val="auto"/>
        </w:rPr>
      </w:pPr>
    </w:p>
    <w:p>
      <w:pPr>
        <w:ind w:right="8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16"/>
          <w:szCs w:val="16"/>
          <w:color w:val="auto"/>
        </w:rPr>
        <w:t>” means, on a consolidated basis for Borrower and its Subsidiaries, Net Income (even if negative) plus income taxes, depreciation, amortization, stock compensation expense, interest expense and such other adjustments as are consistently applied from time to time and consistent with the financial forecast delivered to Lenders on May 2, 2016, at all times calculated using the same methodology as calculated on the Effective Date in accordance with such financial forecast.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is defined in the preamble.</w:t>
      </w:r>
    </w:p>
    <w:p>
      <w:pPr>
        <w:spacing w:after="0" w:line="92" w:lineRule="exact"/>
        <w:rPr>
          <w:sz w:val="20"/>
          <w:szCs w:val="20"/>
          <w:color w:val="auto"/>
        </w:rPr>
      </w:pPr>
    </w:p>
    <w:p>
      <w:pPr>
        <w:ind w:right="10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Equipment</w:t>
      </w:r>
      <w:r>
        <w:rPr>
          <w:rFonts w:ascii="Times New Roman" w:cs="Times New Roman" w:eastAsia="Times New Roman" w:hAnsi="Times New Roman"/>
          <w:sz w:val="16"/>
          <w:szCs w:val="16"/>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32" w:lineRule="exact"/>
        <w:rPr>
          <w:sz w:val="20"/>
          <w:szCs w:val="20"/>
          <w:color w:val="auto"/>
        </w:rPr>
      </w:pPr>
    </w:p>
    <w:p>
      <w:pPr>
        <w:ind w:right="10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mean shares of capital stock, partnership interests, membership interests in a limited liability company, beneficial interests in a trust or other equity interests in any Person, and any option, warrant, convertible debt or other right entitling the holder thereof to purchase or otherwise acquire any such equity interest, provided that in the case of any convertible debt, such convertible debt shall be required to be Subordinated Debt.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and its regulations.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92" w:lineRule="exact"/>
        <w:rPr>
          <w:sz w:val="20"/>
          <w:szCs w:val="20"/>
          <w:color w:val="auto"/>
        </w:rPr>
      </w:pPr>
    </w:p>
    <w:p>
      <w:pPr>
        <w:ind w:right="8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Accounts</w:t>
      </w:r>
      <w:r>
        <w:rPr>
          <w:rFonts w:ascii="Times New Roman" w:cs="Times New Roman" w:eastAsia="Times New Roman" w:hAnsi="Times New Roman"/>
          <w:sz w:val="16"/>
          <w:szCs w:val="16"/>
          <w:color w:val="auto"/>
        </w:rPr>
        <w:t>” means (a) any Deposit Accounts exclusively established to cash collateralize letters of credit permitted by the Agreement, (b) the HSBC Australia Account, (c) the HSBC US Account, (d) the Comerica Account, and (e) a single Payroll Account but only to the extent that no more than one month’s payroll may be on deposit at any given time.</w:t>
      </w:r>
    </w:p>
    <w:p>
      <w:pPr>
        <w:spacing w:after="0" w:line="147" w:lineRule="exact"/>
        <w:rPr>
          <w:sz w:val="20"/>
          <w:szCs w:val="20"/>
          <w:color w:val="auto"/>
        </w:rPr>
      </w:pPr>
    </w:p>
    <w:p>
      <w:pPr>
        <w:ind w:right="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Domestic Subsidiary</w:t>
      </w:r>
      <w:r>
        <w:rPr>
          <w:rFonts w:ascii="Times New Roman" w:cs="Times New Roman" w:eastAsia="Times New Roman" w:hAnsi="Times New Roman"/>
          <w:sz w:val="16"/>
          <w:szCs w:val="16"/>
          <w:color w:val="auto"/>
        </w:rPr>
        <w:t>” means any Domestic Subsidiary of Borrower that is treated as a disregarded entity for United States purposes and substantially all of the assets of which consist of equity and/or debt of one or more Foreign Subsidiaries.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Taxes</w:t>
      </w:r>
      <w:r>
        <w:rPr>
          <w:rFonts w:ascii="Times New Roman" w:cs="Times New Roman" w:eastAsia="Times New Roman" w:hAnsi="Times New Roman"/>
          <w:sz w:val="16"/>
          <w:szCs w:val="16"/>
          <w:color w:val="auto"/>
        </w:rPr>
        <w:t>” means any of the following Taxes imposed on or with respect to a Recipient or required to be withheld or deducted from a payment to a Recipient,</w:t>
      </w:r>
    </w:p>
    <w:p>
      <w:pPr>
        <w:spacing w:after="0" w:line="24" w:lineRule="exact"/>
        <w:rPr>
          <w:sz w:val="20"/>
          <w:szCs w:val="20"/>
          <w:color w:val="auto"/>
        </w:rPr>
      </w:pPr>
    </w:p>
    <w:p>
      <w:pPr>
        <w:ind w:firstLine="8"/>
        <w:spacing w:after="0" w:line="245" w:lineRule="auto"/>
        <w:tabs>
          <w:tab w:leader="none" w:pos="2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by the jurisdiction under the laws of which such Recipient is organized or in which its principal office is located or, in the case of any Lender, in which its applicable lending office is located, and (c) in the case of a Foreign Lender, U.S. federal withholding Taxes imposed on amounts payable to such Foreign Lender at the time such Foreign Lender becomes a party to this Agreement (or designates a new lending office) or is attributable to such Foreign Lender’s failure to comply with </w:t>
      </w:r>
      <w:r>
        <w:rPr>
          <w:rFonts w:ascii="Times New Roman" w:cs="Times New Roman" w:eastAsia="Times New Roman" w:hAnsi="Times New Roman"/>
          <w:sz w:val="16"/>
          <w:szCs w:val="16"/>
          <w:u w:val="single" w:color="auto"/>
          <w:color w:val="auto"/>
        </w:rPr>
        <w:t>Section</w:t>
      </w:r>
    </w:p>
    <w:p>
      <w:pPr>
        <w:ind w:right="32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1.11(f)</w:t>
      </w:r>
      <w:r>
        <w:rPr>
          <w:rFonts w:ascii="Times New Roman" w:cs="Times New Roman" w:eastAsia="Times New Roman" w:hAnsi="Times New Roman"/>
          <w:sz w:val="16"/>
          <w:szCs w:val="16"/>
          <w:color w:val="auto"/>
        </w:rPr>
        <w:t xml:space="preserve">, except in each case to the extent that such Foreign Lender (or its assignor, if any) was entitled, at the time of designation of a new lending office (or assignment), to receive additional amounts from Borrower with respect to such withholding Tax pursuant to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xml:space="preserve"> and (d) U.S. federal withholding Taxes imposed under FATCA.</w:t>
      </w:r>
    </w:p>
    <w:p>
      <w:pPr>
        <w:sectPr>
          <w:pgSz w:w="11900" w:h="16838" w:orient="portrait"/>
          <w:cols w:equalWidth="0" w:num="1">
            <w:col w:w="11460"/>
          </w:cols>
          <w:pgMar w:left="220" w:top="318" w:right="219" w:bottom="1440" w:gutter="0" w:footer="0" w:header="0"/>
        </w:sectPr>
      </w:pPr>
    </w:p>
    <w:bookmarkStart w:id="97" w:name="page98"/>
    <w:bookmarkEnd w:id="97"/>
    <w:p>
      <w:pPr>
        <w:ind w:right="60" w:firstLine="531"/>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FATCA</w:t>
      </w:r>
      <w:r>
        <w:rPr>
          <w:rFonts w:ascii="Times New Roman" w:cs="Times New Roman" w:eastAsia="Times New Roman" w:hAnsi="Times New Roman"/>
          <w:sz w:val="16"/>
          <w:szCs w:val="16"/>
          <w:color w:val="auto"/>
        </w:rPr>
        <w:t>” shall mean Sections 1471 through 1474 of the IRC,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IRC, and any intergovernmental agreement entered into in connection with the implementation of such Sections of the IRC and any fiscal or regulatory legislation, rules or practices adopted pursuant to such intergovernmental agreement.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Lien Agent</w:t>
      </w:r>
      <w:r>
        <w:rPr>
          <w:rFonts w:ascii="Times New Roman" w:cs="Times New Roman" w:eastAsia="Times New Roman" w:hAnsi="Times New Roman"/>
          <w:sz w:val="16"/>
          <w:szCs w:val="16"/>
          <w:color w:val="auto"/>
        </w:rPr>
        <w:t>” has the meaning set forth in the Intercreditor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Lien Creditors</w:t>
      </w:r>
      <w:r>
        <w:rPr>
          <w:rFonts w:ascii="Times New Roman" w:cs="Times New Roman" w:eastAsia="Times New Roman" w:hAnsi="Times New Roman"/>
          <w:sz w:val="16"/>
          <w:szCs w:val="16"/>
          <w:color w:val="auto"/>
        </w:rPr>
        <w:t>” has the meaning set forth in the Intercreditor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Lien Loan Documents</w:t>
      </w:r>
      <w:r>
        <w:rPr>
          <w:rFonts w:ascii="Times New Roman" w:cs="Times New Roman" w:eastAsia="Times New Roman" w:hAnsi="Times New Roman"/>
          <w:sz w:val="16"/>
          <w:szCs w:val="16"/>
          <w:color w:val="auto"/>
        </w:rPr>
        <w:t>” has the meaning set forth in the Intercreditor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Flextronics</w:t>
      </w:r>
      <w:r>
        <w:rPr>
          <w:rFonts w:ascii="Times New Roman" w:cs="Times New Roman" w:eastAsia="Times New Roman" w:hAnsi="Times New Roman"/>
          <w:sz w:val="16"/>
          <w:szCs w:val="16"/>
          <w:color w:val="auto"/>
        </w:rPr>
        <w:t>” means Flextronics International Ltd., an entity incorporated in the Republic of Singapore.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Flextronics Facility</w:t>
      </w:r>
      <w:r>
        <w:rPr>
          <w:rFonts w:ascii="Times New Roman" w:cs="Times New Roman" w:eastAsia="Times New Roman" w:hAnsi="Times New Roman"/>
          <w:sz w:val="16"/>
          <w:szCs w:val="16"/>
          <w:color w:val="auto"/>
        </w:rPr>
        <w:t>” means that certain facility owned and operated by Flextronics America LLC, located at 847 Gibraltar Drive, Milpitas, California 95035.</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Lender</w:t>
      </w:r>
      <w:r>
        <w:rPr>
          <w:rFonts w:ascii="Times New Roman" w:cs="Times New Roman" w:eastAsia="Times New Roman" w:hAnsi="Times New Roman"/>
          <w:sz w:val="16"/>
          <w:szCs w:val="16"/>
          <w:color w:val="auto"/>
        </w:rPr>
        <w:t>” means a Lender that is not a U.S. Person.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Subsidiary</w:t>
      </w:r>
      <w:r>
        <w:rPr>
          <w:rFonts w:ascii="Times New Roman" w:cs="Times New Roman" w:eastAsia="Times New Roman" w:hAnsi="Times New Roman"/>
          <w:sz w:val="16"/>
          <w:szCs w:val="16"/>
          <w:color w:val="auto"/>
        </w:rPr>
        <w:t>” means any Subsidiary of Borrower that is not a Domestic Subsidiary.</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Funding Date</w:t>
      </w:r>
      <w:r>
        <w:rPr>
          <w:rFonts w:ascii="Times New Roman" w:cs="Times New Roman" w:eastAsia="Times New Roman" w:hAnsi="Times New Roman"/>
          <w:sz w:val="16"/>
          <w:szCs w:val="16"/>
          <w:color w:val="auto"/>
        </w:rPr>
        <w:t>” means any date on which a Credit Extension is made to or for the account of Borrower which shall be a Business Day.</w:t>
      </w:r>
    </w:p>
    <w:p>
      <w:pPr>
        <w:spacing w:after="0" w:line="192" w:lineRule="exact"/>
        <w:rPr>
          <w:sz w:val="20"/>
          <w:szCs w:val="20"/>
          <w:color w:val="auto"/>
        </w:rPr>
      </w:pPr>
    </w:p>
    <w:p>
      <w:pPr>
        <w:ind w:firstLine="531"/>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for the United States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Notwithstanding the foregoing, operating and capital leases will be treated in a manner consistent with their treatment under GAAP as in effect on the Effective Date, notwithstanding any modifications or interpretive changes thereto that may occur thereafter.</w:t>
      </w:r>
    </w:p>
    <w:p>
      <w:pPr>
        <w:spacing w:after="0" w:line="154" w:lineRule="exact"/>
        <w:rPr>
          <w:sz w:val="20"/>
          <w:szCs w:val="20"/>
          <w:color w:val="auto"/>
        </w:rPr>
      </w:pPr>
    </w:p>
    <w:p>
      <w:pPr>
        <w:ind w:right="100" w:firstLine="531"/>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General Intangibles</w:t>
      </w:r>
      <w:r>
        <w:rPr>
          <w:rFonts w:ascii="Times New Roman" w:cs="Times New Roman" w:eastAsia="Times New Roman" w:hAnsi="Times New Roman"/>
          <w:sz w:val="16"/>
          <w:szCs w:val="16"/>
          <w:color w:val="auto"/>
        </w:rPr>
        <w:t>” means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51" w:lineRule="exact"/>
        <w:rPr>
          <w:sz w:val="20"/>
          <w:szCs w:val="20"/>
          <w:color w:val="auto"/>
        </w:rPr>
      </w:pPr>
    </w:p>
    <w:p>
      <w:pPr>
        <w:ind w:right="2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Approval</w:t>
      </w:r>
      <w:r>
        <w:rPr>
          <w:rFonts w:ascii="Times New Roman" w:cs="Times New Roman" w:eastAsia="Times New Roman" w:hAnsi="Times New Roman"/>
          <w:sz w:val="16"/>
          <w:szCs w:val="16"/>
          <w:color w:val="auto"/>
        </w:rPr>
        <w:t>” means any consent, authorization, approval, order, license, franchise, permit, certificate, accreditation, registration, filing or notice, of, issued by, from or to, or other act by or in respect of, any Governmental Authority.</w:t>
      </w:r>
    </w:p>
    <w:p>
      <w:pPr>
        <w:spacing w:after="0" w:line="131" w:lineRule="exact"/>
        <w:rPr>
          <w:sz w:val="20"/>
          <w:szCs w:val="20"/>
          <w:color w:val="auto"/>
        </w:rPr>
      </w:pPr>
    </w:p>
    <w:p>
      <w:pPr>
        <w:ind w:right="8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ectPr>
          <w:pgSz w:w="11900" w:h="16838" w:orient="portrait"/>
          <w:cols w:equalWidth="0" w:num="1">
            <w:col w:w="11360"/>
          </w:cols>
          <w:pgMar w:left="220" w:top="318" w:right="319" w:bottom="1440" w:gutter="0" w:footer="0" w:header="0"/>
        </w:sectPr>
      </w:pPr>
    </w:p>
    <w:bookmarkStart w:id="98" w:name="page99"/>
    <w:bookmarkEnd w:id="98"/>
    <w:p>
      <w:pPr>
        <w:ind w:right="4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HSBC Australia Account</w:t>
      </w:r>
      <w:r>
        <w:rPr>
          <w:rFonts w:ascii="Times New Roman" w:cs="Times New Roman" w:eastAsia="Times New Roman" w:hAnsi="Times New Roman"/>
          <w:sz w:val="16"/>
          <w:szCs w:val="16"/>
          <w:color w:val="auto"/>
        </w:rPr>
        <w:t>” means that certain deposit account maintained by Borrower with HSBC Australia, account number 011-510559-001 as long as such account shall at no time contain more than US $1,000,000 for a period of ten (10) consecutive Business Days.</w:t>
      </w:r>
    </w:p>
    <w:p>
      <w:pPr>
        <w:spacing w:after="0" w:line="131" w:lineRule="exact"/>
        <w:rPr>
          <w:sz w:val="20"/>
          <w:szCs w:val="20"/>
          <w:color w:val="auto"/>
        </w:rPr>
      </w:pPr>
    </w:p>
    <w:p>
      <w:pPr>
        <w:ind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HSBC US Account</w:t>
      </w:r>
      <w:r>
        <w:rPr>
          <w:rFonts w:ascii="Times New Roman" w:cs="Times New Roman" w:eastAsia="Times New Roman" w:hAnsi="Times New Roman"/>
          <w:sz w:val="16"/>
          <w:szCs w:val="16"/>
          <w:color w:val="auto"/>
        </w:rPr>
        <w:t>” means that certain deposit account maintained by Borrower with HSBC in the United States, account number 267098600 as long as such account shall at no time contain more than US $35,000.</w:t>
      </w:r>
    </w:p>
    <w:p>
      <w:pPr>
        <w:spacing w:after="0" w:line="131" w:lineRule="exact"/>
        <w:rPr>
          <w:sz w:val="20"/>
          <w:szCs w:val="20"/>
          <w:color w:val="auto"/>
        </w:rPr>
      </w:pPr>
    </w:p>
    <w:p>
      <w:pPr>
        <w:ind w:right="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Hedging Agreement</w:t>
      </w:r>
      <w:r>
        <w:rPr>
          <w:rFonts w:ascii="Times New Roman" w:cs="Times New Roman" w:eastAsia="Times New Roman" w:hAnsi="Times New Roman"/>
          <w:sz w:val="16"/>
          <w:szCs w:val="16"/>
          <w:color w:val="auto"/>
        </w:rPr>
        <w:t>” means any interest rate protection agreement, foreign currency exchange agreement, commodity price protection agreement or other interest or currency exchange rate or commodity price hedging arrangement.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indebtedness of any nature.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Indemnitee</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13.2(a)</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2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Indemnified Taxes</w:t>
      </w:r>
      <w:r>
        <w:rPr>
          <w:rFonts w:ascii="Times New Roman" w:cs="Times New Roman" w:eastAsia="Times New Roman" w:hAnsi="Times New Roman"/>
          <w:sz w:val="16"/>
          <w:szCs w:val="16"/>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1" w:lineRule="exact"/>
        <w:rPr>
          <w:sz w:val="20"/>
          <w:szCs w:val="20"/>
          <w:color w:val="auto"/>
        </w:rPr>
      </w:pPr>
    </w:p>
    <w:p>
      <w:pPr>
        <w:ind w:right="3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Insolvency Proceeding</w:t>
      </w:r>
      <w:r>
        <w:rPr>
          <w:rFonts w:ascii="Times New Roman" w:cs="Times New Roman" w:eastAsia="Times New Roman" w:hAnsi="Times New Roman"/>
          <w:sz w:val="16"/>
          <w:szCs w:val="16"/>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means, with regard to any Person, all of such Person’s right, title, and interest in and to the following:</w:t>
      </w:r>
    </w:p>
    <w:p>
      <w:pPr>
        <w:spacing w:after="0" w:line="94" w:lineRule="exact"/>
        <w:rPr>
          <w:sz w:val="20"/>
          <w:szCs w:val="20"/>
          <w:color w:val="auto"/>
        </w:rPr>
      </w:pPr>
    </w:p>
    <w:p>
      <w:pPr>
        <w:ind w:left="1060" w:hanging="256"/>
        <w:spacing w:after="0"/>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Copyrights, Trademarks and Patents;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trade secrets and trade secret rights, including, without limitation, any rights to unpatented inventions, know-how, operating manuals;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source code;</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design rights which may be available to it;</w:t>
      </w:r>
    </w:p>
    <w:p>
      <w:pPr>
        <w:spacing w:after="0" w:line="180" w:lineRule="exact"/>
        <w:rPr>
          <w:rFonts w:ascii="Times New Roman" w:cs="Times New Roman" w:eastAsia="Times New Roman" w:hAnsi="Times New Roman"/>
          <w:sz w:val="16"/>
          <w:szCs w:val="16"/>
          <w:color w:val="auto"/>
        </w:rPr>
      </w:pPr>
    </w:p>
    <w:p>
      <w:pPr>
        <w:ind w:left="1060" w:right="320" w:hanging="256"/>
        <w:spacing w:after="0" w:line="279" w:lineRule="auto"/>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24"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amendments, renewals and extensions of any of the Copyrights, Trademarks or Patents.</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 Licenses</w:t>
      </w:r>
      <w:r>
        <w:rPr>
          <w:rFonts w:ascii="Times New Roman" w:cs="Times New Roman" w:eastAsia="Times New Roman" w:hAnsi="Times New Roman"/>
          <w:sz w:val="16"/>
          <w:szCs w:val="16"/>
          <w:color w:val="auto"/>
        </w:rPr>
        <w:t>” means any licenses or other similar rights in or with respect to Intellectual Property.</w:t>
      </w:r>
    </w:p>
    <w:p>
      <w:pPr>
        <w:spacing w:after="0" w:line="192" w:lineRule="exact"/>
        <w:rPr>
          <w:sz w:val="20"/>
          <w:szCs w:val="20"/>
          <w:color w:val="auto"/>
        </w:rPr>
      </w:pPr>
    </w:p>
    <w:p>
      <w:pPr>
        <w:ind w:right="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Intercreditor Agreement</w:t>
      </w:r>
      <w:r>
        <w:rPr>
          <w:rFonts w:ascii="Times New Roman" w:cs="Times New Roman" w:eastAsia="Times New Roman" w:hAnsi="Times New Roman"/>
          <w:sz w:val="16"/>
          <w:szCs w:val="16"/>
          <w:color w:val="auto"/>
        </w:rPr>
        <w:t>” means that certain intercreditor agreement, dated as of July 8, 2016, between Agent, Wells Fargo Bank and Borrower, relating to the Wells Fargo Indebtedness, as such agreement may be amended, restated, supplemented, amended and restated or otherwise modified from time to time;</w:t>
      </w:r>
    </w:p>
    <w:p>
      <w:pPr>
        <w:spacing w:after="0" w:line="131" w:lineRule="exact"/>
        <w:rPr>
          <w:sz w:val="20"/>
          <w:szCs w:val="20"/>
          <w:color w:val="auto"/>
        </w:rPr>
      </w:pPr>
    </w:p>
    <w:p>
      <w:pPr>
        <w:ind w:right="1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Intercompany Subordination Agreement</w:t>
      </w:r>
      <w:r>
        <w:rPr>
          <w:rFonts w:ascii="Times New Roman" w:cs="Times New Roman" w:eastAsia="Times New Roman" w:hAnsi="Times New Roman"/>
          <w:sz w:val="16"/>
          <w:szCs w:val="16"/>
          <w:color w:val="auto"/>
        </w:rPr>
        <w:t>” means an intercompany subordination agreement, dated as of even date with the Agreement, executed and delivered by Borrower, each of its Subsidiaries, and Agent, the form and substance of which is reasonably satisfactory to Agent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Only Period</w:t>
      </w:r>
      <w:r>
        <w:rPr>
          <w:rFonts w:ascii="Times New Roman" w:cs="Times New Roman" w:eastAsia="Times New Roman" w:hAnsi="Times New Roman"/>
          <w:sz w:val="16"/>
          <w:szCs w:val="16"/>
          <w:color w:val="auto"/>
        </w:rPr>
        <w:t>” means the period of time beginning on the Effective Date and continuing through and including June 30, 2017.</w:t>
      </w:r>
    </w:p>
    <w:p>
      <w:pPr>
        <w:sectPr>
          <w:pgSz w:w="11900" w:h="16838" w:orient="portrait"/>
          <w:cols w:equalWidth="0" w:num="1">
            <w:col w:w="11440"/>
          </w:cols>
          <w:pgMar w:left="220" w:top="318" w:right="239" w:bottom="1440" w:gutter="0" w:footer="0" w:header="0"/>
        </w:sectPr>
      </w:pPr>
    </w:p>
    <w:bookmarkStart w:id="99" w:name="page100"/>
    <w:bookmarkEnd w:id="99"/>
    <w:p>
      <w:pPr>
        <w:ind w:left="540"/>
        <w:spacing w:after="0"/>
        <w:rPr>
          <w:sz w:val="20"/>
          <w:szCs w:val="20"/>
          <w:color w:val="auto"/>
        </w:rPr>
      </w:pP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the first Business Day of each month after the Effective Date.</w:t>
      </w:r>
    </w:p>
    <w:p>
      <w:pPr>
        <w:spacing w:after="0" w:line="192" w:lineRule="exact"/>
        <w:rPr>
          <w:sz w:val="20"/>
          <w:szCs w:val="20"/>
          <w:color w:val="auto"/>
        </w:rPr>
      </w:pPr>
    </w:p>
    <w:p>
      <w:pPr>
        <w:ind w:right="4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Rate Reduction Trigger</w:t>
      </w:r>
      <w:r>
        <w:rPr>
          <w:rFonts w:ascii="Times New Roman" w:cs="Times New Roman" w:eastAsia="Times New Roman" w:hAnsi="Times New Roman"/>
          <w:sz w:val="16"/>
          <w:szCs w:val="16"/>
          <w:color w:val="auto"/>
        </w:rPr>
        <w:t>” means the occurrence to Agent’s satisfaction of the following: (a) no Event of Default has occurred or is continuing, and (b) Borrower’s Revenue and EBITDA are not less than the amounts set forth on Exhibit I hereto, and evidence reasonably satisfactory thereof has been provided to Agent.</w:t>
      </w:r>
    </w:p>
    <w:p>
      <w:pPr>
        <w:spacing w:after="0" w:line="131" w:lineRule="exact"/>
        <w:rPr>
          <w:sz w:val="20"/>
          <w:szCs w:val="20"/>
          <w:color w:val="auto"/>
        </w:rPr>
      </w:pPr>
    </w:p>
    <w:p>
      <w:pPr>
        <w:jc w:val="both"/>
        <w:ind w:right="6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Inventory</w:t>
      </w:r>
      <w:r>
        <w:rPr>
          <w:rFonts w:ascii="Times New Roman" w:cs="Times New Roman" w:eastAsia="Times New Roman" w:hAnsi="Times New Roman"/>
          <w:sz w:val="16"/>
          <w:szCs w:val="16"/>
          <w:color w:val="auto"/>
        </w:rPr>
        <w:t>” means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47" w:lineRule="exact"/>
        <w:rPr>
          <w:sz w:val="20"/>
          <w:szCs w:val="20"/>
          <w:color w:val="auto"/>
        </w:rPr>
      </w:pPr>
    </w:p>
    <w:p>
      <w:pPr>
        <w:ind w:firstLine="531"/>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(i) any direct or indirect purchase or other acquisition by Borrower or any of its Subsidiaries of, or of a beneficial interest in, any stocks, bonds, notes, debentures or other obligations or securities of any other Person; (ii) any direct or indirect redemption, retirement, purchase or other acquisition for value, by Borrower or any Subsidiary of Borrower from any Person, of any Equity Interests of such Person; (iii) any direct or indirect loan, advance (other than advances to employees for moving, entertainment and travel expenses, drawing accounts and similar expenditures in the ordinary course of business) or capital contributions by Borrower or any of its Subsidiaries to any other Person, including all indebtedness and accounts receivable from that other Person that are not current assets or did not arise from sales to that other Person in the ordinary course of business and (iv) all investments consisting of any exchange traded or over the counter derivative transaction, including any Hedging Agreement, whether entered into for hedging or speculative purposes or otherwise. The amount of any Investment of the type described in clauses (i), (ii) and (iii) shall be the original cost of such Investment plus the cost of all additions thereto, without any adjustments for increases or decreases in value, or write ups, write downs or write offs with respect to such Investment and after giving effect to any return of capital, repayment or dividends or distributions in respect thereof received in cash with respect to such Investment.</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IRC</w:t>
      </w:r>
      <w:r>
        <w:rPr>
          <w:rFonts w:ascii="Times New Roman" w:cs="Times New Roman" w:eastAsia="Times New Roman" w:hAnsi="Times New Roman"/>
          <w:sz w:val="16"/>
          <w:szCs w:val="16"/>
          <w:color w:val="auto"/>
        </w:rPr>
        <w:t>” means the Internal Revenue Code of 1986, as amended from time to time.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Joinder</w:t>
      </w:r>
      <w:r>
        <w:rPr>
          <w:rFonts w:ascii="Times New Roman" w:cs="Times New Roman" w:eastAsia="Times New Roman" w:hAnsi="Times New Roman"/>
          <w:sz w:val="16"/>
          <w:szCs w:val="16"/>
          <w:color w:val="auto"/>
        </w:rPr>
        <w:t xml:space="preserve">” means that certain Joinder in substantially the form attached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hereto.</w:t>
      </w:r>
    </w:p>
    <w:p>
      <w:pPr>
        <w:spacing w:after="0" w:line="192" w:lineRule="exact"/>
        <w:rPr>
          <w:sz w:val="20"/>
          <w:szCs w:val="20"/>
          <w:color w:val="auto"/>
        </w:rPr>
      </w:pPr>
    </w:p>
    <w:p>
      <w:pPr>
        <w:ind w:right="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Joining Party</w:t>
      </w:r>
      <w:r>
        <w:rPr>
          <w:rFonts w:ascii="Times New Roman" w:cs="Times New Roman" w:eastAsia="Times New Roman" w:hAnsi="Times New Roman"/>
          <w:sz w:val="16"/>
          <w:szCs w:val="16"/>
          <w:color w:val="auto"/>
        </w:rPr>
        <w:t>” means any Person signing a Joinder as a “Co-Borrower” (as defined in the Joinder) whereby such Person becomes bound to observe the requirements of this Agreement as provided in the Joinder.</w:t>
      </w:r>
    </w:p>
    <w:p>
      <w:pPr>
        <w:spacing w:after="0" w:line="131" w:lineRule="exact"/>
        <w:rPr>
          <w:sz w:val="20"/>
          <w:szCs w:val="20"/>
          <w:color w:val="auto"/>
        </w:rPr>
      </w:pPr>
    </w:p>
    <w:p>
      <w:pPr>
        <w:ind w:right="20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Lender(s)</w:t>
      </w:r>
      <w:r>
        <w:rPr>
          <w:rFonts w:ascii="Times New Roman" w:cs="Times New Roman" w:eastAsia="Times New Roman" w:hAnsi="Times New Roman"/>
          <w:sz w:val="16"/>
          <w:szCs w:val="16"/>
          <w:color w:val="auto"/>
        </w:rPr>
        <w:t xml:space="preserve">” mean (a) the Persons listed on </w:t>
      </w:r>
      <w:r>
        <w:rPr>
          <w:rFonts w:ascii="Times New Roman" w:cs="Times New Roman" w:eastAsia="Times New Roman" w:hAnsi="Times New Roman"/>
          <w:sz w:val="16"/>
          <w:szCs w:val="16"/>
          <w:u w:val="single" w:color="auto"/>
          <w:color w:val="auto"/>
        </w:rPr>
        <w:t>Schedule 1.2</w:t>
      </w:r>
      <w:r>
        <w:rPr>
          <w:rFonts w:ascii="Times New Roman" w:cs="Times New Roman" w:eastAsia="Times New Roman" w:hAnsi="Times New Roman"/>
          <w:sz w:val="16"/>
          <w:szCs w:val="16"/>
          <w:color w:val="auto"/>
        </w:rPr>
        <w:t xml:space="preserve"> (other than any such Person that has ceased to be a party hereto) and (b) any Person that has become a party hereto as a Lender.</w:t>
      </w:r>
    </w:p>
    <w:p>
      <w:pPr>
        <w:spacing w:after="0" w:line="131" w:lineRule="exact"/>
        <w:rPr>
          <w:sz w:val="20"/>
          <w:szCs w:val="20"/>
          <w:color w:val="auto"/>
        </w:rPr>
      </w:pPr>
    </w:p>
    <w:p>
      <w:pPr>
        <w:jc w:val="both"/>
        <w:ind w:right="52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Lender Expenses</w:t>
      </w:r>
      <w:r>
        <w:rPr>
          <w:rFonts w:ascii="Times New Roman" w:cs="Times New Roman" w:eastAsia="Times New Roman" w:hAnsi="Times New Roman"/>
          <w:sz w:val="16"/>
          <w:szCs w:val="16"/>
          <w:color w:val="auto"/>
        </w:rPr>
        <w:t>” are all reasonable audit fees and expenses, costs, and expenses (including reasonable attorneys’ fees and expenses) and reasonable fees and expenses of accountants, advisors and consultants incurred by a Lender or Agent for preparing, amending, negotiating, administering, defending and enforcing the Loan Documents (including, without limitation, those incurred in connection with appeals or Insolvency Proceedings) or otherwise incurred with respect to Borrower.</w:t>
      </w:r>
    </w:p>
    <w:p>
      <w:pPr>
        <w:spacing w:after="0" w:line="147" w:lineRule="exact"/>
        <w:rPr>
          <w:sz w:val="20"/>
          <w:szCs w:val="20"/>
          <w:color w:val="auto"/>
        </w:rPr>
      </w:pPr>
    </w:p>
    <w:p>
      <w:pPr>
        <w:ind w:firstLine="531"/>
        <w:spacing w:after="0" w:line="254" w:lineRule="auto"/>
        <w:rPr>
          <w:sz w:val="20"/>
          <w:szCs w:val="20"/>
          <w:color w:val="auto"/>
        </w:rPr>
      </w:pPr>
      <w:r>
        <w:rPr>
          <w:rFonts w:ascii="Times New Roman" w:cs="Times New Roman" w:eastAsia="Times New Roman" w:hAnsi="Times New Roman"/>
          <w:sz w:val="16"/>
          <w:szCs w:val="16"/>
          <w:b w:val="1"/>
          <w:bCs w:val="1"/>
          <w:color w:val="auto"/>
        </w:rPr>
        <w:t>“LIBOR Rate</w:t>
      </w:r>
      <w:r>
        <w:rPr>
          <w:rFonts w:ascii="Times New Roman" w:cs="Times New Roman" w:eastAsia="Times New Roman" w:hAnsi="Times New Roman"/>
          <w:sz w:val="16"/>
          <w:szCs w:val="16"/>
          <w:color w:val="auto"/>
        </w:rPr>
        <w:t>” means, for any date of determination, the three-month London Interbank Offered Rate (rounded upward to the nearest 1/16 of one percent) that appears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on Bloomberg at 11:00 am (California time) on such date of determination;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such index ceases to exist or is no longer published or announced, then the term “LIBOR Rate” shall mean the three-month London Interbank Offered Rate (rounded upward to the nearest 1/16 of one percent) as published in The Wall Street Journal on such date of determination, and if this latter index ceases to exist or is no longer published or announced, then the term “LIBOR Rate” shall mean the Prime Rate (rounded upward to the nearest 1/16 of one percent) as published in</w:t>
      </w:r>
    </w:p>
    <w:p>
      <w:pPr>
        <w:sectPr>
          <w:pgSz w:w="11900" w:h="16838" w:orient="portrait"/>
          <w:cols w:equalWidth="0" w:num="1">
            <w:col w:w="11440"/>
          </w:cols>
          <w:pgMar w:left="220" w:top="318" w:right="239" w:bottom="1440" w:gutter="0" w:footer="0" w:header="0"/>
        </w:sectPr>
      </w:pPr>
    </w:p>
    <w:bookmarkStart w:id="100" w:name="page101"/>
    <w:bookmarkEnd w:id="100"/>
    <w:p>
      <w:pPr>
        <w:spacing w:after="0" w:line="279" w:lineRule="auto"/>
        <w:rPr>
          <w:sz w:val="20"/>
          <w:szCs w:val="20"/>
          <w:color w:val="auto"/>
        </w:rPr>
      </w:pPr>
      <w:r>
        <w:rPr>
          <w:rFonts w:ascii="Times New Roman" w:cs="Times New Roman" w:eastAsia="Times New Roman" w:hAnsi="Times New Roman"/>
          <w:sz w:val="16"/>
          <w:szCs w:val="16"/>
          <w:color w:val="auto"/>
        </w:rPr>
        <w:t>The Wall Street Journal on such date of determination. The LIBOR Rate shall be determined on any date of determination by Agent, such determination being conclusive absent manifest error.</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LIBOR Unavailability Notice</w:t>
      </w:r>
      <w:r>
        <w:rPr>
          <w:rFonts w:ascii="Times New Roman" w:cs="Times New Roman" w:eastAsia="Times New Roman" w:hAnsi="Times New Roman"/>
          <w:sz w:val="16"/>
          <w:szCs w:val="16"/>
          <w:color w:val="auto"/>
        </w:rPr>
        <w:t xml:space="preserve">” shall have the meaning assigned to such term in </w:t>
      </w:r>
      <w:r>
        <w:rPr>
          <w:rFonts w:ascii="Times New Roman" w:cs="Times New Roman" w:eastAsia="Times New Roman" w:hAnsi="Times New Roman"/>
          <w:sz w:val="16"/>
          <w:szCs w:val="16"/>
          <w:u w:val="single" w:color="auto"/>
          <w:color w:val="auto"/>
        </w:rPr>
        <w:t>Section 1.3(e)</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40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means a claim, mortgage, deed of trust, levy, charge, pledge, security interest or other encumbrance of any kind, whether voluntarily incurred or arising by operation of law or otherwise against any property.</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w:t>
      </w:r>
      <w:r>
        <w:rPr>
          <w:rFonts w:ascii="Times New Roman" w:cs="Times New Roman" w:eastAsia="Times New Roman" w:hAnsi="Times New Roman"/>
          <w:sz w:val="16"/>
          <w:szCs w:val="16"/>
          <w:color w:val="auto"/>
        </w:rPr>
        <w:t>” means the Term Loan.</w:t>
      </w:r>
    </w:p>
    <w:p>
      <w:pPr>
        <w:spacing w:after="0" w:line="192" w:lineRule="exact"/>
        <w:rPr>
          <w:sz w:val="20"/>
          <w:szCs w:val="20"/>
          <w:color w:val="auto"/>
        </w:rPr>
      </w:pPr>
    </w:p>
    <w:p>
      <w:pPr>
        <w:ind w:right="18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Documents</w:t>
      </w:r>
      <w:r>
        <w:rPr>
          <w:rFonts w:ascii="Times New Roman" w:cs="Times New Roman" w:eastAsia="Times New Roman" w:hAnsi="Times New Roman"/>
          <w:sz w:val="16"/>
          <w:szCs w:val="16"/>
          <w:color w:val="auto"/>
        </w:rPr>
        <w:t>” are, collectively, this Agreement, the Perfection Certificates, the Pledge Agreements, each Control Agreement, each Subordination Agreement, each Joinder, each Note and any other present or future agreement between Borrower and/or any Joining Party and/or for the benefit of Lenders and/or Agent, as all such may be amended, restated, supplemented, amended and restated or otherwise modified from time to time.</w:t>
      </w:r>
    </w:p>
    <w:p>
      <w:pPr>
        <w:spacing w:after="0" w:line="147" w:lineRule="exact"/>
        <w:rPr>
          <w:sz w:val="20"/>
          <w:szCs w:val="20"/>
          <w:color w:val="auto"/>
        </w:rPr>
      </w:pPr>
    </w:p>
    <w:p>
      <w:pPr>
        <w:ind w:right="1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Parties</w:t>
      </w:r>
      <w:r>
        <w:rPr>
          <w:rFonts w:ascii="Times New Roman" w:cs="Times New Roman" w:eastAsia="Times New Roman" w:hAnsi="Times New Roman"/>
          <w:sz w:val="16"/>
          <w:szCs w:val="16"/>
          <w:color w:val="auto"/>
        </w:rPr>
        <w:t>” mean Borrower, any Joining Party and any guarantor of such entities’ obligations under the Loan Documents. For the avoidance of doubt, no Foreign Subsidiary or Excluded Subsidiary (nor any of their Subsidiaries) shall become a Loan Party under the Loan Documents.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Loan Party</w:t>
      </w:r>
      <w:r>
        <w:rPr>
          <w:rFonts w:ascii="Times New Roman" w:cs="Times New Roman" w:eastAsia="Times New Roman" w:hAnsi="Times New Roman"/>
          <w:sz w:val="16"/>
          <w:szCs w:val="16"/>
          <w:color w:val="auto"/>
        </w:rPr>
        <w:t>” means any of the Loan Parties.</w:t>
      </w:r>
    </w:p>
    <w:p>
      <w:pPr>
        <w:spacing w:after="0" w:line="192" w:lineRule="exact"/>
        <w:rPr>
          <w:sz w:val="20"/>
          <w:szCs w:val="20"/>
          <w:color w:val="auto"/>
        </w:rPr>
      </w:pPr>
    </w:p>
    <w:p>
      <w:pPr>
        <w:ind w:right="30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Adverse Change</w:t>
      </w:r>
      <w:r>
        <w:rPr>
          <w:rFonts w:ascii="Times New Roman" w:cs="Times New Roman" w:eastAsia="Times New Roman" w:hAnsi="Times New Roman"/>
          <w:sz w:val="16"/>
          <w:szCs w:val="16"/>
          <w:color w:val="auto"/>
        </w:rPr>
        <w:t>” means any circumstance, occurrence, fact, condition (financial or otherwise) or change (including a change in Applicable Law, event, development or effect) that, individually or in the aggregate, has, or is reasonably likely to have, in the opinion of Agent or the Required Lenders, acting reasonably, in a Material Adverse Effect.</w:t>
      </w:r>
    </w:p>
    <w:p>
      <w:pPr>
        <w:spacing w:after="0" w:line="147" w:lineRule="exact"/>
        <w:rPr>
          <w:sz w:val="20"/>
          <w:szCs w:val="20"/>
          <w:color w:val="auto"/>
        </w:rPr>
      </w:pPr>
    </w:p>
    <w:p>
      <w:pPr>
        <w:ind w:right="20" w:firstLine="531"/>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 means (i) a material adverse effect (or a series of adverse effects, none of which is material in and of itself but which, cumulatively, result in a material adverse effect) on the business, operations, affairs, performance, properties, revenues, assets, liabilities (including contingent liabilities), obligations, capitalization, results of operations (financial or otherwise), cash flows or condition (financial or otherwise) of the Borrower and its Subsidiaries taken as a whole, (ii) any material impairment of any Loan Party’s ability to exercise its rights or perform any of its obligations under this Agreement or any of the Security Documents or (iii) any prejudice to, restriction on or rendering unenforceable or ineffective, any obligation under this Agreement or any of the Security Documents or any Lien over all or any material portion of the Collateral or any right intended or purported to be granted under or pursuant to any of the Loan Documents to or for the benefit of Agent or Lenders. The final determination as to whether a Material Adverse Effect has occurred will be made by either Agent or the Required Lenders acting reasonably.</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Monthly Financial Statements</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xml:space="preserve">” means for a Term Loan, the Note attached in substantially the form attached hereto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6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Borrowing</w:t>
      </w:r>
      <w:r>
        <w:rPr>
          <w:rFonts w:ascii="Times New Roman" w:cs="Times New Roman" w:eastAsia="Times New Roman" w:hAnsi="Times New Roman"/>
          <w:sz w:val="16"/>
          <w:szCs w:val="16"/>
          <w:color w:val="auto"/>
        </w:rPr>
        <w:t xml:space="preserve">” means a notice given by Borrower to Agent in accordance with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substantially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with appropriate insertions.</w:t>
      </w:r>
    </w:p>
    <w:p>
      <w:pPr>
        <w:spacing w:after="0" w:line="131" w:lineRule="exact"/>
        <w:rPr>
          <w:sz w:val="20"/>
          <w:szCs w:val="20"/>
          <w:color w:val="auto"/>
        </w:rPr>
      </w:pPr>
    </w:p>
    <w:p>
      <w:pPr>
        <w:jc w:val="both"/>
        <w:ind w:right="12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Obligations</w:t>
      </w:r>
      <w:r>
        <w:rPr>
          <w:rFonts w:ascii="Times New Roman" w:cs="Times New Roman" w:eastAsia="Times New Roman" w:hAnsi="Times New Roman"/>
          <w:sz w:val="16"/>
          <w:szCs w:val="16"/>
          <w:color w:val="auto"/>
        </w:rPr>
        <w:t>” are each Loan Party’s obligations to pay when due any debts, principal, interest, Origination Fee, Commitment Fee, Lender Expenses, Prepayment Fee, Closing Fee and other amounts such Person owes Lender now or later, whether under this Agreement, the Loan Documents or otherwise, and including interest accruing after Insolvency Proceedings begin, and debts, liabilities, or obligations of such Person assigned to Lender, and to perform each Loan Party’s duties under the Loan Documents.</w:t>
      </w:r>
    </w:p>
    <w:p>
      <w:pPr>
        <w:sectPr>
          <w:pgSz w:w="11900" w:h="16838" w:orient="portrait"/>
          <w:cols w:equalWidth="0" w:num="1">
            <w:col w:w="11460"/>
          </w:cols>
          <w:pgMar w:left="220" w:top="320" w:right="219" w:bottom="1440" w:gutter="0" w:footer="0" w:header="0"/>
        </w:sectPr>
      </w:pPr>
    </w:p>
    <w:bookmarkStart w:id="101" w:name="page102"/>
    <w:bookmarkEnd w:id="101"/>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OFAC</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4.13</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Taxes</w:t>
      </w:r>
      <w:r>
        <w:rPr>
          <w:rFonts w:ascii="Times New Roman" w:cs="Times New Roman" w:eastAsia="Times New Roman" w:hAnsi="Times New Roman"/>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Origination Fee</w:t>
      </w:r>
      <w:r>
        <w:rPr>
          <w:rFonts w:ascii="Times New Roman" w:cs="Times New Roman" w:eastAsia="Times New Roman" w:hAnsi="Times New Roman"/>
          <w:sz w:val="16"/>
          <w:szCs w:val="16"/>
          <w:color w:val="auto"/>
        </w:rPr>
        <w:t>” means a payment in the amount of $75,000 due from Borrower to Lenders to initiate Lenders’ due diligence process.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Participant Register</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13.1(f)</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firstLine="531"/>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means all patents, patent applications and like protections including without limitation improvements, divisions, continuations, renewals, reissues, extensions and continuations-in-part of the same.</w:t>
      </w: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Payroll Account</w:t>
      </w:r>
      <w:r>
        <w:rPr>
          <w:rFonts w:ascii="Times New Roman" w:cs="Times New Roman" w:eastAsia="Times New Roman" w:hAnsi="Times New Roman"/>
          <w:sz w:val="16"/>
          <w:szCs w:val="16"/>
          <w:color w:val="auto"/>
        </w:rPr>
        <w:t>” means a zero balance account maintained by Borrower used exclusively to process payroll and related taxes.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Perfection Certificate</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 means:</w:t>
      </w:r>
    </w:p>
    <w:p>
      <w:pPr>
        <w:spacing w:after="0" w:line="94" w:lineRule="exact"/>
        <w:rPr>
          <w:sz w:val="20"/>
          <w:szCs w:val="20"/>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to Lenders under this Agreement and the other Loan Documents;</w:t>
      </w:r>
    </w:p>
    <w:p>
      <w:pPr>
        <w:spacing w:after="0" w:line="180"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existing on the Effective Date and shown on the Perfection Certificates;</w:t>
      </w:r>
    </w:p>
    <w:p>
      <w:pPr>
        <w:spacing w:after="0" w:line="180"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Subordinated Debt;</w:t>
      </w:r>
    </w:p>
    <w:p>
      <w:pPr>
        <w:spacing w:after="0" w:line="180" w:lineRule="exact"/>
        <w:rPr>
          <w:rFonts w:ascii="Times New Roman" w:cs="Times New Roman" w:eastAsia="Times New Roman" w:hAnsi="Times New Roman"/>
          <w:sz w:val="16"/>
          <w:szCs w:val="16"/>
          <w:color w:val="auto"/>
        </w:rPr>
      </w:pPr>
    </w:p>
    <w:p>
      <w:pPr>
        <w:ind w:left="800" w:right="120" w:hanging="261"/>
        <w:spacing w:after="0" w:line="262" w:lineRule="auto"/>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consisting of (i) unsecured guarantees arising with respect to customary indemnification obligations to purchasers in connection with Dispositions permitted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and (iii) unsecured guarantees with respect to Indebtedness of Borrower or one of its Subsidiaries, to the extent that the Person that is obligated under such guaranty could have incurred such underlying Indebtedness under this Agreement;</w:t>
      </w:r>
    </w:p>
    <w:p>
      <w:pPr>
        <w:spacing w:after="0" w:line="138"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intracompany Indebtedness among any Loan Parties;</w:t>
      </w:r>
    </w:p>
    <w:p>
      <w:pPr>
        <w:spacing w:after="0" w:line="180"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incurred as a result of endorsing negotiable instruments or other payment items for deposit, in all cases received in the ordinary course of business;</w:t>
      </w:r>
    </w:p>
    <w:p>
      <w:pPr>
        <w:spacing w:after="0" w:line="180"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secured by Liens permitted under clauses (a) and (c) of the definition of “Permitted Liens” hereunder;</w:t>
      </w:r>
    </w:p>
    <w:p>
      <w:pPr>
        <w:spacing w:after="0" w:line="180"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Wells Fargo Indebtedness;</w:t>
      </w:r>
    </w:p>
    <w:p>
      <w:pPr>
        <w:spacing w:after="0" w:line="180" w:lineRule="exact"/>
        <w:rPr>
          <w:rFonts w:ascii="Times New Roman" w:cs="Times New Roman" w:eastAsia="Times New Roman" w:hAnsi="Times New Roman"/>
          <w:sz w:val="16"/>
          <w:szCs w:val="16"/>
          <w:color w:val="auto"/>
        </w:rPr>
      </w:pPr>
    </w:p>
    <w:p>
      <w:pPr>
        <w:ind w:left="800" w:right="20" w:hanging="261"/>
        <w:spacing w:after="0" w:line="279" w:lineRule="auto"/>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24" w:lineRule="exact"/>
        <w:rPr>
          <w:rFonts w:ascii="Times New Roman" w:cs="Times New Roman" w:eastAsia="Times New Roman" w:hAnsi="Times New Roman"/>
          <w:sz w:val="16"/>
          <w:szCs w:val="16"/>
          <w:color w:val="auto"/>
        </w:rPr>
      </w:pPr>
    </w:p>
    <w:p>
      <w:pPr>
        <w:ind w:left="800" w:right="320" w:hanging="261"/>
        <w:spacing w:after="0" w:line="262" w:lineRule="auto"/>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38" w:lineRule="exact"/>
        <w:rPr>
          <w:rFonts w:ascii="Times New Roman" w:cs="Times New Roman" w:eastAsia="Times New Roman" w:hAnsi="Times New Roman"/>
          <w:sz w:val="16"/>
          <w:szCs w:val="16"/>
          <w:color w:val="auto"/>
        </w:rPr>
      </w:pPr>
    </w:p>
    <w:p>
      <w:pPr>
        <w:ind w:left="800" w:right="160" w:hanging="261"/>
        <w:spacing w:after="0" w:line="279" w:lineRule="auto"/>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by Borrower or its Subsidiaries of Indebtedness under Hedging Agreements that are incurred for the bona fide purpose of hedging the interest rate, commodity, or foreign currency risks associated with Borrower’s and its Subsidiaries’ operations and not for speculative purposes;</w:t>
      </w:r>
    </w:p>
    <w:p>
      <w:pPr>
        <w:spacing w:after="0" w:line="124" w:lineRule="exact"/>
        <w:rPr>
          <w:rFonts w:ascii="Times New Roman" w:cs="Times New Roman" w:eastAsia="Times New Roman" w:hAnsi="Times New Roman"/>
          <w:sz w:val="16"/>
          <w:szCs w:val="16"/>
          <w:color w:val="auto"/>
        </w:rPr>
      </w:pPr>
    </w:p>
    <w:p>
      <w:pPr>
        <w:ind w:left="800" w:right="180" w:hanging="261"/>
        <w:spacing w:after="0" w:line="279" w:lineRule="auto"/>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Indebtedness of Borrower owing to employees, former employees, officers, former officers, directors, former directors, or consultants (or any spouses, ex-spouses, or estates of any of</w:t>
      </w:r>
    </w:p>
    <w:p>
      <w:pPr>
        <w:sectPr>
          <w:pgSz w:w="11900" w:h="16838" w:orient="portrait"/>
          <w:cols w:equalWidth="0" w:num="1">
            <w:col w:w="11440"/>
          </w:cols>
          <w:pgMar w:left="220" w:top="506" w:right="239" w:bottom="1440" w:gutter="0" w:footer="0" w:header="0"/>
        </w:sectPr>
      </w:pPr>
    </w:p>
    <w:bookmarkStart w:id="102" w:name="page103"/>
    <w:bookmarkEnd w:id="102"/>
    <w:p>
      <w:pPr>
        <w:ind w:left="800" w:right="100"/>
        <w:spacing w:after="0" w:line="285" w:lineRule="auto"/>
        <w:rPr>
          <w:sz w:val="20"/>
          <w:szCs w:val="20"/>
          <w:color w:val="auto"/>
        </w:rPr>
      </w:pPr>
      <w:r>
        <w:rPr>
          <w:rFonts w:ascii="Times New Roman" w:cs="Times New Roman" w:eastAsia="Times New Roman" w:hAnsi="Times New Roman"/>
          <w:sz w:val="16"/>
          <w:szCs w:val="16"/>
          <w:color w:val="auto"/>
        </w:rPr>
        <w:t>the foregoing) incurred in connection with the redemption or repurchase by Borrower of the Equity Interests of Borrower that has been issued to such Persons, so long as (i) no Default or Event of Default has occurred and is continuing or would result from the incurrence of such Indebtedness, (ii) the aggregate amount of all such Indebtedness does not exceed Two Hundred Fifty Thousand Dollars ($250,000), and (iii) such Indebtedness is subordinated to the Obligations on terms and conditions reasonably acceptable to Agent;</w:t>
      </w:r>
    </w:p>
    <w:p>
      <w:pPr>
        <w:spacing w:after="0" w:line="132" w:lineRule="exact"/>
        <w:rPr>
          <w:sz w:val="20"/>
          <w:szCs w:val="20"/>
          <w:color w:val="auto"/>
        </w:rPr>
      </w:pPr>
    </w:p>
    <w:p>
      <w:pPr>
        <w:ind w:left="800" w:hanging="261"/>
        <w:spacing w:after="0"/>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composing Permitted Investments;</w:t>
      </w:r>
    </w:p>
    <w:p>
      <w:pPr>
        <w:spacing w:after="0" w:line="180" w:lineRule="exact"/>
        <w:rPr>
          <w:rFonts w:ascii="Times New Roman" w:cs="Times New Roman" w:eastAsia="Times New Roman" w:hAnsi="Times New Roman"/>
          <w:sz w:val="16"/>
          <w:szCs w:val="16"/>
          <w:color w:val="auto"/>
        </w:rPr>
      </w:pPr>
    </w:p>
    <w:p>
      <w:pPr>
        <w:ind w:left="800" w:right="600" w:hanging="261"/>
        <w:spacing w:after="0" w:line="279" w:lineRule="auto"/>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Indebtedness incurred in respect of netting services, overdraft protection, and other like services, in each case, incurred in the ordinary course of business;</w:t>
      </w:r>
    </w:p>
    <w:p>
      <w:pPr>
        <w:spacing w:after="0" w:line="124" w:lineRule="exact"/>
        <w:rPr>
          <w:rFonts w:ascii="Times New Roman" w:cs="Times New Roman" w:eastAsia="Times New Roman" w:hAnsi="Times New Roman"/>
          <w:sz w:val="16"/>
          <w:szCs w:val="16"/>
          <w:color w:val="auto"/>
        </w:rPr>
      </w:pPr>
    </w:p>
    <w:p>
      <w:pPr>
        <w:ind w:left="800" w:right="260" w:hanging="261"/>
        <w:spacing w:after="0" w:line="279" w:lineRule="auto"/>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in an aggregate outstanding principal amount not to exceed Five Million Dollars ($5,000,000) at any time outstanding for all Foreign Subsidiaries; provided, that such Indebtedness is not directly or indirectly recourse to any of the Loan Parties or of their respective assets;</w:t>
      </w:r>
    </w:p>
    <w:p>
      <w:pPr>
        <w:spacing w:after="0" w:line="124" w:lineRule="exact"/>
        <w:rPr>
          <w:rFonts w:ascii="Times New Roman" w:cs="Times New Roman" w:eastAsia="Times New Roman" w:hAnsi="Times New Roman"/>
          <w:sz w:val="16"/>
          <w:szCs w:val="16"/>
          <w:color w:val="auto"/>
        </w:rPr>
      </w:pPr>
    </w:p>
    <w:p>
      <w:pPr>
        <w:ind w:left="800" w:right="180" w:hanging="261"/>
        <w:spacing w:after="0" w:line="279" w:lineRule="auto"/>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accrual of interest, accretion or amortization of original issue discount, or the payment of interest in kind, in each case, on Indebtedness that otherwise constitutes Permitted Indebtedness;</w:t>
      </w:r>
    </w:p>
    <w:p>
      <w:pPr>
        <w:spacing w:after="0" w:line="124" w:lineRule="exact"/>
        <w:rPr>
          <w:rFonts w:ascii="Times New Roman" w:cs="Times New Roman" w:eastAsia="Times New Roman" w:hAnsi="Times New Roman"/>
          <w:sz w:val="16"/>
          <w:szCs w:val="16"/>
          <w:color w:val="auto"/>
        </w:rPr>
      </w:pPr>
    </w:p>
    <w:p>
      <w:pPr>
        <w:ind w:left="800" w:hanging="261"/>
        <w:spacing w:after="0"/>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unsecured Indebtedness in an aggregate outstanding principal amount not to exceed Five Hundred Thousand Dollars ($500,000) at any time outstanding; and</w:t>
      </w:r>
    </w:p>
    <w:p>
      <w:pPr>
        <w:spacing w:after="0" w:line="180" w:lineRule="exact"/>
        <w:rPr>
          <w:rFonts w:ascii="Times New Roman" w:cs="Times New Roman" w:eastAsia="Times New Roman" w:hAnsi="Times New Roman"/>
          <w:sz w:val="16"/>
          <w:szCs w:val="16"/>
          <w:color w:val="auto"/>
        </w:rPr>
      </w:pPr>
    </w:p>
    <w:p>
      <w:pPr>
        <w:ind w:left="800" w:right="280" w:hanging="261"/>
        <w:spacing w:after="0" w:line="279" w:lineRule="auto"/>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extensions, refinancings, modifications, amendments and restatements of any items of Permitted Indebtedness (a) through (q) above, provided that the principal amount thereof is not increased or the terms thereof are not modified to impose more burdensome terms upon Borrower or its Subsidiary, as the case may be.</w:t>
      </w:r>
    </w:p>
    <w:p>
      <w:pPr>
        <w:spacing w:after="0" w:line="34" w:lineRule="exact"/>
        <w:rPr>
          <w:sz w:val="20"/>
          <w:szCs w:val="20"/>
          <w:color w:val="auto"/>
        </w:rPr>
      </w:pPr>
    </w:p>
    <w:p>
      <w:pPr>
        <w:ind w:right="260" w:firstLine="531"/>
        <w:spacing w:after="0" w:line="263" w:lineRule="auto"/>
        <w:rPr>
          <w:sz w:val="20"/>
          <w:szCs w:val="20"/>
          <w:color w:val="auto"/>
        </w:rPr>
      </w:pPr>
      <w:r>
        <w:rPr>
          <w:rFonts w:ascii="Times New Roman" w:cs="Times New Roman" w:eastAsia="Times New Roman" w:hAnsi="Times New Roman"/>
          <w:sz w:val="16"/>
          <w:szCs w:val="16"/>
          <w:b w:val="1"/>
          <w:bCs w:val="1"/>
          <w:color w:val="auto"/>
        </w:rPr>
        <w:t>Permitted Intercompany Advances</w:t>
      </w:r>
      <w:r>
        <w:rPr>
          <w:rFonts w:ascii="Times New Roman" w:cs="Times New Roman" w:eastAsia="Times New Roman" w:hAnsi="Times New Roman"/>
          <w:sz w:val="16"/>
          <w:szCs w:val="16"/>
          <w:color w:val="auto"/>
        </w:rPr>
        <w:t>” means loans made by (a) a Loan Party to another Loan Party, (b) a Subsidiary of Borrower that is not a Loan Party to another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Subsidiary of Borrower that is not a Loan Party, and (c) a Subsidiary of Borrower that is not a Loan Party to a Loan Party, so long as the parties thereto are party to the Intercompany Subordination Agreement.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Investments</w:t>
      </w:r>
      <w:r>
        <w:rPr>
          <w:rFonts w:ascii="Times New Roman" w:cs="Times New Roman" w:eastAsia="Times New Roman" w:hAnsi="Times New Roman"/>
          <w:sz w:val="16"/>
          <w:szCs w:val="16"/>
          <w:color w:val="auto"/>
        </w:rPr>
        <w:t>” mean:</w:t>
      </w:r>
    </w:p>
    <w:p>
      <w:pPr>
        <w:spacing w:after="0" w:line="94" w:lineRule="exact"/>
        <w:rPr>
          <w:sz w:val="20"/>
          <w:szCs w:val="20"/>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(including, without limitation, in Subsidiaries) existing on the Effective Date and shown on the Perfection Certificates;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after the Effective Date among any Loan Parties;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consisting of Cash or Cash Equivalents;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negotiable instruments deposited or to be deposited for collection in the ordinary course of business;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advances made in connection with purchases of goods or services in the ordinary course of business;</w:t>
      </w:r>
    </w:p>
    <w:p>
      <w:pPr>
        <w:spacing w:after="0" w:line="180" w:lineRule="exact"/>
        <w:rPr>
          <w:rFonts w:ascii="Times New Roman" w:cs="Times New Roman" w:eastAsia="Times New Roman" w:hAnsi="Times New Roman"/>
          <w:sz w:val="16"/>
          <w:szCs w:val="16"/>
          <w:color w:val="auto"/>
        </w:rPr>
      </w:pPr>
    </w:p>
    <w:p>
      <w:pPr>
        <w:jc w:val="both"/>
        <w:ind w:left="1060" w:hanging="256"/>
        <w:spacing w:after="0" w:line="262" w:lineRule="auto"/>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38"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permitted under the definition of Permitted Indebtedness;</w:t>
      </w:r>
    </w:p>
    <w:p>
      <w:pPr>
        <w:spacing w:after="0" w:line="180"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Intercompany Advances;</w:t>
      </w:r>
    </w:p>
    <w:p>
      <w:pPr>
        <w:spacing w:after="0" w:line="180" w:lineRule="exact"/>
        <w:rPr>
          <w:rFonts w:ascii="Times New Roman" w:cs="Times New Roman" w:eastAsia="Times New Roman" w:hAnsi="Times New Roman"/>
          <w:sz w:val="16"/>
          <w:szCs w:val="16"/>
          <w:color w:val="auto"/>
        </w:rPr>
      </w:pPr>
    </w:p>
    <w:p>
      <w:pPr>
        <w:ind w:left="1060" w:right="260" w:hanging="256"/>
        <w:spacing w:after="0" w:line="279" w:lineRule="auto"/>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Interests or other securities acquired in connection with the satisfaction or enforcement of Indebtedness or claims due or owing to a Loan Party or its Subsidiaries (in bankruptcy of customers or suppliers) or as security for any such Indebtedness or claims;</w:t>
      </w:r>
    </w:p>
    <w:p>
      <w:pPr>
        <w:spacing w:after="0" w:line="124"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ectPr>
          <w:pgSz w:w="11900" w:h="16838" w:orient="portrait"/>
          <w:cols w:equalWidth="0" w:num="1">
            <w:col w:w="11440"/>
          </w:cols>
          <w:pgMar w:left="220" w:top="419" w:right="239" w:bottom="1440" w:gutter="0" w:footer="0" w:header="0"/>
        </w:sectPr>
      </w:pPr>
    </w:p>
    <w:bookmarkStart w:id="103" w:name="page104"/>
    <w:bookmarkEnd w:id="103"/>
    <w:p>
      <w:pPr>
        <w:ind w:left="520" w:right="80" w:hanging="256"/>
        <w:spacing w:after="0" w:line="256" w:lineRule="auto"/>
        <w:tabs>
          <w:tab w:leader="none" w:pos="5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non-Cash loans and advances to employees, officers, and directors of Borrower or any of its Subsidiaries for the purpose of purchasing Equity Interests in Borrower so long as the proceeds of such loans are used in their entirety to purchase such Equity Interests in Borrower, and (ii) loans and advances to employees and officers of Borrower or any of its Subsidiaries in the ordinary course of business for any other business purpose and in an aggregate amount not to exceed Two Hundred Fifty Thousand Dollars ($250,000) in any fiscal year;</w:t>
      </w:r>
    </w:p>
    <w:p>
      <w:pPr>
        <w:spacing w:after="0" w:line="143" w:lineRule="exact"/>
        <w:rPr>
          <w:rFonts w:ascii="Times New Roman" w:cs="Times New Roman" w:eastAsia="Times New Roman" w:hAnsi="Times New Roman"/>
          <w:sz w:val="16"/>
          <w:szCs w:val="16"/>
          <w:color w:val="auto"/>
        </w:rPr>
      </w:pPr>
    </w:p>
    <w:p>
      <w:pPr>
        <w:ind w:left="520" w:right="880" w:hanging="256"/>
        <w:spacing w:after="0" w:line="279" w:lineRule="auto"/>
        <w:tabs>
          <w:tab w:leader="none" w:pos="5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resulting from entering into agreements relative to Indebtedness that is permitted under clauses (i) or (k) of the definition of Permitted Indebtedness; and</w:t>
      </w:r>
    </w:p>
    <w:p>
      <w:pPr>
        <w:spacing w:after="0" w:line="124" w:lineRule="exact"/>
        <w:rPr>
          <w:rFonts w:ascii="Times New Roman" w:cs="Times New Roman" w:eastAsia="Times New Roman" w:hAnsi="Times New Roman"/>
          <w:sz w:val="16"/>
          <w:szCs w:val="16"/>
          <w:color w:val="auto"/>
        </w:rPr>
      </w:pPr>
    </w:p>
    <w:p>
      <w:pPr>
        <w:ind w:left="520" w:hanging="256"/>
        <w:spacing w:after="0" w:line="253" w:lineRule="auto"/>
        <w:tabs>
          <w:tab w:leader="none" w:pos="5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joint ventures or strategic alliances in the ordinary course of Borrower’s business consisting of the nonexclusive licensing of technology, the development of technology or the providing of technical support and strategic alliances with particular customers in which such customers will share in the research and development expense of Borrower associated with the incorporation by such customers of microconverters purchased from Borrower into solar panels produced by such customers, provided in all cases that any cash investments by Borrower do not exceed Five Hundred Thousand Dollars ($500,000) in the aggregate in any fiscal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Liens</w:t>
      </w:r>
      <w:r>
        <w:rPr>
          <w:rFonts w:ascii="Times New Roman" w:cs="Times New Roman" w:eastAsia="Times New Roman" w:hAnsi="Times New Roman"/>
          <w:sz w:val="16"/>
          <w:szCs w:val="16"/>
          <w:color w:val="auto"/>
        </w:rPr>
        <w:t>” mean:</w:t>
      </w:r>
    </w:p>
    <w:p>
      <w:pPr>
        <w:spacing w:after="0" w:line="94" w:lineRule="exact"/>
        <w:rPr>
          <w:sz w:val="20"/>
          <w:szCs w:val="20"/>
          <w:color w:val="auto"/>
        </w:rPr>
      </w:pPr>
    </w:p>
    <w:p>
      <w:pPr>
        <w:ind w:left="520" w:hanging="256"/>
        <w:spacing w:after="0"/>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existing on the Effective Date and shown on the Perfection Certificates or arising under this Agreement and the other Loan Documents;</w:t>
      </w:r>
    </w:p>
    <w:p>
      <w:pPr>
        <w:spacing w:after="0" w:line="180" w:lineRule="exact"/>
        <w:rPr>
          <w:rFonts w:ascii="Times New Roman" w:cs="Times New Roman" w:eastAsia="Times New Roman" w:hAnsi="Times New Roman"/>
          <w:sz w:val="16"/>
          <w:szCs w:val="16"/>
          <w:color w:val="auto"/>
        </w:rPr>
      </w:pPr>
    </w:p>
    <w:p>
      <w:pPr>
        <w:ind w:left="520" w:right="220" w:hanging="256"/>
        <w:spacing w:after="0" w:line="262" w:lineRule="auto"/>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for unpaid Taxes, fees, assessments or other government charges or levies, either (i) not past due or (ii) do not have priority over Agent’s Liens and are being contested in good faith and for which Borrower maintains adequate reserves on Borrower’s Books, provided that no notice of any such Lien has been filed or recorded under the IRC and the Treasury Regulations adopted thereunder;</w:t>
      </w:r>
    </w:p>
    <w:p>
      <w:pPr>
        <w:spacing w:after="0" w:line="138" w:lineRule="exact"/>
        <w:rPr>
          <w:rFonts w:ascii="Times New Roman" w:cs="Times New Roman" w:eastAsia="Times New Roman" w:hAnsi="Times New Roman"/>
          <w:sz w:val="16"/>
          <w:szCs w:val="16"/>
          <w:color w:val="auto"/>
        </w:rPr>
      </w:pPr>
    </w:p>
    <w:p>
      <w:pPr>
        <w:ind w:left="520" w:right="100" w:hanging="256"/>
        <w:spacing w:after="0" w:line="256" w:lineRule="auto"/>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money Liens or capital leases (i) on Equipment and related software acquired or held by Borrower after the Effective Date which is incurred for financing the acquisition of the Equipment and related software securing no more than $2,000,000 in the aggregate which remains outstanding, or (ii) existing on Equipment and related software when acquired prior to the Effective Date, if the Lien is confined to the property and improvements and the proceeds of the Equipment and related software;</w:t>
      </w:r>
    </w:p>
    <w:p>
      <w:pPr>
        <w:spacing w:after="0" w:line="143" w:lineRule="exact"/>
        <w:rPr>
          <w:rFonts w:ascii="Times New Roman" w:cs="Times New Roman" w:eastAsia="Times New Roman" w:hAnsi="Times New Roman"/>
          <w:sz w:val="16"/>
          <w:szCs w:val="16"/>
          <w:color w:val="auto"/>
        </w:rPr>
      </w:pPr>
    </w:p>
    <w:p>
      <w:pPr>
        <w:ind w:left="520" w:right="600" w:hanging="256"/>
        <w:spacing w:after="0" w:line="279" w:lineRule="auto"/>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24" w:lineRule="exact"/>
        <w:rPr>
          <w:rFonts w:ascii="Times New Roman" w:cs="Times New Roman" w:eastAsia="Times New Roman" w:hAnsi="Times New Roman"/>
          <w:sz w:val="16"/>
          <w:szCs w:val="16"/>
          <w:color w:val="auto"/>
        </w:rPr>
      </w:pPr>
    </w:p>
    <w:p>
      <w:pPr>
        <w:ind w:left="520" w:hanging="256"/>
        <w:spacing w:after="0"/>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licenses of Intellectual Property permitted under Section 6.1; and</w:t>
      </w:r>
    </w:p>
    <w:p>
      <w:pPr>
        <w:spacing w:after="0" w:line="180" w:lineRule="exact"/>
        <w:rPr>
          <w:rFonts w:ascii="Times New Roman" w:cs="Times New Roman" w:eastAsia="Times New Roman" w:hAnsi="Times New Roman"/>
          <w:sz w:val="16"/>
          <w:szCs w:val="16"/>
          <w:color w:val="auto"/>
        </w:rPr>
      </w:pPr>
    </w:p>
    <w:p>
      <w:pPr>
        <w:ind w:left="520" w:right="600" w:hanging="256"/>
        <w:spacing w:after="0" w:line="279" w:lineRule="auto"/>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granted to First Lien Agent under the Wells Fargo Guaranty and Security Agreement or other First Lien Loan Documents, to secure the “Secured Obligations” (as defined in the Wells Fargo Guaranty and Security Agreement);</w:t>
      </w:r>
    </w:p>
    <w:p>
      <w:pPr>
        <w:spacing w:after="0" w:line="124" w:lineRule="exact"/>
        <w:rPr>
          <w:rFonts w:ascii="Times New Roman" w:cs="Times New Roman" w:eastAsia="Times New Roman" w:hAnsi="Times New Roman"/>
          <w:sz w:val="16"/>
          <w:szCs w:val="16"/>
          <w:color w:val="auto"/>
        </w:rPr>
      </w:pPr>
    </w:p>
    <w:p>
      <w:pPr>
        <w:ind w:left="520" w:right="80" w:hanging="256"/>
        <w:spacing w:after="0" w:line="279" w:lineRule="auto"/>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arising by operation of law in favor of warehousemen, landlords, carriers, mechanics, materialmen, laborers, or suppliers, incurred in the ordinary course of business and not in connection with the borrowing of money, and which Liens are for sums not yet delinquent;</w:t>
      </w:r>
    </w:p>
    <w:p>
      <w:pPr>
        <w:spacing w:after="0" w:line="124" w:lineRule="exact"/>
        <w:rPr>
          <w:rFonts w:ascii="Times New Roman" w:cs="Times New Roman" w:eastAsia="Times New Roman" w:hAnsi="Times New Roman"/>
          <w:sz w:val="16"/>
          <w:szCs w:val="16"/>
          <w:color w:val="auto"/>
        </w:rPr>
      </w:pPr>
    </w:p>
    <w:p>
      <w:pPr>
        <w:ind w:left="520" w:hanging="256"/>
        <w:spacing w:after="0"/>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amounts deposited to secure Borrower’s and its Subsidiaries obligations in connection with worker’s compensation or other unemployment insurance;</w:t>
      </w:r>
    </w:p>
    <w:p>
      <w:pPr>
        <w:spacing w:after="0" w:line="180" w:lineRule="exact"/>
        <w:rPr>
          <w:rFonts w:ascii="Times New Roman" w:cs="Times New Roman" w:eastAsia="Times New Roman" w:hAnsi="Times New Roman"/>
          <w:sz w:val="16"/>
          <w:szCs w:val="16"/>
          <w:color w:val="auto"/>
        </w:rPr>
      </w:pPr>
    </w:p>
    <w:p>
      <w:pPr>
        <w:ind w:left="520" w:hanging="256"/>
        <w:spacing w:after="0"/>
        <w:tabs>
          <w:tab w:leader="none" w:pos="5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real property, easements, rights of way, and zoning restrictions that do not materially interfere with or impair the use or operation thereof;</w:t>
      </w:r>
    </w:p>
    <w:p>
      <w:pPr>
        <w:sectPr>
          <w:pgSz w:w="11900" w:h="16838" w:orient="portrait"/>
          <w:cols w:equalWidth="0" w:num="1">
            <w:col w:w="10920"/>
          </w:cols>
          <w:pgMar w:left="760" w:top="408" w:right="219" w:bottom="1440" w:gutter="0" w:footer="0" w:header="0"/>
        </w:sectPr>
      </w:pPr>
    </w:p>
    <w:bookmarkStart w:id="104" w:name="page105"/>
    <w:bookmarkEnd w:id="104"/>
    <w:p>
      <w:pPr>
        <w:ind w:left="1060" w:right="220" w:hanging="256"/>
        <w:spacing w:after="0" w:line="279" w:lineRule="auto"/>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that are replacements of Permitted Liens to the extent that the original Indebtedness is the subject of a permitted refinancing thereof and so long as the replacement Liens only encumber those assets that secured the original Indebtedness;</w:t>
      </w:r>
    </w:p>
    <w:p>
      <w:pPr>
        <w:spacing w:after="0" w:line="124" w:lineRule="exact"/>
        <w:rPr>
          <w:rFonts w:ascii="Times New Roman" w:cs="Times New Roman" w:eastAsia="Times New Roman" w:hAnsi="Times New Roman"/>
          <w:sz w:val="16"/>
          <w:szCs w:val="16"/>
          <w:color w:val="auto"/>
        </w:rPr>
      </w:pPr>
    </w:p>
    <w:p>
      <w:pPr>
        <w:ind w:left="1060" w:right="220" w:hanging="256"/>
        <w:spacing w:after="0" w:line="279" w:lineRule="auto"/>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rights of setoff or bankers’ liens upon deposits of funds in favor of banks or other depository institutions, solely to the extent incurred in connection with the maintenance of Deposit Accounts in the ordinary course of business;</w:t>
      </w:r>
    </w:p>
    <w:p>
      <w:pPr>
        <w:spacing w:after="0" w:line="124" w:lineRule="exact"/>
        <w:rPr>
          <w:rFonts w:ascii="Times New Roman" w:cs="Times New Roman" w:eastAsia="Times New Roman" w:hAnsi="Times New Roman"/>
          <w:sz w:val="16"/>
          <w:szCs w:val="16"/>
          <w:color w:val="auto"/>
        </w:rPr>
      </w:pPr>
    </w:p>
    <w:p>
      <w:pPr>
        <w:ind w:left="1060" w:right="40" w:hanging="256"/>
        <w:spacing w:after="0" w:line="279" w:lineRule="auto"/>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24" w:lineRule="exact"/>
        <w:rPr>
          <w:rFonts w:ascii="Times New Roman" w:cs="Times New Roman" w:eastAsia="Times New Roman" w:hAnsi="Times New Roman"/>
          <w:sz w:val="16"/>
          <w:szCs w:val="16"/>
          <w:color w:val="auto"/>
        </w:rPr>
      </w:pPr>
    </w:p>
    <w:p>
      <w:pPr>
        <w:ind w:left="1060" w:right="200" w:hanging="256"/>
        <w:spacing w:after="0" w:line="279" w:lineRule="auto"/>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customs and revenue authorities arising as a matter of law to secure payment of customs duties in connection with the importation of goods provided that the amount owed for such customs duties is not yet due;</w:t>
      </w:r>
    </w:p>
    <w:p>
      <w:pPr>
        <w:spacing w:after="0" w:line="124" w:lineRule="exact"/>
        <w:rPr>
          <w:rFonts w:ascii="Times New Roman" w:cs="Times New Roman" w:eastAsia="Times New Roman" w:hAnsi="Times New Roman"/>
          <w:sz w:val="16"/>
          <w:szCs w:val="16"/>
          <w:color w:val="auto"/>
        </w:rPr>
      </w:pPr>
    </w:p>
    <w:p>
      <w:pPr>
        <w:ind w:left="1060" w:hanging="256"/>
        <w:spacing w:after="0" w:line="256" w:lineRule="auto"/>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consisting of cash collateral securing (i) obligations of the Foreign Subsidiaries under foreign credit cards, credit card processing services, debit cards, stored value cards, commercial cards (including so-called “purchase cards”, “procurement cards” or “p-cards”) or other cash management services permitted by clause (i) of the definition of Permitted Indebtedness, but in each such case only to the extent that such cash collateral is owned by one or more of the Foreign Subsidiaries; (ii) any Hedging Agreement; and</w:t>
      </w:r>
    </w:p>
    <w:p>
      <w:pPr>
        <w:spacing w:after="0" w:line="143" w:lineRule="exact"/>
        <w:rPr>
          <w:rFonts w:ascii="Times New Roman" w:cs="Times New Roman" w:eastAsia="Times New Roman" w:hAnsi="Times New Roman"/>
          <w:sz w:val="16"/>
          <w:szCs w:val="16"/>
          <w:color w:val="auto"/>
        </w:rPr>
      </w:pPr>
    </w:p>
    <w:p>
      <w:pPr>
        <w:ind w:left="1060" w:hanging="256"/>
        <w:spacing w:after="0"/>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Liens securing obligations not in excess of One Hundred Thousand Dollars ($100,000).</w:t>
      </w:r>
    </w:p>
    <w:p>
      <w:pPr>
        <w:spacing w:after="0" w:line="90" w:lineRule="exact"/>
        <w:rPr>
          <w:sz w:val="20"/>
          <w:szCs w:val="20"/>
          <w:color w:val="auto"/>
        </w:rPr>
      </w:pPr>
    </w:p>
    <w:p>
      <w:pPr>
        <w:ind w:right="400" w:firstLine="531"/>
        <w:spacing w:after="0" w:line="282" w:lineRule="auto"/>
        <w:rPr>
          <w:sz w:val="20"/>
          <w:szCs w:val="20"/>
          <w:color w:val="auto"/>
        </w:rPr>
      </w:pP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sole proprietorship, partnership, limited liability company, joint venture, company, trust, unincorporated organization, association,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institution, public benefit corporation, firm, joint stock company, estate, entity or government agency.</w:t>
      </w:r>
    </w:p>
    <w:p>
      <w:pPr>
        <w:spacing w:after="0" w:line="131" w:lineRule="exact"/>
        <w:rPr>
          <w:sz w:val="20"/>
          <w:szCs w:val="20"/>
          <w:color w:val="auto"/>
        </w:rPr>
      </w:pPr>
    </w:p>
    <w:p>
      <w:pPr>
        <w:ind w:right="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Pledge Agreements</w:t>
      </w:r>
      <w:r>
        <w:rPr>
          <w:rFonts w:ascii="Times New Roman" w:cs="Times New Roman" w:eastAsia="Times New Roman" w:hAnsi="Times New Roman"/>
          <w:sz w:val="16"/>
          <w:szCs w:val="16"/>
          <w:color w:val="auto"/>
        </w:rPr>
        <w:t>” mean, collectively, any local law pledge agreement relating to the Equity Interests or evidence of Indebtedness of any Subsidiary owned directly or indirectly by a Loan Party to the extent necessary or useful to perfect Agent’s security interest therein under applicable laws.</w:t>
      </w:r>
    </w:p>
    <w:p>
      <w:pPr>
        <w:spacing w:after="0" w:line="131" w:lineRule="exact"/>
        <w:rPr>
          <w:sz w:val="20"/>
          <w:szCs w:val="20"/>
          <w:color w:val="auto"/>
        </w:rPr>
      </w:pPr>
    </w:p>
    <w:p>
      <w:pPr>
        <w:ind w:right="1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Pledged Account</w:t>
      </w:r>
      <w:r>
        <w:rPr>
          <w:rFonts w:ascii="Times New Roman" w:cs="Times New Roman" w:eastAsia="Times New Roman" w:hAnsi="Times New Roman"/>
          <w:sz w:val="16"/>
          <w:szCs w:val="16"/>
          <w:color w:val="auto"/>
        </w:rPr>
        <w:t>” means any Deposit Account, Securities Account, Commodity Account or other similar account (other than an Excluded Account) even though it may not precisely fit the definition of a Deposit Account, Securities Account or a Commodity Account.</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Prepayment Fee</w:t>
      </w:r>
      <w:r>
        <w:rPr>
          <w:rFonts w:ascii="Times New Roman" w:cs="Times New Roman" w:eastAsia="Times New Roman" w:hAnsi="Times New Roman"/>
          <w:sz w:val="16"/>
          <w:szCs w:val="16"/>
          <w:color w:val="auto"/>
        </w:rPr>
        <w:t>” means a payment equal to the amount of the Term Loan being prepaid multiplied by the Prepayment Percentage.</w:t>
      </w:r>
    </w:p>
    <w:p>
      <w:pPr>
        <w:spacing w:after="0" w:line="192" w:lineRule="exact"/>
        <w:rPr>
          <w:sz w:val="20"/>
          <w:szCs w:val="20"/>
          <w:color w:val="auto"/>
        </w:rPr>
      </w:pPr>
    </w:p>
    <w:p>
      <w:pPr>
        <w:ind w:right="10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Prepayment Percentage</w:t>
      </w:r>
      <w:r>
        <w:rPr>
          <w:rFonts w:ascii="Times New Roman" w:cs="Times New Roman" w:eastAsia="Times New Roman" w:hAnsi="Times New Roman"/>
          <w:sz w:val="16"/>
          <w:szCs w:val="16"/>
          <w:color w:val="auto"/>
        </w:rPr>
        <w:t>” means (i) three percent (3.00%) of the Term Loan amount prepaid on or prior to the first anniversary of the Effective Date, and (ii) two percent (2.00%) of the Term Loan amount prepaid after the first anniversary of the Effective Date of such Term Loan but on or prior to the second anniversary of the Effective Date, and (iii) one percent (1.00%) of the Term Loan amount prepaid after the second anniversary of the Effective Date but prior to the Term Loan Maturity Date.</w:t>
      </w:r>
    </w:p>
    <w:p>
      <w:pPr>
        <w:spacing w:after="0" w:line="147" w:lineRule="exact"/>
        <w:rPr>
          <w:sz w:val="20"/>
          <w:szCs w:val="20"/>
          <w:color w:val="auto"/>
        </w:rPr>
      </w:pPr>
    </w:p>
    <w:p>
      <w:pPr>
        <w:ind w:firstLine="531"/>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Prime Rate</w:t>
      </w:r>
      <w:r>
        <w:rPr>
          <w:rFonts w:ascii="Times New Roman" w:cs="Times New Roman" w:eastAsia="Times New Roman" w:hAnsi="Times New Roman"/>
          <w:sz w:val="16"/>
          <w:szCs w:val="16"/>
          <w:color w:val="auto"/>
        </w:rPr>
        <w:t>” means, for any day, the rate of interest in effect for such day that is identified and normally published by The Wall Street Journal as the “Prime Rate” (or, if more than one rate is published as the Prime Rate, then the highest of such rates), with any change in Prime Rate to become effective as of the date the rate of interest which is so identified as the “Prime Rate” is different from that published on the preceding Business Day. If The Wall Street Journal no longer reports the Prime Rate, or if the Prime Rate no longer exists, or Agent determines in good faith that the rate so reported no longer accurately reflects an accurate determination of the prevailing Prime Rate, then Agent may select a reasonably comparable index or source to use as the basis for the Prime Rate.</w:t>
      </w:r>
    </w:p>
    <w:p>
      <w:pPr>
        <w:sectPr>
          <w:pgSz w:w="11900" w:h="16838" w:orient="portrait"/>
          <w:cols w:equalWidth="0" w:num="1">
            <w:col w:w="11420"/>
          </w:cols>
          <w:pgMar w:left="220" w:top="408" w:right="259" w:bottom="1440" w:gutter="0" w:footer="0" w:header="0"/>
        </w:sectPr>
      </w:pPr>
    </w:p>
    <w:bookmarkStart w:id="105" w:name="page106"/>
    <w:bookmarkEnd w:id="105"/>
    <w:p>
      <w:pPr>
        <w:ind w:right="10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 Rata Percentage</w:t>
      </w:r>
      <w:r>
        <w:rPr>
          <w:rFonts w:ascii="Times New Roman" w:cs="Times New Roman" w:eastAsia="Times New Roman" w:hAnsi="Times New Roman"/>
          <w:sz w:val="16"/>
          <w:szCs w:val="16"/>
          <w:color w:val="auto"/>
        </w:rPr>
        <w:t>” means, with respect to any Lender, a percentage equal to a fraction, the numerator of which is such Lender’s Term Loan Commitment and the denominator of which is the aggregate of the Term Loan Commitments of all Lenders.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Quarterly Financial Statements</w:t>
      </w:r>
      <w:r>
        <w:rPr>
          <w:rFonts w:ascii="Times New Roman" w:cs="Times New Roman" w:eastAsia="Times New Roman" w:hAnsi="Times New Roman"/>
          <w:sz w:val="16"/>
          <w:szCs w:val="16"/>
          <w:color w:val="auto"/>
        </w:rPr>
        <w:t>” is defined in Section 5.2(b).</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Recipient</w:t>
      </w:r>
      <w:r>
        <w:rPr>
          <w:rFonts w:ascii="Times New Roman" w:cs="Times New Roman" w:eastAsia="Times New Roman" w:hAnsi="Times New Roman"/>
          <w:sz w:val="16"/>
          <w:szCs w:val="16"/>
          <w:color w:val="auto"/>
        </w:rPr>
        <w:t>” means (a) Agent and (b) any Lender, as applicable.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13.1(d)</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Registered Organization</w:t>
      </w:r>
      <w:r>
        <w:rPr>
          <w:rFonts w:ascii="Times New Roman" w:cs="Times New Roman" w:eastAsia="Times New Roman" w:hAnsi="Times New Roman"/>
          <w:sz w:val="16"/>
          <w:szCs w:val="16"/>
          <w:color w:val="auto"/>
        </w:rPr>
        <w:t>” means any “registered organization” as defined in the Code with such additions to such term as may hereafter be made.</w:t>
      </w:r>
    </w:p>
    <w:p>
      <w:pPr>
        <w:spacing w:after="0" w:line="192" w:lineRule="exact"/>
        <w:rPr>
          <w:sz w:val="20"/>
          <w:szCs w:val="20"/>
          <w:color w:val="auto"/>
        </w:rPr>
      </w:pPr>
    </w:p>
    <w:p>
      <w:pPr>
        <w:ind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Related Fund</w:t>
      </w:r>
      <w:r>
        <w:rPr>
          <w:rFonts w:ascii="Times New Roman" w:cs="Times New Roman" w:eastAsia="Times New Roman" w:hAnsi="Times New Roman"/>
          <w:sz w:val="16"/>
          <w:szCs w:val="16"/>
          <w:color w:val="auto"/>
        </w:rPr>
        <w:t>” means, with respect to any Lender that is a fund or commingled investment vehicle that invests in bank loans, any other fund that invests in bank loans and is managed or advised by the same investment advisor as such Lender or by an Affiliate of such investment advisor.</w:t>
      </w:r>
    </w:p>
    <w:p>
      <w:pPr>
        <w:spacing w:after="0" w:line="131" w:lineRule="exact"/>
        <w:rPr>
          <w:sz w:val="20"/>
          <w:szCs w:val="20"/>
          <w:color w:val="auto"/>
        </w:rPr>
      </w:pPr>
    </w:p>
    <w:p>
      <w:pPr>
        <w:ind w:right="1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Related Parties</w:t>
      </w:r>
      <w:r>
        <w:rPr>
          <w:rFonts w:ascii="Times New Roman" w:cs="Times New Roman" w:eastAsia="Times New Roman" w:hAnsi="Times New Roman"/>
          <w:sz w:val="16"/>
          <w:szCs w:val="16"/>
          <w:color w:val="auto"/>
        </w:rPr>
        <w:t>” means, with respect to any specified Person, such Person’s Affiliates and the respective directors, trustees, officers, employees, agents and advisors of such Person and such Person’s Affiliates.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Reportable Event</w:t>
      </w:r>
      <w:r>
        <w:rPr>
          <w:rFonts w:ascii="Times New Roman" w:cs="Times New Roman" w:eastAsia="Times New Roman" w:hAnsi="Times New Roman"/>
          <w:sz w:val="16"/>
          <w:szCs w:val="16"/>
          <w:color w:val="auto"/>
        </w:rPr>
        <w:t>” means any of the events set forth in Section 4043(c) of ERISA, other than events for which the 30 day notice period has been waived.</w:t>
      </w:r>
    </w:p>
    <w:p>
      <w:pPr>
        <w:spacing w:after="0" w:line="192" w:lineRule="exact"/>
        <w:rPr>
          <w:sz w:val="20"/>
          <w:szCs w:val="20"/>
          <w:color w:val="auto"/>
        </w:rPr>
      </w:pPr>
    </w:p>
    <w:p>
      <w:pPr>
        <w:ind w:right="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Lenders</w:t>
      </w:r>
      <w:r>
        <w:rPr>
          <w:rFonts w:ascii="Times New Roman" w:cs="Times New Roman" w:eastAsia="Times New Roman" w:hAnsi="Times New Roman"/>
          <w:sz w:val="16"/>
          <w:szCs w:val="16"/>
          <w:color w:val="auto"/>
        </w:rPr>
        <w:t>” means, at any time, Lenders having funded Credit Extensions and having Term Loan Commitments representing more than 50% of the sum of all Credit Extensions and Term Loan Commitments at such time.</w:t>
      </w:r>
    </w:p>
    <w:p>
      <w:pPr>
        <w:spacing w:after="0" w:line="131" w:lineRule="exact"/>
        <w:rPr>
          <w:sz w:val="20"/>
          <w:szCs w:val="20"/>
          <w:color w:val="auto"/>
        </w:rPr>
      </w:pPr>
    </w:p>
    <w:p>
      <w:pPr>
        <w:ind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Requirement of Law</w:t>
      </w:r>
      <w:r>
        <w:rPr>
          <w:rFonts w:ascii="Times New Roman" w:cs="Times New Roman" w:eastAsia="Times New Roman" w:hAnsi="Times New Roman"/>
          <w:sz w:val="16"/>
          <w:szCs w:val="16"/>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means any of the Chief Executive Officer, President, Chief Financial Officer and Controller of Borrower.</w:t>
      </w:r>
    </w:p>
    <w:p>
      <w:pPr>
        <w:spacing w:after="0" w:line="192" w:lineRule="exact"/>
        <w:rPr>
          <w:sz w:val="20"/>
          <w:szCs w:val="20"/>
          <w:color w:val="auto"/>
        </w:rPr>
      </w:pPr>
    </w:p>
    <w:p>
      <w:pPr>
        <w:ind w:right="28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License</w:t>
      </w:r>
      <w:r>
        <w:rPr>
          <w:rFonts w:ascii="Times New Roman" w:cs="Times New Roman" w:eastAsia="Times New Roman" w:hAnsi="Times New Roman"/>
          <w:sz w:val="16"/>
          <w:szCs w:val="16"/>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Agent’s right to sell any Collateral.</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Payment</w:t>
      </w:r>
      <w:r>
        <w:rPr>
          <w:rFonts w:ascii="Times New Roman" w:cs="Times New Roman" w:eastAsia="Times New Roman" w:hAnsi="Times New Roman"/>
          <w:sz w:val="16"/>
          <w:szCs w:val="16"/>
          <w:color w:val="auto"/>
        </w:rPr>
        <w:t xml:space="preserve">” is defined in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Revenue</w:t>
      </w:r>
      <w:r>
        <w:rPr>
          <w:rFonts w:ascii="Times New Roman" w:cs="Times New Roman" w:eastAsia="Times New Roman" w:hAnsi="Times New Roman"/>
          <w:sz w:val="16"/>
          <w:szCs w:val="16"/>
          <w:color w:val="auto"/>
        </w:rPr>
        <w:t>” means, on a consolidated basis for Borrower and all other Loan Parties, revenue received by Borrower and all other Loan Parties in accordance with GAAP from the sale of finished Goods Inventory or services, in all cases in the ordinary course of such entity’s business, less returns, credits and sales taxes.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SBA Forms</w:t>
      </w:r>
      <w:r>
        <w:rPr>
          <w:rFonts w:ascii="Times New Roman" w:cs="Times New Roman" w:eastAsia="Times New Roman" w:hAnsi="Times New Roman"/>
          <w:sz w:val="16"/>
          <w:szCs w:val="16"/>
          <w:color w:val="auto"/>
        </w:rPr>
        <w:t>” mean SBA Form 480 (11-10), SBA Form 652 (11-91) and SBA Form 1031 (12/10) promulgated by the U.S. Small Business Administration.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Securities and Exchange Commission or any other similar or successor agency of the United Stated federal government administering the Securities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ectPr>
          <w:pgSz w:w="11900" w:h="16838" w:orient="portrait"/>
          <w:cols w:equalWidth="0" w:num="1">
            <w:col w:w="11440"/>
          </w:cols>
          <w:pgMar w:left="220" w:top="318" w:right="239" w:bottom="1440" w:gutter="0" w:footer="0" w:header="0"/>
        </w:sectPr>
      </w:pPr>
    </w:p>
    <w:bookmarkStart w:id="106" w:name="page107"/>
    <w:bookmarkEnd w:id="106"/>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Account</w:t>
      </w:r>
      <w:r>
        <w:rPr>
          <w:rFonts w:ascii="Times New Roman" w:cs="Times New Roman" w:eastAsia="Times New Roman" w:hAnsi="Times New Roman"/>
          <w:sz w:val="16"/>
          <w:szCs w:val="16"/>
          <w:color w:val="auto"/>
        </w:rPr>
        <w:t>” means any “securities account” as defined in the Code with such additions to such term as may hereafter be made.</w:t>
      </w:r>
    </w:p>
    <w:p>
      <w:pPr>
        <w:spacing w:after="0" w:line="192" w:lineRule="exact"/>
        <w:rPr>
          <w:sz w:val="20"/>
          <w:szCs w:val="20"/>
          <w:color w:val="auto"/>
        </w:rPr>
      </w:pPr>
    </w:p>
    <w:p>
      <w:pPr>
        <w:ind w:right="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or any similar United States Federal statute, and the rules and regulations of the SEC thereunder, all as the same shall be in effect from time to time.</w:t>
      </w:r>
    </w:p>
    <w:p>
      <w:pPr>
        <w:spacing w:after="0" w:line="131" w:lineRule="exact"/>
        <w:rPr>
          <w:sz w:val="20"/>
          <w:szCs w:val="20"/>
          <w:color w:val="auto"/>
        </w:rPr>
      </w:pPr>
    </w:p>
    <w:p>
      <w:pPr>
        <w:ind w:right="3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Documents</w:t>
      </w:r>
      <w:r>
        <w:rPr>
          <w:rFonts w:ascii="Times New Roman" w:cs="Times New Roman" w:eastAsia="Times New Roman" w:hAnsi="Times New Roman"/>
          <w:sz w:val="16"/>
          <w:szCs w:val="16"/>
          <w:color w:val="auto"/>
        </w:rPr>
        <w:t xml:space="preserve">” mean the Pledge Agreements, Perfection Certificates, any Joinder, any Control Agreement, any Subordination Agreement and each of the security agreements and other instruments and documents executed and delivered pursuant to any of the foregoing or in connection with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w:t>
      </w:r>
    </w:p>
    <w:p>
      <w:pPr>
        <w:spacing w:after="0" w:line="131" w:lineRule="exact"/>
        <w:rPr>
          <w:sz w:val="20"/>
          <w:szCs w:val="20"/>
          <w:color w:val="auto"/>
        </w:rPr>
      </w:pPr>
    </w:p>
    <w:p>
      <w:pPr>
        <w:ind w:right="60" w:firstLine="531"/>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Solvent</w:t>
      </w:r>
      <w:r>
        <w:rPr>
          <w:rFonts w:ascii="Times New Roman" w:cs="Times New Roman" w:eastAsia="Times New Roman" w:hAnsi="Times New Roman"/>
          <w:sz w:val="16"/>
          <w:szCs w:val="16"/>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and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58" w:lineRule="exact"/>
        <w:rPr>
          <w:sz w:val="20"/>
          <w:szCs w:val="20"/>
          <w:color w:val="auto"/>
        </w:rPr>
      </w:pPr>
    </w:p>
    <w:p>
      <w:pPr>
        <w:ind w:right="14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Subordination Agreement</w:t>
      </w:r>
      <w:r>
        <w:rPr>
          <w:rFonts w:ascii="Times New Roman" w:cs="Times New Roman" w:eastAsia="Times New Roman" w:hAnsi="Times New Roman"/>
          <w:sz w:val="16"/>
          <w:szCs w:val="16"/>
          <w:color w:val="auto"/>
        </w:rPr>
        <w:t>” means any subordination, intercreditor, or other similar agreement in form and substance satisfactory to Agent entered into between Agent and the other creditor, on terms acceptable to Agent whereby a Person subordinates the Indebtedness of any Loan Party to such Person to the Indebtedness of any Loan Party to Agent and/or Lenders.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Subordinated Debt</w:t>
      </w:r>
      <w:r>
        <w:rPr>
          <w:rFonts w:ascii="Times New Roman" w:cs="Times New Roman" w:eastAsia="Times New Roman" w:hAnsi="Times New Roman"/>
          <w:sz w:val="16"/>
          <w:szCs w:val="16"/>
          <w:color w:val="auto"/>
        </w:rPr>
        <w:t>” means indebtedness subject to a Subordination Agreement.</w:t>
      </w:r>
    </w:p>
    <w:p>
      <w:pPr>
        <w:spacing w:after="0" w:line="192" w:lineRule="exact"/>
        <w:rPr>
          <w:sz w:val="20"/>
          <w:szCs w:val="20"/>
          <w:color w:val="auto"/>
        </w:rPr>
      </w:pPr>
    </w:p>
    <w:p>
      <w:pPr>
        <w:ind w:firstLine="531"/>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54" w:lineRule="exact"/>
        <w:rPr>
          <w:sz w:val="20"/>
          <w:szCs w:val="20"/>
          <w:color w:val="auto"/>
        </w:rPr>
      </w:pPr>
    </w:p>
    <w:p>
      <w:pPr>
        <w:ind w:right="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Returns</w:t>
      </w:r>
      <w:r>
        <w:rPr>
          <w:rFonts w:ascii="Times New Roman" w:cs="Times New Roman" w:eastAsia="Times New Roman" w:hAnsi="Times New Roman"/>
          <w:sz w:val="16"/>
          <w:szCs w:val="16"/>
          <w:color w:val="auto"/>
        </w:rPr>
        <w:t>” mean all returns, declarations, reports, schedules, forms or information return or statement of, or with respect to, Taxes filed or required to be filed with any Governmental Authority or depository.</w:t>
      </w:r>
    </w:p>
    <w:p>
      <w:pPr>
        <w:spacing w:after="0" w:line="131" w:lineRule="exact"/>
        <w:rPr>
          <w:sz w:val="20"/>
          <w:szCs w:val="20"/>
          <w:color w:val="auto"/>
        </w:rPr>
      </w:pPr>
    </w:p>
    <w:p>
      <w:pPr>
        <w:ind w:right="1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mean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1" w:lineRule="exact"/>
        <w:rPr>
          <w:sz w:val="20"/>
          <w:szCs w:val="20"/>
          <w:color w:val="auto"/>
        </w:rPr>
      </w:pPr>
    </w:p>
    <w:p>
      <w:pPr>
        <w:ind w:right="3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w:t>
      </w:r>
      <w:r>
        <w:rPr>
          <w:rFonts w:ascii="Times New Roman" w:cs="Times New Roman" w:eastAsia="Times New Roman" w:hAnsi="Times New Roman"/>
          <w:sz w:val="16"/>
          <w:szCs w:val="16"/>
          <w:color w:val="auto"/>
        </w:rPr>
        <w:t xml:space="preserve">” means the term loan made available by Lenders to Borrower pursuant to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of the Agreement, which amount shall not exceed Twenty Five Million Dollars ($25,000,000).</w:t>
      </w:r>
    </w:p>
    <w:p>
      <w:pPr>
        <w:spacing w:after="0" w:line="131" w:lineRule="exact"/>
        <w:rPr>
          <w:sz w:val="20"/>
          <w:szCs w:val="20"/>
          <w:color w:val="auto"/>
        </w:rPr>
      </w:pPr>
    </w:p>
    <w:p>
      <w:pPr>
        <w:ind w:right="18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Alternate Base Rate</w:t>
      </w:r>
      <w:r>
        <w:rPr>
          <w:rFonts w:ascii="Times New Roman" w:cs="Times New Roman" w:eastAsia="Times New Roman" w:hAnsi="Times New Roman"/>
          <w:sz w:val="16"/>
          <w:szCs w:val="16"/>
          <w:color w:val="auto"/>
        </w:rPr>
        <w:t>” means, for any day, the greater of (a) 10.25% and (b) a fluctuating rate of interest per annum equal to the Prime Rate in effect on such day plus 6.75%, provided that upon the occurrence of the Interest Rate Reduction Trigger, the Term Loan Alternate Base Rate shall be reduced by</w:t>
      </w:r>
    </w:p>
    <w:p>
      <w:pPr>
        <w:sectPr>
          <w:pgSz w:w="11900" w:h="16838" w:orient="portrait"/>
          <w:cols w:equalWidth="0" w:num="1">
            <w:col w:w="11420"/>
          </w:cols>
          <w:pgMar w:left="220" w:top="318" w:right="259" w:bottom="1440" w:gutter="0" w:footer="0" w:header="0"/>
        </w:sectPr>
      </w:pPr>
    </w:p>
    <w:bookmarkStart w:id="107" w:name="page108"/>
    <w:bookmarkEnd w:id="107"/>
    <w:p>
      <w:pPr>
        <w:ind w:right="140"/>
        <w:spacing w:after="0" w:line="279" w:lineRule="auto"/>
        <w:rPr>
          <w:sz w:val="20"/>
          <w:szCs w:val="20"/>
          <w:color w:val="auto"/>
        </w:rPr>
      </w:pPr>
      <w:r>
        <w:rPr>
          <w:rFonts w:ascii="Times New Roman" w:cs="Times New Roman" w:eastAsia="Times New Roman" w:hAnsi="Times New Roman"/>
          <w:sz w:val="16"/>
          <w:szCs w:val="16"/>
          <w:color w:val="auto"/>
        </w:rPr>
        <w:t>1.0%. Any change in the Term Loan Alternate Base Rate due to a change in the Prime Rate shall be effective from and including the effective day of such change in the Prime Rate.</w:t>
      </w:r>
    </w:p>
    <w:p>
      <w:pPr>
        <w:spacing w:after="0" w:line="134" w:lineRule="exact"/>
        <w:rPr>
          <w:sz w:val="20"/>
          <w:szCs w:val="20"/>
          <w:color w:val="auto"/>
        </w:rPr>
      </w:pPr>
    </w:p>
    <w:p>
      <w:pPr>
        <w:ind w:firstLine="531"/>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Commitment</w:t>
      </w:r>
      <w:r>
        <w:rPr>
          <w:rFonts w:ascii="Times New Roman" w:cs="Times New Roman" w:eastAsia="Times New Roman" w:hAnsi="Times New Roman"/>
          <w:sz w:val="16"/>
          <w:szCs w:val="16"/>
          <w:color w:val="auto"/>
        </w:rPr>
        <w:t xml:space="preserve">” means with respect to each Term Loan Lender, the commitment of such Lender to make Credit Extensions under the Term Loan hereunder as set forth on </w:t>
      </w:r>
      <w:r>
        <w:rPr>
          <w:rFonts w:ascii="Times New Roman" w:cs="Times New Roman" w:eastAsia="Times New Roman" w:hAnsi="Times New Roman"/>
          <w:sz w:val="16"/>
          <w:szCs w:val="16"/>
          <w:u w:val="single" w:color="auto"/>
          <w:color w:val="auto"/>
        </w:rPr>
        <w:t>Schedule 1.2</w:t>
      </w:r>
      <w:r>
        <w:rPr>
          <w:rFonts w:ascii="Times New Roman" w:cs="Times New Roman" w:eastAsia="Times New Roman" w:hAnsi="Times New Roman"/>
          <w:sz w:val="16"/>
          <w:szCs w:val="16"/>
          <w:color w:val="auto"/>
        </w:rPr>
        <w:t xml:space="preserve"> directly below the column entitled “Term Loan Commitment,” or in the Assignment and Acceptance pursuant to which such Lender assumed its Term Loan Commitment, in all cases as the same may be reduced, terminated or adjusted as provided in the Agreement. The aggregate amount of Lenders’ Term Loan Commitments is Twenty Five Million Dollars ($25,000,000).</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Lender</w:t>
      </w:r>
      <w:r>
        <w:rPr>
          <w:rFonts w:ascii="Times New Roman" w:cs="Times New Roman" w:eastAsia="Times New Roman" w:hAnsi="Times New Roman"/>
          <w:sz w:val="16"/>
          <w:szCs w:val="16"/>
          <w:color w:val="auto"/>
        </w:rPr>
        <w:t>” mean each Lender with a Term Loan Commitment or with outstanding Term Loan.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Interest Rate</w:t>
      </w:r>
      <w:r>
        <w:rPr>
          <w:rFonts w:ascii="Times New Roman" w:cs="Times New Roman" w:eastAsia="Times New Roman" w:hAnsi="Times New Roman"/>
          <w:sz w:val="16"/>
          <w:szCs w:val="16"/>
          <w:color w:val="auto"/>
        </w:rPr>
        <w:t>” means, for any given day, the greater of (a) 10.25%, and (b) a fluctuating rate of interest per annum equal to the LIBOR Rate plus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9.5625%; provided that all times during which there is an effective LIBOR Unavailability Notice, the Term Loan Interest Rate shall mean the Term Loan Alternate Base Rate;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provided further, that upon the occurrence of the Interest Rate Reduction Trigger, the Term Loan Interest Rate shall be reduced by 1.0%. Any change in the Term Loan Interest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Rate due to a change in the LIBOR Rate shall be effective from and including the effective day of such change in the LIBOR Rate.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Maturity Date</w:t>
      </w:r>
      <w:r>
        <w:rPr>
          <w:rFonts w:ascii="Times New Roman" w:cs="Times New Roman" w:eastAsia="Times New Roman" w:hAnsi="Times New Roman"/>
          <w:sz w:val="16"/>
          <w:szCs w:val="16"/>
          <w:color w:val="auto"/>
        </w:rPr>
        <w:t>” means July 1, 2020.</w:t>
      </w:r>
    </w:p>
    <w:p>
      <w:pPr>
        <w:spacing w:after="0" w:line="192" w:lineRule="exact"/>
        <w:rPr>
          <w:sz w:val="20"/>
          <w:szCs w:val="20"/>
          <w:color w:val="auto"/>
        </w:rPr>
      </w:pPr>
    </w:p>
    <w:p>
      <w:pPr>
        <w:ind w:right="16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Trademarks</w:t>
      </w:r>
      <w:r>
        <w:rPr>
          <w:rFonts w:ascii="Times New Roman" w:cs="Times New Roman" w:eastAsia="Times New Roman" w:hAnsi="Times New Roman"/>
          <w:sz w:val="16"/>
          <w:szCs w:val="16"/>
          <w:color w:val="auto"/>
        </w:rPr>
        <w:t>” means any trademark and servicemark rights, whether registered or not, applications to register and registrations of the same and like protections, and the entire goodwill of the business of a Person connected with and symbolized by such trademarks.</w:t>
      </w:r>
    </w:p>
    <w:p>
      <w:pPr>
        <w:spacing w:after="0" w:line="131" w:lineRule="exact"/>
        <w:rPr>
          <w:sz w:val="20"/>
          <w:szCs w:val="20"/>
          <w:color w:val="auto"/>
        </w:rPr>
      </w:pPr>
    </w:p>
    <w:p>
      <w:pPr>
        <w:ind w:right="2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USA FREEDOM Act</w:t>
      </w:r>
      <w:r>
        <w:rPr>
          <w:rFonts w:ascii="Times New Roman" w:cs="Times New Roman" w:eastAsia="Times New Roman" w:hAnsi="Times New Roman"/>
          <w:sz w:val="16"/>
          <w:szCs w:val="16"/>
          <w:color w:val="auto"/>
        </w:rPr>
        <w:t xml:space="preserve">” means The Uniting and Strengthening America by Fulfilling Rights and Ending Eavesdropping, Dragnet-collection and Online Monitoring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USA FREEDOM ACT) Act of 2015, Public Law 114-23 (June 2, 2015), as may be amended.</w:t>
      </w:r>
    </w:p>
    <w:p>
      <w:pPr>
        <w:spacing w:after="0" w:line="131" w:lineRule="exact"/>
        <w:rPr>
          <w:sz w:val="20"/>
          <w:szCs w:val="20"/>
          <w:color w:val="auto"/>
        </w:rPr>
      </w:pPr>
    </w:p>
    <w:p>
      <w:pPr>
        <w:ind w:right="2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USA PATRIOT Act</w:t>
      </w:r>
      <w:r>
        <w:rPr>
          <w:rFonts w:ascii="Times New Roman" w:cs="Times New Roman" w:eastAsia="Times New Roman" w:hAnsi="Times New Roman"/>
          <w:sz w:val="16"/>
          <w:szCs w:val="16"/>
          <w:color w:val="auto"/>
        </w:rPr>
        <w:t>” means The Uniting and Strengthening America by Providing Appropriate Tools Required to Intercept and Obstruct Terrorism Act of 2001 (Title III of Pub. L. No. 107-56 (signed into law October 26, 2001)), as may be amended.</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Person</w:t>
      </w:r>
      <w:r>
        <w:rPr>
          <w:rFonts w:ascii="Times New Roman" w:cs="Times New Roman" w:eastAsia="Times New Roman" w:hAnsi="Times New Roman"/>
          <w:sz w:val="16"/>
          <w:szCs w:val="16"/>
          <w:color w:val="auto"/>
        </w:rPr>
        <w:t>” means any Person that is a “United States Person” as defined in Section 7701(a)(30) of the IRC.</w:t>
      </w:r>
    </w:p>
    <w:p>
      <w:pPr>
        <w:spacing w:after="0" w:line="192" w:lineRule="exact"/>
        <w:rPr>
          <w:sz w:val="20"/>
          <w:szCs w:val="20"/>
          <w:color w:val="auto"/>
        </w:rPr>
      </w:pPr>
    </w:p>
    <w:p>
      <w:pPr>
        <w:ind w:right="16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Wells Fargo Credit Agreement</w:t>
      </w:r>
      <w:r>
        <w:rPr>
          <w:rFonts w:ascii="Times New Roman" w:cs="Times New Roman" w:eastAsia="Times New Roman" w:hAnsi="Times New Roman"/>
          <w:sz w:val="16"/>
          <w:szCs w:val="16"/>
          <w:color w:val="auto"/>
        </w:rPr>
        <w:t>” means that certain AMENDED AND RESTATED CREDIT AGREEMENT by and among WELLS FARGO BANK, NATIONAL ASSOCIATION, as administrative agent, the lenders that are parties thereto as the Lenders, and ENPHASE ENERGY, INC., as borrower dated as of December 18, 2015, as such agreement may be amended, restated, supplemented, amended and restated or otherwise modified from time to time.</w:t>
      </w:r>
    </w:p>
    <w:p>
      <w:pPr>
        <w:spacing w:after="0" w:line="147" w:lineRule="exact"/>
        <w:rPr>
          <w:sz w:val="20"/>
          <w:szCs w:val="20"/>
          <w:color w:val="auto"/>
        </w:rPr>
      </w:pPr>
    </w:p>
    <w:p>
      <w:pPr>
        <w:ind w:right="80" w:firstLine="53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Wells Fargo Guaranty and Security Agreement</w:t>
      </w:r>
      <w:r>
        <w:rPr>
          <w:rFonts w:ascii="Times New Roman" w:cs="Times New Roman" w:eastAsia="Times New Roman" w:hAnsi="Times New Roman"/>
          <w:sz w:val="16"/>
          <w:szCs w:val="16"/>
          <w:color w:val="auto"/>
        </w:rPr>
        <w:t>” means that certain AMENDED AND RESTATED GUARANTY AND SECURITY AGREEMENT executed and delivered by Borrower and each of the guarantor parties thereto as grantors, and WELLS FARGO BANK, NATIONAL ASSOCIATION as agent dated as of December 18, 2015, as such agreement may be amended, restated, supplemented, amended and restated or otherwise modified from time to time,</w:t>
      </w:r>
    </w:p>
    <w:p>
      <w:pPr>
        <w:spacing w:after="0" w:line="147" w:lineRule="exact"/>
        <w:rPr>
          <w:sz w:val="20"/>
          <w:szCs w:val="20"/>
          <w:color w:val="auto"/>
        </w:rPr>
      </w:pPr>
    </w:p>
    <w:p>
      <w:pPr>
        <w:ind w:right="140" w:firstLine="531"/>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Wells Fargo Indebtedness</w:t>
      </w:r>
      <w:r>
        <w:rPr>
          <w:rFonts w:ascii="Times New Roman" w:cs="Times New Roman" w:eastAsia="Times New Roman" w:hAnsi="Times New Roman"/>
          <w:sz w:val="16"/>
          <w:szCs w:val="16"/>
          <w:color w:val="auto"/>
        </w:rPr>
        <w:t>” means the “Obligations” (as defined in the Wells Fargo Credit Agreement) arising under the Wells Fargo Credit Agreement and secured by the Wells Fargo Guaranty and Security Agreement.</w:t>
      </w:r>
    </w:p>
    <w:p>
      <w:pPr>
        <w:sectPr>
          <w:pgSz w:w="11900" w:h="16838" w:orient="portrait"/>
          <w:cols w:equalWidth="0" w:num="1">
            <w:col w:w="11440"/>
          </w:cols>
          <w:pgMar w:left="220" w:top="320" w:right="2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019"/>
          </w:cols>
          <w:pgMar w:left="1440" w:top="318" w:right="1440" w:bottom="1440" w:gutter="0" w:footer="0" w:header="0"/>
        </w:sectPr>
      </w:pPr>
    </w:p>
    <w:bookmarkStart w:id="109" w:name="page110"/>
    <w:bookmarkEnd w:id="109"/>
    <w:p>
      <w:pPr>
        <w:ind w:left="54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Agreement to be executed as of the Effective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LENDER: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Tennenbaum Special Situations Fund IX,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Tennenbaum Capital Partners, LLC, its Investment Manager</w:t>
      </w:r>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Managing Partner</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-111125</wp:posOffset>
            </wp:positionV>
            <wp:extent cx="25761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619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Tennenbaum Capital Partners, LLC</w:t>
      </w:r>
    </w:p>
    <w:p>
      <w:pPr>
        <w:spacing w:after="0" w:line="200" w:lineRule="auto"/>
        <w:rPr>
          <w:sz w:val="20"/>
          <w:szCs w:val="20"/>
          <w:color w:val="auto"/>
        </w:rPr>
      </w:pPr>
      <w:r>
        <w:rPr>
          <w:rFonts w:ascii="Times New Roman" w:cs="Times New Roman" w:eastAsia="Times New Roman" w:hAnsi="Times New Roman"/>
          <w:sz w:val="16"/>
          <w:szCs w:val="16"/>
          <w:color w:val="auto"/>
        </w:rPr>
        <w:t>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w:t>
      </w:r>
    </w:p>
    <w:p>
      <w:pPr>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Todd Jaquez-Fissori and Asher Finci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Tennenbaum Special Situations IX-A,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Tennenbaum Capital Partners, LLC, its Investment Manager</w:t>
      </w: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Managing Partner</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-111125</wp:posOffset>
            </wp:positionV>
            <wp:extent cx="25761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619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Tennenbaum Capital Partners, LLC</w:t>
      </w:r>
    </w:p>
    <w:p>
      <w:pPr>
        <w:spacing w:after="0" w:line="200" w:lineRule="auto"/>
        <w:rPr>
          <w:sz w:val="20"/>
          <w:szCs w:val="20"/>
          <w:color w:val="auto"/>
        </w:rPr>
      </w:pPr>
      <w:r>
        <w:rPr>
          <w:rFonts w:ascii="Times New Roman" w:cs="Times New Roman" w:eastAsia="Times New Roman" w:hAnsi="Times New Roman"/>
          <w:sz w:val="16"/>
          <w:szCs w:val="16"/>
          <w:color w:val="auto"/>
        </w:rPr>
        <w:t>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w:t>
      </w:r>
    </w:p>
    <w:p>
      <w:pPr>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Todd Jaquez-Fissori and Asher Finci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Tennenbaum Special Situations IX-O, 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Tennenbaum Capital Partners, LLC, its Investment Manager</w:t>
      </w: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Managing Partner</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-111125</wp:posOffset>
            </wp:positionV>
            <wp:extent cx="25761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619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Tennenbaum Capital Partners, LLC</w:t>
      </w:r>
    </w:p>
    <w:p>
      <w:pPr>
        <w:spacing w:after="0" w:line="200" w:lineRule="auto"/>
        <w:rPr>
          <w:sz w:val="20"/>
          <w:szCs w:val="20"/>
          <w:color w:val="auto"/>
        </w:rPr>
      </w:pPr>
      <w:r>
        <w:rPr>
          <w:rFonts w:ascii="Times New Roman" w:cs="Times New Roman" w:eastAsia="Times New Roman" w:hAnsi="Times New Roman"/>
          <w:sz w:val="16"/>
          <w:szCs w:val="16"/>
          <w:color w:val="auto"/>
        </w:rPr>
        <w:t>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w:t>
      </w:r>
    </w:p>
    <w:p>
      <w:pPr>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Todd Jaquez-Fissori and Asher Finci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Tennenbaum Special Situations IX-C, 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Tennenbaum Capital Partners, LLC, its Investment Manager</w:t>
      </w: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Managing Partner</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-111125</wp:posOffset>
            </wp:positionV>
            <wp:extent cx="25761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619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Tennenbaum Capital Partners, LLC</w:t>
      </w:r>
    </w:p>
    <w:p>
      <w:pPr>
        <w:spacing w:after="0" w:line="200" w:lineRule="auto"/>
        <w:rPr>
          <w:sz w:val="20"/>
          <w:szCs w:val="20"/>
          <w:color w:val="auto"/>
        </w:rPr>
      </w:pPr>
      <w:r>
        <w:rPr>
          <w:rFonts w:ascii="Times New Roman" w:cs="Times New Roman" w:eastAsia="Times New Roman" w:hAnsi="Times New Roman"/>
          <w:sz w:val="16"/>
          <w:szCs w:val="16"/>
          <w:color w:val="auto"/>
        </w:rPr>
        <w:t>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w:t>
      </w:r>
    </w:p>
    <w:p>
      <w:pPr>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Todd Jaquez-Fissori and Asher Finci</w:t>
      </w:r>
    </w:p>
    <w:p>
      <w:pPr>
        <w:sectPr>
          <w:pgSz w:w="11900" w:h="16838" w:orient="portrait"/>
          <w:cols w:equalWidth="0" w:num="1">
            <w:col w:w="10239"/>
          </w:cols>
          <w:pgMar w:left="220" w:top="495"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AGENT: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Obsidian Agency Services, Inc.</w:t>
      </w:r>
    </w:p>
    <w:p>
      <w:pPr>
        <w:spacing w:after="0" w:line="33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Philip Tseng</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Managing Partner</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30"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color w:val="auto"/>
        </w:rPr>
        <w:t>BORROWER:</w:t>
      </w:r>
    </w:p>
    <w:p>
      <w:pPr>
        <w:spacing w:after="0" w:line="3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Enphase Energy, Inc.</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Paul Nahi</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Name:</w:t>
            </w:r>
          </w:p>
        </w:tc>
        <w:tc>
          <w:tcPr>
            <w:tcW w:w="4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Paul Nahi</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Title:</w:t>
            </w:r>
          </w:p>
        </w:tc>
        <w:tc>
          <w:tcPr>
            <w:tcW w:w="4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&amp; CEO</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685"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color w:val="auto"/>
        </w:rPr>
        <w:t>SCHEDULES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 1.2 – List of Lenders and Term Loan Commitments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A – Collateral Description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B – Compliance Certificate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C – Notice of Borrowing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D –Joinder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E – Note – Term Loan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F – Form of Assignment and Acceptance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G – Administrative Questionnaire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H – Tax Certificates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I – Interest Rate Reduction Trigger Amounts</w:t>
      </w:r>
    </w:p>
    <w:p>
      <w:pPr>
        <w:sectPr>
          <w:pgSz w:w="11900" w:h="16838" w:orient="portrait"/>
          <w:cols w:equalWidth="0" w:num="1">
            <w:col w:w="10239"/>
          </w:cols>
          <w:pgMar w:left="220" w:top="82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color w:val="auto"/>
        </w:rPr>
        <w:t>SCHEDULE 1.2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 OF LENDERS AND TERM LOAN COMMITMENTS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5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 of Lender</w:t>
            </w:r>
          </w:p>
        </w:tc>
        <w:tc>
          <w:tcPr>
            <w:tcW w:w="1760" w:type="dxa"/>
            <w:vAlign w:val="bottom"/>
            <w:tcBorders>
              <w:top w:val="single" w:sz="8" w:color="00000A"/>
              <w:bottom w:val="single" w:sz="8" w:color="00000A"/>
              <w:right w:val="single" w:sz="8" w:color="00000A"/>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Loan Commitment</w:t>
            </w:r>
          </w:p>
        </w:tc>
        <w:tc>
          <w:tcPr>
            <w:tcW w:w="57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Comments</w:t>
            </w:r>
          </w:p>
        </w:tc>
      </w:tr>
      <w:tr>
        <w:trPr>
          <w:trHeight w:val="214"/>
        </w:trPr>
        <w:tc>
          <w:tcPr>
            <w:tcW w:w="35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Tennenbaum Special Situations Fund IX, LLC</w:t>
            </w:r>
          </w:p>
        </w:tc>
        <w:tc>
          <w:tcPr>
            <w:tcW w:w="17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6"/>
                <w:szCs w:val="16"/>
                <w:color w:val="auto"/>
              </w:rPr>
              <w:t>$15,291,000.00</w:t>
            </w:r>
          </w:p>
        </w:tc>
        <w:tc>
          <w:tcPr>
            <w:tcW w:w="57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6"/>
                <w:szCs w:val="16"/>
                <w:color w:val="auto"/>
              </w:rPr>
              <w:t>Lender will fund its Pro Rata Percentage of the applicable Credit Extension</w:t>
            </w:r>
          </w:p>
        </w:tc>
      </w:tr>
      <w:tr>
        <w:trPr>
          <w:trHeight w:val="206"/>
        </w:trPr>
        <w:tc>
          <w:tcPr>
            <w:tcW w:w="3580" w:type="dxa"/>
            <w:vAlign w:val="bottom"/>
            <w:tcBorders>
              <w:left w:val="single" w:sz="8" w:color="00000A"/>
              <w:bottom w:val="single" w:sz="8" w:color="00000A"/>
              <w:right w:val="single" w:sz="8" w:color="00000A"/>
            </w:tcBorders>
          </w:tcPr>
          <w:p>
            <w:pPr>
              <w:spacing w:after="0"/>
              <w:rPr>
                <w:sz w:val="17"/>
                <w:szCs w:val="17"/>
                <w:color w:val="auto"/>
              </w:rPr>
            </w:pPr>
          </w:p>
        </w:tc>
        <w:tc>
          <w:tcPr>
            <w:tcW w:w="1760" w:type="dxa"/>
            <w:vAlign w:val="bottom"/>
            <w:tcBorders>
              <w:bottom w:val="single" w:sz="8" w:color="00000A"/>
              <w:right w:val="single" w:sz="8" w:color="00000A"/>
            </w:tcBorders>
          </w:tcPr>
          <w:p>
            <w:pPr>
              <w:spacing w:after="0"/>
              <w:rPr>
                <w:sz w:val="17"/>
                <w:szCs w:val="17"/>
                <w:color w:val="auto"/>
              </w:rPr>
            </w:pPr>
          </w:p>
        </w:tc>
        <w:tc>
          <w:tcPr>
            <w:tcW w:w="5760" w:type="dxa"/>
            <w:vAlign w:val="bottom"/>
            <w:tcBorders>
              <w:bottom w:val="single" w:sz="8" w:color="00000A"/>
              <w:right w:val="single" w:sz="8" w:color="00000A"/>
            </w:tcBorders>
          </w:tcPr>
          <w:p>
            <w:pPr>
              <w:spacing w:after="0"/>
              <w:rPr>
                <w:sz w:val="17"/>
                <w:szCs w:val="17"/>
                <w:color w:val="auto"/>
              </w:rPr>
            </w:pPr>
          </w:p>
        </w:tc>
      </w:tr>
      <w:tr>
        <w:trPr>
          <w:trHeight w:val="205"/>
        </w:trPr>
        <w:tc>
          <w:tcPr>
            <w:tcW w:w="35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Tennenbaum Special Situations IX-A, LLC.</w:t>
            </w:r>
          </w:p>
        </w:tc>
        <w:tc>
          <w:tcPr>
            <w:tcW w:w="17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6"/>
                <w:szCs w:val="16"/>
                <w:color w:val="auto"/>
              </w:rPr>
              <w:t>$3,052,000.00</w:t>
            </w:r>
          </w:p>
        </w:tc>
        <w:tc>
          <w:tcPr>
            <w:tcW w:w="57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6"/>
                <w:szCs w:val="16"/>
                <w:color w:val="auto"/>
              </w:rPr>
              <w:t>Lender will fund its Pro Rata Percentage of the applicable Credit Extension</w:t>
            </w:r>
          </w:p>
        </w:tc>
      </w:tr>
      <w:tr>
        <w:trPr>
          <w:trHeight w:val="206"/>
        </w:trPr>
        <w:tc>
          <w:tcPr>
            <w:tcW w:w="3580" w:type="dxa"/>
            <w:vAlign w:val="bottom"/>
            <w:tcBorders>
              <w:left w:val="single" w:sz="8" w:color="00000A"/>
              <w:bottom w:val="single" w:sz="8" w:color="00000A"/>
              <w:right w:val="single" w:sz="8" w:color="00000A"/>
            </w:tcBorders>
          </w:tcPr>
          <w:p>
            <w:pPr>
              <w:spacing w:after="0"/>
              <w:rPr>
                <w:sz w:val="17"/>
                <w:szCs w:val="17"/>
                <w:color w:val="auto"/>
              </w:rPr>
            </w:pPr>
          </w:p>
        </w:tc>
        <w:tc>
          <w:tcPr>
            <w:tcW w:w="1760" w:type="dxa"/>
            <w:vAlign w:val="bottom"/>
            <w:tcBorders>
              <w:bottom w:val="single" w:sz="8" w:color="00000A"/>
              <w:right w:val="single" w:sz="8" w:color="00000A"/>
            </w:tcBorders>
          </w:tcPr>
          <w:p>
            <w:pPr>
              <w:spacing w:after="0"/>
              <w:rPr>
                <w:sz w:val="17"/>
                <w:szCs w:val="17"/>
                <w:color w:val="auto"/>
              </w:rPr>
            </w:pPr>
          </w:p>
        </w:tc>
        <w:tc>
          <w:tcPr>
            <w:tcW w:w="5760" w:type="dxa"/>
            <w:vAlign w:val="bottom"/>
            <w:tcBorders>
              <w:bottom w:val="single" w:sz="8" w:color="00000A"/>
              <w:right w:val="single" w:sz="8" w:color="00000A"/>
            </w:tcBorders>
          </w:tcPr>
          <w:p>
            <w:pPr>
              <w:spacing w:after="0"/>
              <w:rPr>
                <w:sz w:val="17"/>
                <w:szCs w:val="17"/>
                <w:color w:val="auto"/>
              </w:rPr>
            </w:pPr>
          </w:p>
        </w:tc>
      </w:tr>
      <w:tr>
        <w:trPr>
          <w:trHeight w:val="205"/>
        </w:trPr>
        <w:tc>
          <w:tcPr>
            <w:tcW w:w="35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Tennenbaum Special Situations IX-O, L.P.</w:t>
            </w:r>
          </w:p>
        </w:tc>
        <w:tc>
          <w:tcPr>
            <w:tcW w:w="17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6"/>
                <w:szCs w:val="16"/>
                <w:color w:val="auto"/>
              </w:rPr>
              <w:t>3,804.000.00</w:t>
            </w:r>
          </w:p>
        </w:tc>
        <w:tc>
          <w:tcPr>
            <w:tcW w:w="57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6"/>
                <w:szCs w:val="16"/>
                <w:color w:val="auto"/>
              </w:rPr>
              <w:t>Lender will fund its Pro Rata Percentage of the applicable Credit Extension</w:t>
            </w:r>
          </w:p>
        </w:tc>
      </w:tr>
      <w:tr>
        <w:trPr>
          <w:trHeight w:val="206"/>
        </w:trPr>
        <w:tc>
          <w:tcPr>
            <w:tcW w:w="3580" w:type="dxa"/>
            <w:vAlign w:val="bottom"/>
            <w:tcBorders>
              <w:left w:val="single" w:sz="8" w:color="00000A"/>
              <w:bottom w:val="single" w:sz="8" w:color="00000A"/>
              <w:right w:val="single" w:sz="8" w:color="00000A"/>
            </w:tcBorders>
          </w:tcPr>
          <w:p>
            <w:pPr>
              <w:spacing w:after="0"/>
              <w:rPr>
                <w:sz w:val="17"/>
                <w:szCs w:val="17"/>
                <w:color w:val="auto"/>
              </w:rPr>
            </w:pPr>
          </w:p>
        </w:tc>
        <w:tc>
          <w:tcPr>
            <w:tcW w:w="1760" w:type="dxa"/>
            <w:vAlign w:val="bottom"/>
            <w:tcBorders>
              <w:bottom w:val="single" w:sz="8" w:color="00000A"/>
              <w:right w:val="single" w:sz="8" w:color="00000A"/>
            </w:tcBorders>
          </w:tcPr>
          <w:p>
            <w:pPr>
              <w:spacing w:after="0"/>
              <w:rPr>
                <w:sz w:val="17"/>
                <w:szCs w:val="17"/>
                <w:color w:val="auto"/>
              </w:rPr>
            </w:pPr>
          </w:p>
        </w:tc>
        <w:tc>
          <w:tcPr>
            <w:tcW w:w="5760" w:type="dxa"/>
            <w:vAlign w:val="bottom"/>
            <w:tcBorders>
              <w:bottom w:val="single" w:sz="8" w:color="00000A"/>
              <w:right w:val="single" w:sz="8" w:color="00000A"/>
            </w:tcBorders>
          </w:tcPr>
          <w:p>
            <w:pPr>
              <w:spacing w:after="0"/>
              <w:rPr>
                <w:sz w:val="17"/>
                <w:szCs w:val="17"/>
                <w:color w:val="auto"/>
              </w:rPr>
            </w:pPr>
          </w:p>
        </w:tc>
      </w:tr>
      <w:tr>
        <w:trPr>
          <w:trHeight w:val="205"/>
        </w:trPr>
        <w:tc>
          <w:tcPr>
            <w:tcW w:w="358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Tennenbaum Special Situations IX-C, L.P.</w:t>
            </w:r>
          </w:p>
        </w:tc>
        <w:tc>
          <w:tcPr>
            <w:tcW w:w="17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6"/>
                <w:szCs w:val="16"/>
                <w:color w:val="auto"/>
              </w:rPr>
              <w:t>$2,853,000.00</w:t>
            </w:r>
          </w:p>
        </w:tc>
        <w:tc>
          <w:tcPr>
            <w:tcW w:w="57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6"/>
                <w:szCs w:val="16"/>
                <w:color w:val="auto"/>
              </w:rPr>
              <w:t>Lender will fund its Pro Rata Percentage of the applicable Credit Extension</w:t>
            </w:r>
          </w:p>
        </w:tc>
      </w:tr>
      <w:tr>
        <w:trPr>
          <w:trHeight w:val="206"/>
        </w:trPr>
        <w:tc>
          <w:tcPr>
            <w:tcW w:w="3580" w:type="dxa"/>
            <w:vAlign w:val="bottom"/>
            <w:tcBorders>
              <w:left w:val="single" w:sz="8" w:color="00000A"/>
              <w:bottom w:val="single" w:sz="8" w:color="00000A"/>
              <w:right w:val="single" w:sz="8" w:color="00000A"/>
            </w:tcBorders>
          </w:tcPr>
          <w:p>
            <w:pPr>
              <w:spacing w:after="0"/>
              <w:rPr>
                <w:sz w:val="17"/>
                <w:szCs w:val="17"/>
                <w:color w:val="auto"/>
              </w:rPr>
            </w:pPr>
          </w:p>
        </w:tc>
        <w:tc>
          <w:tcPr>
            <w:tcW w:w="1760" w:type="dxa"/>
            <w:vAlign w:val="bottom"/>
            <w:tcBorders>
              <w:bottom w:val="single" w:sz="8" w:color="00000A"/>
              <w:right w:val="single" w:sz="8" w:color="00000A"/>
            </w:tcBorders>
          </w:tcPr>
          <w:p>
            <w:pPr>
              <w:spacing w:after="0"/>
              <w:rPr>
                <w:sz w:val="17"/>
                <w:szCs w:val="17"/>
                <w:color w:val="auto"/>
              </w:rPr>
            </w:pPr>
          </w:p>
        </w:tc>
        <w:tc>
          <w:tcPr>
            <w:tcW w:w="5760" w:type="dxa"/>
            <w:vAlign w:val="bottom"/>
            <w:tcBorders>
              <w:bottom w:val="single" w:sz="8" w:color="00000A"/>
              <w:right w:val="single" w:sz="8" w:color="00000A"/>
            </w:tcBorders>
          </w:tcPr>
          <w:p>
            <w:pPr>
              <w:spacing w:after="0"/>
              <w:rPr>
                <w:sz w:val="17"/>
                <w:szCs w:val="17"/>
                <w:color w:val="auto"/>
              </w:rPr>
            </w:pPr>
          </w:p>
        </w:tc>
      </w:tr>
      <w:tr>
        <w:trPr>
          <w:trHeight w:val="214"/>
        </w:trPr>
        <w:tc>
          <w:tcPr>
            <w:tcW w:w="35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$25,000,000</w:t>
            </w:r>
          </w:p>
        </w:tc>
        <w:tc>
          <w:tcPr>
            <w:tcW w:w="5760" w:type="dxa"/>
            <w:vAlign w:val="bottom"/>
            <w:tcBorders>
              <w:bottom w:val="single" w:sz="8" w:color="00000A"/>
              <w:right w:val="single" w:sz="8" w:color="00000A"/>
            </w:tcBorders>
          </w:tcPr>
          <w:p>
            <w:pPr>
              <w:spacing w:after="0"/>
              <w:rPr>
                <w:sz w:val="18"/>
                <w:szCs w:val="18"/>
                <w:color w:val="auto"/>
              </w:rPr>
            </w:pPr>
          </w:p>
        </w:tc>
      </w:tr>
    </w:tbl>
    <w:p>
      <w:pPr>
        <w:sectPr>
          <w:pgSz w:w="11900" w:h="16838" w:orient="portrait"/>
          <w:cols w:equalWidth="0" w:num="1">
            <w:col w:w="11080"/>
          </w:cols>
          <w:pgMar w:left="220" w:top="649" w:right="5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SCHEDULE 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WIRE TRANSFER INSTRUCTIONS</w:t>
      </w:r>
    </w:p>
    <w:p>
      <w:pPr>
        <w:spacing w:after="0" w:line="181" w:lineRule="exact"/>
        <w:rPr>
          <w:sz w:val="20"/>
          <w:szCs w:val="20"/>
          <w:color w:val="auto"/>
        </w:rPr>
      </w:pPr>
    </w:p>
    <w:p>
      <w:pPr>
        <w:ind w:left="800" w:right="6479" w:hanging="526"/>
        <w:spacing w:after="0" w:line="258" w:lineRule="auto"/>
        <w:tabs>
          <w:tab w:leader="none" w:pos="535"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Tennenbaum Special Situations Fund IX, LLC </w:t>
      </w:r>
      <w:r>
        <w:rPr>
          <w:rFonts w:ascii="Times New Roman" w:cs="Times New Roman" w:eastAsia="Times New Roman" w:hAnsi="Times New Roman"/>
          <w:sz w:val="16"/>
          <w:szCs w:val="16"/>
          <w:color w:val="auto"/>
        </w:rPr>
        <w:t>Name of Bank: Wells Fargo Bank, NA ABA Number: 121-000-248</w:t>
      </w:r>
    </w:p>
    <w:p>
      <w:pPr>
        <w:spacing w:after="0" w:line="1"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 Number: 6355067033</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 Name: CDO Clearing</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FFC Account Number: 83486400</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FFC Account Name: Tennenbaum Special Situations Fund IX, LLC</w:t>
      </w:r>
    </w:p>
    <w:p>
      <w:pPr>
        <w:spacing w:after="0" w:line="227" w:lineRule="exact"/>
        <w:rPr>
          <w:rFonts w:ascii="Times New Roman" w:cs="Times New Roman" w:eastAsia="Times New Roman" w:hAnsi="Times New Roman"/>
          <w:sz w:val="16"/>
          <w:szCs w:val="16"/>
          <w:b w:val="1"/>
          <w:bCs w:val="1"/>
          <w:color w:val="auto"/>
        </w:rPr>
      </w:pPr>
    </w:p>
    <w:p>
      <w:pPr>
        <w:ind w:left="540" w:hanging="266"/>
        <w:spacing w:after="0"/>
        <w:tabs>
          <w:tab w:leader="none" w:pos="54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Tennenbaum Special Situations IX-O, L.P.</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Name of Bank: MUFG Union Bank, N.A.</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ABA Number: 122-000-496</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 Number: 6733002890</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 Name: Tennenbaum Special Situations IX-O, LP</w:t>
      </w:r>
    </w:p>
    <w:p>
      <w:pPr>
        <w:spacing w:after="0" w:line="227" w:lineRule="exact"/>
        <w:rPr>
          <w:sz w:val="20"/>
          <w:szCs w:val="20"/>
          <w:color w:val="auto"/>
        </w:rPr>
      </w:pPr>
    </w:p>
    <w:p>
      <w:pPr>
        <w:ind w:left="800" w:right="6279" w:hanging="526"/>
        <w:spacing w:after="0" w:line="265" w:lineRule="auto"/>
        <w:tabs>
          <w:tab w:leader="none" w:pos="535"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Tennenbaum, Special Situations Fund IX-A, LLC </w:t>
      </w:r>
      <w:r>
        <w:rPr>
          <w:rFonts w:ascii="Times New Roman" w:cs="Times New Roman" w:eastAsia="Times New Roman" w:hAnsi="Times New Roman"/>
          <w:sz w:val="16"/>
          <w:szCs w:val="16"/>
          <w:color w:val="auto"/>
        </w:rPr>
        <w:t>Name of Bank: Wells Fargo Bank, NA</w:t>
      </w: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ABA Number: 121-000-248</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 Number: 6355067033</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 Name: CDO Clearing</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FFC Account Number: 79053400</w:t>
      </w:r>
    </w:p>
    <w:p>
      <w:pPr>
        <w:spacing w:after="0" w:line="3" w:lineRule="exact"/>
        <w:rPr>
          <w:rFonts w:ascii="Times New Roman" w:cs="Times New Roman" w:eastAsia="Times New Roman" w:hAnsi="Times New Roman"/>
          <w:sz w:val="16"/>
          <w:szCs w:val="16"/>
          <w:b w:val="1"/>
          <w:bCs w:val="1"/>
          <w:color w:val="auto"/>
        </w:rPr>
      </w:pPr>
    </w:p>
    <w:p>
      <w:pPr>
        <w:ind w:left="8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FFC Account Name: Tennenbaum Special Situations Fund IX-A, LLC</w:t>
      </w:r>
    </w:p>
    <w:p>
      <w:pPr>
        <w:spacing w:after="0" w:line="227" w:lineRule="exact"/>
        <w:rPr>
          <w:rFonts w:ascii="Times New Roman" w:cs="Times New Roman" w:eastAsia="Times New Roman" w:hAnsi="Times New Roman"/>
          <w:sz w:val="16"/>
          <w:szCs w:val="16"/>
          <w:b w:val="1"/>
          <w:bCs w:val="1"/>
          <w:color w:val="auto"/>
        </w:rPr>
      </w:pPr>
    </w:p>
    <w:p>
      <w:pPr>
        <w:ind w:left="540" w:hanging="266"/>
        <w:spacing w:after="0"/>
        <w:tabs>
          <w:tab w:leader="none" w:pos="54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Tennenbaum Special Situations IX-C, L.P.</w:t>
      </w:r>
    </w:p>
    <w:p>
      <w:pPr>
        <w:spacing w:after="0" w:line="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Bank Name: State Street</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ABA: 011-000-028</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Acct Name: Tennenbaum Special Situations IX-C LP CPUC</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DDA: 10668341</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Ref: Enphase Energy, Inc.</w:t>
      </w:r>
    </w:p>
    <w:p>
      <w:pPr>
        <w:sectPr>
          <w:pgSz w:w="11900" w:h="16838" w:orient="portrait"/>
          <w:cols w:equalWidth="0" w:num="1">
            <w:col w:w="10239"/>
          </w:cols>
          <w:pgMar w:left="220" w:top="704"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COLLATERAL DESCRIPTION</w:t>
      </w:r>
    </w:p>
    <w:p>
      <w:pPr>
        <w:spacing w:after="0" w:line="19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6"/>
          <w:szCs w:val="16"/>
          <w:color w:val="auto"/>
        </w:rPr>
        <w:t>The Collateral consists of all of Borrower’s real and personal property of every kind and nature whether now owned or hereafter acquired by, or arising in favor of Borrower, and regardless of where located, including, without limitation, all of Borrower’s right, title and interest in and to the following property:</w:t>
      </w:r>
    </w:p>
    <w:p>
      <w:pPr>
        <w:spacing w:after="0" w:line="136" w:lineRule="exact"/>
        <w:rPr>
          <w:sz w:val="20"/>
          <w:szCs w:val="20"/>
          <w:color w:val="auto"/>
        </w:rPr>
      </w:pPr>
    </w:p>
    <w:p>
      <w:pPr>
        <w:ind w:left="800" w:right="20" w:hanging="261"/>
        <w:spacing w:after="0" w:line="248" w:lineRule="auto"/>
        <w:tabs>
          <w:tab w:leader="none" w:pos="8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Goods, Accounts (including health-care receivables), Pledged Accounts, Equipment, Inventory, contract rights (excluding Intellectual Property and Intellectual Property Licenses) or rights to payment of money, leases, license agreements (excluding Intellectual Property and Intellectual Property Licenses), franchise agreements, General Intangibles (excluding Intellectual Property and Intellectual Property Licenses), Commercial Tort Claims, Documents, Instruments (including any Promissory Notes), Chattel Paper (whether tangible or electronic), cash and Cash Equivalents, Fixtures, letters of credit, Letter of Credit Rights (whether or not the letter of credit is evidenced by a writing), Securities, and all other Investment Property, Supporting Obligations, and Financial Assets, whether now owned or hereafter acquired, wherever located, provided however, that (i) the Collateral shall include all Accounts and General Intangibles that consist of rights to payment and proceeds from the sale, licensing or disposition of all or any part, or rights in, the Intellectual Property or Intellectual Property Licenses (the “Rights to Payment”); and (ii) if a judicial authority (including a U.S. Bankruptcy Court) holds that a security interest in Borrower’s Intellectual Property or Intellectual Property Licenses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 and</w:t>
      </w:r>
    </w:p>
    <w:p>
      <w:pPr>
        <w:spacing w:after="0" w:line="66" w:lineRule="exact"/>
        <w:rPr>
          <w:rFonts w:ascii="Times New Roman" w:cs="Times New Roman" w:eastAsia="Times New Roman" w:hAnsi="Times New Roman"/>
          <w:sz w:val="16"/>
          <w:szCs w:val="16"/>
          <w:color w:val="auto"/>
        </w:rPr>
      </w:pPr>
    </w:p>
    <w:p>
      <w:pPr>
        <w:ind w:left="800" w:right="180" w:hanging="261"/>
        <w:spacing w:after="0" w:line="262" w:lineRule="auto"/>
        <w:tabs>
          <w:tab w:leader="none" w:pos="8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Borrower’s Books relating to the foregoing, and all additions, attachments, accessories, accessions and improvements to any of the foregoing, and all substitutions, replacements or exchanges therefor, and all Proceeds, insurance claims, products, profits and other rights to payments not otherwise included in the foregoing;</w:t>
      </w:r>
    </w:p>
    <w:p>
      <w:pPr>
        <w:spacing w:after="0" w:line="5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provided, that, the grant of security interest herein shall not extend to and the term “Collateral” shall not include (a) any rights or interests held under any contract, lease, permit, license, or license agreement covering real or personal property of any Loan Party that are not assignable or prohibit the grant of a security interest or lien therein by applicable law or their terms without the consent of the licensor thereof (but only to the extent such restriction on assignment is enforceable under applicable law); (b) equipment subject to liens permitted pursuant to Subsection (c) of the definition of Permitted Liens where the agreements governing the capital lease obligations or purchase money Indebtedness related thereto prohibit such security interest, for so long as such prohibition exists; (c) voting Equity Interests of any Foreign Subsidiary or Excluded Domestic Subsidiary, solely to the extent that such Equity Interests represent more than 65% of the outstanding voting Equity Interests of such Foreign Subsidiary or Excluded Domestic Subsidiary; or (d) any United States intent-to-use trademark applications to the extent that, and solely during the period in which, the grant of a security interest therein would impair the validity or enforceability of such intent-to use trademark applications under applicable federal law; provided, that upon submission and acceptance by the PTO of an amendment to allege use pursuant to 15 U.S.C. Section 1060(a) (or any successor provision), such intent-to-use trademark application shall be considered Collateral.</w:t>
      </w:r>
    </w:p>
    <w:p>
      <w:pPr>
        <w:spacing w:after="0" w:line="62" w:lineRule="exact"/>
        <w:rPr>
          <w:sz w:val="20"/>
          <w:szCs w:val="20"/>
          <w:color w:val="auto"/>
        </w:rPr>
      </w:pPr>
    </w:p>
    <w:p>
      <w:pPr>
        <w:ind w:right="160" w:firstLine="531"/>
        <w:spacing w:after="0" w:line="262" w:lineRule="auto"/>
        <w:rPr>
          <w:sz w:val="20"/>
          <w:szCs w:val="20"/>
          <w:color w:val="auto"/>
        </w:rPr>
      </w:pPr>
      <w:r>
        <w:rPr>
          <w:rFonts w:ascii="Times New Roman" w:cs="Times New Roman" w:eastAsia="Times New Roman" w:hAnsi="Times New Roman"/>
          <w:sz w:val="16"/>
          <w:szCs w:val="16"/>
          <w:color w:val="auto"/>
        </w:rPr>
        <w:t>In addition, in the event that the Wells Fargo Indebtedness is secured or in the future becomes secured by any of Borrower’s real property interests of any nature, then all such assets shall be considered as part of the Collateral. Once the Wells Fargo Indebtedness is no longer outstanding, all of Borrower’s real property interests shall be considered as part of the Collateral.</w:t>
      </w:r>
    </w:p>
    <w:p>
      <w:pPr>
        <w:sectPr>
          <w:pgSz w:w="11900" w:h="16838" w:orient="portrait"/>
          <w:cols w:equalWidth="0" w:num="1">
            <w:col w:w="11440"/>
          </w:cols>
          <w:pgMar w:left="220" w:top="682" w:right="239" w:bottom="1440" w:gutter="0" w:footer="0" w:header="0"/>
        </w:sectPr>
      </w:pPr>
    </w:p>
    <w:bookmarkStart w:id="116" w:name="page117"/>
    <w:bookmarkEnd w:id="116"/>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u w:val="single" w:color="auto"/>
          <w:color w:val="auto"/>
        </w:rPr>
        <w:t>COMPLIANCE CERTIFICATE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authorized officer of ____________________ (“Borrower”) certifies that under the terms and conditions of the Loan and Security Agreement among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Agent and Lenders dated as of ______________ 2016 (the “Agreement”):</w:t>
      </w:r>
    </w:p>
    <w:p>
      <w:pPr>
        <w:spacing w:after="0" w:line="174" w:lineRule="exact"/>
        <w:rPr>
          <w:sz w:val="20"/>
          <w:szCs w:val="20"/>
          <w:color w:val="auto"/>
        </w:rPr>
      </w:pPr>
    </w:p>
    <w:p>
      <w:pPr>
        <w:ind w:left="800" w:hanging="526"/>
        <w:spacing w:after="0"/>
        <w:tabs>
          <w:tab w:leader="none" w:pos="80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Borrower is in complete compliance for the period ending _______________ with all required covenants except as noted below; (2) there are no Events of Default;</w:t>
      </w:r>
    </w:p>
    <w:p>
      <w:pPr>
        <w:spacing w:after="0" w:line="21" w:lineRule="exact"/>
        <w:rPr>
          <w:rFonts w:ascii="Times New Roman" w:cs="Times New Roman" w:eastAsia="Times New Roman" w:hAnsi="Times New Roman"/>
          <w:sz w:val="16"/>
          <w:szCs w:val="16"/>
          <w:b w:val="1"/>
          <w:bCs w:val="1"/>
          <w:color w:val="auto"/>
        </w:rPr>
      </w:pPr>
    </w:p>
    <w:p>
      <w:pPr>
        <w:ind w:left="80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(3) all representations and warranties in the Agreement are true and correct on this date except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w:t>
      </w:r>
      <w:r>
        <w:rPr>
          <w:rFonts w:ascii="Times New Roman" w:cs="Times New Roman" w:eastAsia="Times New Roman" w:hAnsi="Times New Roman"/>
          <w:sz w:val="16"/>
          <w:szCs w:val="16"/>
          <w:u w:val="single" w:color="auto"/>
          <w:color w:val="auto"/>
        </w:rPr>
        <w:t>Section 4.9</w:t>
      </w:r>
      <w:r>
        <w:rPr>
          <w:rFonts w:ascii="Times New Roman" w:cs="Times New Roman" w:eastAsia="Times New Roman" w:hAnsi="Times New Roman"/>
          <w:sz w:val="16"/>
          <w:szCs w:val="16"/>
          <w:color w:val="auto"/>
        </w:rPr>
        <w:t xml:space="preserve"> of the Agreement; and (5) no Liens have been levied or claims made against Borrower or any of its Subsidiaries relating to unpaid employee payroll or benefits of which Borrower has not previously provided written notification to Agent.</w:t>
      </w:r>
    </w:p>
    <w:p>
      <w:pPr>
        <w:spacing w:after="0" w:line="163"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6"/>
          <w:szCs w:val="16"/>
          <w:color w:val="auto"/>
        </w:rPr>
        <w:t xml:space="preserve">Attached are the required documents supporting the certification, including documentation underlying compliance with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The undersigned certifies that all the financial statements delivered with this Compliance Certificate have been prepared in accordance with GAAP consistently applied from one period to the next except as explained in an accompanying letter or, in the case of monthly or quarterly financial statements, the absence of footnotes and normal year-end adjustments.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indicate compliance status by circling Yes/No under “Complies” column.</w:t>
      </w:r>
    </w:p>
    <w:p>
      <w:pPr>
        <w:spacing w:after="0" w:line="282" w:lineRule="exact"/>
        <w:rPr>
          <w:sz w:val="20"/>
          <w:szCs w:val="20"/>
          <w:color w:val="auto"/>
        </w:rPr>
      </w:pPr>
    </w:p>
    <w:tbl>
      <w:tblPr>
        <w:tblLayout w:type="fixed"/>
        <w:tblInd w:w="1560" w:type="dxa"/>
        <w:tblCellMar>
          <w:top w:w="0" w:type="dxa"/>
          <w:left w:w="0" w:type="dxa"/>
          <w:bottom w:w="0" w:type="dxa"/>
          <w:right w:w="0" w:type="dxa"/>
        </w:tblCellMar>
      </w:tblPr>
      <w:tr>
        <w:trPr>
          <w:trHeight w:val="193"/>
        </w:trPr>
        <w:tc>
          <w:tcPr>
            <w:tcW w:w="3480" w:type="dxa"/>
            <w:vAlign w:val="bottom"/>
          </w:tcPr>
          <w:p>
            <w:pPr>
              <w:jc w:val="center"/>
              <w:ind w:right="886"/>
              <w:spacing w:after="0"/>
              <w:rPr>
                <w:sz w:val="20"/>
                <w:szCs w:val="20"/>
                <w:color w:val="auto"/>
              </w:rPr>
            </w:pPr>
            <w:r>
              <w:rPr>
                <w:rFonts w:ascii="Times New Roman" w:cs="Times New Roman" w:eastAsia="Times New Roman" w:hAnsi="Times New Roman"/>
                <w:sz w:val="15"/>
                <w:szCs w:val="15"/>
                <w:b w:val="1"/>
                <w:bCs w:val="1"/>
                <w:color w:val="auto"/>
                <w:w w:val="98"/>
              </w:rPr>
              <w:t>Reporting Covenant</w:t>
            </w:r>
          </w:p>
        </w:tc>
        <w:tc>
          <w:tcPr>
            <w:tcW w:w="4960" w:type="dxa"/>
            <w:vAlign w:val="bottom"/>
          </w:tcPr>
          <w:p>
            <w:pPr>
              <w:jc w:val="center"/>
              <w:ind w:left="586"/>
              <w:spacing w:after="0"/>
              <w:rPr>
                <w:sz w:val="20"/>
                <w:szCs w:val="20"/>
                <w:color w:val="auto"/>
              </w:rPr>
            </w:pPr>
            <w:r>
              <w:rPr>
                <w:rFonts w:ascii="Times New Roman" w:cs="Times New Roman" w:eastAsia="Times New Roman" w:hAnsi="Times New Roman"/>
                <w:sz w:val="15"/>
                <w:szCs w:val="15"/>
                <w:b w:val="1"/>
                <w:bCs w:val="1"/>
                <w:color w:val="auto"/>
                <w:w w:val="96"/>
              </w:rPr>
              <w:t>Required</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Complies</w:t>
            </w:r>
          </w:p>
        </w:tc>
        <w:tc>
          <w:tcPr>
            <w:tcW w:w="0" w:type="dxa"/>
            <w:vAlign w:val="bottom"/>
          </w:tcPr>
          <w:p>
            <w:pPr>
              <w:spacing w:after="0"/>
              <w:rPr>
                <w:sz w:val="1"/>
                <w:szCs w:val="1"/>
                <w:color w:val="auto"/>
              </w:rPr>
            </w:pPr>
          </w:p>
        </w:tc>
      </w:tr>
      <w:tr>
        <w:trPr>
          <w:trHeight w:val="472"/>
        </w:trPr>
        <w:tc>
          <w:tcPr>
            <w:tcW w:w="3480" w:type="dxa"/>
            <w:vAlign w:val="bottom"/>
            <w:vMerge w:val="restart"/>
          </w:tcPr>
          <w:p>
            <w:pPr>
              <w:jc w:val="center"/>
              <w:ind w:right="886"/>
              <w:spacing w:after="0"/>
              <w:rPr>
                <w:sz w:val="20"/>
                <w:szCs w:val="20"/>
                <w:color w:val="auto"/>
              </w:rPr>
            </w:pPr>
            <w:r>
              <w:rPr>
                <w:rFonts w:ascii="Times New Roman" w:cs="Times New Roman" w:eastAsia="Times New Roman" w:hAnsi="Times New Roman"/>
                <w:sz w:val="15"/>
                <w:szCs w:val="15"/>
                <w:color w:val="auto"/>
                <w:w w:val="98"/>
              </w:rPr>
              <w:t>Monthly financial statements</w:t>
            </w:r>
          </w:p>
        </w:tc>
        <w:tc>
          <w:tcPr>
            <w:tcW w:w="496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8"/>
              </w:rPr>
              <w:t>Monthly within 30 days (45 days if quarter end, and 60 days if</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auto"/>
              </w:rPr>
              <w:t>Yes</w:t>
            </w: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w w:val="87"/>
              </w:rPr>
              <w:t>No</w:t>
            </w:r>
          </w:p>
        </w:tc>
        <w:tc>
          <w:tcPr>
            <w:tcW w:w="0" w:type="dxa"/>
            <w:vAlign w:val="bottom"/>
          </w:tcPr>
          <w:p>
            <w:pPr>
              <w:spacing w:after="0"/>
              <w:rPr>
                <w:sz w:val="1"/>
                <w:szCs w:val="1"/>
                <w:color w:val="auto"/>
              </w:rPr>
            </w:pPr>
          </w:p>
        </w:tc>
      </w:tr>
      <w:tr>
        <w:trPr>
          <w:trHeight w:val="103"/>
        </w:trPr>
        <w:tc>
          <w:tcPr>
            <w:tcW w:w="3480" w:type="dxa"/>
            <w:vAlign w:val="bottom"/>
            <w:vMerge w:val="continue"/>
          </w:tcPr>
          <w:p>
            <w:pPr>
              <w:spacing w:after="0"/>
              <w:rPr>
                <w:sz w:val="8"/>
                <w:szCs w:val="8"/>
                <w:color w:val="auto"/>
              </w:rPr>
            </w:pPr>
          </w:p>
        </w:tc>
        <w:tc>
          <w:tcPr>
            <w:tcW w:w="4960" w:type="dxa"/>
            <w:vAlign w:val="bottom"/>
            <w:vMerge w:val="restart"/>
          </w:tcPr>
          <w:p>
            <w:pPr>
              <w:jc w:val="center"/>
              <w:ind w:left="606"/>
              <w:spacing w:after="0"/>
              <w:rPr>
                <w:sz w:val="20"/>
                <w:szCs w:val="20"/>
                <w:color w:val="auto"/>
              </w:rPr>
            </w:pPr>
            <w:r>
              <w:rPr>
                <w:rFonts w:ascii="Times New Roman" w:cs="Times New Roman" w:eastAsia="Times New Roman" w:hAnsi="Times New Roman"/>
                <w:sz w:val="15"/>
                <w:szCs w:val="15"/>
                <w:color w:val="auto"/>
                <w:w w:val="99"/>
              </w:rPr>
              <w:t>year end)</w:t>
            </w:r>
          </w:p>
        </w:tc>
        <w:tc>
          <w:tcPr>
            <w:tcW w:w="7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480" w:type="dxa"/>
            <w:vAlign w:val="bottom"/>
          </w:tcPr>
          <w:p>
            <w:pPr>
              <w:spacing w:after="0"/>
              <w:rPr>
                <w:sz w:val="7"/>
                <w:szCs w:val="7"/>
                <w:color w:val="auto"/>
              </w:rPr>
            </w:pPr>
          </w:p>
        </w:tc>
        <w:tc>
          <w:tcPr>
            <w:tcW w:w="49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6"/>
        </w:trPr>
        <w:tc>
          <w:tcPr>
            <w:tcW w:w="3480" w:type="dxa"/>
            <w:vAlign w:val="bottom"/>
          </w:tcPr>
          <w:p>
            <w:pPr>
              <w:jc w:val="center"/>
              <w:ind w:right="886"/>
              <w:spacing w:after="0"/>
              <w:rPr>
                <w:sz w:val="20"/>
                <w:szCs w:val="20"/>
                <w:color w:val="auto"/>
              </w:rPr>
            </w:pPr>
            <w:r>
              <w:rPr>
                <w:rFonts w:ascii="Times New Roman" w:cs="Times New Roman" w:eastAsia="Times New Roman" w:hAnsi="Times New Roman"/>
                <w:sz w:val="15"/>
                <w:szCs w:val="15"/>
                <w:color w:val="auto"/>
                <w:w w:val="97"/>
              </w:rPr>
              <w:t>Quarterly financial statements</w:t>
            </w:r>
          </w:p>
        </w:tc>
        <w:tc>
          <w:tcPr>
            <w:tcW w:w="496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8"/>
              </w:rPr>
              <w:t>Quarterly within 45 days</w:t>
            </w:r>
          </w:p>
        </w:tc>
        <w:tc>
          <w:tcPr>
            <w:tcW w:w="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Yes</w:t>
            </w:r>
          </w:p>
        </w:tc>
        <w:tc>
          <w:tcPr>
            <w:tcW w:w="420" w:type="dxa"/>
            <w:vAlign w:val="bottom"/>
          </w:tcPr>
          <w:p>
            <w:pPr>
              <w:ind w:left="240"/>
              <w:spacing w:after="0"/>
              <w:rPr>
                <w:sz w:val="20"/>
                <w:szCs w:val="20"/>
                <w:color w:val="auto"/>
              </w:rPr>
            </w:pPr>
            <w:r>
              <w:rPr>
                <w:rFonts w:ascii="Times New Roman" w:cs="Times New Roman" w:eastAsia="Times New Roman" w:hAnsi="Times New Roman"/>
                <w:sz w:val="15"/>
                <w:szCs w:val="15"/>
                <w:color w:val="auto"/>
                <w:w w:val="87"/>
              </w:rPr>
              <w:t>No</w:t>
            </w:r>
          </w:p>
        </w:tc>
        <w:tc>
          <w:tcPr>
            <w:tcW w:w="0" w:type="dxa"/>
            <w:vAlign w:val="bottom"/>
          </w:tcPr>
          <w:p>
            <w:pPr>
              <w:spacing w:after="0"/>
              <w:rPr>
                <w:sz w:val="1"/>
                <w:szCs w:val="1"/>
                <w:color w:val="auto"/>
              </w:rPr>
            </w:pPr>
          </w:p>
        </w:tc>
      </w:tr>
      <w:tr>
        <w:trPr>
          <w:trHeight w:val="486"/>
        </w:trPr>
        <w:tc>
          <w:tcPr>
            <w:tcW w:w="3480" w:type="dxa"/>
            <w:vAlign w:val="bottom"/>
          </w:tcPr>
          <w:p>
            <w:pPr>
              <w:jc w:val="center"/>
              <w:ind w:right="886"/>
              <w:spacing w:after="0"/>
              <w:rPr>
                <w:sz w:val="20"/>
                <w:szCs w:val="20"/>
                <w:color w:val="auto"/>
              </w:rPr>
            </w:pPr>
            <w:r>
              <w:rPr>
                <w:rFonts w:ascii="Times New Roman" w:cs="Times New Roman" w:eastAsia="Times New Roman" w:hAnsi="Times New Roman"/>
                <w:sz w:val="15"/>
                <w:szCs w:val="15"/>
                <w:color w:val="auto"/>
                <w:w w:val="98"/>
              </w:rPr>
              <w:t>Annual financial statement (CPA Audited)</w:t>
            </w:r>
          </w:p>
        </w:tc>
        <w:tc>
          <w:tcPr>
            <w:tcW w:w="4960" w:type="dxa"/>
            <w:vAlign w:val="bottom"/>
          </w:tcPr>
          <w:p>
            <w:pPr>
              <w:jc w:val="center"/>
              <w:ind w:left="586"/>
              <w:spacing w:after="0"/>
              <w:rPr>
                <w:sz w:val="20"/>
                <w:szCs w:val="20"/>
                <w:color w:val="auto"/>
              </w:rPr>
            </w:pPr>
            <w:r>
              <w:rPr>
                <w:rFonts w:ascii="Times New Roman" w:cs="Times New Roman" w:eastAsia="Times New Roman" w:hAnsi="Times New Roman"/>
                <w:sz w:val="15"/>
                <w:szCs w:val="15"/>
                <w:color w:val="auto"/>
                <w:w w:val="97"/>
              </w:rPr>
              <w:t>FYE within 90 days</w:t>
            </w:r>
          </w:p>
        </w:tc>
        <w:tc>
          <w:tcPr>
            <w:tcW w:w="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Yes</w:t>
            </w:r>
          </w:p>
        </w:tc>
        <w:tc>
          <w:tcPr>
            <w:tcW w:w="420" w:type="dxa"/>
            <w:vAlign w:val="bottom"/>
          </w:tcPr>
          <w:p>
            <w:pPr>
              <w:ind w:left="240"/>
              <w:spacing w:after="0"/>
              <w:rPr>
                <w:sz w:val="20"/>
                <w:szCs w:val="20"/>
                <w:color w:val="auto"/>
              </w:rPr>
            </w:pPr>
            <w:r>
              <w:rPr>
                <w:rFonts w:ascii="Times New Roman" w:cs="Times New Roman" w:eastAsia="Times New Roman" w:hAnsi="Times New Roman"/>
                <w:sz w:val="15"/>
                <w:szCs w:val="15"/>
                <w:color w:val="auto"/>
                <w:w w:val="87"/>
              </w:rPr>
              <w:t>No</w:t>
            </w:r>
          </w:p>
        </w:tc>
        <w:tc>
          <w:tcPr>
            <w:tcW w:w="0" w:type="dxa"/>
            <w:vAlign w:val="bottom"/>
          </w:tcPr>
          <w:p>
            <w:pPr>
              <w:spacing w:after="0"/>
              <w:rPr>
                <w:sz w:val="1"/>
                <w:szCs w:val="1"/>
                <w:color w:val="auto"/>
              </w:rPr>
            </w:pPr>
          </w:p>
        </w:tc>
      </w:tr>
      <w:tr>
        <w:trPr>
          <w:trHeight w:val="486"/>
        </w:trPr>
        <w:tc>
          <w:tcPr>
            <w:tcW w:w="3480" w:type="dxa"/>
            <w:vAlign w:val="bottom"/>
          </w:tcPr>
          <w:p>
            <w:pPr>
              <w:jc w:val="center"/>
              <w:ind w:right="886"/>
              <w:spacing w:after="0"/>
              <w:rPr>
                <w:sz w:val="20"/>
                <w:szCs w:val="20"/>
                <w:color w:val="auto"/>
              </w:rPr>
            </w:pPr>
            <w:r>
              <w:rPr>
                <w:rFonts w:ascii="Times New Roman" w:cs="Times New Roman" w:eastAsia="Times New Roman" w:hAnsi="Times New Roman"/>
                <w:sz w:val="15"/>
                <w:szCs w:val="15"/>
                <w:color w:val="auto"/>
                <w:w w:val="98"/>
              </w:rPr>
              <w:t>Board approved Operating Budget</w:t>
            </w:r>
          </w:p>
        </w:tc>
        <w:tc>
          <w:tcPr>
            <w:tcW w:w="4960" w:type="dxa"/>
            <w:vAlign w:val="bottom"/>
          </w:tcPr>
          <w:p>
            <w:pPr>
              <w:jc w:val="center"/>
              <w:ind w:left="646"/>
              <w:spacing w:after="0"/>
              <w:rPr>
                <w:sz w:val="20"/>
                <w:szCs w:val="20"/>
                <w:color w:val="auto"/>
              </w:rPr>
            </w:pPr>
            <w:r>
              <w:rPr>
                <w:rFonts w:ascii="Times New Roman" w:cs="Times New Roman" w:eastAsia="Times New Roman" w:hAnsi="Times New Roman"/>
                <w:sz w:val="15"/>
                <w:szCs w:val="15"/>
                <w:color w:val="auto"/>
                <w:w w:val="97"/>
              </w:rPr>
              <w:t>FYE within 60 days after the end of year</w:t>
            </w:r>
          </w:p>
        </w:tc>
        <w:tc>
          <w:tcPr>
            <w:tcW w:w="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Yes</w:t>
            </w:r>
          </w:p>
        </w:tc>
        <w:tc>
          <w:tcPr>
            <w:tcW w:w="420" w:type="dxa"/>
            <w:vAlign w:val="bottom"/>
          </w:tcPr>
          <w:p>
            <w:pPr>
              <w:ind w:left="240"/>
              <w:spacing w:after="0"/>
              <w:rPr>
                <w:sz w:val="20"/>
                <w:szCs w:val="20"/>
                <w:color w:val="auto"/>
              </w:rPr>
            </w:pPr>
            <w:r>
              <w:rPr>
                <w:rFonts w:ascii="Times New Roman" w:cs="Times New Roman" w:eastAsia="Times New Roman" w:hAnsi="Times New Roman"/>
                <w:sz w:val="15"/>
                <w:szCs w:val="15"/>
                <w:color w:val="auto"/>
                <w:w w:val="87"/>
              </w:rPr>
              <w:t>No</w:t>
            </w:r>
          </w:p>
        </w:tc>
        <w:tc>
          <w:tcPr>
            <w:tcW w:w="0" w:type="dxa"/>
            <w:vAlign w:val="bottom"/>
          </w:tcPr>
          <w:p>
            <w:pPr>
              <w:spacing w:after="0"/>
              <w:rPr>
                <w:sz w:val="1"/>
                <w:szCs w:val="1"/>
                <w:color w:val="auto"/>
              </w:rPr>
            </w:pPr>
          </w:p>
        </w:tc>
      </w:tr>
    </w:tbl>
    <w:p>
      <w:pPr>
        <w:sectPr>
          <w:pgSz w:w="11900" w:h="16838" w:orient="portrait"/>
          <w:cols w:equalWidth="0" w:num="1">
            <w:col w:w="11420"/>
          </w:cols>
          <w:pgMar w:left="220" w:top="583" w:right="2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color w:val="auto"/>
        </w:rPr>
        <w:t>The following space should be used to list:</w:t>
      </w:r>
    </w:p>
    <w:p>
      <w:pPr>
        <w:spacing w:after="0" w:line="148" w:lineRule="exact"/>
        <w:rPr>
          <w:sz w:val="20"/>
          <w:szCs w:val="20"/>
          <w:color w:val="auto"/>
        </w:rPr>
      </w:pPr>
    </w:p>
    <w:p>
      <w:pPr>
        <w:ind w:left="580" w:hanging="262"/>
        <w:spacing w:after="0" w:line="256" w:lineRule="auto"/>
        <w:tabs>
          <w:tab w:leader="none" w:pos="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registered (or a registration application submitted) after the Effective Date and which has not yet been listed on a previous Compliance Certificate, or any other permitted updates to the Perfection Certificates; and</w:t>
      </w:r>
    </w:p>
    <w:p>
      <w:pPr>
        <w:spacing w:after="0" w:line="1" w:lineRule="exact"/>
        <w:rPr>
          <w:rFonts w:ascii="Times New Roman" w:cs="Times New Roman" w:eastAsia="Times New Roman" w:hAnsi="Times New Roman"/>
          <w:sz w:val="16"/>
          <w:szCs w:val="16"/>
          <w:color w:val="auto"/>
        </w:rPr>
      </w:pPr>
    </w:p>
    <w:p>
      <w:pPr>
        <w:ind w:left="580" w:right="140" w:hanging="262"/>
        <w:spacing w:after="0" w:line="248" w:lineRule="auto"/>
        <w:tabs>
          <w:tab w:leader="none" w:pos="5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change in the composition of (i) Borrower’s or any of its Subsidiaries’ Intellectual Property, (ii) the registration of any copyright, including any subsequent ownership right of Borrower or any of its Subsidiaries’ in or to any registered copyright, patent or trademark not shown in the Perfection Certificates, and (iii) Borrower’s knowledge of an event that could reasonably be expected to materially and adversely affect the value of its or any of its Subsidiaries’ Intellectual Property.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no registrations or updates,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29678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6"/>
          <w:szCs w:val="16"/>
          <w:color w:val="auto"/>
        </w:rPr>
        <w:t>The following are the exceptions with respect to the certification above: (If no exceptions exist, state “No exceptions to note.” The listing of an exception does not excuse non-compliance.)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342265</wp:posOffset>
            </wp:positionV>
            <wp:extent cx="304609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6095" cy="698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color w:val="auto"/>
        </w:rPr>
        <w:t>Name:</w:t>
      </w:r>
    </w:p>
    <w:p>
      <w:pPr>
        <w:spacing w:after="0" w:line="4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11440"/>
          </w:cols>
          <w:pgMar w:left="220" w:top="320" w:right="239" w:bottom="1440" w:gutter="0" w:footer="0" w:header="0"/>
        </w:sectPr>
      </w:pPr>
    </w:p>
    <w:bookmarkStart w:id="118" w:name="page119"/>
    <w:bookmarkEnd w:id="118"/>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EXHIBIT C</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u w:val="single" w:color="auto"/>
          <w:color w:val="auto"/>
        </w:rPr>
        <w:t>FORM OF NOTICE OF BORROWING</w:t>
      </w:r>
    </w:p>
    <w:p>
      <w:pPr>
        <w:spacing w:after="0" w:line="382"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6"/>
          <w:szCs w:val="16"/>
          <w:color w:val="auto"/>
        </w:rPr>
        <w:t>___________,</w:t>
      </w:r>
    </w:p>
    <w:p>
      <w:pPr>
        <w:spacing w:after="0" w:line="2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201_</w:t>
      </w:r>
    </w:p>
    <w:p>
      <w:pPr>
        <w:sectPr>
          <w:pgSz w:w="11900" w:h="16838" w:orient="portrait"/>
          <w:cols w:equalWidth="0" w:num="1">
            <w:col w:w="11540"/>
          </w:cols>
          <w:pgMar w:left="220" w:top="495" w:right="1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Obsidian Agency Services,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Tennenbaum Capital Partners,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2951 28</w:t>
      </w:r>
      <w:r>
        <w:rPr>
          <w:rFonts w:ascii="Times New Roman" w:cs="Times New Roman" w:eastAsia="Times New Roman" w:hAnsi="Times New Roman"/>
          <w:sz w:val="10"/>
          <w:szCs w:val="10"/>
          <w:color w:val="auto"/>
        </w:rPr>
        <w:t>th</w:t>
      </w:r>
      <w:r>
        <w:rPr>
          <w:rFonts w:ascii="Times New Roman" w:cs="Times New Roman" w:eastAsia="Times New Roman" w:hAnsi="Times New Roman"/>
          <w:sz w:val="16"/>
          <w:szCs w:val="16"/>
          <w:color w:val="auto"/>
        </w:rPr>
        <w:t xml:space="preserve"> Street, Suite 1000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Todd Jaquez-Fissori</w:t>
      </w:r>
    </w:p>
    <w:p>
      <w:pPr>
        <w:spacing w:after="0" w:line="200" w:lineRule="exact"/>
        <w:rPr>
          <w:sz w:val="20"/>
          <w:szCs w:val="20"/>
          <w:color w:val="auto"/>
        </w:rPr>
      </w:pPr>
    </w:p>
    <w:p>
      <w:pPr>
        <w:sectPr>
          <w:pgSz w:w="11900" w:h="16838" w:orient="portrait"/>
          <w:cols w:equalWidth="0" w:num="2">
            <w:col w:w="280" w:space="640"/>
            <w:col w:w="10620"/>
          </w:cols>
          <w:pgMar w:left="220" w:top="495" w:right="139" w:bottom="1440" w:gutter="0" w:footer="0" w:header="0"/>
          <w:type w:val="continuous"/>
        </w:sectPr>
      </w:pP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Enphase Energy, Inc.</w:t>
      </w:r>
    </w:p>
    <w:p>
      <w:pPr>
        <w:spacing w:after="0" w:line="200" w:lineRule="exact"/>
        <w:rPr>
          <w:sz w:val="20"/>
          <w:szCs w:val="20"/>
          <w:color w:val="auto"/>
        </w:rPr>
      </w:pPr>
    </w:p>
    <w:p>
      <w:pPr>
        <w:sectPr>
          <w:pgSz w:w="11900" w:h="16838" w:orient="portrait"/>
          <w:cols w:equalWidth="0" w:num="2">
            <w:col w:w="280" w:space="640"/>
            <w:col w:w="10620"/>
          </w:cols>
          <w:pgMar w:left="220" w:top="495" w:right="139" w:bottom="1440" w:gutter="0" w:footer="0" w:header="0"/>
          <w:type w:val="continuous"/>
        </w:sectPr>
      </w:pPr>
    </w:p>
    <w:p>
      <w:pPr>
        <w:spacing w:after="0" w:line="25"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6"/>
          <w:szCs w:val="16"/>
          <w:color w:val="auto"/>
        </w:rPr>
        <w:t>Reference is made to that certain Loan and Security Agreement, dated as of July __, 2016 (as the same may be amended, restated, supplemented, amended and restated or otherwise modified from time to time, the “</w:t>
      </w:r>
      <w:r>
        <w:rPr>
          <w:rFonts w:ascii="Times New Roman" w:cs="Times New Roman" w:eastAsia="Times New Roman" w:hAnsi="Times New Roman"/>
          <w:sz w:val="16"/>
          <w:szCs w:val="16"/>
          <w:b w:val="1"/>
          <w:bCs w:val="1"/>
          <w:i w:val="1"/>
          <w:iCs w:val="1"/>
          <w:color w:val="auto"/>
        </w:rPr>
        <w:t>Credit Agreement</w:t>
      </w:r>
      <w:r>
        <w:rPr>
          <w:rFonts w:ascii="Times New Roman" w:cs="Times New Roman" w:eastAsia="Times New Roman" w:hAnsi="Times New Roman"/>
          <w:sz w:val="16"/>
          <w:szCs w:val="16"/>
          <w:color w:val="auto"/>
        </w:rPr>
        <w:t>”), by and among Enphase Energy, Inc. (the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and ___________ and __________ (collectively, “</w:t>
      </w:r>
      <w:r>
        <w:rPr>
          <w:rFonts w:ascii="Times New Roman" w:cs="Times New Roman" w:eastAsia="Times New Roman" w:hAnsi="Times New Roman"/>
          <w:sz w:val="16"/>
          <w:szCs w:val="16"/>
          <w:b w:val="1"/>
          <w:bCs w:val="1"/>
          <w:i w:val="1"/>
          <w:iCs w:val="1"/>
          <w:color w:val="auto"/>
        </w:rPr>
        <w:t>Lenders</w:t>
      </w:r>
      <w:r>
        <w:rPr>
          <w:rFonts w:ascii="Times New Roman" w:cs="Times New Roman" w:eastAsia="Times New Roman" w:hAnsi="Times New Roman"/>
          <w:sz w:val="16"/>
          <w:szCs w:val="16"/>
          <w:color w:val="auto"/>
        </w:rPr>
        <w:t>”). Capitalized terms used herein and not otherwise defined herein are used herein as defined in the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hereby gives you notice, irrevocably, pursuant to Section 2.4(a) of the Credit Agreement that it hereby requests a borrowing (the “</w:t>
      </w:r>
      <w:r>
        <w:rPr>
          <w:rFonts w:ascii="Times New Roman" w:cs="Times New Roman" w:eastAsia="Times New Roman" w:hAnsi="Times New Roman"/>
          <w:sz w:val="16"/>
          <w:szCs w:val="16"/>
          <w:b w:val="1"/>
          <w:bCs w:val="1"/>
          <w:i w:val="1"/>
          <w:iCs w:val="1"/>
          <w:color w:val="auto"/>
        </w:rPr>
        <w:t>Proposed Borrowing</w:t>
      </w:r>
      <w:r>
        <w:rPr>
          <w:rFonts w:ascii="Times New Roman" w:cs="Times New Roman" w:eastAsia="Times New Roman" w:hAnsi="Times New Roman"/>
          <w:sz w:val="16"/>
          <w:szCs w:val="16"/>
          <w:color w:val="auto"/>
        </w:rPr>
        <w:t>”) under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Credit Agreement and, in connection therewith, sets forth below the information relating to the Proposed Borrowing as required by Section 2.4(a) of the Credit Agreement:</w:t>
      </w:r>
    </w:p>
    <w:p>
      <w:pPr>
        <w:spacing w:after="0" w:line="181" w:lineRule="exact"/>
        <w:rPr>
          <w:sz w:val="20"/>
          <w:szCs w:val="20"/>
          <w:color w:val="auto"/>
        </w:rPr>
      </w:pPr>
    </w:p>
    <w:p>
      <w:pPr>
        <w:ind w:left="1420" w:hanging="218"/>
        <w:spacing w:after="0"/>
        <w:tabs>
          <w:tab w:leader="none" w:pos="14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of the Proposed Borrowing is _____________, 201_ (the “</w:t>
      </w:r>
      <w:r>
        <w:rPr>
          <w:rFonts w:ascii="Times New Roman" w:cs="Times New Roman" w:eastAsia="Times New Roman" w:hAnsi="Times New Roman"/>
          <w:sz w:val="16"/>
          <w:szCs w:val="16"/>
          <w:b w:val="1"/>
          <w:bCs w:val="1"/>
          <w:i w:val="1"/>
          <w:iCs w:val="1"/>
          <w:color w:val="auto"/>
        </w:rPr>
        <w:t>Funding Date</w:t>
      </w:r>
      <w:r>
        <w:rPr>
          <w:rFonts w:ascii="Times New Roman" w:cs="Times New Roman" w:eastAsia="Times New Roman" w:hAnsi="Times New Roman"/>
          <w:sz w:val="16"/>
          <w:szCs w:val="16"/>
          <w:color w:val="auto"/>
        </w:rPr>
        <w:t>”).</w:t>
      </w:r>
    </w:p>
    <w:p>
      <w:pPr>
        <w:spacing w:after="0" w:line="30" w:lineRule="exact"/>
        <w:rPr>
          <w:rFonts w:ascii="Times New Roman" w:cs="Times New Roman" w:eastAsia="Times New Roman" w:hAnsi="Times New Roman"/>
          <w:sz w:val="16"/>
          <w:szCs w:val="16"/>
          <w:color w:val="auto"/>
        </w:rPr>
      </w:pPr>
    </w:p>
    <w:p>
      <w:pPr>
        <w:ind w:left="1460" w:hanging="258"/>
        <w:spacing w:after="0"/>
        <w:tabs>
          <w:tab w:leader="none" w:pos="14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the Proposed Borrowing is $ ______, and is to be made under the Term Loan.</w:t>
      </w:r>
    </w:p>
    <w:p>
      <w:pPr>
        <w:spacing w:after="0" w:line="26" w:lineRule="exact"/>
        <w:rPr>
          <w:rFonts w:ascii="Times New Roman" w:cs="Times New Roman" w:eastAsia="Times New Roman" w:hAnsi="Times New Roman"/>
          <w:sz w:val="16"/>
          <w:szCs w:val="16"/>
          <w:color w:val="auto"/>
        </w:rPr>
      </w:pPr>
    </w:p>
    <w:p>
      <w:pPr>
        <w:ind w:left="1440" w:hanging="238"/>
        <w:spacing w:after="0"/>
        <w:tabs>
          <w:tab w:leader="none" w:pos="14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are to be funded to the following account:</w:t>
      </w: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28575</wp:posOffset>
            </wp:positionV>
            <wp:extent cx="282130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6985"/>
                    </a:xfrm>
                    <a:prstGeom prst="rect">
                      <a:avLst/>
                    </a:prstGeom>
                    <a:noFill/>
                  </pic:spPr>
                </pic:pic>
              </a:graphicData>
            </a:graphic>
          </wp:anchor>
        </w:drawing>
      </w:r>
    </w:p>
    <w:p>
      <w:pPr>
        <w:spacing w:after="0" w:line="4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201295</wp:posOffset>
            </wp:positionV>
            <wp:extent cx="282130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1305" cy="698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26035</wp:posOffset>
            </wp:positionV>
            <wp:extent cx="282130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6985"/>
                    </a:xfrm>
                    <a:prstGeom prst="rect">
                      <a:avLst/>
                    </a:prstGeom>
                    <a:noFill/>
                  </pic:spPr>
                </pic:pic>
              </a:graphicData>
            </a:graphic>
          </wp:anchor>
        </w:drawing>
      </w:r>
    </w:p>
    <w:p>
      <w:pPr>
        <w:spacing w:after="0" w:line="3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26035</wp:posOffset>
            </wp:positionV>
            <wp:extent cx="282130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6985"/>
                    </a:xfrm>
                    <a:prstGeom prst="rect">
                      <a:avLst/>
                    </a:prstGeom>
                    <a:noFill/>
                  </pic:spPr>
                </pic:pic>
              </a:graphicData>
            </a:graphic>
          </wp:anchor>
        </w:drawing>
      </w:r>
    </w:p>
    <w:p>
      <w:pPr>
        <w:spacing w:after="0" w:line="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26035</wp:posOffset>
            </wp:positionV>
            <wp:extent cx="282130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6985"/>
                    </a:xfrm>
                    <a:prstGeom prst="rect">
                      <a:avLst/>
                    </a:prstGeom>
                    <a:noFill/>
                  </pic:spPr>
                </pic:pic>
              </a:graphicData>
            </a:graphic>
          </wp:anchor>
        </w:drawing>
      </w:r>
    </w:p>
    <w:p>
      <w:pPr>
        <w:spacing w:after="0" w:line="4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4048125</wp:posOffset>
            </wp:positionH>
            <wp:positionV relativeFrom="paragraph">
              <wp:posOffset>26035</wp:posOffset>
            </wp:positionV>
            <wp:extent cx="282130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1305" cy="6985"/>
                    </a:xfrm>
                    <a:prstGeom prst="rect">
                      <a:avLst/>
                    </a:prstGeom>
                    <a:noFill/>
                  </pic:spPr>
                </pic:pic>
              </a:graphicData>
            </a:graphic>
          </wp:anchor>
        </w:drawing>
      </w:r>
    </w:p>
    <w:p>
      <w:pPr>
        <w:spacing w:after="0" w:line="201" w:lineRule="exact"/>
        <w:rPr>
          <w:sz w:val="20"/>
          <w:szCs w:val="20"/>
          <w:color w:val="auto"/>
        </w:rPr>
      </w:pPr>
    </w:p>
    <w:p>
      <w:pPr>
        <w:ind w:right="120" w:firstLine="531"/>
        <w:spacing w:after="0" w:line="279" w:lineRule="auto"/>
        <w:rPr>
          <w:sz w:val="20"/>
          <w:szCs w:val="20"/>
          <w:color w:val="auto"/>
        </w:rPr>
      </w:pPr>
      <w:r>
        <w:rPr>
          <w:rFonts w:ascii="Times New Roman" w:cs="Times New Roman" w:eastAsia="Times New Roman" w:hAnsi="Times New Roman"/>
          <w:sz w:val="16"/>
          <w:szCs w:val="16"/>
          <w:color w:val="auto"/>
        </w:rPr>
        <w:t>The undersigned, being the Chief Financial Officer of Borrower, after due inquiry hereby certifies that the following statements are true on the date hereof, shall be true on the Funding Date, both before and after giving effect to the Proposed Borrowing and any other Loan to be made on or before the Funding Date:</w:t>
      </w:r>
    </w:p>
    <w:p>
      <w:pPr>
        <w:spacing w:after="0" w:line="136" w:lineRule="exact"/>
        <w:rPr>
          <w:sz w:val="20"/>
          <w:szCs w:val="20"/>
          <w:color w:val="auto"/>
        </w:rPr>
      </w:pPr>
    </w:p>
    <w:p>
      <w:pPr>
        <w:ind w:left="800" w:right="260" w:hanging="261"/>
        <w:spacing w:after="0" w:line="279" w:lineRule="auto"/>
        <w:tabs>
          <w:tab w:leader="none" w:pos="8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Funding Date, the representations and warranties contained in the Credit Agreement and in the other Loan Documents are true and correct in all respects on and as of the Funding Date to</w:t>
      </w:r>
    </w:p>
    <w:p>
      <w:pPr>
        <w:sectPr>
          <w:pgSz w:w="11900" w:h="16838" w:orient="portrait"/>
          <w:cols w:equalWidth="0" w:num="1">
            <w:col w:w="11540"/>
          </w:cols>
          <w:pgMar w:left="220" w:top="495" w:right="139" w:bottom="1440" w:gutter="0" w:footer="0" w:header="0"/>
          <w:type w:val="continuous"/>
        </w:sectPr>
      </w:pPr>
    </w:p>
    <w:bookmarkStart w:id="119" w:name="page120"/>
    <w:bookmarkEnd w:id="119"/>
    <w:p>
      <w:pPr>
        <w:ind w:left="800" w:right="80"/>
        <w:spacing w:after="0" w:line="308" w:lineRule="auto"/>
        <w:rPr>
          <w:sz w:val="20"/>
          <w:szCs w:val="20"/>
          <w:color w:val="auto"/>
        </w:rPr>
      </w:pPr>
      <w:r>
        <w:rPr>
          <w:rFonts w:ascii="Times New Roman" w:cs="Times New Roman" w:eastAsia="Times New Roman" w:hAnsi="Times New Roman"/>
          <w:sz w:val="16"/>
          <w:szCs w:val="16"/>
          <w:color w:val="auto"/>
        </w:rPr>
        <w:t>the same extent as though made on and as of the Funding Date (or to the extent such representations and warranties specifically relate to a specified date on and as of such specified date);</w:t>
      </w:r>
    </w:p>
    <w:p>
      <w:pPr>
        <w:spacing w:after="0" w:line="25" w:lineRule="exact"/>
        <w:rPr>
          <w:sz w:val="20"/>
          <w:szCs w:val="20"/>
          <w:color w:val="auto"/>
        </w:rPr>
      </w:pPr>
    </w:p>
    <w:p>
      <w:pPr>
        <w:ind w:left="800" w:right="40" w:hanging="261"/>
        <w:spacing w:after="0" w:line="279" w:lineRule="auto"/>
        <w:tabs>
          <w:tab w:leader="none" w:pos="8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Funding Date, no event has occurred and is continuing or would result from the consummation of the Proposed Borrowing that would constitute a Default or an Event of Default; and</w:t>
      </w:r>
    </w:p>
    <w:p>
      <w:pPr>
        <w:spacing w:after="0" w:line="36" w:lineRule="exact"/>
        <w:rPr>
          <w:rFonts w:ascii="Times New Roman" w:cs="Times New Roman" w:eastAsia="Times New Roman" w:hAnsi="Times New Roman"/>
          <w:sz w:val="16"/>
          <w:szCs w:val="16"/>
          <w:color w:val="auto"/>
        </w:rPr>
      </w:pPr>
    </w:p>
    <w:p>
      <w:pPr>
        <w:ind w:left="800" w:hanging="261"/>
        <w:spacing w:after="0" w:line="256" w:lineRule="auto"/>
        <w:tabs>
          <w:tab w:leader="none" w:pos="8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Funding Date, no injunction or other restraining order has been issued and no hearing to cause an injunction or other restraining order to be issued is pending or noticed with respect to any action, suit or proceeding seeking to enjoin or otherwise prevent the consummation of, or to recover any damages or obtain relief as a result of, the transactions contemplated by the Credit Agreement or the making of the Proposed Borrowing or the making of a Credit Extension under the Credit Agreement.</w:t>
      </w:r>
    </w:p>
    <w:p>
      <w:pPr>
        <w:spacing w:after="0" w:line="24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6"/>
          <w:szCs w:val="16"/>
          <w:color w:val="auto"/>
        </w:rPr>
        <w:t>Delivery of an executed counterpart of this Notice of Borrowing by facsimile or other electronic means shall be effective as delivery of an original executed counterpart of this Notice of Borrowing.</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ectPr>
          <w:pgSz w:w="11900" w:h="16838" w:orient="portrait"/>
          <w:cols w:equalWidth="0" w:num="1">
            <w:col w:w="11420"/>
          </w:cols>
          <w:pgMar w:left="220" w:top="331" w:right="259" w:bottom="1440" w:gutter="0" w:footer="0" w:header="0"/>
        </w:sectPr>
      </w:pPr>
    </w:p>
    <w:bookmarkStart w:id="120" w:name="page121"/>
    <w:bookmarkEnd w:id="120"/>
    <w:p>
      <w:pPr>
        <w:ind w:left="2180"/>
        <w:spacing w:after="0"/>
        <w:rPr>
          <w:sz w:val="20"/>
          <w:szCs w:val="20"/>
          <w:color w:val="auto"/>
        </w:rPr>
      </w:pPr>
      <w:r>
        <w:rPr>
          <w:rFonts w:ascii="Times New Roman" w:cs="Times New Roman" w:eastAsia="Times New Roman" w:hAnsi="Times New Roman"/>
          <w:sz w:val="16"/>
          <w:szCs w:val="16"/>
          <w:b w:val="1"/>
          <w:bCs w:val="1"/>
          <w:color w:val="auto"/>
        </w:rPr>
        <w:t>Enphase Energy, Inc.</w:t>
      </w:r>
    </w:p>
    <w:p>
      <w:pPr>
        <w:spacing w:after="0" w:line="382" w:lineRule="exact"/>
        <w:rPr>
          <w:sz w:val="20"/>
          <w:szCs w:val="20"/>
          <w:color w:val="auto"/>
        </w:rPr>
      </w:pPr>
    </w:p>
    <w:p>
      <w:pPr>
        <w:ind w:left="2180"/>
        <w:spacing w:after="0"/>
        <w:tabs>
          <w:tab w:leader="none" w:pos="2620" w:val="left"/>
        </w:tabs>
        <w:rPr>
          <w:sz w:val="20"/>
          <w:szCs w:val="20"/>
          <w:color w:val="auto"/>
        </w:rPr>
      </w:pPr>
      <w:r>
        <w:rPr>
          <w:rFonts w:ascii="Times New Roman" w:cs="Times New Roman" w:eastAsia="Times New Roman" w:hAnsi="Times New Roman"/>
          <w:sz w:val="16"/>
          <w:szCs w:val="16"/>
          <w:color w:val="auto"/>
        </w:rPr>
        <w:t>By:</w:t>
        <w:tab/>
        <w:t>_______________________________</w:t>
      </w:r>
    </w:p>
    <w:p>
      <w:pPr>
        <w:spacing w:after="0" w:line="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Name:</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837" w:right="1440"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EXHIBIT 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Joinder</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This Joinder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entered into as of _________ __, 201_, by and between Obsidian Agency Services, Inc. (“</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and _________________,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 [corporation / limited liability company] (“</w:t>
      </w:r>
      <w:r>
        <w:rPr>
          <w:rFonts w:ascii="Times New Roman" w:cs="Times New Roman" w:eastAsia="Times New Roman" w:hAnsi="Times New Roman"/>
          <w:sz w:val="16"/>
          <w:szCs w:val="16"/>
          <w:b w:val="1"/>
          <w:bCs w:val="1"/>
          <w:i w:val="1"/>
          <w:iCs w:val="1"/>
          <w:color w:val="auto"/>
        </w:rPr>
        <w:t>Co-Borrower</w:t>
      </w:r>
      <w:r>
        <w:rPr>
          <w:rFonts w:ascii="Times New Roman" w:cs="Times New Roman" w:eastAsia="Times New Roman" w:hAnsi="Times New Roman"/>
          <w:sz w:val="16"/>
          <w:szCs w:val="16"/>
          <w:color w:val="auto"/>
        </w:rPr>
        <w:t>”).</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WHEREAS, as a condition to Agent and Lenders entering into that certain Loan and Security Agreement dated ___________, 2016, as such may be amended, restated,</w:t>
      </w:r>
    </w:p>
    <w:p>
      <w:pPr>
        <w:spacing w:after="0" w:line="2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supplemented, amended and restated or otherwise modified from time to time (the “</w:t>
      </w:r>
      <w:r>
        <w:rPr>
          <w:rFonts w:ascii="Times New Roman" w:cs="Times New Roman" w:eastAsia="Times New Roman" w:hAnsi="Times New Roman"/>
          <w:sz w:val="16"/>
          <w:szCs w:val="16"/>
          <w:b w:val="1"/>
          <w:bCs w:val="1"/>
          <w:i w:val="1"/>
          <w:iCs w:val="1"/>
          <w:color w:val="auto"/>
        </w:rPr>
        <w:t>Credit Agreement</w:t>
      </w:r>
      <w:r>
        <w:rPr>
          <w:rFonts w:ascii="Times New Roman" w:cs="Times New Roman" w:eastAsia="Times New Roman" w:hAnsi="Times New Roman"/>
          <w:sz w:val="16"/>
          <w:szCs w:val="16"/>
          <w:color w:val="auto"/>
        </w:rPr>
        <w:t>”) with Enphase Energy, Inc.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Agent and Lenders require that each of Borrower’s Subsidiaries agree to become bound by Credit Agreement as if such entity were a party thereto, as modified by this Agreement.</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WHEREAS, Co-Borrower is a Subsidiary.</w:t>
      </w:r>
    </w:p>
    <w:p>
      <w:pPr>
        <w:spacing w:after="0" w:line="192" w:lineRule="exact"/>
        <w:rPr>
          <w:sz w:val="20"/>
          <w:szCs w:val="20"/>
          <w:color w:val="auto"/>
        </w:rPr>
      </w:pPr>
    </w:p>
    <w:p>
      <w:pPr>
        <w:ind w:right="560" w:firstLine="531"/>
        <w:spacing w:after="0" w:line="279" w:lineRule="auto"/>
        <w:rPr>
          <w:sz w:val="20"/>
          <w:szCs w:val="20"/>
          <w:color w:val="auto"/>
        </w:rPr>
      </w:pPr>
      <w:r>
        <w:rPr>
          <w:rFonts w:ascii="Times New Roman" w:cs="Times New Roman" w:eastAsia="Times New Roman" w:hAnsi="Times New Roman"/>
          <w:sz w:val="16"/>
          <w:szCs w:val="16"/>
          <w:color w:val="auto"/>
        </w:rPr>
        <w:t>WHEREAS, Co-Borrower acknowledges and agrees that it derives a substantial benefit from the Credit Agreement even if it does not directly receive proceeds thereunder, and that it is willing to deliver this Agreement in order to induce Lenders to extend such credit.</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NOW, THEREFORE, based on the promises contained herein and for other good and valuable consideration, the receipt and sufficiency of which are acknowledged,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 Lenders and Co-Borrower hereby agree:</w:t>
      </w:r>
    </w:p>
    <w:p>
      <w:pPr>
        <w:spacing w:after="0" w:line="262" w:lineRule="exact"/>
        <w:rPr>
          <w:sz w:val="20"/>
          <w:szCs w:val="20"/>
          <w:color w:val="auto"/>
        </w:rPr>
      </w:pPr>
    </w:p>
    <w:p>
      <w:pPr>
        <w:ind w:left="940" w:right="220" w:hanging="401"/>
        <w:spacing w:after="0" w:line="279" w:lineRule="auto"/>
        <w:tabs>
          <w:tab w:leader="none" w:pos="9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Capitalized terms used but not defined herein shall have the meaning provided in the Credit Agreement. The recitals set forth above are incorporated herein by reference.</w:t>
      </w:r>
    </w:p>
    <w:p>
      <w:pPr>
        <w:spacing w:after="0" w:line="124" w:lineRule="exact"/>
        <w:rPr>
          <w:rFonts w:ascii="Times New Roman" w:cs="Times New Roman" w:eastAsia="Times New Roman" w:hAnsi="Times New Roman"/>
          <w:sz w:val="16"/>
          <w:szCs w:val="16"/>
          <w:color w:val="auto"/>
        </w:rPr>
      </w:pPr>
    </w:p>
    <w:p>
      <w:pPr>
        <w:ind w:left="940" w:hanging="401"/>
        <w:spacing w:after="0"/>
        <w:tabs>
          <w:tab w:leader="none" w:pos="9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signing below, Co-Borrower shall be bound by the Credit Agreement as if it were Borrower with the following exceptions:</w:t>
      </w:r>
    </w:p>
    <w:p>
      <w:pPr>
        <w:spacing w:after="0" w:line="180" w:lineRule="exact"/>
        <w:rPr>
          <w:rFonts w:ascii="Times New Roman" w:cs="Times New Roman" w:eastAsia="Times New Roman" w:hAnsi="Times New Roman"/>
          <w:sz w:val="16"/>
          <w:szCs w:val="16"/>
          <w:color w:val="auto"/>
        </w:rPr>
      </w:pPr>
    </w:p>
    <w:p>
      <w:pPr>
        <w:ind w:left="1340" w:hanging="270"/>
        <w:spacing w:after="0"/>
        <w:tabs>
          <w:tab w:leader="none" w:pos="13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Co-Borrower is a ______________ [corporation/ LLC/etc.];</w:t>
      </w:r>
    </w:p>
    <w:p>
      <w:pPr>
        <w:spacing w:after="0" w:line="180" w:lineRule="exact"/>
        <w:rPr>
          <w:rFonts w:ascii="Times New Roman" w:cs="Times New Roman" w:eastAsia="Times New Roman" w:hAnsi="Times New Roman"/>
          <w:sz w:val="16"/>
          <w:szCs w:val="16"/>
          <w:color w:val="auto"/>
        </w:rPr>
      </w:pPr>
    </w:p>
    <w:p>
      <w:pPr>
        <w:ind w:left="1340" w:right="80" w:hanging="270"/>
        <w:spacing w:after="0" w:line="279" w:lineRule="auto"/>
        <w:tabs>
          <w:tab w:leader="none" w:pos="13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Co-Borrower shall not be entitled to submit a Notice of Borrowing or otherwise be entitled to require Lenders to make a Credit Extension to Co-Borrower, it being acknowledged that only Borrower has any right to such obtain funds from Lenders;</w:t>
      </w:r>
    </w:p>
    <w:p>
      <w:pPr>
        <w:spacing w:after="0" w:line="124" w:lineRule="exact"/>
        <w:rPr>
          <w:rFonts w:ascii="Times New Roman" w:cs="Times New Roman" w:eastAsia="Times New Roman" w:hAnsi="Times New Roman"/>
          <w:sz w:val="16"/>
          <w:szCs w:val="16"/>
          <w:color w:val="auto"/>
        </w:rPr>
      </w:pPr>
    </w:p>
    <w:p>
      <w:pPr>
        <w:ind w:left="1340" w:right="540" w:hanging="270"/>
        <w:spacing w:after="0" w:line="279" w:lineRule="auto"/>
        <w:tabs>
          <w:tab w:leader="none" w:pos="13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Co-Borrower need not maintain separate insurance as long as it is covered under Borrower’s insurance in compliance with Section 5.6 of the Credit Agreement.</w:t>
      </w:r>
    </w:p>
    <w:p>
      <w:pPr>
        <w:spacing w:after="0" w:line="124" w:lineRule="exact"/>
        <w:rPr>
          <w:rFonts w:ascii="Times New Roman" w:cs="Times New Roman" w:eastAsia="Times New Roman" w:hAnsi="Times New Roman"/>
          <w:sz w:val="16"/>
          <w:szCs w:val="16"/>
          <w:color w:val="auto"/>
        </w:rPr>
      </w:pPr>
    </w:p>
    <w:p>
      <w:pPr>
        <w:ind w:left="1340" w:right="180" w:hanging="270"/>
        <w:spacing w:after="0" w:line="279" w:lineRule="auto"/>
        <w:tabs>
          <w:tab w:leader="none" w:pos="13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Co-Borrower need not provide the periodic information or reports required by Section 5.2 of the Credit Agreement as long as the information and reports submitted by Borrower contains complete and accurate information for Co-Borrower; and</w:t>
      </w:r>
    </w:p>
    <w:p>
      <w:pPr>
        <w:spacing w:after="0" w:line="124" w:lineRule="exact"/>
        <w:rPr>
          <w:rFonts w:ascii="Times New Roman" w:cs="Times New Roman" w:eastAsia="Times New Roman" w:hAnsi="Times New Roman"/>
          <w:sz w:val="16"/>
          <w:szCs w:val="16"/>
          <w:color w:val="auto"/>
        </w:rPr>
      </w:pPr>
    </w:p>
    <w:p>
      <w:pPr>
        <w:jc w:val="both"/>
        <w:ind w:left="1340" w:right="60" w:hanging="270"/>
        <w:spacing w:after="0" w:line="256" w:lineRule="auto"/>
        <w:tabs>
          <w:tab w:leader="none" w:pos="13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Agent nor Lender shall be required to provide Co-Borrower with any notice or other deliverables under the Credit Agreement, it being agreed that Co-Borrower shall look exclusively to Borrower for all such items. In furtherance thereof, to the extent that Agent or Lenders have any duties, obligations or responsibilities to Borrower under the Credit Agreement, those duties, obligations and responsibilities will be limited to Borrower and not extend to Co-Borrower.</w:t>
      </w:r>
    </w:p>
    <w:p>
      <w:pPr>
        <w:spacing w:after="0" w:line="143" w:lineRule="exact"/>
        <w:rPr>
          <w:rFonts w:ascii="Times New Roman" w:cs="Times New Roman" w:eastAsia="Times New Roman" w:hAnsi="Times New Roman"/>
          <w:sz w:val="16"/>
          <w:szCs w:val="16"/>
          <w:color w:val="auto"/>
        </w:rPr>
      </w:pPr>
    </w:p>
    <w:p>
      <w:pPr>
        <w:ind w:left="940" w:hanging="401"/>
        <w:spacing w:after="0" w:line="279" w:lineRule="auto"/>
        <w:tabs>
          <w:tab w:leader="none" w:pos="9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[Co-Borrower’s securities have not been certificated. If Co-Borrower certificates its securities, it shall immediately deliver the original certificate evidencing such securities to Agent and shall follow Agent’s directions regarding such securities after the occurrence and during the continuation of any Event of Default.]</w:t>
      </w:r>
    </w:p>
    <w:p>
      <w:pPr>
        <w:sectPr>
          <w:pgSz w:w="11900" w:h="16838" w:orient="portrait"/>
          <w:cols w:equalWidth="0" w:num="1">
            <w:col w:w="11440"/>
          </w:cols>
          <w:pgMar w:left="220" w:top="649" w:right="239" w:bottom="1440" w:gutter="0" w:footer="0" w:header="0"/>
        </w:sectPr>
      </w:pPr>
    </w:p>
    <w:bookmarkStart w:id="122" w:name="page123"/>
    <w:bookmarkEnd w:id="122"/>
    <w:p>
      <w:pPr>
        <w:ind w:left="401" w:hanging="401"/>
        <w:spacing w:after="0"/>
        <w:tabs>
          <w:tab w:leader="none" w:pos="401"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Sections 11, 13 and 14 of the Credit Agreement are incorporated herein by reference, mutatis mutandis.</w:t>
      </w:r>
    </w:p>
    <w:p>
      <w:pPr>
        <w:spacing w:after="0" w:line="180" w:lineRule="exact"/>
        <w:rPr>
          <w:rFonts w:ascii="Times New Roman" w:cs="Times New Roman" w:eastAsia="Times New Roman" w:hAnsi="Times New Roman"/>
          <w:sz w:val="16"/>
          <w:szCs w:val="16"/>
          <w:color w:val="auto"/>
        </w:rPr>
      </w:pPr>
    </w:p>
    <w:p>
      <w:pPr>
        <w:ind w:left="401" w:hanging="401"/>
        <w:spacing w:after="0" w:line="250" w:lineRule="auto"/>
        <w:tabs>
          <w:tab w:leader="none" w:pos="401"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Co-Borrower acknowledges that the providing of this Agreement to Agent is integral and material to Agent and Lenders’ decision to proceed with the Credit Agreement, without which Agent and Lenders would not proceed. Co-Borrower further agrees that it is receiving substantial and material benefits from Borrower’s execution of the Credit Agreement and receipt of the loan proceeds thereunder, even if the loan proceeds have not directly been made available to Co-Borrower. At a minimum, Co-Borrower acknowledges that it has received reasonably equivalent value in connection with the execution and delivery of this Agreement. Co-Borrower waives, for itself and any successors (e.g., an assignee for the benefit of creditors, a receiver, a trustee in Bankruptcy, a debtor-in-possession, etc.), to the fullest extent provided by law, any rights or remedies regarding the enforceability of this Agreement, including without limitation, that Co-Borrower did not receive adequate consideration in connection with this Agreement or any of the transactions or agreements relating thereto.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41"/>
        <w:spacing w:after="0"/>
        <w:rPr>
          <w:sz w:val="20"/>
          <w:szCs w:val="20"/>
          <w:color w:val="auto"/>
        </w:rPr>
      </w:pPr>
      <w:r>
        <w:rPr>
          <w:rFonts w:ascii="Times New Roman" w:cs="Times New Roman" w:eastAsia="Times New Roman" w:hAnsi="Times New Roman"/>
          <w:sz w:val="16"/>
          <w:szCs w:val="16"/>
          <w:color w:val="auto"/>
        </w:rPr>
        <w:t>[signatures continued on the following page]</w:t>
      </w:r>
    </w:p>
    <w:p>
      <w:pPr>
        <w:sectPr>
          <w:pgSz w:w="11900" w:h="16838" w:orient="portrait"/>
          <w:cols w:equalWidth="0" w:num="1">
            <w:col w:w="10901"/>
          </w:cols>
          <w:pgMar w:left="759" w:top="408" w:right="239" w:bottom="1440" w:gutter="0" w:footer="0" w:header="0"/>
        </w:sectPr>
      </w:pPr>
    </w:p>
    <w:bookmarkStart w:id="123" w:name="page124"/>
    <w:bookmarkEnd w:id="123"/>
    <w:p>
      <w:pPr>
        <w:ind w:left="54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Joiner to be executed as of the date first written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Obsidian Agency Services, Inc.</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_______________________________</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CO-BORROWER: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_______________________________</w:t>
      </w:r>
    </w:p>
    <w:p>
      <w:pPr>
        <w:sectPr>
          <w:pgSz w:w="11900" w:h="16838" w:orient="portrait"/>
          <w:cols w:equalWidth="0" w:num="1">
            <w:col w:w="10239"/>
          </w:cols>
          <w:pgMar w:left="220" w:top="837"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EXHIBIT 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Note – Term Loan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TERM NOTE</w:t>
      </w:r>
    </w:p>
    <w:p>
      <w:pPr>
        <w:spacing w:after="0" w:line="183" w:lineRule="exact"/>
        <w:rPr>
          <w:sz w:val="20"/>
          <w:szCs w:val="20"/>
          <w:color w:val="auto"/>
        </w:rPr>
      </w:pPr>
    </w:p>
    <w:p>
      <w:pPr>
        <w:ind w:left="9200"/>
        <w:spacing w:after="0"/>
        <w:tabs>
          <w:tab w:leader="none" w:pos="10180" w:val="left"/>
        </w:tabs>
        <w:rPr>
          <w:sz w:val="20"/>
          <w:szCs w:val="20"/>
          <w:color w:val="auto"/>
        </w:rPr>
      </w:pPr>
      <w:r>
        <w:rPr>
          <w:rFonts w:ascii="Times New Roman" w:cs="Times New Roman" w:eastAsia="Times New Roman" w:hAnsi="Times New Roman"/>
          <w:sz w:val="16"/>
          <w:szCs w:val="16"/>
          <w:color w:val="211D1E"/>
        </w:rPr>
        <w:t>$_______.00</w:t>
        <w:tab/>
        <w:t>_______ ___, 20__</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FOR VALUE RECEIVED, the undersigned, [NAME OF BORROWER], a [______________] (the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together with all successors and assigns), promises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 [NAME OF LENDER] hereinafter, together with its successors in title and permitted assigns, “</w:t>
      </w:r>
      <w:r>
        <w:rPr>
          <w:rFonts w:ascii="Times New Roman" w:cs="Times New Roman" w:eastAsia="Times New Roman" w:hAnsi="Times New Roman"/>
          <w:sz w:val="16"/>
          <w:szCs w:val="16"/>
          <w:b w:val="1"/>
          <w:bCs w:val="1"/>
          <w:i w:val="1"/>
          <w:iCs w:val="1"/>
          <w:color w:val="auto"/>
        </w:rPr>
        <w:t>Lender</w:t>
      </w:r>
      <w:r>
        <w:rPr>
          <w:rFonts w:ascii="Times New Roman" w:cs="Times New Roman" w:eastAsia="Times New Roman" w:hAnsi="Times New Roman"/>
          <w:sz w:val="16"/>
          <w:szCs w:val="16"/>
          <w:color w:val="auto"/>
        </w:rPr>
        <w:t>”), the principal sum of _________ DOLLARS ($_____.00), or such</w:t>
      </w:r>
    </w:p>
    <w:p>
      <w:pPr>
        <w:spacing w:after="0" w:line="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lesser amount as is outstanding from time to time, on the dates and in the amounts set forth in the Credit Agreement (as hereafter defined), with interest, fees, expenses and costs at the rate and payable in the manner stated in the Credit Agreement</w:t>
      </w:r>
      <w:r>
        <w:rPr>
          <w:rFonts w:ascii="Times New Roman" w:cs="Times New Roman" w:eastAsia="Times New Roman" w:hAnsi="Times New Roman"/>
          <w:sz w:val="16"/>
          <w:szCs w:val="16"/>
          <w:color w:val="211D1E"/>
        </w:rPr>
        <w:t>.</w:t>
      </w:r>
      <w:r>
        <w:rPr>
          <w:rFonts w:ascii="Times New Roman" w:cs="Times New Roman" w:eastAsia="Times New Roman" w:hAnsi="Times New Roman"/>
          <w:sz w:val="16"/>
          <w:szCs w:val="16"/>
          <w:color w:val="auto"/>
        </w:rPr>
        <w:t xml:space="preserve"> As used herein, the “</w:t>
      </w:r>
      <w:r>
        <w:rPr>
          <w:rFonts w:ascii="Times New Roman" w:cs="Times New Roman" w:eastAsia="Times New Roman" w:hAnsi="Times New Roman"/>
          <w:sz w:val="16"/>
          <w:szCs w:val="16"/>
          <w:b w:val="1"/>
          <w:bCs w:val="1"/>
          <w:i w:val="1"/>
          <w:iCs w:val="1"/>
          <w:color w:val="auto"/>
        </w:rPr>
        <w:t>Credit Agreement</w:t>
      </w:r>
      <w:r>
        <w:rPr>
          <w:rFonts w:ascii="Times New Roman" w:cs="Times New Roman" w:eastAsia="Times New Roman" w:hAnsi="Times New Roman"/>
          <w:sz w:val="16"/>
          <w:szCs w:val="16"/>
          <w:color w:val="auto"/>
        </w:rPr>
        <w:t>” means and refers to that certain Loan and Security Agreement, dated as of [DATE OF AGREEMENT] (as such may be amended, restated, supplemented, amended and restated or otherwise modified from time to time) by and among Borrower, Lender and Obsidian Agency Services, Inc. as Agent (in such capacity, including any successor thereto, the “</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and as Agent for Lenders. Agent. Capitalized terms used herein and not otherwise defined herein are used herein as defined in the Credit Agreement.</w:t>
      </w:r>
    </w:p>
    <w:p>
      <w:pPr>
        <w:spacing w:after="0" w:line="152" w:lineRule="exact"/>
        <w:rPr>
          <w:sz w:val="20"/>
          <w:szCs w:val="20"/>
          <w:color w:val="auto"/>
        </w:rPr>
      </w:pPr>
    </w:p>
    <w:p>
      <w:pPr>
        <w:ind w:firstLine="531"/>
        <w:spacing w:after="0" w:line="256" w:lineRule="auto"/>
        <w:rPr>
          <w:sz w:val="20"/>
          <w:szCs w:val="20"/>
          <w:color w:val="auto"/>
        </w:rPr>
      </w:pPr>
      <w:r>
        <w:rPr>
          <w:rFonts w:ascii="Times New Roman" w:cs="Times New Roman" w:eastAsia="Times New Roman" w:hAnsi="Times New Roman"/>
          <w:sz w:val="16"/>
          <w:szCs w:val="16"/>
          <w:color w:val="auto"/>
        </w:rPr>
        <w:t>This Term Note is a “Note” to which reference is made in the Credit Agreement and is subject to all terms and provisions thereof. This Term Note is also entitled to the benefits of the Credit Agreement and is secured by the Collateral. The principal of, and interest on, this Term Note shall be payable at the times, in the manner, and in the amounts as provided in the Credit Agreement and shall be subject to prepayment and acceleration as provided therein. Agent’s books and records concerning the Term Loan, the accrual of interest and fees thereon and the repayment of such Term Loan shall be prima facie evidence of the indebtedness to Lender hereunder, absent manifest error.</w:t>
      </w:r>
    </w:p>
    <w:p>
      <w:pPr>
        <w:spacing w:after="0" w:line="143" w:lineRule="exact"/>
        <w:rPr>
          <w:sz w:val="20"/>
          <w:szCs w:val="20"/>
          <w:color w:val="auto"/>
        </w:rPr>
      </w:pPr>
    </w:p>
    <w:p>
      <w:pPr>
        <w:ind w:right="280" w:firstLine="531"/>
        <w:spacing w:after="0" w:line="279" w:lineRule="auto"/>
        <w:rPr>
          <w:sz w:val="20"/>
          <w:szCs w:val="20"/>
          <w:color w:val="auto"/>
        </w:rPr>
      </w:pPr>
      <w:r>
        <w:rPr>
          <w:rFonts w:ascii="Times New Roman" w:cs="Times New Roman" w:eastAsia="Times New Roman" w:hAnsi="Times New Roman"/>
          <w:sz w:val="16"/>
          <w:szCs w:val="16"/>
          <w:color w:val="auto"/>
        </w:rPr>
        <w:t>No delay or omission by Lender or Agent in exercising or enforcing any of its powers, rights, privileges, remedies or discretions hereunder shall operate as a waiver thereof on that occasion nor on any other occasion. No waiver of any Event of Default shall operate as a waiver of any other Event of Default, nor as a continuing waiver.</w:t>
      </w:r>
    </w:p>
    <w:p>
      <w:pPr>
        <w:spacing w:after="0" w:line="125" w:lineRule="exact"/>
        <w:rPr>
          <w:sz w:val="20"/>
          <w:szCs w:val="20"/>
          <w:color w:val="auto"/>
        </w:rPr>
      </w:pPr>
    </w:p>
    <w:p>
      <w:pPr>
        <w:ind w:right="80" w:firstLine="531"/>
        <w:spacing w:after="0" w:line="256" w:lineRule="auto"/>
        <w:rPr>
          <w:sz w:val="20"/>
          <w:szCs w:val="20"/>
          <w:color w:val="auto"/>
        </w:rPr>
      </w:pPr>
      <w:r>
        <w:rPr>
          <w:rFonts w:ascii="Times New Roman" w:cs="Times New Roman" w:eastAsia="Times New Roman" w:hAnsi="Times New Roman"/>
          <w:sz w:val="16"/>
          <w:szCs w:val="16"/>
          <w:color w:val="auto"/>
        </w:rPr>
        <w:t>Borrower waives presentment, demand, notice and protest, and also waives any delay on the part of the holder hereof. Borrower assents to any extension or other indulgence (including, without limitation, the release or substitution of Collateral) permitted by Agent, Agent and/or Lender with respect to this Term Note and/or any Loan Document or any extension or other indulgence with respect to any other liability or any collateral given to secure any other liability of Borrower or any other Person obligated on account of this Term Note.</w:t>
      </w:r>
    </w:p>
    <w:p>
      <w:pPr>
        <w:spacing w:after="0" w:line="143" w:lineRule="exact"/>
        <w:rPr>
          <w:sz w:val="20"/>
          <w:szCs w:val="20"/>
          <w:color w:val="auto"/>
        </w:rPr>
      </w:pPr>
    </w:p>
    <w:p>
      <w:pPr>
        <w:ind w:right="520" w:firstLine="531"/>
        <w:spacing w:after="0" w:line="279" w:lineRule="auto"/>
        <w:rPr>
          <w:sz w:val="20"/>
          <w:szCs w:val="20"/>
          <w:color w:val="auto"/>
        </w:rPr>
      </w:pPr>
      <w:r>
        <w:rPr>
          <w:rFonts w:ascii="Times New Roman" w:cs="Times New Roman" w:eastAsia="Times New Roman" w:hAnsi="Times New Roman"/>
          <w:sz w:val="16"/>
          <w:szCs w:val="16"/>
          <w:color w:val="auto"/>
        </w:rPr>
        <w:t>This Term Note shall be binding upon Borrower and upon its successors, assigns, and representatives, and shall inure to the benefit of Lender and its successors, endorsees and assigns.</w:t>
      </w:r>
    </w:p>
    <w:p>
      <w:pPr>
        <w:spacing w:after="0" w:line="125" w:lineRule="exact"/>
        <w:rPr>
          <w:sz w:val="20"/>
          <w:szCs w:val="20"/>
          <w:color w:val="auto"/>
        </w:rPr>
      </w:pPr>
    </w:p>
    <w:p>
      <w:pPr>
        <w:ind w:right="180" w:firstLine="531"/>
        <w:spacing w:after="0" w:line="250" w:lineRule="auto"/>
        <w:rPr>
          <w:sz w:val="20"/>
          <w:szCs w:val="20"/>
          <w:color w:val="auto"/>
        </w:rPr>
      </w:pPr>
      <w:r>
        <w:rPr>
          <w:rFonts w:ascii="Times New Roman" w:cs="Times New Roman" w:eastAsia="Times New Roman" w:hAnsi="Times New Roman"/>
          <w:sz w:val="16"/>
          <w:szCs w:val="16"/>
          <w:color w:val="auto"/>
        </w:rPr>
        <w:t>Borrower agrees that any action or proceeding arising out of or relating to this Term Note or for recognition or enforcement of any judgment, may be brought in any California State court or Federal court of the United States of America sitting in Los Angeles, and any appellate court from any thereof, and by execution and delivery of this Term Note, Borrower and Lender each consent, for itself and in respect of its property, to the exclusive jurisdiction of those courts. Each of Borrower and, by its acceptance hereof, Lender, irrevocably and unconditionally waives, to the fullest extent that it may legally and effectively do so, any objection which it may now or hereafter have to the laying of venue of any suit, action or proceeding arising out of or relating to this Term Note in any California State or Federal court. Each of Borrower and, by its acceptance hereof, Lender, hereby irrevocably waives, to the fullest extent permitted by law, the defense of an inconvenient forum to the maintenance of such action or proceeding in any such court.</w:t>
      </w:r>
    </w:p>
    <w:p>
      <w:pPr>
        <w:sectPr>
          <w:pgSz w:w="11900" w:h="16838" w:orient="portrait"/>
          <w:cols w:equalWidth="0" w:num="1">
            <w:col w:w="11460"/>
          </w:cols>
          <w:pgMar w:left="220" w:top="318" w:right="219" w:bottom="1440" w:gutter="0" w:footer="0" w:header="0"/>
        </w:sectPr>
      </w:pPr>
    </w:p>
    <w:bookmarkStart w:id="125" w:name="page126"/>
    <w:bookmarkEnd w:id="125"/>
    <w:p>
      <w:pPr>
        <w:ind w:firstLine="531"/>
        <w:spacing w:after="0" w:line="279" w:lineRule="auto"/>
        <w:rPr>
          <w:sz w:val="20"/>
          <w:szCs w:val="20"/>
          <w:color w:val="auto"/>
        </w:rPr>
      </w:pPr>
      <w:r>
        <w:rPr>
          <w:rFonts w:ascii="Times New Roman" w:cs="Times New Roman" w:eastAsia="Times New Roman" w:hAnsi="Times New Roman"/>
          <w:sz w:val="16"/>
          <w:szCs w:val="16"/>
          <w:color w:val="211D1E"/>
        </w:rPr>
        <w:t xml:space="preserve">THIS TERM </w:t>
      </w:r>
      <w:r>
        <w:rPr>
          <w:rFonts w:ascii="Times New Roman" w:cs="Times New Roman" w:eastAsia="Times New Roman" w:hAnsi="Times New Roman"/>
          <w:sz w:val="16"/>
          <w:szCs w:val="16"/>
          <w:color w:val="000000"/>
        </w:rPr>
        <w:t>NOTE</w:t>
      </w:r>
      <w:r>
        <w:rPr>
          <w:rFonts w:ascii="Times New Roman" w:cs="Times New Roman" w:eastAsia="Times New Roman" w:hAnsi="Times New Roman"/>
          <w:sz w:val="16"/>
          <w:szCs w:val="16"/>
          <w:color w:val="211D1E"/>
        </w:rPr>
        <w:t xml:space="preserve"> SHALL BE GOVERNED BY, AND CONSTRUED IN ACCORDANCE WITH, THE INTERNAL LAWS OF THE STATE OF CALIFORNIA WITHOUT REFERENCE TO ITS CONFLICT OF LAW PRINCIPALS.</w:t>
      </w:r>
    </w:p>
    <w:p>
      <w:pPr>
        <w:spacing w:after="0" w:line="125" w:lineRule="exact"/>
        <w:rPr>
          <w:sz w:val="20"/>
          <w:szCs w:val="20"/>
          <w:color w:val="auto"/>
        </w:rPr>
      </w:pPr>
    </w:p>
    <w:p>
      <w:pPr>
        <w:ind w:right="200" w:firstLine="531"/>
        <w:spacing w:after="0" w:line="253" w:lineRule="auto"/>
        <w:rPr>
          <w:sz w:val="20"/>
          <w:szCs w:val="20"/>
          <w:color w:val="auto"/>
        </w:rPr>
      </w:pPr>
      <w:r>
        <w:rPr>
          <w:rFonts w:ascii="Times New Roman" w:cs="Times New Roman" w:eastAsia="Times New Roman" w:hAnsi="Times New Roman"/>
          <w:sz w:val="16"/>
          <w:szCs w:val="16"/>
          <w:color w:val="auto"/>
        </w:rPr>
        <w:t>Each of Borrower and, by its acceptance hereof, Lender, makes the following waiver knowingly, voluntarily, and intentionally, and understands that Lender or Borrower, as applicable, are each relying thereon. EACH OF BORROWER AND LENDER BY ITS ACCEPTANCE HEREOF, HEREBY WAIVES, TO THE FULLEST EXTENT PERMITTED BY APPLICABLE LAW, ANY RIGHT IT MAY HAVE TO A TRIAL BY JURY IN RESPECT OF ANY LITIGATION DIRECTLY OR INDIRECTLY ARISING OUT OF, UNDER OR IN CONNECTION WITH THIS TERM NOTE. If such waiver is for any reason not enforceable as provided, then the provisions of Sections 11.3 and 11.4 of the Credit Agreement shall be deemed incorporated herein by reference.</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211D1E"/>
        </w:rPr>
        <w:t>[</w:t>
      </w:r>
      <w:r>
        <w:rPr>
          <w:rFonts w:ascii="Times New Roman" w:cs="Times New Roman" w:eastAsia="Times New Roman" w:hAnsi="Times New Roman"/>
          <w:sz w:val="16"/>
          <w:szCs w:val="16"/>
          <w:i w:val="1"/>
          <w:iCs w:val="1"/>
          <w:color w:val="211D1E"/>
        </w:rPr>
        <w:t>Remainder of page intentionally left blank</w:t>
      </w:r>
      <w:r>
        <w:rPr>
          <w:rFonts w:ascii="Times New Roman" w:cs="Times New Roman" w:eastAsia="Times New Roman" w:hAnsi="Times New Roman"/>
          <w:sz w:val="16"/>
          <w:szCs w:val="16"/>
          <w:color w:val="211D1E"/>
        </w:rPr>
        <w:t>]</w:t>
      </w:r>
    </w:p>
    <w:p>
      <w:pPr>
        <w:sectPr>
          <w:pgSz w:w="11900" w:h="16838" w:orient="portrait"/>
          <w:cols w:equalWidth="0" w:num="1">
            <w:col w:w="11240"/>
          </w:cols>
          <w:pgMar w:left="220" w:top="320"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t>IN WITNESS WHEREOF, the undersigned has caused this Term Note to be duly executed and delivered by its duly authorized officer as of the date first above written.</w:t>
      </w:r>
    </w:p>
    <w:p>
      <w:pPr>
        <w:sectPr>
          <w:pgSz w:w="11900" w:h="16838" w:orient="portrait"/>
          <w:cols w:equalWidth="0" w:num="1">
            <w:col w:w="10900"/>
          </w:cols>
          <w:pgMar w:left="760" w:top="651"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211D1E"/>
        </w:rPr>
        <w:t>[NAME OF BORROWER]</w:t>
      </w:r>
    </w:p>
    <w:p>
      <w:pPr>
        <w:spacing w:after="0" w:line="200" w:lineRule="exact"/>
        <w:rPr>
          <w:sz w:val="20"/>
          <w:szCs w:val="20"/>
          <w:color w:val="auto"/>
        </w:rPr>
      </w:pPr>
    </w:p>
    <w:p>
      <w:pPr>
        <w:spacing w:after="0" w:line="34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-6350</wp:posOffset>
            </wp:positionV>
            <wp:extent cx="51435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 cy="6985"/>
                    </a:xfrm>
                    <a:prstGeom prst="rect">
                      <a:avLst/>
                    </a:prstGeom>
                    <a:noFill/>
                  </pic:spPr>
                </pic:pic>
              </a:graphicData>
            </a:graphic>
          </wp:anchor>
        </w:drawing>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Name:</w:t>
      </w:r>
    </w:p>
    <w:p>
      <w:pPr>
        <w:spacing w:after="0" w:line="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Title:</w:t>
      </w:r>
    </w:p>
    <w:p>
      <w:pPr>
        <w:spacing w:after="0" w:line="17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[SIGNATURE PAGE TO FORM OF TERM NOTE]</w:t>
      </w:r>
    </w:p>
    <w:p>
      <w:pPr>
        <w:sectPr>
          <w:pgSz w:w="11900" w:h="16838" w:orient="portrait"/>
          <w:cols w:equalWidth="0" w:num="1">
            <w:col w:w="10900"/>
          </w:cols>
          <w:pgMar w:left="760" w:top="651" w:right="239" w:bottom="1440" w:gutter="0" w:footer="0" w:header="0"/>
          <w:type w:val="continuous"/>
        </w:sectPr>
      </w:pPr>
    </w:p>
    <w:bookmarkStart w:id="127" w:name="page128"/>
    <w:bookmarkEnd w:id="127"/>
    <w:p>
      <w:pPr>
        <w:jc w:val="center"/>
        <w:ind w:right="120"/>
        <w:spacing w:after="0"/>
        <w:rPr>
          <w:sz w:val="20"/>
          <w:szCs w:val="20"/>
          <w:color w:val="auto"/>
        </w:rPr>
      </w:pPr>
      <w:r>
        <w:rPr>
          <w:rFonts w:ascii="Times New Roman" w:cs="Times New Roman" w:eastAsia="Times New Roman" w:hAnsi="Times New Roman"/>
          <w:sz w:val="16"/>
          <w:szCs w:val="16"/>
          <w:color w:val="auto"/>
        </w:rPr>
        <w:t xml:space="preserve">TERM </w:t>
      </w:r>
      <w:r>
        <w:rPr>
          <w:rFonts w:ascii="Times New Roman" w:cs="Times New Roman" w:eastAsia="Times New Roman" w:hAnsi="Times New Roman"/>
          <w:sz w:val="16"/>
          <w:szCs w:val="16"/>
          <w:color w:val="211D1E"/>
        </w:rPr>
        <w:t>LOAN AND PAYMENTS</w:t>
      </w:r>
    </w:p>
    <w:p>
      <w:pPr>
        <w:spacing w:after="0" w:line="214" w:lineRule="exact"/>
        <w:rPr>
          <w:sz w:val="20"/>
          <w:szCs w:val="20"/>
          <w:color w:val="auto"/>
        </w:rPr>
      </w:pPr>
    </w:p>
    <w:p>
      <w:pPr>
        <w:ind w:left="760"/>
        <w:spacing w:after="0"/>
        <w:tabs>
          <w:tab w:leader="none" w:pos="2500" w:val="left"/>
          <w:tab w:leader="none" w:pos="3800" w:val="left"/>
          <w:tab w:leader="none" w:pos="6160" w:val="left"/>
          <w:tab w:leader="none" w:pos="8580" w:val="left"/>
        </w:tabs>
        <w:rPr>
          <w:sz w:val="20"/>
          <w:szCs w:val="20"/>
          <w:color w:val="auto"/>
        </w:rPr>
      </w:pPr>
      <w:r>
        <w:rPr>
          <w:rFonts w:ascii="Times New Roman" w:cs="Times New Roman" w:eastAsia="Times New Roman" w:hAnsi="Times New Roman"/>
          <w:sz w:val="16"/>
          <w:szCs w:val="16"/>
          <w:color w:val="211D1E"/>
        </w:rPr>
        <w:t>Amount of Term Loan</w:t>
      </w:r>
      <w:r>
        <w:rPr>
          <w:sz w:val="20"/>
          <w:szCs w:val="20"/>
          <w:color w:val="auto"/>
        </w:rPr>
        <w:tab/>
      </w:r>
      <w:r>
        <w:rPr>
          <w:rFonts w:ascii="Times New Roman" w:cs="Times New Roman" w:eastAsia="Times New Roman" w:hAnsi="Times New Roman"/>
          <w:sz w:val="16"/>
          <w:szCs w:val="16"/>
          <w:color w:val="211D1E"/>
        </w:rPr>
        <w:t>Maturity Date</w:t>
      </w:r>
      <w:r>
        <w:rPr>
          <w:sz w:val="20"/>
          <w:szCs w:val="20"/>
          <w:color w:val="auto"/>
        </w:rPr>
        <w:tab/>
      </w:r>
      <w:r>
        <w:rPr>
          <w:rFonts w:ascii="Times New Roman" w:cs="Times New Roman" w:eastAsia="Times New Roman" w:hAnsi="Times New Roman"/>
          <w:sz w:val="16"/>
          <w:szCs w:val="16"/>
          <w:color w:val="211D1E"/>
        </w:rPr>
        <w:t>Payments of Principal/Interest</w:t>
      </w:r>
      <w:r>
        <w:rPr>
          <w:sz w:val="20"/>
          <w:szCs w:val="20"/>
          <w:color w:val="auto"/>
        </w:rPr>
        <w:tab/>
      </w:r>
      <w:r>
        <w:rPr>
          <w:rFonts w:ascii="Times New Roman" w:cs="Times New Roman" w:eastAsia="Times New Roman" w:hAnsi="Times New Roman"/>
          <w:sz w:val="16"/>
          <w:szCs w:val="16"/>
          <w:color w:val="211D1E"/>
        </w:rPr>
        <w:t>Principal Balance of Term Note</w:t>
      </w:r>
      <w:r>
        <w:rPr>
          <w:sz w:val="20"/>
          <w:szCs w:val="20"/>
          <w:color w:val="auto"/>
        </w:rPr>
        <w:tab/>
      </w:r>
      <w:r>
        <w:rPr>
          <w:rFonts w:ascii="Times New Roman" w:cs="Times New Roman" w:eastAsia="Times New Roman" w:hAnsi="Times New Roman"/>
          <w:sz w:val="16"/>
          <w:szCs w:val="16"/>
          <w:color w:val="211D1E"/>
        </w:rPr>
        <w:t>Name of Person Making this Notation</w:t>
      </w:r>
    </w:p>
    <w:p>
      <w:pPr>
        <w:spacing w:after="0"/>
        <w:rPr>
          <w:sz w:val="20"/>
          <w:szCs w:val="20"/>
          <w:color w:val="auto"/>
        </w:rPr>
      </w:pPr>
      <w:r>
        <w:rPr>
          <w:rFonts w:ascii="Times New Roman" w:cs="Times New Roman" w:eastAsia="Times New Roman" w:hAnsi="Times New Roman"/>
          <w:sz w:val="16"/>
          <w:szCs w:val="16"/>
          <w:color w:val="211D1E"/>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129540</wp:posOffset>
            </wp:positionV>
            <wp:extent cx="72713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ectPr>
          <w:pgSz w:w="11900" w:h="16838" w:orient="portrait"/>
          <w:cols w:equalWidth="0" w:num="1">
            <w:col w:w="11060"/>
          </w:cols>
          <w:pgMar w:left="480" w:top="817" w:right="359"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EXHIBIT F</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FORM OF ASSIGNMENT AND ACCEPTANCE</w:t>
      </w:r>
    </w:p>
    <w:p>
      <w:pPr>
        <w:spacing w:after="0" w:line="179" w:lineRule="exact"/>
        <w:rPr>
          <w:sz w:val="20"/>
          <w:szCs w:val="20"/>
          <w:color w:val="auto"/>
        </w:rPr>
      </w:pPr>
    </w:p>
    <w:p>
      <w:pPr>
        <w:ind w:right="120" w:firstLine="531"/>
        <w:spacing w:after="0" w:line="253" w:lineRule="auto"/>
        <w:rPr>
          <w:sz w:val="20"/>
          <w:szCs w:val="20"/>
          <w:color w:val="auto"/>
        </w:rPr>
      </w:pPr>
      <w:r>
        <w:rPr>
          <w:rFonts w:ascii="Times New Roman" w:cs="Times New Roman" w:eastAsia="Times New Roman" w:hAnsi="Times New Roman"/>
          <w:sz w:val="16"/>
          <w:szCs w:val="16"/>
          <w:color w:val="auto"/>
        </w:rPr>
        <w:t>This Assignment and Acceptance (this “</w:t>
      </w:r>
      <w:r>
        <w:rPr>
          <w:rFonts w:ascii="Times New Roman" w:cs="Times New Roman" w:eastAsia="Times New Roman" w:hAnsi="Times New Roman"/>
          <w:sz w:val="16"/>
          <w:szCs w:val="16"/>
          <w:b w:val="1"/>
          <w:bCs w:val="1"/>
          <w:i w:val="1"/>
          <w:iCs w:val="1"/>
          <w:color w:val="auto"/>
        </w:rPr>
        <w:t>Assignment and Acceptance</w:t>
      </w:r>
      <w:r>
        <w:rPr>
          <w:rFonts w:ascii="Times New Roman" w:cs="Times New Roman" w:eastAsia="Times New Roman" w:hAnsi="Times New Roman"/>
          <w:sz w:val="16"/>
          <w:szCs w:val="16"/>
          <w:color w:val="auto"/>
        </w:rPr>
        <w:t>”) is dated as of the Effective Date set forth below and is entered into by and between [the][each] Assignor identified in item 1 below ([the][each, an] “</w:t>
      </w:r>
      <w:r>
        <w:rPr>
          <w:rFonts w:ascii="Times New Roman" w:cs="Times New Roman" w:eastAsia="Times New Roman" w:hAnsi="Times New Roman"/>
          <w:sz w:val="16"/>
          <w:szCs w:val="16"/>
          <w:b w:val="1"/>
          <w:bCs w:val="1"/>
          <w:i w:val="1"/>
          <w:iCs w:val="1"/>
          <w:color w:val="auto"/>
        </w:rPr>
        <w:t>Assignor</w:t>
      </w:r>
      <w:r>
        <w:rPr>
          <w:rFonts w:ascii="Times New Roman" w:cs="Times New Roman" w:eastAsia="Times New Roman" w:hAnsi="Times New Roman"/>
          <w:sz w:val="16"/>
          <w:szCs w:val="16"/>
          <w:color w:val="auto"/>
        </w:rPr>
        <w:t>”) and [the][each] Assignee identified in item 2 below ([the][each, an] “</w:t>
      </w:r>
      <w:r>
        <w:rPr>
          <w:rFonts w:ascii="Times New Roman" w:cs="Times New Roman" w:eastAsia="Times New Roman" w:hAnsi="Times New Roman"/>
          <w:sz w:val="16"/>
          <w:szCs w:val="16"/>
          <w:b w:val="1"/>
          <w:bCs w:val="1"/>
          <w:i w:val="1"/>
          <w:iCs w:val="1"/>
          <w:color w:val="auto"/>
        </w:rPr>
        <w:t>Assignee</w:t>
      </w:r>
      <w:r>
        <w:rPr>
          <w:rFonts w:ascii="Times New Roman" w:cs="Times New Roman" w:eastAsia="Times New Roman" w:hAnsi="Times New Roman"/>
          <w:sz w:val="16"/>
          <w:szCs w:val="16"/>
          <w:color w:val="auto"/>
        </w:rPr>
        <w:t>”). [It is understood and agreed that the rights and obligations of [the Assignors][the Assignees] hereunder are several and not joint.] Capitalized terms used but not defined herein shall have the meanings given to them in the Loan and Security Agreement identified below (the “</w:t>
      </w:r>
      <w:r>
        <w:rPr>
          <w:rFonts w:ascii="Times New Roman" w:cs="Times New Roman" w:eastAsia="Times New Roman" w:hAnsi="Times New Roman"/>
          <w:sz w:val="16"/>
          <w:szCs w:val="16"/>
          <w:b w:val="1"/>
          <w:bCs w:val="1"/>
          <w:i w:val="1"/>
          <w:iCs w:val="1"/>
          <w:color w:val="auto"/>
        </w:rPr>
        <w:t>Credit Agreement</w:t>
      </w:r>
      <w:r>
        <w:rPr>
          <w:rFonts w:ascii="Times New Roman" w:cs="Times New Roman" w:eastAsia="Times New Roman" w:hAnsi="Times New Roman"/>
          <w:sz w:val="16"/>
          <w:szCs w:val="16"/>
          <w:color w:val="auto"/>
        </w:rPr>
        <w:t xml:space="preserve">”), receipt of a copy of which is hereby acknowledged by the Assignee. The Standard Terms and Conditions set forth in </w:t>
      </w:r>
      <w:r>
        <w:rPr>
          <w:rFonts w:ascii="Times New Roman" w:cs="Times New Roman" w:eastAsia="Times New Roman" w:hAnsi="Times New Roman"/>
          <w:sz w:val="16"/>
          <w:szCs w:val="16"/>
          <w:u w:val="single" w:color="auto"/>
          <w:color w:val="auto"/>
        </w:rPr>
        <w:t>Annex 1</w:t>
      </w:r>
      <w:r>
        <w:rPr>
          <w:rFonts w:ascii="Times New Roman" w:cs="Times New Roman" w:eastAsia="Times New Roman" w:hAnsi="Times New Roman"/>
          <w:sz w:val="16"/>
          <w:szCs w:val="16"/>
          <w:color w:val="auto"/>
        </w:rPr>
        <w:t xml:space="preserve"> attached hereto are hereby agreed to and incorporated herein by reference and made a part of this Assignment and Acceptance as if set forth herein in full.</w:t>
      </w:r>
    </w:p>
    <w:p>
      <w:pPr>
        <w:spacing w:after="0" w:line="16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211D1E"/>
        </w:rPr>
        <w:t xml:space="preserve">For an agreed consideration set forth below as the “Purchase Price”, [the][each] Assignor hereby irrevocably sells and assigns to [the Assignee][the respective Assignees], and[the][each] Assignee hereby irrevocably purchases and assumes from [the Assignor][the respective Assignors], subject to and in accordance with the Standard Terms and Conditions and the Credit Agreement, as of the Effective Date </w:t>
      </w:r>
      <w:r>
        <w:rPr>
          <w:rFonts w:ascii="Times New Roman" w:cs="Times New Roman" w:eastAsia="Times New Roman" w:hAnsi="Times New Roman"/>
          <w:sz w:val="16"/>
          <w:szCs w:val="16"/>
          <w:color w:val="000000"/>
        </w:rPr>
        <w:t>inserted by Agent as contemplated below</w:t>
      </w:r>
      <w:r>
        <w:rPr>
          <w:rFonts w:ascii="Times New Roman" w:cs="Times New Roman" w:eastAsia="Times New Roman" w:hAnsi="Times New Roman"/>
          <w:sz w:val="16"/>
          <w:szCs w:val="16"/>
          <w:color w:val="211D1E"/>
        </w:rPr>
        <w:t xml:space="preserve">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6"/>
          <w:szCs w:val="16"/>
          <w:b w:val="1"/>
          <w:bCs w:val="1"/>
          <w:i w:val="1"/>
          <w:iCs w:val="1"/>
          <w:color w:val="211D1E"/>
        </w:rPr>
        <w:t>Assigned Interest</w:t>
      </w:r>
      <w:r>
        <w:rPr>
          <w:rFonts w:ascii="Times New Roman" w:cs="Times New Roman" w:eastAsia="Times New Roman" w:hAnsi="Times New Roman"/>
          <w:sz w:val="16"/>
          <w:szCs w:val="16"/>
          <w:color w:val="211D1E"/>
        </w:rPr>
        <w:t>”). Each such sale and assignment is without recourse to [the][any] Assignor and, except as expressly provided in this Assignment and Acceptance, without representation or warranty (express or implied) by [the][any] Assignor.</w:t>
      </w:r>
    </w:p>
    <w:p>
      <w:pPr>
        <w:spacing w:after="0" w:line="117" w:lineRule="exact"/>
        <w:rPr>
          <w:sz w:val="20"/>
          <w:szCs w:val="20"/>
          <w:color w:val="auto"/>
        </w:rPr>
      </w:pPr>
    </w:p>
    <w:p>
      <w:pPr>
        <w:ind w:left="540" w:hanging="532"/>
        <w:spacing w:after="0"/>
        <w:tabs>
          <w:tab w:leader="none" w:pos="540" w:val="left"/>
        </w:tabs>
        <w:numPr>
          <w:ilvl w:val="0"/>
          <w:numId w:val="98"/>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u w:val="single" w:color="auto"/>
          <w:color w:val="000101"/>
        </w:rPr>
        <w:t>Assignor[s]</w:t>
      </w:r>
      <w:r>
        <w:rPr>
          <w:rFonts w:ascii="Times New Roman" w:cs="Times New Roman" w:eastAsia="Times New Roman" w:hAnsi="Times New Roman"/>
          <w:sz w:val="16"/>
          <w:szCs w:val="16"/>
          <w:color w:val="000101"/>
        </w:rPr>
        <w:t>:  ____________</w:t>
      </w:r>
    </w:p>
    <w:p>
      <w:pPr>
        <w:spacing w:after="0" w:line="180" w:lineRule="exact"/>
        <w:rPr>
          <w:rFonts w:ascii="Times New Roman" w:cs="Times New Roman" w:eastAsia="Times New Roman" w:hAnsi="Times New Roman"/>
          <w:sz w:val="16"/>
          <w:szCs w:val="16"/>
          <w:color w:val="000101"/>
        </w:rPr>
      </w:pPr>
    </w:p>
    <w:p>
      <w:pPr>
        <w:ind w:left="540" w:hanging="532"/>
        <w:spacing w:after="0"/>
        <w:tabs>
          <w:tab w:leader="none" w:pos="540" w:val="left"/>
        </w:tabs>
        <w:numPr>
          <w:ilvl w:val="0"/>
          <w:numId w:val="98"/>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u w:val="single" w:color="auto"/>
          <w:color w:val="000101"/>
        </w:rPr>
        <w:t>Assignee[s]</w:t>
      </w:r>
      <w:r>
        <w:rPr>
          <w:rFonts w:ascii="Times New Roman" w:cs="Times New Roman" w:eastAsia="Times New Roman" w:hAnsi="Times New Roman"/>
          <w:sz w:val="16"/>
          <w:szCs w:val="16"/>
          <w:color w:val="000101"/>
        </w:rPr>
        <w:t>:  ____________</w:t>
      </w:r>
    </w:p>
    <w:p>
      <w:pPr>
        <w:spacing w:after="0" w:line="18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6"/>
          <w:szCs w:val="16"/>
          <w:color w:val="000101"/>
        </w:rPr>
        <w:t>____________</w:t>
      </w:r>
    </w:p>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000101"/>
        </w:rPr>
        <w:t xml:space="preserve">[for each Assignee </w:t>
      </w:r>
      <w:r>
        <w:rPr>
          <w:rFonts w:ascii="Times New Roman" w:cs="Times New Roman" w:eastAsia="Times New Roman" w:hAnsi="Times New Roman"/>
          <w:sz w:val="16"/>
          <w:szCs w:val="16"/>
          <w:i w:val="1"/>
          <w:iCs w:val="1"/>
          <w:color w:val="000101"/>
        </w:rPr>
        <w:t>identify Lender</w:t>
      </w:r>
      <w:r>
        <w:rPr>
          <w:rFonts w:ascii="Times New Roman" w:cs="Times New Roman" w:eastAsia="Times New Roman" w:hAnsi="Times New Roman"/>
          <w:sz w:val="16"/>
          <w:szCs w:val="16"/>
          <w:color w:val="000101"/>
        </w:rPr>
        <w:t>]</w:t>
      </w:r>
    </w:p>
    <w:p>
      <w:pPr>
        <w:spacing w:after="0" w:line="163" w:lineRule="exact"/>
        <w:rPr>
          <w:sz w:val="20"/>
          <w:szCs w:val="20"/>
          <w:color w:val="auto"/>
        </w:rPr>
      </w:pPr>
    </w:p>
    <w:p>
      <w:pPr>
        <w:ind w:left="540" w:hanging="532"/>
        <w:spacing w:after="0"/>
        <w:tabs>
          <w:tab w:leader="none" w:pos="540" w:val="left"/>
        </w:tabs>
        <w:numPr>
          <w:ilvl w:val="0"/>
          <w:numId w:val="99"/>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u w:val="single" w:color="auto"/>
          <w:color w:val="000101"/>
        </w:rPr>
        <w:t>Borrower</w:t>
      </w:r>
      <w:r>
        <w:rPr>
          <w:rFonts w:ascii="Times New Roman" w:cs="Times New Roman" w:eastAsia="Times New Roman" w:hAnsi="Times New Roman"/>
          <w:sz w:val="16"/>
          <w:szCs w:val="16"/>
          <w:color w:val="000101"/>
        </w:rPr>
        <w:t>: Enphase Energy, Inc., a Delaware corporation</w:t>
      </w:r>
    </w:p>
    <w:p>
      <w:pPr>
        <w:spacing w:after="0" w:line="236" w:lineRule="exact"/>
        <w:rPr>
          <w:rFonts w:ascii="Times New Roman" w:cs="Times New Roman" w:eastAsia="Times New Roman" w:hAnsi="Times New Roman"/>
          <w:sz w:val="16"/>
          <w:szCs w:val="16"/>
          <w:color w:val="000101"/>
        </w:rPr>
      </w:pPr>
    </w:p>
    <w:p>
      <w:pPr>
        <w:ind w:left="540" w:hanging="532"/>
        <w:spacing w:after="0"/>
        <w:tabs>
          <w:tab w:leader="none" w:pos="540" w:val="left"/>
        </w:tabs>
        <w:numPr>
          <w:ilvl w:val="0"/>
          <w:numId w:val="99"/>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u w:val="single" w:color="auto"/>
          <w:color w:val="000101"/>
        </w:rPr>
        <w:t>Agent</w:t>
      </w:r>
      <w:r>
        <w:rPr>
          <w:rFonts w:ascii="Times New Roman" w:cs="Times New Roman" w:eastAsia="Times New Roman" w:hAnsi="Times New Roman"/>
          <w:sz w:val="16"/>
          <w:szCs w:val="16"/>
          <w:color w:val="000101"/>
        </w:rPr>
        <w:t>: Obsidian Agency Services, Inc., a California corporation, including any successor thereto, as the “Agent” under the Credit Agreement.</w:t>
      </w:r>
    </w:p>
    <w:p>
      <w:pPr>
        <w:spacing w:after="0" w:line="147" w:lineRule="exact"/>
        <w:rPr>
          <w:rFonts w:ascii="Times New Roman" w:cs="Times New Roman" w:eastAsia="Times New Roman" w:hAnsi="Times New Roman"/>
          <w:sz w:val="16"/>
          <w:szCs w:val="16"/>
          <w:color w:val="000101"/>
        </w:rPr>
      </w:pPr>
    </w:p>
    <w:p>
      <w:pPr>
        <w:ind w:left="540" w:hanging="532"/>
        <w:spacing w:after="0" w:line="279" w:lineRule="auto"/>
        <w:tabs>
          <w:tab w:leader="none" w:pos="540" w:val="left"/>
        </w:tabs>
        <w:numPr>
          <w:ilvl w:val="0"/>
          <w:numId w:val="99"/>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u w:val="single" w:color="auto"/>
          <w:color w:val="000101"/>
        </w:rPr>
        <w:t>Credit Agreement</w:t>
      </w:r>
      <w:r>
        <w:rPr>
          <w:rFonts w:ascii="Times New Roman" w:cs="Times New Roman" w:eastAsia="Times New Roman" w:hAnsi="Times New Roman"/>
          <w:sz w:val="16"/>
          <w:szCs w:val="16"/>
          <w:color w:val="000101"/>
        </w:rPr>
        <w:t xml:space="preserve">: The Loan and Security Agreement, dated as of ______, 2016, among Enphase Energy, Inc., a Delaware corporation, </w:t>
      </w:r>
      <w:r>
        <w:rPr>
          <w:rFonts w:ascii="Times New Roman" w:cs="Times New Roman" w:eastAsia="Times New Roman" w:hAnsi="Times New Roman"/>
          <w:sz w:val="16"/>
          <w:szCs w:val="16"/>
          <w:color w:val="000000"/>
        </w:rPr>
        <w:t>as Borrower, Lenders from time</w:t>
      </w:r>
      <w:r>
        <w:rPr>
          <w:rFonts w:ascii="Times New Roman" w:cs="Times New Roman" w:eastAsia="Times New Roman" w:hAnsi="Times New Roman"/>
          <w:sz w:val="16"/>
          <w:szCs w:val="16"/>
          <w:color w:val="000101"/>
        </w:rPr>
        <w:t xml:space="preserve"> </w:t>
      </w:r>
      <w:r>
        <w:rPr>
          <w:rFonts w:ascii="Times New Roman" w:cs="Times New Roman" w:eastAsia="Times New Roman" w:hAnsi="Times New Roman"/>
          <w:sz w:val="16"/>
          <w:szCs w:val="16"/>
          <w:color w:val="000000"/>
        </w:rPr>
        <w:t>to time party thereto, and Obsidian Agency Services, Inc., a Delaware corporation, as agent for Lenders.</w:t>
      </w:r>
    </w:p>
    <w:p>
      <w:pPr>
        <w:spacing w:after="0" w:line="124" w:lineRule="exact"/>
        <w:rPr>
          <w:rFonts w:ascii="Times New Roman" w:cs="Times New Roman" w:eastAsia="Times New Roman" w:hAnsi="Times New Roman"/>
          <w:sz w:val="16"/>
          <w:szCs w:val="16"/>
          <w:color w:val="000101"/>
        </w:rPr>
      </w:pPr>
    </w:p>
    <w:p>
      <w:pPr>
        <w:ind w:left="540" w:hanging="532"/>
        <w:spacing w:after="0"/>
        <w:tabs>
          <w:tab w:leader="none" w:pos="540" w:val="left"/>
        </w:tabs>
        <w:numPr>
          <w:ilvl w:val="0"/>
          <w:numId w:val="99"/>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color w:val="000101"/>
        </w:rPr>
        <w:t>Term Loan Assigned Interest:</w:t>
      </w:r>
    </w:p>
    <w:p>
      <w:pPr>
        <w:sectPr>
          <w:pgSz w:w="11900" w:h="16838" w:orient="portrait"/>
          <w:cols w:equalWidth="0" w:num="1">
            <w:col w:w="11440"/>
          </w:cols>
          <w:pgMar w:left="220" w:top="649" w:right="239" w:bottom="1440" w:gutter="0" w:footer="0" w:header="0"/>
        </w:sectPr>
      </w:pPr>
    </w:p>
    <w:bookmarkStart w:id="129" w:name="page130"/>
    <w:bookmarkEnd w:id="129"/>
    <w:tbl>
      <w:tblPr>
        <w:tblLayout w:type="fixed"/>
        <w:tblInd w:w="840" w:type="dxa"/>
        <w:tblCellMar>
          <w:top w:w="0" w:type="dxa"/>
          <w:left w:w="0" w:type="dxa"/>
          <w:bottom w:w="0" w:type="dxa"/>
          <w:right w:w="0" w:type="dxa"/>
        </w:tblCellMar>
      </w:tblPr>
      <w:tr>
        <w:trPr>
          <w:trHeight w:val="172"/>
        </w:trPr>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Aggregate Amount of Term</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8"/>
        </w:trPr>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ind w:left="240"/>
              <w:spacing w:after="0" w:line="148" w:lineRule="exact"/>
              <w:rPr>
                <w:sz w:val="20"/>
                <w:szCs w:val="20"/>
                <w:color w:val="auto"/>
              </w:rPr>
            </w:pPr>
            <w:r>
              <w:rPr>
                <w:rFonts w:ascii="Times New Roman" w:cs="Times New Roman" w:eastAsia="Times New Roman" w:hAnsi="Times New Roman"/>
                <w:sz w:val="13"/>
                <w:szCs w:val="13"/>
                <w:color w:val="auto"/>
              </w:rPr>
              <w:t>Loan</w:t>
            </w:r>
          </w:p>
        </w:tc>
        <w:tc>
          <w:tcPr>
            <w:tcW w:w="1600" w:type="dxa"/>
            <w:vAlign w:val="bottom"/>
            <w:gridSpan w:val="3"/>
          </w:tcPr>
          <w:p>
            <w:pPr>
              <w:jc w:val="center"/>
              <w:ind w:left="114"/>
              <w:spacing w:after="0" w:line="148" w:lineRule="exact"/>
              <w:rPr>
                <w:sz w:val="20"/>
                <w:szCs w:val="20"/>
                <w:color w:val="auto"/>
              </w:rPr>
            </w:pPr>
            <w:r>
              <w:rPr>
                <w:rFonts w:ascii="Times New Roman" w:cs="Times New Roman" w:eastAsia="Times New Roman" w:hAnsi="Times New Roman"/>
                <w:sz w:val="13"/>
                <w:szCs w:val="13"/>
                <w:color w:val="auto"/>
              </w:rPr>
              <w:t>Amount of Term</w:t>
            </w:r>
          </w:p>
        </w:tc>
        <w:tc>
          <w:tcPr>
            <w:tcW w:w="2100" w:type="dxa"/>
            <w:vAlign w:val="bottom"/>
            <w:gridSpan w:val="5"/>
          </w:tcPr>
          <w:p>
            <w:pPr>
              <w:jc w:val="center"/>
              <w:ind w:left="94"/>
              <w:spacing w:after="0" w:line="148" w:lineRule="exact"/>
              <w:rPr>
                <w:sz w:val="20"/>
                <w:szCs w:val="20"/>
                <w:color w:val="auto"/>
              </w:rPr>
            </w:pPr>
            <w:r>
              <w:rPr>
                <w:rFonts w:ascii="Times New Roman" w:cs="Times New Roman" w:eastAsia="Times New Roman" w:hAnsi="Times New Roman"/>
                <w:sz w:val="13"/>
                <w:szCs w:val="13"/>
                <w:color w:val="auto"/>
              </w:rPr>
              <w:t>Percentage Assigned of Term</w:t>
            </w:r>
          </w:p>
        </w:tc>
        <w:tc>
          <w:tcPr>
            <w:tcW w:w="180" w:type="dxa"/>
            <w:vAlign w:val="bottom"/>
          </w:tcPr>
          <w:p>
            <w:pPr>
              <w:spacing w:after="0"/>
              <w:rPr>
                <w:sz w:val="12"/>
                <w:szCs w:val="12"/>
                <w:color w:val="auto"/>
              </w:rPr>
            </w:pPr>
          </w:p>
        </w:tc>
        <w:tc>
          <w:tcPr>
            <w:tcW w:w="4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CUSIP</w:t>
            </w:r>
          </w:p>
        </w:tc>
      </w:tr>
      <w:tr>
        <w:trPr>
          <w:trHeight w:val="146"/>
        </w:trPr>
        <w:tc>
          <w:tcPr>
            <w:tcW w:w="172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Assignor[s]</w:t>
            </w:r>
          </w:p>
        </w:tc>
        <w:tc>
          <w:tcPr>
            <w:tcW w:w="84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Assignee[s]</w:t>
            </w:r>
          </w:p>
        </w:tc>
        <w:tc>
          <w:tcPr>
            <w:tcW w:w="18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color w:val="auto"/>
              </w:rPr>
              <w:t>for all Lenders</w:t>
            </w:r>
          </w:p>
        </w:tc>
        <w:tc>
          <w:tcPr>
            <w:tcW w:w="1600" w:type="dxa"/>
            <w:vAlign w:val="bottom"/>
            <w:gridSpan w:val="3"/>
          </w:tcPr>
          <w:p>
            <w:pPr>
              <w:jc w:val="center"/>
              <w:ind w:left="134"/>
              <w:spacing w:after="0" w:line="146" w:lineRule="exact"/>
              <w:rPr>
                <w:sz w:val="20"/>
                <w:szCs w:val="20"/>
                <w:color w:val="auto"/>
              </w:rPr>
            </w:pPr>
            <w:r>
              <w:rPr>
                <w:rFonts w:ascii="Times New Roman" w:cs="Times New Roman" w:eastAsia="Times New Roman" w:hAnsi="Times New Roman"/>
                <w:sz w:val="13"/>
                <w:szCs w:val="13"/>
                <w:color w:val="auto"/>
              </w:rPr>
              <w:t>Loan Assigned</w:t>
            </w:r>
          </w:p>
        </w:tc>
        <w:tc>
          <w:tcPr>
            <w:tcW w:w="980" w:type="dxa"/>
            <w:vAlign w:val="bottom"/>
          </w:tcPr>
          <w:p>
            <w:pPr>
              <w:spacing w:after="0"/>
              <w:rPr>
                <w:sz w:val="12"/>
                <w:szCs w:val="12"/>
                <w:color w:val="auto"/>
              </w:rPr>
            </w:pPr>
          </w:p>
        </w:tc>
        <w:tc>
          <w:tcPr>
            <w:tcW w:w="5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color w:val="auto"/>
              </w:rPr>
              <w:t>Loan</w:t>
            </w: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left="114"/>
              <w:spacing w:after="0" w:line="146" w:lineRule="exact"/>
              <w:rPr>
                <w:sz w:val="20"/>
                <w:szCs w:val="20"/>
                <w:color w:val="auto"/>
              </w:rPr>
            </w:pPr>
            <w:r>
              <w:rPr>
                <w:rFonts w:ascii="Times New Roman" w:cs="Times New Roman" w:eastAsia="Times New Roman" w:hAnsi="Times New Roman"/>
                <w:sz w:val="13"/>
                <w:szCs w:val="13"/>
                <w:color w:val="auto"/>
              </w:rPr>
              <w:t>Number</w:t>
            </w:r>
          </w:p>
        </w:tc>
      </w:tr>
      <w:tr>
        <w:trPr>
          <w:trHeight w:val="363"/>
        </w:trPr>
        <w:tc>
          <w:tcPr>
            <w:tcW w:w="62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75"/>
        </w:trPr>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75"/>
        </w:trPr>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0" w:hanging="532"/>
        <w:spacing w:after="0"/>
        <w:tabs>
          <w:tab w:leader="none" w:pos="540" w:val="left"/>
        </w:tabs>
        <w:numPr>
          <w:ilvl w:val="0"/>
          <w:numId w:val="100"/>
        </w:numPr>
        <w:rPr>
          <w:rFonts w:ascii="Times New Roman" w:cs="Times New Roman" w:eastAsia="Times New Roman" w:hAnsi="Times New Roman"/>
          <w:sz w:val="16"/>
          <w:szCs w:val="16"/>
          <w:color w:val="000101"/>
        </w:rPr>
      </w:pPr>
      <w:r>
        <w:rPr>
          <w:rFonts w:ascii="Times New Roman" w:cs="Times New Roman" w:eastAsia="Times New Roman" w:hAnsi="Times New Roman"/>
          <w:sz w:val="16"/>
          <w:szCs w:val="16"/>
          <w:color w:val="000101"/>
        </w:rPr>
        <w:t>Reserved.</w:t>
      </w:r>
    </w:p>
    <w:p>
      <w:pPr>
        <w:spacing w:after="0" w:line="202" w:lineRule="exact"/>
        <w:rPr>
          <w:rFonts w:ascii="Times New Roman" w:cs="Times New Roman" w:eastAsia="Times New Roman" w:hAnsi="Times New Roman"/>
          <w:sz w:val="16"/>
          <w:szCs w:val="16"/>
          <w:color w:val="000101"/>
        </w:rPr>
      </w:pPr>
    </w:p>
    <w:p>
      <w:pPr>
        <w:ind w:left="300" w:hanging="292"/>
        <w:spacing w:after="0"/>
        <w:tabs>
          <w:tab w:leader="none" w:pos="300" w:val="left"/>
        </w:tabs>
        <w:numPr>
          <w:ilvl w:val="0"/>
          <w:numId w:val="100"/>
        </w:numPr>
        <w:rPr>
          <w:rFonts w:ascii="Times New Roman" w:cs="Times New Roman" w:eastAsia="Times New Roman" w:hAnsi="Times New Roman"/>
          <w:sz w:val="16"/>
          <w:szCs w:val="16"/>
          <w:color w:val="211D1E"/>
        </w:rPr>
      </w:pPr>
      <w:r>
        <w:rPr>
          <w:rFonts w:ascii="Times New Roman" w:cs="Times New Roman" w:eastAsia="Times New Roman" w:hAnsi="Times New Roman"/>
          <w:sz w:val="16"/>
          <w:szCs w:val="16"/>
          <w:color w:val="211D1E"/>
        </w:rPr>
        <w:t>Purchase Price: $</w:t>
      </w:r>
    </w:p>
    <w:p>
      <w:pPr>
        <w:spacing w:after="0" w:line="147" w:lineRule="exact"/>
        <w:rPr>
          <w:rFonts w:ascii="Times New Roman" w:cs="Times New Roman" w:eastAsia="Times New Roman" w:hAnsi="Times New Roman"/>
          <w:sz w:val="16"/>
          <w:szCs w:val="16"/>
          <w:color w:val="211D1E"/>
        </w:rPr>
      </w:pPr>
    </w:p>
    <w:p>
      <w:pPr>
        <w:ind w:left="280" w:hanging="272"/>
        <w:spacing w:after="0"/>
        <w:tabs>
          <w:tab w:leader="none" w:pos="280" w:val="left"/>
        </w:tabs>
        <w:numPr>
          <w:ilvl w:val="0"/>
          <w:numId w:val="100"/>
        </w:numPr>
        <w:rPr>
          <w:rFonts w:ascii="Times New Roman" w:cs="Times New Roman" w:eastAsia="Times New Roman" w:hAnsi="Times New Roman"/>
          <w:sz w:val="16"/>
          <w:szCs w:val="16"/>
          <w:color w:val="211D1E"/>
        </w:rPr>
      </w:pPr>
      <w:r>
        <w:rPr>
          <w:rFonts w:ascii="Times New Roman" w:cs="Times New Roman" w:eastAsia="Times New Roman" w:hAnsi="Times New Roman"/>
          <w:sz w:val="16"/>
          <w:szCs w:val="16"/>
          <w:color w:val="211D1E"/>
        </w:rPr>
        <w:t>Trade Date: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-216535</wp:posOffset>
            </wp:positionV>
            <wp:extent cx="12827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698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1D1E"/>
        </w:rPr>
        <w:t>Effective Date: ________________, 20__ [TO BE INSERTED BY AGENT AND WHICH SHALL BE THE EFFECTIVE DATE OF RECORDATION OF TRANSFER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1D1E"/>
        </w:rPr>
        <w:t>THE REGISTER THEREFOR.]</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i w:val="1"/>
          <w:iCs w:val="1"/>
          <w:color w:val="211D1E"/>
        </w:rPr>
        <w:t>[Remainder of page intentionally left blank]</w:t>
      </w:r>
    </w:p>
    <w:p>
      <w:pPr>
        <w:sectPr>
          <w:pgSz w:w="11900" w:h="16838" w:orient="portrait"/>
          <w:cols w:equalWidth="0" w:num="1">
            <w:col w:w="11220"/>
          </w:cols>
          <w:pgMar w:left="220" w:top="460" w:right="459" w:bottom="1440" w:gutter="0" w:footer="0" w:header="0"/>
        </w:sectPr>
      </w:pPr>
    </w:p>
    <w:bookmarkStart w:id="130" w:name="page131"/>
    <w:bookmarkEnd w:id="130"/>
    <w:p>
      <w:pPr>
        <w:ind w:left="540"/>
        <w:spacing w:after="0"/>
        <w:rPr>
          <w:sz w:val="20"/>
          <w:szCs w:val="20"/>
          <w:color w:val="auto"/>
        </w:rPr>
      </w:pPr>
      <w:r>
        <w:rPr>
          <w:rFonts w:ascii="Times New Roman" w:cs="Times New Roman" w:eastAsia="Times New Roman" w:hAnsi="Times New Roman"/>
          <w:sz w:val="16"/>
          <w:szCs w:val="16"/>
          <w:color w:val="auto"/>
        </w:rPr>
        <w:t>The terms set forth in this Assignment and Acceptance are hereby agreed to:</w:t>
      </w:r>
    </w:p>
    <w:p>
      <w:pPr>
        <w:spacing w:after="0" w:line="18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u w:val="single" w:color="auto"/>
          <w:color w:val="auto"/>
        </w:rPr>
        <w:t>ASSIGNOR</w:t>
      </w:r>
    </w:p>
    <w:p>
      <w:pPr>
        <w:spacing w:after="0" w:line="200" w:lineRule="exact"/>
        <w:rPr>
          <w:sz w:val="20"/>
          <w:szCs w:val="20"/>
          <w:color w:val="auto"/>
        </w:rPr>
      </w:pPr>
    </w:p>
    <w:p>
      <w:pPr>
        <w:spacing w:after="0" w:line="2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[NAME OF ASSIGNOR]</w:t>
      </w:r>
    </w:p>
    <w:p>
      <w:pPr>
        <w:spacing w:after="0" w:line="200" w:lineRule="exact"/>
        <w:rPr>
          <w:sz w:val="20"/>
          <w:szCs w:val="20"/>
          <w:color w:val="auto"/>
        </w:rPr>
      </w:pPr>
    </w:p>
    <w:p>
      <w:pPr>
        <w:spacing w:after="0" w:line="2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-6350</wp:posOffset>
            </wp:positionV>
            <wp:extent cx="51435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6985"/>
                    </a:xfrm>
                    <a:prstGeom prst="rect">
                      <a:avLst/>
                    </a:prstGeom>
                    <a:noFill/>
                  </pic:spPr>
                </pic:pic>
              </a:graphicData>
            </a:graphic>
          </wp:anchor>
        </w:drawing>
      </w:r>
    </w:p>
    <w:p>
      <w:pPr>
        <w:spacing w:after="0" w:line="1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Name:</w:t>
      </w:r>
    </w:p>
    <w:p>
      <w:pPr>
        <w:spacing w:after="0" w:line="14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ASSIGNEE</w:t>
      </w:r>
    </w:p>
    <w:p>
      <w:pPr>
        <w:spacing w:after="0" w:line="200" w:lineRule="exact"/>
        <w:rPr>
          <w:sz w:val="20"/>
          <w:szCs w:val="20"/>
          <w:color w:val="auto"/>
        </w:rPr>
      </w:pPr>
    </w:p>
    <w:p>
      <w:pPr>
        <w:spacing w:after="0" w:line="2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[NAME OF ASSIGNEE]</w:t>
      </w:r>
    </w:p>
    <w:p>
      <w:pPr>
        <w:spacing w:after="0" w:line="200" w:lineRule="exact"/>
        <w:rPr>
          <w:sz w:val="20"/>
          <w:szCs w:val="20"/>
          <w:color w:val="auto"/>
        </w:rPr>
      </w:pPr>
    </w:p>
    <w:p>
      <w:pPr>
        <w:spacing w:after="0" w:line="2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-6350</wp:posOffset>
            </wp:positionV>
            <wp:extent cx="51435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 cy="6985"/>
                    </a:xfrm>
                    <a:prstGeom prst="rect">
                      <a:avLst/>
                    </a:prstGeom>
                    <a:noFill/>
                  </pic:spPr>
                </pic:pic>
              </a:graphicData>
            </a:graphic>
          </wp:anchor>
        </w:drawing>
      </w:r>
    </w:p>
    <w:p>
      <w:pPr>
        <w:spacing w:after="0" w:line="1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Name:</w:t>
      </w:r>
    </w:p>
    <w:p>
      <w:pPr>
        <w:spacing w:after="0" w:line="14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Consented to and Accepted: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Obsidian Agency Services, Inc. as Agent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-6350</wp:posOffset>
            </wp:positionV>
            <wp:extent cx="10287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6985"/>
                    </a:xfrm>
                    <a:prstGeom prst="rect">
                      <a:avLst/>
                    </a:prstGeom>
                    <a:noFill/>
                  </pic:spPr>
                </pic:pic>
              </a:graphicData>
            </a:graphic>
          </wp:anchor>
        </w:drawing>
      </w:r>
    </w:p>
    <w:p>
      <w:pPr>
        <w:spacing w:after="0" w:line="128"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6"/>
          <w:szCs w:val="16"/>
          <w:color w:val="auto"/>
        </w:rPr>
        <w:t>Name:</w:t>
      </w:r>
    </w:p>
    <w:p>
      <w:pPr>
        <w:spacing w:after="0" w:line="14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10239"/>
          </w:cols>
          <w:pgMar w:left="220" w:top="320"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6"/>
          <w:szCs w:val="16"/>
          <w:b w:val="1"/>
          <w:bCs w:val="1"/>
          <w:color w:val="auto"/>
        </w:rPr>
        <w:t>Annex 1</w:t>
      </w:r>
    </w:p>
    <w:p>
      <w:pPr>
        <w:spacing w:after="0" w:line="200" w:lineRule="exact"/>
        <w:rPr>
          <w:sz w:val="20"/>
          <w:szCs w:val="20"/>
          <w:color w:val="auto"/>
        </w:rPr>
      </w:pPr>
    </w:p>
    <w:p>
      <w:pPr>
        <w:spacing w:after="0" w:line="3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STANDARD TERMS AND CONDITIONS FOR ASSIGNMENT AND ACCEPTANCE</w:t>
      </w:r>
    </w:p>
    <w:p>
      <w:pPr>
        <w:spacing w:after="0" w:line="150" w:lineRule="exact"/>
        <w:rPr>
          <w:sz w:val="20"/>
          <w:szCs w:val="20"/>
          <w:color w:val="auto"/>
        </w:rPr>
      </w:pPr>
    </w:p>
    <w:p>
      <w:pPr>
        <w:ind w:left="820" w:hanging="281"/>
        <w:spacing w:after="0"/>
        <w:tabs>
          <w:tab w:leader="none" w:pos="8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right="40" w:firstLine="531"/>
        <w:spacing w:after="0" w:line="250"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Assignor</w:t>
      </w:r>
      <w:r>
        <w:rPr>
          <w:rFonts w:ascii="Times New Roman" w:cs="Times New Roman" w:eastAsia="Times New Roman" w:hAnsi="Times New Roman"/>
          <w:sz w:val="16"/>
          <w:szCs w:val="16"/>
          <w:color w:val="auto"/>
        </w:rPr>
        <w:t xml:space="preserve">. [The][Each] Assignor (a) represents and warrants that it is the legal and beneficial owner of the interest being assigned thereby free and clear of any adverse claim and that its Commitment, and the outstanding balance of its Loan, without giving effect to the assignments pursuant thereto, are as set forth herein; and </w:t>
      </w:r>
      <w:r>
        <w:rPr>
          <w:rFonts w:ascii="Times New Roman" w:cs="Times New Roman" w:eastAsia="Times New Roman" w:hAnsi="Times New Roman"/>
          <w:sz w:val="16"/>
          <w:szCs w:val="16"/>
          <w:color w:val="211D1E"/>
        </w:rPr>
        <w:t>(b) except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1D1E"/>
        </w:rPr>
        <w:t xml:space="preserve">as set forth in (a) above, makes no representation or warranty and assumes no responsibility </w:t>
      </w:r>
      <w:r>
        <w:rPr>
          <w:rFonts w:ascii="Times New Roman" w:cs="Times New Roman" w:eastAsia="Times New Roman" w:hAnsi="Times New Roman"/>
          <w:sz w:val="16"/>
          <w:szCs w:val="16"/>
          <w:color w:val="000000"/>
        </w:rPr>
        <w:t>with</w:t>
      </w:r>
      <w:r>
        <w:rPr>
          <w:rFonts w:ascii="Times New Roman" w:cs="Times New Roman" w:eastAsia="Times New Roman" w:hAnsi="Times New Roman"/>
          <w:sz w:val="16"/>
          <w:szCs w:val="16"/>
          <w:color w:val="211D1E"/>
        </w:rPr>
        <w:t xml:space="preserve"> respect to </w:t>
      </w:r>
      <w:r>
        <w:rPr>
          <w:rFonts w:ascii="Times New Roman" w:cs="Times New Roman" w:eastAsia="Times New Roman" w:hAnsi="Times New Roman"/>
          <w:sz w:val="16"/>
          <w:szCs w:val="16"/>
          <w:color w:val="000000"/>
        </w:rPr>
        <w:t>any statements, warranties or representations made in or in</w:t>
      </w:r>
      <w:r>
        <w:rPr>
          <w:rFonts w:ascii="Times New Roman" w:cs="Times New Roman" w:eastAsia="Times New Roman" w:hAnsi="Times New Roman"/>
          <w:sz w:val="16"/>
          <w:szCs w:val="16"/>
          <w:color w:val="211D1E"/>
        </w:rPr>
        <w:t xml:space="preserve"> </w:t>
      </w:r>
      <w:r>
        <w:rPr>
          <w:rFonts w:ascii="Times New Roman" w:cs="Times New Roman" w:eastAsia="Times New Roman" w:hAnsi="Times New Roman"/>
          <w:sz w:val="16"/>
          <w:szCs w:val="16"/>
          <w:color w:val="000000"/>
        </w:rPr>
        <w:t>connection with the Credit Agreement or any other Loan Document, or the execution, legality, validity, enforceability, genuineness, sufficiency or value of the Credit Agreement, any other Loan Document or any other instrument or document furnished pursuant to the Credit Agreement, or the financial condition of, Borrower or any Subsidiary or the performance or observance by Borrower or any Subsidiary of any of its obligations under the Credit Agreement, any other Loan Document or any other instrument or document furnished pursuant to the Credit Agreement.</w:t>
      </w:r>
    </w:p>
    <w:p>
      <w:pPr>
        <w:spacing w:after="0" w:line="151" w:lineRule="exact"/>
        <w:rPr>
          <w:sz w:val="20"/>
          <w:szCs w:val="20"/>
          <w:color w:val="auto"/>
        </w:rPr>
      </w:pPr>
    </w:p>
    <w:p>
      <w:pPr>
        <w:ind w:right="200" w:firstLine="531"/>
        <w:spacing w:after="0" w:line="256" w:lineRule="auto"/>
        <w:rPr>
          <w:sz w:val="20"/>
          <w:szCs w:val="20"/>
          <w:color w:val="auto"/>
        </w:rPr>
      </w:pPr>
      <w:r>
        <w:rPr>
          <w:rFonts w:ascii="Times New Roman" w:cs="Times New Roman" w:eastAsia="Times New Roman" w:hAnsi="Times New Roman"/>
          <w:sz w:val="16"/>
          <w:szCs w:val="16"/>
          <w:color w:val="auto"/>
        </w:rPr>
        <w:t>1.2. Assignee. [The][Each] Assignee (a) represents and warrants that (i) it is legally authorized to enter into such Assignment and Acceptance; (ii) it meets all the requirements to be an assignee under Section 13.1 of the Credit Agreement (subject to such consents, if any, as may be required under Section 13.1 of the Credit Agreement);</w:t>
      </w:r>
    </w:p>
    <w:p>
      <w:pPr>
        <w:spacing w:after="0" w:line="1" w:lineRule="exact"/>
        <w:rPr>
          <w:sz w:val="20"/>
          <w:szCs w:val="20"/>
          <w:color w:val="auto"/>
        </w:rPr>
      </w:pPr>
    </w:p>
    <w:p>
      <w:pPr>
        <w:ind w:right="20" w:firstLine="8"/>
        <w:spacing w:after="0" w:line="246" w:lineRule="auto"/>
        <w:tabs>
          <w:tab w:leader="none" w:pos="28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and after the Effective Date referred to in this Assignment and Acceptance,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independently and without reliance upon Agent or any other Lender and based on such documents and information as it has deemed appropriate, made its own credit analysis and decision to enter into this Assignment and Acceptance and to purchase [the][such] Assigned Interest; (vi) it is not the Excluded Lender and (vii) attached hereto is any documentation required to be delivered by it pursuant to the terms of the Credit Agreement, duly completed and executed by [the][such] Assignee; (b) confirms that it has received a copy of the Credit Agreement, together with copies of the most recent financial statements delivered pursuant to Section 5.2 of the Credit Agreement and such other documents and information as it has deemed appropriate to make its own credit analysis and decision to enter into this Assignment and Acceptance; </w:t>
      </w:r>
      <w:r>
        <w:rPr>
          <w:rFonts w:ascii="Times New Roman" w:cs="Times New Roman" w:eastAsia="Times New Roman" w:hAnsi="Times New Roman"/>
          <w:sz w:val="16"/>
          <w:szCs w:val="16"/>
          <w:color w:val="211D1E"/>
        </w:rPr>
        <w:t>(c)</w:t>
      </w:r>
      <w:r>
        <w:rPr>
          <w:rFonts w:ascii="Times New Roman" w:cs="Times New Roman" w:eastAsia="Times New Roman" w:hAnsi="Times New Roman"/>
          <w:sz w:val="16"/>
          <w:szCs w:val="16"/>
          <w:color w:val="auto"/>
        </w:rPr>
        <w:t xml:space="preserve"> will independently and without reliance upon Agent, such assigning Lender or any other Lender and based on such documents and information as it shall deem appropriate at the time, continue to make its own credit decisions in taking or not taking action under the Loan Documents</w:t>
      </w:r>
      <w:r>
        <w:rPr>
          <w:rFonts w:ascii="Times New Roman" w:cs="Times New Roman" w:eastAsia="Times New Roman" w:hAnsi="Times New Roman"/>
          <w:sz w:val="16"/>
          <w:szCs w:val="16"/>
          <w:color w:val="211D1E"/>
        </w:rPr>
        <w:t>; (d)</w:t>
      </w:r>
      <w:r>
        <w:rPr>
          <w:rFonts w:ascii="Times New Roman" w:cs="Times New Roman" w:eastAsia="Times New Roman" w:hAnsi="Times New Roman"/>
          <w:sz w:val="16"/>
          <w:szCs w:val="16"/>
          <w:color w:val="auto"/>
        </w:rPr>
        <w:t xml:space="preserve"> appoints and authorizes Agent to take such action as agent on its behalf and to exercise such powers under the Credit Agreement as are delegated to Agent by the terms of the Credit Agreement, together with such powers as are reasonably incidental thereto; and I agrees that it will perform in accordance with their terms all the obligations which by the terms of the Loan Documents are required to be performed by it as a Lender.</w:t>
      </w:r>
    </w:p>
    <w:p>
      <w:pPr>
        <w:spacing w:after="0" w:line="150" w:lineRule="exact"/>
        <w:rPr>
          <w:rFonts w:ascii="Times New Roman" w:cs="Times New Roman" w:eastAsia="Times New Roman" w:hAnsi="Times New Roman"/>
          <w:sz w:val="16"/>
          <w:szCs w:val="16"/>
          <w:color w:val="auto"/>
        </w:rPr>
      </w:pPr>
    </w:p>
    <w:p>
      <w:pPr>
        <w:ind w:right="160" w:firstLine="539"/>
        <w:spacing w:after="0" w:line="262" w:lineRule="auto"/>
        <w:tabs>
          <w:tab w:leader="none" w:pos="814" w:val="left"/>
        </w:tabs>
        <w:numPr>
          <w:ilvl w:val="1"/>
          <w:numId w:val="102"/>
        </w:numPr>
        <w:rPr>
          <w:rFonts w:ascii="Times New Roman" w:cs="Times New Roman" w:eastAsia="Times New Roman" w:hAnsi="Times New Roman"/>
          <w:sz w:val="16"/>
          <w:szCs w:val="16"/>
          <w:color w:val="211D1E"/>
        </w:rPr>
      </w:pPr>
      <w:r>
        <w:rPr>
          <w:rFonts w:ascii="Times New Roman" w:cs="Times New Roman" w:eastAsia="Times New Roman" w:hAnsi="Times New Roman"/>
          <w:sz w:val="16"/>
          <w:szCs w:val="16"/>
          <w:u w:val="single" w:color="auto"/>
          <w:color w:val="211D1E"/>
        </w:rPr>
        <w:t>Payments</w:t>
      </w:r>
      <w:r>
        <w:rPr>
          <w:rFonts w:ascii="Times New Roman" w:cs="Times New Roman" w:eastAsia="Times New Roman" w:hAnsi="Times New Roman"/>
          <w:sz w:val="16"/>
          <w:szCs w:val="16"/>
          <w:color w:val="211D1E"/>
        </w:rPr>
        <w:t>. From and after the Effective Date, Agent shall make all payments in respect of [the][each] Assigned Interest (</w:t>
      </w:r>
      <w:r>
        <w:rPr>
          <w:rFonts w:ascii="Times New Roman" w:cs="Times New Roman" w:eastAsia="Times New Roman" w:hAnsi="Times New Roman"/>
          <w:sz w:val="16"/>
          <w:szCs w:val="16"/>
          <w:color w:val="000000"/>
        </w:rPr>
        <w:t>including</w:t>
      </w:r>
      <w:r>
        <w:rPr>
          <w:rFonts w:ascii="Times New Roman" w:cs="Times New Roman" w:eastAsia="Times New Roman" w:hAnsi="Times New Roman"/>
          <w:sz w:val="16"/>
          <w:szCs w:val="16"/>
          <w:color w:val="211D1E"/>
        </w:rPr>
        <w:t xml:space="preserve">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38" w:lineRule="exact"/>
        <w:rPr>
          <w:rFonts w:ascii="Times New Roman" w:cs="Times New Roman" w:eastAsia="Times New Roman" w:hAnsi="Times New Roman"/>
          <w:sz w:val="16"/>
          <w:szCs w:val="16"/>
          <w:color w:val="211D1E"/>
        </w:rPr>
      </w:pPr>
    </w:p>
    <w:p>
      <w:pPr>
        <w:ind w:right="260" w:firstLine="539"/>
        <w:spacing w:after="0" w:line="262" w:lineRule="auto"/>
        <w:tabs>
          <w:tab w:leader="none" w:pos="814" w:val="left"/>
        </w:tabs>
        <w:numPr>
          <w:ilvl w:val="1"/>
          <w:numId w:val="102"/>
        </w:numPr>
        <w:rPr>
          <w:rFonts w:ascii="Times New Roman" w:cs="Times New Roman" w:eastAsia="Times New Roman" w:hAnsi="Times New Roman"/>
          <w:sz w:val="16"/>
          <w:szCs w:val="16"/>
          <w:color w:val="211D1E"/>
        </w:rPr>
      </w:pPr>
      <w:r>
        <w:rPr>
          <w:rFonts w:ascii="Times New Roman" w:cs="Times New Roman" w:eastAsia="Times New Roman" w:hAnsi="Times New Roman"/>
          <w:sz w:val="16"/>
          <w:szCs w:val="16"/>
          <w:u w:val="single" w:color="auto"/>
          <w:color w:val="211D1E"/>
        </w:rPr>
        <w:t>General Provisions</w:t>
      </w:r>
      <w:r>
        <w:rPr>
          <w:rFonts w:ascii="Times New Roman" w:cs="Times New Roman" w:eastAsia="Times New Roman" w:hAnsi="Times New Roman"/>
          <w:sz w:val="16"/>
          <w:szCs w:val="16"/>
          <w:color w:val="211D1E"/>
        </w:rPr>
        <w:t xml:space="preserve">. This Assignment and Acceptance shall be binding upon, and inure to the benefit of, the parties hereto and their respective successors and permitted assigns. This Assignment and Acceptance may be executed in any number of counterparts (and by different parties hereto in different counterparts), each of which shall </w:t>
      </w:r>
      <w:r>
        <w:rPr>
          <w:rFonts w:ascii="Times New Roman" w:cs="Times New Roman" w:eastAsia="Times New Roman" w:hAnsi="Times New Roman"/>
          <w:sz w:val="16"/>
          <w:szCs w:val="16"/>
          <w:color w:val="000000"/>
        </w:rPr>
        <w:t>constitute</w:t>
      </w:r>
      <w:r>
        <w:rPr>
          <w:rFonts w:ascii="Times New Roman" w:cs="Times New Roman" w:eastAsia="Times New Roman" w:hAnsi="Times New Roman"/>
          <w:sz w:val="16"/>
          <w:szCs w:val="16"/>
          <w:color w:val="211D1E"/>
        </w:rPr>
        <w:t xml:space="preserve"> an original, but all of which together shall constitute one</w:t>
      </w:r>
    </w:p>
    <w:p>
      <w:pPr>
        <w:sectPr>
          <w:pgSz w:w="11900" w:h="16838" w:orient="portrait"/>
          <w:cols w:equalWidth="0" w:num="1">
            <w:col w:w="11460"/>
          </w:cols>
          <w:pgMar w:left="220" w:top="705" w:right="219" w:bottom="1440" w:gutter="0" w:footer="0" w:header="0"/>
        </w:sectPr>
      </w:pPr>
    </w:p>
    <w:bookmarkStart w:id="132" w:name="page133"/>
    <w:bookmarkEnd w:id="132"/>
    <w:p>
      <w:pPr>
        <w:spacing w:after="0" w:line="262" w:lineRule="auto"/>
        <w:rPr>
          <w:sz w:val="20"/>
          <w:szCs w:val="20"/>
          <w:color w:val="auto"/>
        </w:rPr>
      </w:pPr>
      <w:r>
        <w:rPr>
          <w:rFonts w:ascii="Times New Roman" w:cs="Times New Roman" w:eastAsia="Times New Roman" w:hAnsi="Times New Roman"/>
          <w:sz w:val="16"/>
          <w:szCs w:val="16"/>
          <w:color w:val="211D1E"/>
        </w:rPr>
        <w:t>instrument. Delivery of an executed counterpart of a signature page of this Assignment and Acceptance by telecopy or other electronic imaging means shall be effective as delivery of a manually executed counterpart of this Assignment and Acceptance. This Assignment and Acceptance shall be governed by, and construed in accordance with, the internal laws of the State of California.</w:t>
      </w:r>
    </w:p>
    <w:p>
      <w:pPr>
        <w:spacing w:after="0" w:line="138" w:lineRule="exact"/>
        <w:rPr>
          <w:sz w:val="20"/>
          <w:szCs w:val="20"/>
          <w:color w:val="auto"/>
        </w:rPr>
      </w:pPr>
    </w:p>
    <w:p>
      <w:pPr>
        <w:ind w:right="600" w:firstLine="539"/>
        <w:spacing w:after="0" w:line="279" w:lineRule="auto"/>
        <w:tabs>
          <w:tab w:leader="none" w:pos="814" w:val="left"/>
        </w:tabs>
        <w:numPr>
          <w:ilvl w:val="0"/>
          <w:numId w:val="103"/>
        </w:numPr>
        <w:rPr>
          <w:rFonts w:ascii="Times New Roman" w:cs="Times New Roman" w:eastAsia="Times New Roman" w:hAnsi="Times New Roman"/>
          <w:sz w:val="16"/>
          <w:szCs w:val="16"/>
          <w:color w:val="211D1E"/>
        </w:rPr>
      </w:pPr>
      <w:r>
        <w:rPr>
          <w:rFonts w:ascii="Times New Roman" w:cs="Times New Roman" w:eastAsia="Times New Roman" w:hAnsi="Times New Roman"/>
          <w:sz w:val="16"/>
          <w:szCs w:val="16"/>
          <w:u w:val="single" w:color="auto"/>
          <w:color w:val="211D1E"/>
        </w:rPr>
        <w:t>Eligible Assignee.</w:t>
      </w:r>
      <w:r>
        <w:rPr>
          <w:rFonts w:ascii="Times New Roman" w:cs="Times New Roman" w:eastAsia="Times New Roman" w:hAnsi="Times New Roman"/>
          <w:sz w:val="16"/>
          <w:szCs w:val="16"/>
          <w:color w:val="211D1E"/>
        </w:rPr>
        <w:t xml:space="preserve"> Each Person who is to become a Lender under the Credit Agreement is required to meet the requirements in </w:t>
      </w:r>
      <w:r>
        <w:rPr>
          <w:rFonts w:ascii="Times New Roman" w:cs="Times New Roman" w:eastAsia="Times New Roman" w:hAnsi="Times New Roman"/>
          <w:sz w:val="16"/>
          <w:szCs w:val="16"/>
          <w:u w:val="single" w:color="auto"/>
          <w:color w:val="000000"/>
        </w:rPr>
        <w:t>Section 13.1</w:t>
      </w:r>
      <w:r>
        <w:rPr>
          <w:rFonts w:ascii="Times New Roman" w:cs="Times New Roman" w:eastAsia="Times New Roman" w:hAnsi="Times New Roman"/>
          <w:sz w:val="16"/>
          <w:szCs w:val="16"/>
          <w:color w:val="211D1E"/>
        </w:rPr>
        <w:t xml:space="preserve"> of the Credit Agreement and be approved in writing by Agent.</w:t>
      </w:r>
    </w:p>
    <w:p>
      <w:pPr>
        <w:sectPr>
          <w:pgSz w:w="11900" w:h="16838" w:orient="portrait"/>
          <w:cols w:equalWidth="0" w:num="1">
            <w:col w:w="11360"/>
          </w:cols>
          <w:pgMar w:left="220" w:top="320" w:right="319" w:bottom="1440" w:gutter="0" w:footer="0" w:header="0"/>
        </w:sectPr>
      </w:pPr>
    </w:p>
    <w:bookmarkStart w:id="133" w:name="page134"/>
    <w:bookmarkEnd w:id="133"/>
    <w:p>
      <w:pPr>
        <w:ind w:left="5300"/>
        <w:spacing w:after="0"/>
        <w:rPr>
          <w:sz w:val="20"/>
          <w:szCs w:val="20"/>
          <w:color w:val="auto"/>
        </w:rPr>
      </w:pPr>
      <w:r>
        <w:rPr>
          <w:rFonts w:ascii="Times New Roman" w:cs="Times New Roman" w:eastAsia="Times New Roman" w:hAnsi="Times New Roman"/>
          <w:sz w:val="16"/>
          <w:szCs w:val="16"/>
          <w:b w:val="1"/>
          <w:bCs w:val="1"/>
          <w:color w:val="auto"/>
        </w:rPr>
        <w:t>EXHIBIT G</w:t>
      </w:r>
    </w:p>
    <w:p>
      <w:pPr>
        <w:spacing w:after="0" w:line="14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ADMINISTRATIVE QUESTIONNAIRE</w:t>
      </w:r>
    </w:p>
    <w:p>
      <w:pPr>
        <w:spacing w:after="0" w:line="1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[AGENT LOGO]</w:t>
      </w:r>
    </w:p>
    <w:p>
      <w:pPr>
        <w:spacing w:after="0" w:line="1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Enphase Energy, Inc.</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Obsidian Agency Services, Inc., c/o Tennenbaum Capital Partners, LLC, 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 Santa Monica, CA 90405, Attention: Todd Jaquez-Fissori,</w:t>
      </w:r>
    </w:p>
    <w:p>
      <w:pPr>
        <w:spacing w:after="0"/>
        <w:rPr>
          <w:sz w:val="20"/>
          <w:szCs w:val="20"/>
          <w:color w:val="auto"/>
        </w:rPr>
      </w:pPr>
      <w:r>
        <w:rPr>
          <w:rFonts w:ascii="Times New Roman" w:cs="Times New Roman" w:eastAsia="Times New Roman" w:hAnsi="Times New Roman"/>
          <w:sz w:val="16"/>
          <w:szCs w:val="16"/>
          <w:color w:val="auto"/>
        </w:rPr>
        <w:t>(Email: todd.fissori@tennenbaumcapital.com), with a copy (which shall not constitute notice) to PremierCounsel LLP, Attention: Steven O. Gasser (Fax No. (415) 357-1414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Email: sgasser@premiercounsel.com)</w:t>
      </w: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Return form to:</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Obsidian Agency Services, Inc.,</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 Tennenbaum Capital Partners, LLC</w:t>
      </w:r>
    </w:p>
    <w:p>
      <w:pPr>
        <w:ind w:left="40"/>
        <w:spacing w:after="0" w:line="200" w:lineRule="auto"/>
        <w:rPr>
          <w:sz w:val="20"/>
          <w:szCs w:val="20"/>
          <w:color w:val="auto"/>
        </w:rPr>
      </w:pPr>
      <w:r>
        <w:rPr>
          <w:rFonts w:ascii="Times New Roman" w:cs="Times New Roman" w:eastAsia="Times New Roman" w:hAnsi="Times New Roman"/>
          <w:sz w:val="16"/>
          <w:szCs w:val="16"/>
          <w:color w:val="auto"/>
        </w:rPr>
        <w:t>2951 28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Street, Suite 1000</w:t>
      </w:r>
    </w:p>
    <w:p>
      <w:pPr>
        <w:ind w:left="40"/>
        <w:spacing w:after="0"/>
        <w:rPr>
          <w:sz w:val="20"/>
          <w:szCs w:val="20"/>
          <w:color w:val="auto"/>
        </w:rPr>
      </w:pPr>
      <w:r>
        <w:rPr>
          <w:rFonts w:ascii="Times New Roman" w:cs="Times New Roman" w:eastAsia="Times New Roman" w:hAnsi="Times New Roman"/>
          <w:sz w:val="16"/>
          <w:szCs w:val="16"/>
          <w:color w:val="auto"/>
        </w:rPr>
        <w:t>Santa Monica, CA 90405</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Attention: Todd Jaquez-Fissori</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Email: todd.fissori@tennenbaumcapital.com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1090930</wp:posOffset>
            </wp:positionV>
            <wp:extent cx="6941820" cy="400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182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320"/>
        <w:spacing w:after="0" w:line="282" w:lineRule="auto"/>
        <w:rPr>
          <w:sz w:val="20"/>
          <w:szCs w:val="20"/>
          <w:color w:val="auto"/>
        </w:rPr>
      </w:pPr>
      <w:r>
        <w:rPr>
          <w:rFonts w:ascii="Times New Roman" w:cs="Times New Roman" w:eastAsia="Times New Roman" w:hAnsi="Times New Roman"/>
          <w:sz w:val="16"/>
          <w:szCs w:val="16"/>
          <w:color w:val="auto"/>
        </w:rPr>
        <w:t xml:space="preserve">It is very important that </w:t>
      </w:r>
      <w:r>
        <w:rPr>
          <w:rFonts w:ascii="Times New Roman" w:cs="Times New Roman" w:eastAsia="Times New Roman" w:hAnsi="Times New Roman"/>
          <w:sz w:val="16"/>
          <w:szCs w:val="16"/>
          <w:b w:val="1"/>
          <w:bCs w:val="1"/>
          <w:u w:val="single" w:color="auto"/>
          <w:color w:val="auto"/>
        </w:rPr>
        <w:t>all</w:t>
      </w:r>
      <w:r>
        <w:rPr>
          <w:rFonts w:ascii="Times New Roman" w:cs="Times New Roman" w:eastAsia="Times New Roman" w:hAnsi="Times New Roman"/>
          <w:sz w:val="16"/>
          <w:szCs w:val="16"/>
          <w:color w:val="auto"/>
        </w:rPr>
        <w:t xml:space="preserve"> of the requested information be completed accurately and that this questionnaire be returned promptly. If your institution is sub-allocating its allocation, please fill out an administrative questionnaire for each legal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Name of Lender to appear in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693483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4835" cy="6985"/>
                    </a:xfrm>
                    <a:prstGeom prst="rect">
                      <a:avLst/>
                    </a:prstGeom>
                    <a:noFill/>
                  </pic:spPr>
                </pic:pic>
              </a:graphicData>
            </a:graphic>
          </wp:anchor>
        </w:drawing>
      </w:r>
    </w:p>
    <w:p>
      <w:pPr>
        <w:sectPr>
          <w:pgSz w:w="11900" w:h="16838" w:orient="portrait"/>
          <w:cols w:equalWidth="0" w:num="1">
            <w:col w:w="11220"/>
          </w:cols>
          <w:pgMar w:left="220" w:top="981"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color w:val="auto"/>
        </w:rPr>
        <w:t>Tax ID Number:_________________</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Block Information:___________________________________________________________</w:t>
      </w:r>
    </w:p>
    <w:p>
      <w:pPr>
        <w:sectPr>
          <w:pgSz w:w="11900" w:h="16838" w:orient="portrait"/>
          <w:cols w:equalWidth="0" w:num="1">
            <w:col w:w="11040"/>
          </w:cols>
          <w:pgMar w:left="220" w:top="49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220" w:val="left"/>
        </w:tabs>
        <w:rPr>
          <w:sz w:val="20"/>
          <w:szCs w:val="20"/>
          <w:color w:val="auto"/>
        </w:rPr>
      </w:pPr>
      <w:r>
        <w:rPr>
          <w:rFonts w:ascii="Times New Roman" w:cs="Times New Roman" w:eastAsia="Times New Roman" w:hAnsi="Times New Roman"/>
          <w:sz w:val="16"/>
          <w:szCs w:val="16"/>
          <w:color w:val="auto"/>
        </w:rPr>
        <w:t>Signing Credit Agreement</w:t>
      </w:r>
      <w:r>
        <w:rPr>
          <w:sz w:val="20"/>
          <w:szCs w:val="20"/>
          <w:color w:val="auto"/>
        </w:rPr>
        <w:tab/>
      </w:r>
      <w:r>
        <w:rPr>
          <w:rFonts w:ascii="Times New Roman" w:cs="Times New Roman" w:eastAsia="Times New Roman" w:hAnsi="Times New Roman"/>
          <w:sz w:val="15"/>
          <w:szCs w:val="15"/>
          <w:color w:val="auto"/>
        </w:rPr>
        <w:t>Yes</w:t>
      </w:r>
    </w:p>
    <w:p>
      <w:pPr>
        <w:spacing w:after="0" w:line="247" w:lineRule="exact"/>
        <w:rPr>
          <w:sz w:val="20"/>
          <w:szCs w:val="20"/>
          <w:color w:val="auto"/>
        </w:rPr>
      </w:pPr>
    </w:p>
    <w:p>
      <w:pPr>
        <w:jc w:val="right"/>
        <w:spacing w:after="0"/>
        <w:tabs>
          <w:tab w:leader="none" w:pos="220" w:val="left"/>
        </w:tabs>
        <w:rPr>
          <w:sz w:val="20"/>
          <w:szCs w:val="20"/>
          <w:color w:val="auto"/>
        </w:rPr>
      </w:pPr>
      <w:r>
        <w:rPr>
          <w:rFonts w:ascii="Times New Roman" w:cs="Times New Roman" w:eastAsia="Times New Roman" w:hAnsi="Times New Roman"/>
          <w:sz w:val="16"/>
          <w:szCs w:val="16"/>
          <w:color w:val="auto"/>
        </w:rPr>
        <w:t>Coming in via Assignment</w:t>
      </w:r>
      <w:r>
        <w:rPr>
          <w:sz w:val="20"/>
          <w:szCs w:val="20"/>
          <w:color w:val="auto"/>
        </w:rPr>
        <w:tab/>
      </w:r>
      <w:r>
        <w:rPr>
          <w:rFonts w:ascii="Times New Roman" w:cs="Times New Roman" w:eastAsia="Times New Roman" w:hAnsi="Times New Roman"/>
          <w:sz w:val="15"/>
          <w:szCs w:val="15"/>
          <w:color w:val="auto"/>
        </w:rPr>
        <w:t>Yes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 of 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16" w:lineRule="exact"/>
        <w:tabs>
          <w:tab w:leader="none" w:pos="880" w:val="left"/>
          <w:tab w:leader="none" w:pos="158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216" w:lineRule="exact"/>
        <w:rPr>
          <w:sz w:val="20"/>
          <w:szCs w:val="20"/>
          <w:color w:val="auto"/>
        </w:rPr>
      </w:pPr>
    </w:p>
    <w:p>
      <w:pPr>
        <w:spacing w:after="0" w:line="216" w:lineRule="exact"/>
        <w:tabs>
          <w:tab w:leader="none" w:pos="880" w:val="left"/>
          <w:tab w:leader="none" w:pos="158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MS PGothic" w:cs="MS PGothic" w:eastAsia="MS PGothic" w:hAnsi="MS PGothic"/>
          <w:sz w:val="18"/>
          <w:szCs w:val="18"/>
          <w:color w:val="auto"/>
        </w:rPr>
        <w:t>☐</w:t>
      </w:r>
    </w:p>
    <w:p>
      <w:pPr>
        <w:spacing w:after="0" w:line="928" w:lineRule="exact"/>
        <w:rPr>
          <w:sz w:val="20"/>
          <w:szCs w:val="20"/>
          <w:color w:val="auto"/>
        </w:rPr>
      </w:pPr>
    </w:p>
    <w:p>
      <w:pPr>
        <w:sectPr>
          <w:pgSz w:w="11900" w:h="16838" w:orient="portrait"/>
          <w:cols w:equalWidth="0" w:num="2">
            <w:col w:w="4520" w:space="440"/>
            <w:col w:w="6080"/>
          </w:cols>
          <w:pgMar w:left="220" w:top="495" w:right="639" w:bottom="1440" w:gutter="0" w:footer="0" w:header="0"/>
          <w:type w:val="continuous"/>
        </w:sectPr>
      </w:pPr>
    </w:p>
    <w:p>
      <w:pPr>
        <w:spacing w:after="0" w:line="279" w:lineRule="auto"/>
        <w:rPr>
          <w:sz w:val="20"/>
          <w:szCs w:val="20"/>
          <w:color w:val="auto"/>
        </w:rPr>
      </w:pPr>
      <w:r>
        <w:rPr>
          <w:rFonts w:ascii="Times New Roman" w:cs="Times New Roman" w:eastAsia="Times New Roman" w:hAnsi="Times New Roman"/>
          <w:sz w:val="16"/>
          <w:szCs w:val="16"/>
          <w:color w:val="auto"/>
        </w:rPr>
        <w:t>Bank | Asset Manager | Broker/Dealer | CLO/CDO | Finance Company | Hedge Fund | Insurance | Mutual Fund | Pension Fund |Other Regulated Investment Fund |Special Purpose Vehicle |Other-please specify) |</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Lender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-6350</wp:posOffset>
            </wp:positionV>
            <wp:extent cx="10287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6985"/>
                    </a:xfrm>
                    <a:prstGeom prst="rect">
                      <a:avLst/>
                    </a:prstGeom>
                    <a:noFill/>
                  </pic:spPr>
                </pic:pic>
              </a:graphicData>
            </a:graphic>
          </wp:anchor>
        </w:drawing>
      </w:r>
    </w:p>
    <w:p>
      <w:pPr>
        <w:spacing w:after="0" w:line="3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1298575</wp:posOffset>
            </wp:positionV>
            <wp:extent cx="312356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3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982980</wp:posOffset>
            </wp:positionV>
            <wp:extent cx="312356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3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31235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356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312356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3565" cy="6985"/>
                    </a:xfrm>
                    <a:prstGeom prst="rect">
                      <a:avLst/>
                    </a:prstGeom>
                    <a:noFill/>
                  </pic:spPr>
                </pic:pic>
              </a:graphicData>
            </a:graphic>
          </wp:anchor>
        </w:drawing>
      </w:r>
    </w:p>
    <w:p>
      <w:pPr>
        <w:sectPr>
          <w:pgSz w:w="11900" w:h="16838" w:orient="portrait"/>
          <w:cols w:equalWidth="0" w:num="1">
            <w:col w:w="11040"/>
          </w:cols>
          <w:pgMar w:left="220" w:top="495" w:right="6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495935</wp:posOffset>
            </wp:positionV>
            <wp:extent cx="5060315" cy="273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0315" cy="273685"/>
                    </a:xfrm>
                    <a:prstGeom prst="rect">
                      <a:avLst/>
                    </a:prstGeom>
                    <a:noFill/>
                  </pic:spPr>
                </pic:pic>
              </a:graphicData>
            </a:graphic>
          </wp:anchor>
        </w:drawing>
        <w:t>Contacts/Notification Methods: Borrowings, Paydowns, Interest, Fees, etc.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20"/>
        <w:spacing w:after="0"/>
        <w:tabs>
          <w:tab w:leader="none" w:pos="8400" w:val="left"/>
        </w:tabs>
        <w:rPr>
          <w:sz w:val="20"/>
          <w:szCs w:val="20"/>
          <w:color w:val="auto"/>
        </w:rPr>
      </w:pPr>
      <w:r>
        <w:rPr>
          <w:rFonts w:ascii="Times New Roman" w:cs="Times New Roman" w:eastAsia="Times New Roman" w:hAnsi="Times New Roman"/>
          <w:sz w:val="16"/>
          <w:szCs w:val="16"/>
          <w:u w:val="single" w:color="auto"/>
          <w:color w:val="auto"/>
        </w:rPr>
        <w:t>Primary Credit Contact</w:t>
      </w:r>
      <w:r>
        <w:rPr>
          <w:sz w:val="20"/>
          <w:szCs w:val="20"/>
          <w:color w:val="auto"/>
        </w:rPr>
        <w:tab/>
      </w:r>
      <w:r>
        <w:rPr>
          <w:rFonts w:ascii="Times New Roman" w:cs="Times New Roman" w:eastAsia="Times New Roman" w:hAnsi="Times New Roman"/>
          <w:sz w:val="16"/>
          <w:szCs w:val="16"/>
          <w:u w:val="single" w:color="auto"/>
          <w:color w:val="auto"/>
        </w:rPr>
        <w:t>Secondary Credit Contact</w:t>
      </w:r>
    </w:p>
    <w:p>
      <w:pPr>
        <w:spacing w:after="0" w:line="4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color w:val="auto"/>
        </w:rPr>
        <w:t>Syndicate-level information (which may contain material non-public information about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pacing w:after="0" w:line="269" w:lineRule="exact"/>
        <w:rPr>
          <w:sz w:val="20"/>
          <w:szCs w:val="20"/>
          <w:color w:val="auto"/>
        </w:rPr>
      </w:pPr>
    </w:p>
    <w:p>
      <w:pPr>
        <w:ind w:left="3080"/>
        <w:spacing w:after="0"/>
        <w:tabs>
          <w:tab w:leader="none" w:pos="8240" w:val="left"/>
        </w:tabs>
        <w:rPr>
          <w:sz w:val="20"/>
          <w:szCs w:val="20"/>
          <w:color w:val="auto"/>
        </w:rPr>
      </w:pPr>
      <w:r>
        <w:rPr>
          <w:rFonts w:ascii="Times New Roman" w:cs="Times New Roman" w:eastAsia="Times New Roman" w:hAnsi="Times New Roman"/>
          <w:sz w:val="16"/>
          <w:szCs w:val="16"/>
          <w:u w:val="single" w:color="auto"/>
          <w:color w:val="auto"/>
        </w:rPr>
        <w:t>Primary Operations Contact</w:t>
      </w:r>
      <w:r>
        <w:rPr>
          <w:sz w:val="20"/>
          <w:szCs w:val="20"/>
          <w:color w:val="auto"/>
        </w:rPr>
        <w:tab/>
      </w:r>
      <w:r>
        <w:rPr>
          <w:rFonts w:ascii="Times New Roman" w:cs="Times New Roman" w:eastAsia="Times New Roman" w:hAnsi="Times New Roman"/>
          <w:sz w:val="16"/>
          <w:szCs w:val="16"/>
          <w:u w:val="single" w:color="auto"/>
          <w:color w:val="auto"/>
        </w:rPr>
        <w:t>Secondary Operations Contact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w:t>
      </w:r>
    </w:p>
    <w:p>
      <w:pPr>
        <w:sectPr>
          <w:pgSz w:w="11900" w:h="16838" w:orient="portrait"/>
          <w:cols w:equalWidth="0" w:num="1">
            <w:col w:w="11400"/>
          </w:cols>
          <w:pgMar w:left="260" w:top="881"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488950</wp:posOffset>
            </wp:positionV>
            <wp:extent cx="3207385" cy="301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7385" cy="301625"/>
                    </a:xfrm>
                    <a:prstGeom prst="rect">
                      <a:avLst/>
                    </a:prstGeom>
                    <a:noFill/>
                  </pic:spPr>
                </pic:pic>
              </a:graphicData>
            </a:graphic>
          </wp:anchor>
        </w:drawing>
        <w:t>Lender’s Domestic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380365</wp:posOffset>
            </wp:positionV>
            <wp:extent cx="17056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05610" cy="698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7654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119380</wp:posOffset>
            </wp:positionV>
            <wp:extent cx="53765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76545" cy="69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372110</wp:posOffset>
            </wp:positionV>
            <wp:extent cx="6927850" cy="301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7850"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Lender’s Foreign Wire Instructions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Swift/Routing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119380</wp:posOffset>
            </wp:positionV>
            <wp:extent cx="532701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27015" cy="6985"/>
                    </a:xfrm>
                    <a:prstGeom prst="rect">
                      <a:avLst/>
                    </a:prstGeom>
                    <a:noFill/>
                  </pic:spPr>
                </pic:pic>
              </a:graphicData>
            </a:graphic>
          </wp:anchor>
        </w:drawing>
      </w:r>
    </w:p>
    <w:p>
      <w:pPr>
        <w:sectPr>
          <w:pgSz w:w="11900" w:h="16838" w:orient="portrait"/>
          <w:cols w:equalWidth="0" w:num="1">
            <w:col w:w="10199"/>
          </w:cols>
          <w:pgMar w:left="260" w:top="848"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706755</wp:posOffset>
            </wp:positionV>
            <wp:extent cx="3193415" cy="301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3415" cy="301625"/>
                    </a:xfrm>
                    <a:prstGeom prst="rect">
                      <a:avLst/>
                    </a:prstGeom>
                    <a:noFill/>
                  </pic:spPr>
                </pic:pic>
              </a:graphicData>
            </a:graphic>
          </wp:anchor>
        </w:drawing>
        <w:t>Agent’s Wire Instructions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ABA/Routing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FFC 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119380</wp:posOffset>
            </wp:positionV>
            <wp:extent cx="53340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4000" cy="6985"/>
                    </a:xfrm>
                    <a:prstGeom prst="rect">
                      <a:avLst/>
                    </a:prstGeom>
                    <a:noFill/>
                  </pic:spPr>
                </pic:pic>
              </a:graphicData>
            </a:graphic>
          </wp:anchor>
        </w:drawing>
      </w:r>
    </w:p>
    <w:p>
      <w:pPr>
        <w:sectPr>
          <w:pgSz w:w="11900" w:h="16838" w:orient="portrait"/>
          <w:cols w:equalWidth="0" w:num="1">
            <w:col w:w="10199"/>
          </w:cols>
          <w:pgMar w:left="260" w:top="1191"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495935</wp:posOffset>
            </wp:positionV>
            <wp:extent cx="1319530" cy="301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9530" cy="301625"/>
                    </a:xfrm>
                    <a:prstGeom prst="rect">
                      <a:avLst/>
                    </a:prstGeom>
                    <a:noFill/>
                  </pic:spPr>
                </pic:pic>
              </a:graphicData>
            </a:graphic>
          </wp:anchor>
        </w:drawing>
        <w:t>Tax Documents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NON-U.S. LENDER INSTITUTIONS</w:t>
      </w:r>
      <w:r>
        <w:rPr>
          <w:rFonts w:ascii="Times New Roman" w:cs="Times New Roman" w:eastAsia="Times New Roman" w:hAnsi="Times New Roman"/>
          <w:sz w:val="16"/>
          <w:szCs w:val="16"/>
          <w:b w:val="1"/>
          <w:bCs w:val="1"/>
          <w:color w:val="auto"/>
        </w:rPr>
        <w:t xml:space="preserve"> :</w:t>
      </w:r>
    </w:p>
    <w:p>
      <w:pPr>
        <w:spacing w:after="0" w:line="146" w:lineRule="exact"/>
        <w:rPr>
          <w:sz w:val="20"/>
          <w:szCs w:val="20"/>
          <w:color w:val="auto"/>
        </w:rPr>
      </w:pPr>
    </w:p>
    <w:p>
      <w:pPr>
        <w:ind w:left="800" w:hanging="526"/>
        <w:spacing w:after="0"/>
        <w:tabs>
          <w:tab w:leader="none" w:pos="80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Corporations</w:t>
      </w:r>
      <w:r>
        <w:rPr>
          <w:rFonts w:ascii="Times New Roman" w:cs="Times New Roman" w:eastAsia="Times New Roman" w:hAnsi="Times New Roman"/>
          <w:sz w:val="16"/>
          <w:szCs w:val="16"/>
          <w:b w:val="1"/>
          <w:bCs w:val="1"/>
          <w:i w:val="1"/>
          <w:iCs w:val="1"/>
          <w:color w:val="auto"/>
        </w:rPr>
        <w:t>:</w:t>
      </w:r>
    </w:p>
    <w:p>
      <w:pPr>
        <w:spacing w:after="0" w:line="2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 xml:space="preserve">If your institution is incorporated outside of the United States for U.S. federal income tax purposes, </w:t>
      </w:r>
      <w:r>
        <w:rPr>
          <w:rFonts w:ascii="Times New Roman" w:cs="Times New Roman" w:eastAsia="Times New Roman" w:hAnsi="Times New Roman"/>
          <w:sz w:val="16"/>
          <w:szCs w:val="16"/>
          <w:u w:val="single" w:color="auto"/>
          <w:color w:val="auto"/>
        </w:rPr>
        <w:t>and</w:t>
      </w:r>
      <w:r>
        <w:rPr>
          <w:rFonts w:ascii="Times New Roman" w:cs="Times New Roman" w:eastAsia="Times New Roman" w:hAnsi="Times New Roman"/>
          <w:sz w:val="16"/>
          <w:szCs w:val="16"/>
          <w:color w:val="auto"/>
        </w:rPr>
        <w:t xml:space="preserve"> is the beneficial owner of the interest and other income it receives, you must complete one of the following three tax forms, as applicable to your institution: </w:t>
      </w:r>
      <w:r>
        <w:rPr>
          <w:rFonts w:ascii="Times New Roman" w:cs="Times New Roman" w:eastAsia="Times New Roman" w:hAnsi="Times New Roman"/>
          <w:sz w:val="16"/>
          <w:szCs w:val="16"/>
          <w:b w:val="1"/>
          <w:bCs w:val="1"/>
          <w:i w:val="1"/>
          <w:iCs w:val="1"/>
          <w:color w:val="auto"/>
        </w:rPr>
        <w:t>a.) Form W-8BEN-E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Certificate of Status of Beneficial Owner for United States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Withholding and Reporting (Entities), </w:t>
      </w:r>
      <w:r>
        <w:rPr>
          <w:rFonts w:ascii="Times New Roman" w:cs="Times New Roman" w:eastAsia="Times New Roman" w:hAnsi="Times New Roman"/>
          <w:sz w:val="16"/>
          <w:szCs w:val="16"/>
          <w:b w:val="1"/>
          <w:bCs w:val="1"/>
          <w:i w:val="1"/>
          <w:iCs w:val="1"/>
          <w:color w:val="auto"/>
        </w:rPr>
        <w:t>b.) Form W-8ECI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Income Effectively Connected to a U.S. Trade or Business</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c.) Form W-8EXP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Certificate of Foreign Government or Governmental Agency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48"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6"/>
          <w:szCs w:val="16"/>
          <w:color w:val="auto"/>
        </w:rPr>
        <w:t xml:space="preserve">A U.S. taxpayer identification number is required for any institution submitting Form W-8ECI. It is also required on Form W-8BEN-E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Times New Roman" w:cs="Times New Roman" w:eastAsia="Times New Roman" w:hAnsi="Times New Roman"/>
          <w:sz w:val="16"/>
          <w:szCs w:val="16"/>
          <w:b w:val="1"/>
          <w:bCs w:val="1"/>
          <w:color w:val="auto"/>
        </w:rPr>
        <w:t>An original tax form must be submitted.</w:t>
      </w:r>
    </w:p>
    <w:p>
      <w:pPr>
        <w:spacing w:after="0" w:line="101" w:lineRule="exact"/>
        <w:rPr>
          <w:sz w:val="20"/>
          <w:szCs w:val="20"/>
          <w:color w:val="auto"/>
        </w:rPr>
      </w:pPr>
    </w:p>
    <w:p>
      <w:pPr>
        <w:ind w:left="260" w:hanging="211"/>
        <w:spacing w:after="0"/>
        <w:tabs>
          <w:tab w:leader="none" w:pos="260" w:val="left"/>
        </w:tabs>
        <w:numPr>
          <w:ilvl w:val="0"/>
          <w:numId w:val="10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Flow-Through Entities</w:t>
      </w:r>
      <w:r>
        <w:rPr>
          <w:rFonts w:ascii="Times New Roman" w:cs="Times New Roman" w:eastAsia="Times New Roman" w:hAnsi="Times New Roman"/>
          <w:sz w:val="16"/>
          <w:szCs w:val="16"/>
          <w:b w:val="1"/>
          <w:bCs w:val="1"/>
          <w:i w:val="1"/>
          <w:iCs w:val="1"/>
          <w:color w:val="auto"/>
        </w:rPr>
        <w:t>:</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If your institution is organized outside the U.S., and is classified for U.S. federal income tax purposes as either a Partnership, Trust, Qualified or Non-Qualified Intermediary, or other non-U.S. flow-through entity, an original </w:t>
      </w:r>
      <w:r>
        <w:rPr>
          <w:rFonts w:ascii="Times New Roman" w:cs="Times New Roman" w:eastAsia="Times New Roman" w:hAnsi="Times New Roman"/>
          <w:sz w:val="16"/>
          <w:szCs w:val="16"/>
          <w:b w:val="1"/>
          <w:bCs w:val="1"/>
          <w:i w:val="1"/>
          <w:iCs w:val="1"/>
          <w:color w:val="auto"/>
        </w:rPr>
        <w:t>Form W-8IMY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Certificate of Foreign Intermediary, Foreign Flow-Through Entity, or Certain U.S. Branches for United States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 Withholding</w:t>
      </w:r>
      <w:r>
        <w:rPr>
          <w:rFonts w:ascii="Times New Roman" w:cs="Times New Roman" w:eastAsia="Times New Roman" w:hAnsi="Times New Roman"/>
          <w:sz w:val="16"/>
          <w:szCs w:val="16"/>
          <w:color w:val="auto"/>
        </w:rPr>
        <w:t>) must be completed by the intermediary together with a withholding statement. Flow-through entities other than Qualified Intermediaries are required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tax forms for each of the underlying beneficial owners.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6"/>
          <w:szCs w:val="16"/>
          <w:color w:val="auto"/>
        </w:rPr>
        <w:t xml:space="preserve">Please refer to the instructions when completing this form. In addition, please be advised that U.S. tax regulations do not permit the acceptance of faxed forms. </w:t>
      </w:r>
      <w:r>
        <w:rPr>
          <w:rFonts w:ascii="Times New Roman" w:cs="Times New Roman" w:eastAsia="Times New Roman" w:hAnsi="Times New Roman"/>
          <w:sz w:val="16"/>
          <w:szCs w:val="16"/>
          <w:b w:val="1"/>
          <w:bCs w:val="1"/>
          <w:color w:val="auto"/>
        </w:rPr>
        <w:t>Original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form(s) must be submitted.</w:t>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U.S. LENDER INSTITUTIONS</w:t>
      </w:r>
      <w:r>
        <w:rPr>
          <w:rFonts w:ascii="Times New Roman" w:cs="Times New Roman" w:eastAsia="Times New Roman" w:hAnsi="Times New Roman"/>
          <w:sz w:val="16"/>
          <w:szCs w:val="16"/>
          <w:b w:val="1"/>
          <w:bCs w:val="1"/>
          <w:color w:val="auto"/>
        </w:rPr>
        <w:t>:</w:t>
      </w:r>
    </w:p>
    <w:p>
      <w:pPr>
        <w:spacing w:after="0" w:line="14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6"/>
          <w:szCs w:val="16"/>
          <w:color w:val="auto"/>
        </w:rPr>
        <w:t xml:space="preserve">If your institution is incorporated or organized </w:t>
      </w:r>
      <w:r>
        <w:rPr>
          <w:rFonts w:ascii="Times New Roman" w:cs="Times New Roman" w:eastAsia="Times New Roman" w:hAnsi="Times New Roman"/>
          <w:sz w:val="16"/>
          <w:szCs w:val="16"/>
          <w:u w:val="single" w:color="auto"/>
          <w:color w:val="auto"/>
        </w:rPr>
        <w:t>within</w:t>
      </w:r>
      <w:r>
        <w:rPr>
          <w:rFonts w:ascii="Times New Roman" w:cs="Times New Roman" w:eastAsia="Times New Roman" w:hAnsi="Times New Roman"/>
          <w:sz w:val="16"/>
          <w:szCs w:val="16"/>
          <w:color w:val="auto"/>
        </w:rPr>
        <w:t xml:space="preserve"> the United States, you must complete and return </w:t>
      </w:r>
      <w:r>
        <w:rPr>
          <w:rFonts w:ascii="Times New Roman" w:cs="Times New Roman" w:eastAsia="Times New Roman" w:hAnsi="Times New Roman"/>
          <w:sz w:val="16"/>
          <w:szCs w:val="16"/>
          <w:b w:val="1"/>
          <w:bCs w:val="1"/>
          <w:i w:val="1"/>
          <w:iCs w:val="1"/>
          <w:color w:val="auto"/>
        </w:rPr>
        <w:t>Form W-9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(Request for Taxpayer Identification Number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Certification). </w:t>
      </w:r>
      <w:r>
        <w:rPr>
          <w:rFonts w:ascii="Times New Roman" w:cs="Times New Roman" w:eastAsia="Times New Roman" w:hAnsi="Times New Roman"/>
          <w:sz w:val="16"/>
          <w:szCs w:val="16"/>
          <w:b w:val="1"/>
          <w:bCs w:val="1"/>
          <w:color w:val="auto"/>
        </w:rPr>
        <w:t>Please be advised that we request that you submit an original Form W-9.</w:t>
      </w:r>
    </w:p>
    <w:p>
      <w:pPr>
        <w:spacing w:after="0" w:line="200" w:lineRule="exact"/>
        <w:rPr>
          <w:sz w:val="20"/>
          <w:szCs w:val="20"/>
          <w:color w:val="auto"/>
        </w:rPr>
      </w:pPr>
    </w:p>
    <w:p>
      <w:pPr>
        <w:spacing w:after="0" w:line="216"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Pursuant to the language contained in the tax section of the Credit Agreement, the applicable tax form for your Non-U.S. or U.S. institution must be completed and returned on or prior to the date on which your institution becomes a Lender under the Credit Agreement. Failure to provide the proper tax form when requested may subject your institution to U.S. tax withholding.</w:t>
      </w:r>
    </w:p>
    <w:p>
      <w:pPr>
        <w:sectPr>
          <w:pgSz w:w="11900" w:h="16838" w:orient="portrait"/>
          <w:cols w:equalWidth="0" w:num="1">
            <w:col w:w="11420"/>
          </w:cols>
          <w:pgMar w:left="220" w:top="859" w:right="25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H-1</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U.S. TAX COMPLIANCE CERTIFICATE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Foreign Lenders That Are Not Partnerships For U.S. Federal Income Tax Purposes)</w:t>
      </w:r>
    </w:p>
    <w:p>
      <w:pPr>
        <w:spacing w:after="0" w:line="227" w:lineRule="exact"/>
        <w:rPr>
          <w:sz w:val="20"/>
          <w:szCs w:val="20"/>
          <w:color w:val="auto"/>
        </w:rPr>
      </w:pPr>
    </w:p>
    <w:p>
      <w:pPr>
        <w:ind w:right="620" w:firstLine="1061"/>
        <w:spacing w:after="0" w:line="262" w:lineRule="auto"/>
        <w:rPr>
          <w:sz w:val="20"/>
          <w:szCs w:val="20"/>
          <w:color w:val="auto"/>
        </w:rPr>
      </w:pPr>
      <w:r>
        <w:rPr>
          <w:rFonts w:ascii="Times New Roman" w:cs="Times New Roman" w:eastAsia="Times New Roman" w:hAnsi="Times New Roman"/>
          <w:sz w:val="16"/>
          <w:szCs w:val="16"/>
          <w:color w:val="auto"/>
        </w:rPr>
        <w:t>Reference is hereby made to the Loan and Security Agreement dated as of [ ] (as amended, supplemented or otherwise modified from time to time,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among Enphase Energy, Inc., a Delaware corporation, each Lender (as defined in Section 14 therein) and Obsidian Agency Services, Inc., a California corporation, in its capacity as administrative and collateral agent for Lenders (the “</w:t>
      </w:r>
      <w:r>
        <w:rPr>
          <w:rFonts w:ascii="Times New Roman" w:cs="Times New Roman" w:eastAsia="Times New Roman" w:hAnsi="Times New Roman"/>
          <w:sz w:val="16"/>
          <w:szCs w:val="16"/>
          <w:u w:val="single" w:color="auto"/>
          <w:color w:val="auto"/>
        </w:rPr>
        <w:t>Agent</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20" w:firstLine="1061"/>
        <w:spacing w:after="0" w:line="256" w:lineRule="auto"/>
        <w:rPr>
          <w:sz w:val="20"/>
          <w:szCs w:val="20"/>
          <w:color w:val="auto"/>
        </w:rPr>
      </w:pPr>
      <w:r>
        <w:rPr>
          <w:rFonts w:ascii="Times New Roman" w:cs="Times New Roman" w:eastAsia="Times New Roman" w:hAnsi="Times New Roman"/>
          <w:sz w:val="16"/>
          <w:szCs w:val="16"/>
          <w:color w:val="auto"/>
        </w:rPr>
        <w:t>Pursuant to the provisions of Section 1.11 of the Agreement, the undersigned hereby certifies that (i) it is the sole record and beneficial owner of the Loan(s) (as well as any Note(s) evidencing such Loan(s)) in respect of which it is providing this certificate, (ii) it is not a bank within the meaning of Section 881I(3)(A) of the IRC, (iii) it is not a ten percent shareholder of the Borrower within the meaning of Section 871(h)(3)(B) of the IRC and (iv) it is not a controlled foreign corporation related to the Borrower as described in Section 881(c)(3)(C) of the IRC.</w:t>
      </w:r>
    </w:p>
    <w:p>
      <w:pPr>
        <w:spacing w:after="0" w:line="33" w:lineRule="exact"/>
        <w:rPr>
          <w:sz w:val="20"/>
          <w:szCs w:val="20"/>
          <w:color w:val="auto"/>
        </w:rPr>
      </w:pPr>
    </w:p>
    <w:p>
      <w:pPr>
        <w:ind w:firstLine="1083"/>
        <w:spacing w:after="0" w:line="256" w:lineRule="auto"/>
        <w:rPr>
          <w:sz w:val="20"/>
          <w:szCs w:val="20"/>
          <w:color w:val="auto"/>
        </w:rPr>
      </w:pPr>
      <w:r>
        <w:rPr>
          <w:rFonts w:ascii="Times New Roman" w:cs="Times New Roman" w:eastAsia="Times New Roman" w:hAnsi="Times New Roman"/>
          <w:sz w:val="16"/>
          <w:szCs w:val="16"/>
          <w:color w:val="auto"/>
        </w:rPr>
        <w:t>The undersigned has furnished the Agent and the Borrower with a certificate of its non-U.S. Person status on IRS Form W-8BEN or W-8BEN-E. By executing this certificate, the undersigned agrees that (1) if the information provided on this certificate changes, the undersigned shall promptly so inform the Borrower and the Agent, and</w:t>
      </w:r>
    </w:p>
    <w:p>
      <w:pPr>
        <w:spacing w:after="0" w:line="1" w:lineRule="exact"/>
        <w:rPr>
          <w:sz w:val="20"/>
          <w:szCs w:val="20"/>
          <w:color w:val="auto"/>
        </w:rPr>
      </w:pPr>
    </w:p>
    <w:p>
      <w:pPr>
        <w:ind w:right="420" w:firstLine="8"/>
        <w:spacing w:after="0" w:line="256" w:lineRule="auto"/>
        <w:tabs>
          <w:tab w:leader="none" w:pos="22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0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Unless otherwise defined herein, terms defined in the Agreement and used herein shall have the meanings given to them in the Agreement.</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[NAME OF LENDER]</w:t>
      </w: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-6350</wp:posOffset>
            </wp:positionV>
            <wp:extent cx="22631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63140" cy="6985"/>
                    </a:xfrm>
                    <a:prstGeom prst="rect">
                      <a:avLst/>
                    </a:prstGeom>
                    <a:noFill/>
                  </pic:spPr>
                </pic:pic>
              </a:graphicData>
            </a:graphic>
          </wp:anchor>
        </w:drawing>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Name:</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Title: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 __, 20[ ]</w:t>
      </w:r>
    </w:p>
    <w:p>
      <w:pPr>
        <w:sectPr>
          <w:pgSz w:w="11900" w:h="16838" w:orient="portrait"/>
          <w:cols w:equalWidth="0" w:num="1">
            <w:col w:w="11460"/>
          </w:cols>
          <w:pgMar w:left="220" w:top="705" w:right="219"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H-2</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U.S. TAX COMPLIANCE CERTIFICATE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Foreign Participants That Are Not Partnerships For U.S. Federal Income Tax Purposes)</w:t>
      </w:r>
    </w:p>
    <w:p>
      <w:pPr>
        <w:spacing w:after="0" w:line="227" w:lineRule="exact"/>
        <w:rPr>
          <w:sz w:val="20"/>
          <w:szCs w:val="20"/>
          <w:color w:val="auto"/>
        </w:rPr>
      </w:pPr>
    </w:p>
    <w:p>
      <w:pPr>
        <w:ind w:right="600" w:firstLine="1061"/>
        <w:spacing w:after="0" w:line="262" w:lineRule="auto"/>
        <w:rPr>
          <w:sz w:val="20"/>
          <w:szCs w:val="20"/>
          <w:color w:val="auto"/>
        </w:rPr>
      </w:pPr>
      <w:r>
        <w:rPr>
          <w:rFonts w:ascii="Times New Roman" w:cs="Times New Roman" w:eastAsia="Times New Roman" w:hAnsi="Times New Roman"/>
          <w:sz w:val="16"/>
          <w:szCs w:val="16"/>
          <w:color w:val="auto"/>
        </w:rPr>
        <w:t>Reference is hereby made to the Loan and Security Agreement dated as of [ ] (as amended, supplemented or otherwise modified from time to time,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among Enphase Energy, Inc., a Delaware corporation, each Lender (as defined in Section 14 therein) and Obsidian Agency Services, Inc., a California corporation, in its capacity as administrative and collateral agent for Lenders (the “</w:t>
      </w:r>
      <w:r>
        <w:rPr>
          <w:rFonts w:ascii="Times New Roman" w:cs="Times New Roman" w:eastAsia="Times New Roman" w:hAnsi="Times New Roman"/>
          <w:sz w:val="16"/>
          <w:szCs w:val="16"/>
          <w:u w:val="single" w:color="auto"/>
          <w:color w:val="auto"/>
        </w:rPr>
        <w:t>Agent</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firstLine="1061"/>
        <w:spacing w:after="0" w:line="252" w:lineRule="auto"/>
        <w:rPr>
          <w:sz w:val="20"/>
          <w:szCs w:val="20"/>
          <w:color w:val="auto"/>
        </w:rPr>
      </w:pPr>
      <w:r>
        <w:rPr>
          <w:rFonts w:ascii="Times New Roman" w:cs="Times New Roman" w:eastAsia="Times New Roman" w:hAnsi="Times New Roman"/>
          <w:sz w:val="16"/>
          <w:szCs w:val="16"/>
          <w:color w:val="auto"/>
        </w:rPr>
        <w:t>Pursuant to the provisions of Section 1.11 of the Agreement, the undersigned hereby certifies that (i) it is the sole record and beneficial owner of the participation in respect of which it is providing this certificate, (ii) it is not a bank within the meaning of Section 881I(3)(A) of the IRC, (iii) it is not a ten percent shareholder of the Borrower within the meaning of Section 871(h)(3)(B) of the IRC, and (iv) it is not a controlled foreign corporation related to the Borrower as described in Section 881(c)(3)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of the IRC.</w:t>
      </w:r>
    </w:p>
    <w:p>
      <w:pPr>
        <w:spacing w:after="0" w:line="52" w:lineRule="exact"/>
        <w:rPr>
          <w:sz w:val="20"/>
          <w:szCs w:val="20"/>
          <w:color w:val="auto"/>
        </w:rPr>
      </w:pPr>
    </w:p>
    <w:p>
      <w:pPr>
        <w:ind w:firstLine="1061"/>
        <w:spacing w:after="0" w:line="256" w:lineRule="auto"/>
        <w:rPr>
          <w:sz w:val="20"/>
          <w:szCs w:val="20"/>
          <w:color w:val="auto"/>
        </w:rPr>
      </w:pPr>
      <w:r>
        <w:rPr>
          <w:rFonts w:ascii="Times New Roman" w:cs="Times New Roman" w:eastAsia="Times New Roman" w:hAnsi="Times New Roman"/>
          <w:sz w:val="16"/>
          <w:szCs w:val="16"/>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Unless otherwise defined herein, terms defined in the Agreement and used herein shall have the meanings given to them in the Agreement.</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[NAME OF PARTICIPANT]</w:t>
      </w: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-6350</wp:posOffset>
            </wp:positionV>
            <wp:extent cx="22631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63140" cy="6985"/>
                    </a:xfrm>
                    <a:prstGeom prst="rect">
                      <a:avLst/>
                    </a:prstGeom>
                    <a:noFill/>
                  </pic:spPr>
                </pic:pic>
              </a:graphicData>
            </a:graphic>
          </wp:anchor>
        </w:drawing>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Name:</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Title: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 __, 20[ ]</w:t>
      </w:r>
    </w:p>
    <w:p>
      <w:pPr>
        <w:sectPr>
          <w:pgSz w:w="11900" w:h="16838" w:orient="portrait"/>
          <w:cols w:equalWidth="0" w:num="1">
            <w:col w:w="11440"/>
          </w:cols>
          <w:pgMar w:left="220" w:top="340" w:right="239" w:bottom="1440" w:gutter="0" w:footer="0" w:header="0"/>
        </w:sectPr>
      </w:pPr>
    </w:p>
    <w:bookmarkStart w:id="141" w:name="page142"/>
    <w:bookmarkEnd w:id="14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EXHIBIT H-3</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 OF U.S. TAX COMPLIANCE CERTIFICATE</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Foreign Participants That Are Partnerships For U.S. Federal Income Tax Purposes)</w:t>
      </w:r>
    </w:p>
    <w:p>
      <w:pPr>
        <w:spacing w:after="0" w:line="227" w:lineRule="exact"/>
        <w:rPr>
          <w:sz w:val="20"/>
          <w:szCs w:val="20"/>
          <w:color w:val="auto"/>
        </w:rPr>
      </w:pPr>
    </w:p>
    <w:p>
      <w:pPr>
        <w:ind w:right="580" w:firstLine="1061"/>
        <w:spacing w:after="0" w:line="262" w:lineRule="auto"/>
        <w:rPr>
          <w:sz w:val="20"/>
          <w:szCs w:val="20"/>
          <w:color w:val="auto"/>
        </w:rPr>
      </w:pPr>
      <w:r>
        <w:rPr>
          <w:rFonts w:ascii="Times New Roman" w:cs="Times New Roman" w:eastAsia="Times New Roman" w:hAnsi="Times New Roman"/>
          <w:sz w:val="16"/>
          <w:szCs w:val="16"/>
          <w:color w:val="auto"/>
        </w:rPr>
        <w:t>Reference is hereby made to the Loan and Security Agreement dated as of [ ] (as amended, supplemented or otherwise modified from time to time,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among Enphase Energy, Inc., a Delaware corporation, each Lender (as defined in Section 14 therein) and Obsidian Agency Services, Inc., a California corporation, in its capacity as administrative and collateral agent for Lenders (the “</w:t>
      </w:r>
      <w:r>
        <w:rPr>
          <w:rFonts w:ascii="Times New Roman" w:cs="Times New Roman" w:eastAsia="Times New Roman" w:hAnsi="Times New Roman"/>
          <w:sz w:val="16"/>
          <w:szCs w:val="16"/>
          <w:u w:val="single" w:color="auto"/>
          <w:color w:val="auto"/>
        </w:rPr>
        <w:t>Agent</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firstLine="1061"/>
        <w:spacing w:after="0" w:line="251" w:lineRule="auto"/>
        <w:rPr>
          <w:sz w:val="20"/>
          <w:szCs w:val="20"/>
          <w:color w:val="auto"/>
        </w:rPr>
      </w:pPr>
      <w:r>
        <w:rPr>
          <w:rFonts w:ascii="Times New Roman" w:cs="Times New Roman" w:eastAsia="Times New Roman" w:hAnsi="Times New Roman"/>
          <w:sz w:val="16"/>
          <w:szCs w:val="16"/>
          <w:color w:val="auto"/>
        </w:rPr>
        <w:t>Pursuant to the provisions of Section 1.11 of the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881I(3)(A) of the IRC, (iv) none of its direct or indirect partners/members is a ten percent shareholder of the Borrower within the meaning of Section 871(h)(3)(B) of the IRC and (v) none of its direct or indirect partners/members is a controlled foreign corporation related to the Borrower as described in Section 881(c)(3)(C) of the IRC.</w:t>
      </w:r>
    </w:p>
    <w:p>
      <w:pPr>
        <w:spacing w:after="0" w:line="39" w:lineRule="exact"/>
        <w:rPr>
          <w:sz w:val="20"/>
          <w:szCs w:val="20"/>
          <w:color w:val="auto"/>
        </w:rPr>
      </w:pPr>
    </w:p>
    <w:p>
      <w:pPr>
        <w:ind w:right="20" w:firstLine="1061"/>
        <w:spacing w:after="0" w:line="251" w:lineRule="auto"/>
        <w:rPr>
          <w:sz w:val="20"/>
          <w:szCs w:val="20"/>
          <w:color w:val="auto"/>
        </w:rPr>
      </w:pPr>
      <w:r>
        <w:rPr>
          <w:rFonts w:ascii="Times New Roman" w:cs="Times New Roman" w:eastAsia="Times New Roman" w:hAnsi="Times New Roman"/>
          <w:sz w:val="16"/>
          <w:szCs w:val="16"/>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Unless otherwise defined herein, terms defined in the Agreement and used herein shall have the meanings given to them in the Agreement.</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[NAME OF PARTICIPANT]</w:t>
      </w: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-6350</wp:posOffset>
            </wp:positionV>
            <wp:extent cx="226314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63140" cy="6985"/>
                    </a:xfrm>
                    <a:prstGeom prst="rect">
                      <a:avLst/>
                    </a:prstGeom>
                    <a:noFill/>
                  </pic:spPr>
                </pic:pic>
              </a:graphicData>
            </a:graphic>
          </wp:anchor>
        </w:drawing>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Name:</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Title: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 __, 20[ ]</w:t>
      </w:r>
    </w:p>
    <w:p>
      <w:pPr>
        <w:sectPr>
          <w:pgSz w:w="11900" w:h="16838" w:orient="portrait"/>
          <w:cols w:equalWidth="0" w:num="1">
            <w:col w:w="11420"/>
          </w:cols>
          <w:pgMar w:left="220" w:top="340" w:right="25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H-4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U.S. TAX COMPLIANCE CERTIFICATE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Foreign Lenders That Are Partnerships For U.S. Federal Income Tax Purposes)</w:t>
      </w:r>
    </w:p>
    <w:p>
      <w:pPr>
        <w:spacing w:after="0" w:line="227" w:lineRule="exact"/>
        <w:rPr>
          <w:sz w:val="20"/>
          <w:szCs w:val="20"/>
          <w:color w:val="auto"/>
        </w:rPr>
      </w:pPr>
    </w:p>
    <w:p>
      <w:pPr>
        <w:ind w:right="620" w:firstLine="1061"/>
        <w:spacing w:after="0" w:line="262" w:lineRule="auto"/>
        <w:rPr>
          <w:sz w:val="20"/>
          <w:szCs w:val="20"/>
          <w:color w:val="auto"/>
        </w:rPr>
      </w:pPr>
      <w:r>
        <w:rPr>
          <w:rFonts w:ascii="Times New Roman" w:cs="Times New Roman" w:eastAsia="Times New Roman" w:hAnsi="Times New Roman"/>
          <w:sz w:val="16"/>
          <w:szCs w:val="16"/>
          <w:color w:val="auto"/>
        </w:rPr>
        <w:t>Reference is hereby made to the Loan and Security Agreement dated as of [ ] (as amended, supplemented or otherwise modified from time to time,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among Enphase Energy, Inc., a Delaware corporation, each Lender (as defined in Section 14 therein) and Obsidian Agency Services, Inc., a California corporation, in its capacity as administrative and collateral agent for Lenders (the “</w:t>
      </w:r>
      <w:r>
        <w:rPr>
          <w:rFonts w:ascii="Times New Roman" w:cs="Times New Roman" w:eastAsia="Times New Roman" w:hAnsi="Times New Roman"/>
          <w:sz w:val="16"/>
          <w:szCs w:val="16"/>
          <w:u w:val="single" w:color="auto"/>
          <w:color w:val="auto"/>
        </w:rPr>
        <w:t>Agent</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firstLine="1061"/>
        <w:spacing w:after="0" w:line="249" w:lineRule="auto"/>
        <w:rPr>
          <w:sz w:val="20"/>
          <w:szCs w:val="20"/>
          <w:color w:val="auto"/>
        </w:rPr>
      </w:pPr>
      <w:r>
        <w:rPr>
          <w:rFonts w:ascii="Times New Roman" w:cs="Times New Roman" w:eastAsia="Times New Roman" w:hAnsi="Times New Roman"/>
          <w:sz w:val="16"/>
          <w:szCs w:val="16"/>
          <w:color w:val="auto"/>
        </w:rPr>
        <w:t>Pursuant to the provisions of Section 1.11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Agreement or any other Loan Document, neither the undersigned nor any of its direct or indirect partners/members is a bank extending credit pursuant to a loan agreement entered into in the ordinary course of its trade or business within the meaning of Section 881I(3)(A) of the IRC, (iv) none of its direct or indirect partners/members is a ten percent shareholder of the Borrower within the meaning of Section 871(h)</w:t>
      </w:r>
    </w:p>
    <w:p>
      <w:pPr>
        <w:spacing w:after="0" w:line="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(3)(B) of the IRC and (v) none of its direct or indirect partners/members is a controlled foreign corporation related to the Borrower as described in Section 881(c)(3)(C) of the IRC.</w:t>
      </w:r>
    </w:p>
    <w:p>
      <w:pPr>
        <w:spacing w:after="0" w:line="32" w:lineRule="exact"/>
        <w:rPr>
          <w:sz w:val="20"/>
          <w:szCs w:val="20"/>
          <w:color w:val="auto"/>
        </w:rPr>
      </w:pPr>
    </w:p>
    <w:p>
      <w:pPr>
        <w:ind w:right="80" w:firstLine="1061"/>
        <w:spacing w:after="0" w:line="251" w:lineRule="auto"/>
        <w:rPr>
          <w:sz w:val="20"/>
          <w:szCs w:val="20"/>
          <w:color w:val="auto"/>
        </w:rPr>
      </w:pPr>
      <w:r>
        <w:rPr>
          <w:rFonts w:ascii="Times New Roman" w:cs="Times New Roman" w:eastAsia="Times New Roman" w:hAnsi="Times New Roman"/>
          <w:sz w:val="16"/>
          <w:szCs w:val="16"/>
          <w:color w:val="auto"/>
        </w:rPr>
        <w:t>The undersigned has furnished the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Unless otherwise defined herein, terms defined in the Agreement and used herein shall have the meanings given to them in the Agreement.</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[NAME OF LENDER]</w:t>
      </w: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-6350</wp:posOffset>
            </wp:positionV>
            <wp:extent cx="22631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63140" cy="6985"/>
                    </a:xfrm>
                    <a:prstGeom prst="rect">
                      <a:avLst/>
                    </a:prstGeom>
                    <a:noFill/>
                  </pic:spPr>
                </pic:pic>
              </a:graphicData>
            </a:graphic>
          </wp:anchor>
        </w:drawing>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Name:</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Title: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 __, 20[ ]</w:t>
      </w:r>
    </w:p>
    <w:p>
      <w:pPr>
        <w:sectPr>
          <w:pgSz w:w="11900" w:h="16838" w:orient="portrait"/>
          <w:cols w:equalWidth="0" w:num="1">
            <w:col w:w="11460"/>
          </w:cols>
          <w:pgMar w:left="220" w:top="340" w:right="219" w:bottom="1440" w:gutter="0" w:footer="0" w:header="0"/>
        </w:sectPr>
      </w:pPr>
    </w:p>
    <w:bookmarkStart w:id="143" w:name="page144"/>
    <w:bookmarkEnd w:id="143"/>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Exhibit I</w:t>
      </w:r>
    </w:p>
    <w:p>
      <w:pPr>
        <w:spacing w:after="0" w:line="1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INTEREST RATE REDUCTION TRIGGER AMOUNTS</w:t>
      </w:r>
    </w:p>
    <w:p>
      <w:pPr>
        <w:spacing w:after="0" w:line="1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For the twelve consecutive month period beginning July 1, 2016 and ending June 30, 2017, Borrower’s Revenue shall be not less than $379,350,000 and Borrower’s EBITDA shall not be less than negative $13,794,000 (e.g., EBIDTA shall not be negative $14,000,000).</w:t>
      </w:r>
    </w:p>
    <w:p>
      <w:pPr>
        <w:sectPr>
          <w:pgSz w:w="11900" w:h="16838" w:orient="portrait"/>
          <w:cols w:equalWidth="0" w:num="1">
            <w:col w:w="11320"/>
          </w:cols>
          <w:pgMar w:left="220" w:top="384" w:right="3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10.3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NO. 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COOPERATION AGREEMENT AND AMENDMENT NO. 1</w:t>
      </w:r>
    </w:p>
    <w:p>
      <w:pPr>
        <w:spacing w:after="0" w:line="358" w:lineRule="exact"/>
        <w:rPr>
          <w:sz w:val="20"/>
          <w:szCs w:val="20"/>
          <w:color w:val="auto"/>
        </w:rPr>
      </w:pPr>
    </w:p>
    <w:p>
      <w:pPr>
        <w:jc w:val="both"/>
        <w:ind w:firstLine="531"/>
        <w:spacing w:after="0"/>
        <w:rPr>
          <w:sz w:val="20"/>
          <w:szCs w:val="20"/>
          <w:color w:val="auto"/>
        </w:rPr>
      </w:pPr>
      <w:r>
        <w:rPr>
          <w:rFonts w:ascii="Arial" w:cs="Arial" w:eastAsia="Arial" w:hAnsi="Arial"/>
          <w:sz w:val="16"/>
          <w:szCs w:val="16"/>
          <w:b w:val="1"/>
          <w:bCs w:val="1"/>
          <w:color w:val="auto"/>
        </w:rPr>
        <w:t xml:space="preserve">THIS AMENDMENT NO. 2 TO COOPERATION AGREEMENT AND AMENDMENT NO. 1 </w:t>
      </w:r>
      <w:r>
        <w:rPr>
          <w:rFonts w:ascii="Arial" w:cs="Arial" w:eastAsia="Arial" w:hAnsi="Arial"/>
          <w:sz w:val="16"/>
          <w:szCs w:val="16"/>
          <w:color w:val="auto"/>
        </w:rPr>
        <w:t>(this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this 1</w:t>
      </w:r>
      <w:r>
        <w:rPr>
          <w:rFonts w:ascii="Arial" w:cs="Arial" w:eastAsia="Arial" w:hAnsi="Arial"/>
          <w:sz w:val="20"/>
          <w:szCs w:val="20"/>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day of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2016 by and between </w:t>
      </w:r>
      <w:r>
        <w:rPr>
          <w:rFonts w:ascii="Arial" w:cs="Arial" w:eastAsia="Arial" w:hAnsi="Arial"/>
          <w:sz w:val="16"/>
          <w:szCs w:val="16"/>
          <w:b w:val="1"/>
          <w:bCs w:val="1"/>
          <w:color w:val="auto"/>
        </w:rPr>
        <w:t>Enphase Energy,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Enphase</w:t>
      </w:r>
      <w:r>
        <w:rPr>
          <w:rFonts w:ascii="Arial" w:cs="Arial" w:eastAsia="Arial" w:hAnsi="Arial"/>
          <w:sz w:val="16"/>
          <w:szCs w:val="16"/>
          <w:color w:val="auto"/>
        </w:rPr>
        <w:t xml:space="preserve">”) and </w:t>
      </w:r>
      <w:r>
        <w:rPr>
          <w:rFonts w:ascii="Arial" w:cs="Arial" w:eastAsia="Arial" w:hAnsi="Arial"/>
          <w:sz w:val="16"/>
          <w:szCs w:val="16"/>
          <w:b w:val="1"/>
          <w:bCs w:val="1"/>
          <w:color w:val="auto"/>
        </w:rPr>
        <w:t>Phoenix Contact GmbH &amp; Co. KG and Phoenix Contact USA, Inc.</w:t>
      </w:r>
      <w:r>
        <w:rPr>
          <w:rFonts w:ascii="Arial" w:cs="Arial" w:eastAsia="Arial" w:hAnsi="Arial"/>
          <w:sz w:val="16"/>
          <w:szCs w:val="16"/>
          <w:color w:val="auto"/>
        </w:rPr>
        <w:t>, (collectively “</w:t>
      </w:r>
      <w:r>
        <w:rPr>
          <w:rFonts w:ascii="Arial" w:cs="Arial" w:eastAsia="Arial" w:hAnsi="Arial"/>
          <w:sz w:val="16"/>
          <w:szCs w:val="16"/>
          <w:b w:val="1"/>
          <w:bCs w:val="1"/>
          <w:color w:val="auto"/>
        </w:rPr>
        <w:t>Phoenix Contact</w:t>
      </w:r>
      <w:r>
        <w:rPr>
          <w:rFonts w:ascii="Arial" w:cs="Arial" w:eastAsia="Arial" w:hAnsi="Arial"/>
          <w:sz w:val="16"/>
          <w:szCs w:val="16"/>
          <w:color w:val="auto"/>
        </w:rPr>
        <w:t>”). Capitalized terms used herein without definition shall have the same meanings given them in the Cooperation Agreement (as defined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83" w:lineRule="exact"/>
        <w:rPr>
          <w:sz w:val="20"/>
          <w:szCs w:val="20"/>
          <w:color w:val="auto"/>
        </w:rPr>
      </w:pPr>
    </w:p>
    <w:p>
      <w:pPr>
        <w:ind w:left="540" w:hanging="266"/>
        <w:spacing w:after="0" w:line="300" w:lineRule="auto"/>
        <w:tabs>
          <w:tab w:leader="none" w:pos="540"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Enphase and Phoenix Contact have entered into that certain Cooperation Agreement dated as of December 7, 2010 and the Amendment No. 1 dated as of October 2011(as amended, restated, supplemented or otherwise modified from time to time, the “</w:t>
      </w:r>
      <w:r>
        <w:rPr>
          <w:rFonts w:ascii="Arial" w:cs="Arial" w:eastAsia="Arial" w:hAnsi="Arial"/>
          <w:sz w:val="16"/>
          <w:szCs w:val="16"/>
          <w:b w:val="1"/>
          <w:bCs w:val="1"/>
          <w:color w:val="auto"/>
        </w:rPr>
        <w:t>Cooperation Agreement</w:t>
      </w:r>
      <w:r>
        <w:rPr>
          <w:rFonts w:ascii="Arial" w:cs="Arial" w:eastAsia="Arial" w:hAnsi="Arial"/>
          <w:sz w:val="16"/>
          <w:szCs w:val="16"/>
          <w:color w:val="auto"/>
        </w:rPr>
        <w:t>”).</w:t>
      </w:r>
    </w:p>
    <w:p>
      <w:pPr>
        <w:spacing w:after="0" w:line="92" w:lineRule="exact"/>
        <w:rPr>
          <w:rFonts w:ascii="Arial" w:cs="Arial" w:eastAsia="Arial" w:hAnsi="Arial"/>
          <w:sz w:val="16"/>
          <w:szCs w:val="16"/>
          <w:b w:val="1"/>
          <w:bCs w:val="1"/>
          <w:color w:val="auto"/>
        </w:rPr>
      </w:pPr>
    </w:p>
    <w:p>
      <w:pPr>
        <w:ind w:left="540" w:hanging="266"/>
        <w:spacing w:after="0" w:line="290" w:lineRule="auto"/>
        <w:tabs>
          <w:tab w:leader="none" w:pos="540"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Enphase and Phoenix Contact have agreed to amend the Cooperation Agreement and Amendment No.1 upon the terms and conditions more fully set forth herein.</w:t>
      </w:r>
    </w:p>
    <w:p>
      <w:pPr>
        <w:spacing w:after="0" w:line="106"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AGREEMENT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NOW, THEREFORE, in consideration of the foregoing Recitals and intending to be legally bound, the parties hereto agree as follows:</w:t>
      </w:r>
    </w:p>
    <w:p>
      <w:pPr>
        <w:spacing w:after="0" w:line="179" w:lineRule="exact"/>
        <w:rPr>
          <w:sz w:val="20"/>
          <w:szCs w:val="20"/>
          <w:color w:val="auto"/>
        </w:rPr>
      </w:pPr>
    </w:p>
    <w:p>
      <w:pPr>
        <w:ind w:left="540" w:hanging="532"/>
        <w:spacing w:after="0"/>
        <w:tabs>
          <w:tab w:leader="none" w:pos="54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w:t>
      </w:r>
    </w:p>
    <w:p>
      <w:pPr>
        <w:spacing w:after="0" w:line="181" w:lineRule="exact"/>
        <w:rPr>
          <w:sz w:val="20"/>
          <w:szCs w:val="20"/>
          <w:color w:val="auto"/>
        </w:rPr>
      </w:pPr>
    </w:p>
    <w:p>
      <w:pPr>
        <w:ind w:firstLine="265"/>
        <w:spacing w:after="0" w:line="29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exchange for the mutual promises and covenants contained herein, and for other good and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the Parties, intending to be legally bound, agree to the following changes:</w:t>
      </w:r>
    </w:p>
    <w:p>
      <w:pPr>
        <w:spacing w:after="0" w:line="149"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b w:val="1"/>
          <w:bCs w:val="1"/>
          <w:color w:val="auto"/>
        </w:rPr>
        <w:t>Section 4 of Annex 6 to the Cooperation Agreement and Amendment No.1</w:t>
      </w:r>
      <w:r>
        <w:rPr>
          <w:rFonts w:ascii="Arial" w:cs="Arial" w:eastAsia="Arial" w:hAnsi="Arial"/>
          <w:sz w:val="16"/>
          <w:szCs w:val="16"/>
          <w:color w:val="auto"/>
        </w:rPr>
        <w:t>, “Forecast and Raw Material Liability”, is deleted in its entirety.</w:t>
      </w:r>
    </w:p>
    <w:p>
      <w:pPr>
        <w:spacing w:after="0" w:line="181" w:lineRule="exact"/>
        <w:rPr>
          <w:sz w:val="20"/>
          <w:szCs w:val="20"/>
          <w:color w:val="auto"/>
        </w:rPr>
      </w:pPr>
    </w:p>
    <w:p>
      <w:pPr>
        <w:jc w:val="both"/>
        <w:ind w:left="1060" w:hanging="530"/>
        <w:spacing w:after="0" w:line="292" w:lineRule="auto"/>
        <w:tabs>
          <w:tab w:leader="none" w:pos="10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Section 6 of Annex 6 to the Cooperation Agreement and Amendment No.1</w:t>
      </w:r>
      <w:r>
        <w:rPr>
          <w:rFonts w:ascii="Arial" w:cs="Arial" w:eastAsia="Arial" w:hAnsi="Arial"/>
          <w:sz w:val="16"/>
          <w:szCs w:val="16"/>
          <w:color w:val="auto"/>
        </w:rPr>
        <w:t>, “Payment Terms”, shall be deleted and replaced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w:t>
      </w:r>
    </w:p>
    <w:p>
      <w:pPr>
        <w:spacing w:after="0" w:line="10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6. Payment Terms</w:t>
      </w:r>
      <w:r>
        <w:rPr>
          <w:rFonts w:ascii="Arial" w:cs="Arial" w:eastAsia="Arial" w:hAnsi="Arial"/>
          <w:sz w:val="16"/>
          <w:szCs w:val="16"/>
          <w:color w:val="auto"/>
        </w:rPr>
        <w:t xml:space="preserve"> Cash in advance with each Purchase Order.”</w:t>
      </w:r>
    </w:p>
    <w:p>
      <w:pPr>
        <w:spacing w:after="0" w:line="181" w:lineRule="exact"/>
        <w:rPr>
          <w:sz w:val="20"/>
          <w:szCs w:val="20"/>
          <w:color w:val="auto"/>
        </w:rPr>
      </w:pPr>
    </w:p>
    <w:p>
      <w:pPr>
        <w:jc w:val="both"/>
        <w:ind w:left="1060" w:hanging="530"/>
        <w:spacing w:after="0" w:line="269" w:lineRule="auto"/>
        <w:tabs>
          <w:tab w:leader="none" w:pos="104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6"/>
          <w:szCs w:val="16"/>
          <w:b w:val="1"/>
          <w:bCs w:val="1"/>
          <w:color w:val="auto"/>
        </w:rPr>
        <w:t>EFFECTIVNESS</w:t>
      </w:r>
      <w:r>
        <w:rPr>
          <w:rFonts w:ascii="Arial" w:cs="Arial" w:eastAsia="Arial" w:hAnsi="Arial"/>
          <w:sz w:val="16"/>
          <w:szCs w:val="16"/>
          <w:color w:val="auto"/>
        </w:rPr>
        <w:t>: Until September 7, 2016 confirmed purchase orders from Enphase regarding the average amount of supplied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PRODUCTS of the last eight (8) months shall be supplied under the conditions of the Cooperation Agreement and Amendment No. 1. All purchase orders which are confirmed after September 7, 2016 and/or have a higher amount than the average amount of</w:t>
      </w:r>
    </w:p>
    <w:p>
      <w:pPr>
        <w:sectPr>
          <w:pgSz w:w="11900" w:h="16838" w:orient="portrait"/>
          <w:cols w:equalWidth="0" w:num="1">
            <w:col w:w="11460"/>
          </w:cols>
          <w:pgMar w:left="220" w:top="313" w:right="219" w:bottom="1440" w:gutter="0" w:footer="0" w:header="0"/>
        </w:sectPr>
      </w:pPr>
    </w:p>
    <w:bookmarkStart w:id="145" w:name="page146"/>
    <w:bookmarkEnd w:id="145"/>
    <w:p>
      <w:pPr>
        <w:jc w:val="center"/>
        <w:ind w:right="-51"/>
        <w:spacing w:after="0"/>
        <w:rPr>
          <w:sz w:val="20"/>
          <w:szCs w:val="20"/>
          <w:color w:val="auto"/>
        </w:rPr>
      </w:pPr>
      <w:r>
        <w:rPr>
          <w:rFonts w:ascii="Arial" w:cs="Arial" w:eastAsia="Arial" w:hAnsi="Arial"/>
          <w:sz w:val="16"/>
          <w:szCs w:val="16"/>
          <w:color w:val="auto"/>
        </w:rPr>
        <w:t>supplied CONTRACTUAL PRODUCTS of the last eight (8) months shall be delivered under the conditions of this Amendment No.2</w:t>
      </w:r>
    </w:p>
    <w:p>
      <w:pPr>
        <w:spacing w:after="0" w:line="190" w:lineRule="exact"/>
        <w:rPr>
          <w:sz w:val="20"/>
          <w:szCs w:val="20"/>
          <w:color w:val="auto"/>
        </w:rPr>
      </w:pPr>
    </w:p>
    <w:p>
      <w:pPr>
        <w:ind w:left="1052" w:hanging="530"/>
        <w:spacing w:after="0" w:line="290" w:lineRule="auto"/>
        <w:tabs>
          <w:tab w:leader="none" w:pos="1031"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color w:val="auto"/>
        </w:rPr>
        <w:t>All other terms and provisions of the Cooperation Agreement shall remain in full force and effect, as amended hereby, and are incorporated herein by reference.</w:t>
      </w:r>
    </w:p>
    <w:p>
      <w:pPr>
        <w:spacing w:after="0" w:line="108" w:lineRule="exact"/>
        <w:rPr>
          <w:sz w:val="20"/>
          <w:szCs w:val="20"/>
          <w:color w:val="auto"/>
        </w:rPr>
      </w:pPr>
    </w:p>
    <w:p>
      <w:pPr>
        <w:jc w:val="both"/>
        <w:ind w:left="512" w:hanging="512"/>
        <w:spacing w:after="0" w:line="254" w:lineRule="auto"/>
        <w:tabs>
          <w:tab w:leader="none" w:pos="51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The amendments set forth in this Amendment shall be limited precisely as written and shall not be deemed (a) to be a waiver or</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of any other term or condition of the Cooperation Agreement and Amendment No.1 or of any other instrument or agreement referred to therein or to prejudice any right or remedy which the parties may now have or may have in the future under or in connection with the Cooperation Agreement and Amendment No.1 or any instrument or agreement referred to therein; or (b) to be a consent to any future amendment or modification or waiver to any instrument or agreement the execution and delivery of which is consented to hereby, or to any waiver of any of the provisions thereof. Except as expressly amended hereby, the Cooperation Agreement and Amendment No.1 shall continue in full force and effect.</w:t>
      </w:r>
    </w:p>
    <w:p>
      <w:pPr>
        <w:spacing w:after="0" w:line="143" w:lineRule="exact"/>
        <w:rPr>
          <w:sz w:val="20"/>
          <w:szCs w:val="20"/>
          <w:color w:val="auto"/>
        </w:rPr>
      </w:pPr>
    </w:p>
    <w:p>
      <w:pPr>
        <w:jc w:val="both"/>
        <w:ind w:left="512" w:hanging="507"/>
        <w:spacing w:after="0" w:line="289" w:lineRule="auto"/>
        <w:tabs>
          <w:tab w:leader="none" w:pos="491" w:val="left"/>
        </w:tabs>
        <w:rPr>
          <w:sz w:val="20"/>
          <w:szCs w:val="20"/>
          <w:color w:val="auto"/>
        </w:rPr>
      </w:pPr>
      <w:r>
        <w:rPr>
          <w:rFonts w:ascii="Arial" w:cs="Arial" w:eastAsia="Arial" w:hAnsi="Arial"/>
          <w:sz w:val="18"/>
          <w:szCs w:val="18"/>
          <w:b w:val="1"/>
          <w:bCs w:val="1"/>
          <w:color w:val="auto"/>
        </w:rPr>
        <w:t>3</w:t>
      </w:r>
      <w:r>
        <w:rPr>
          <w:rFonts w:ascii="Times New Roman" w:cs="Times New Roman" w:eastAsia="Times New Roman" w:hAnsi="Times New Roman"/>
          <w:sz w:val="18"/>
          <w:szCs w:val="18"/>
          <w:b w:val="1"/>
          <w:bCs w:val="1"/>
          <w:color w:val="auto"/>
        </w:rPr>
        <w:t>.</w:t>
      </w:r>
      <w:r>
        <w:rPr>
          <w:sz w:val="20"/>
          <w:szCs w:val="20"/>
          <w:color w:val="auto"/>
        </w:rPr>
        <w:tab/>
      </w:r>
      <w:r>
        <w:rPr>
          <w:rFonts w:ascii="Arial" w:cs="Arial" w:eastAsia="Arial" w:hAnsi="Arial"/>
          <w:sz w:val="16"/>
          <w:szCs w:val="16"/>
          <w:b w:val="1"/>
          <w:bCs w:val="1"/>
          <w:color w:val="auto"/>
        </w:rPr>
        <w:t>COUNTERPARTS</w:t>
      </w:r>
      <w:r>
        <w:rPr>
          <w:rFonts w:ascii="Arial" w:cs="Arial" w:eastAsia="Arial" w:hAnsi="Arial"/>
          <w:sz w:val="16"/>
          <w:szCs w:val="16"/>
          <w:color w:val="auto"/>
        </w:rPr>
        <w:t>. This Amendment may be signed originally</w:t>
      </w:r>
      <w:r>
        <w:rPr>
          <w:rFonts w:ascii="Arial" w:cs="Arial" w:eastAsia="Arial" w:hAnsi="Arial"/>
          <w:sz w:val="16"/>
          <w:szCs w:val="16"/>
          <w:b w:val="1"/>
          <w:bCs w:val="1"/>
          <w:color w:val="auto"/>
        </w:rPr>
        <w:t xml:space="preserve"> INTEGRATION</w:t>
      </w:r>
      <w:r>
        <w:rPr>
          <w:rFonts w:ascii="Arial" w:cs="Arial" w:eastAsia="Arial" w:hAnsi="Arial"/>
          <w:sz w:val="16"/>
          <w:szCs w:val="16"/>
          <w:color w:val="auto"/>
        </w:rPr>
        <w:t>. This Amendment and any documents executed in connection herewith or</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hereto contain the entire agreement between the parties with respect to the subject matter hereof and supersede all prior agreements, understandings, offers and negotiations, oral or written, with respect thereto except the Cooperation Agreement and no extrinsic evidence whatsoever may be introduced in any judicial or arbitration proceeding, if any, involving this Amendment.</w:t>
      </w:r>
    </w:p>
    <w:p>
      <w:pPr>
        <w:spacing w:after="0" w:line="124" w:lineRule="exact"/>
        <w:rPr>
          <w:sz w:val="20"/>
          <w:szCs w:val="20"/>
          <w:color w:val="auto"/>
        </w:rPr>
      </w:pPr>
    </w:p>
    <w:p>
      <w:pPr>
        <w:ind w:left="532"/>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authorized and caused this Amendment to be executed as of the date first written above.</w:t>
      </w:r>
    </w:p>
    <w:p>
      <w:pPr>
        <w:spacing w:after="0" w:line="318"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Arial" w:cs="Arial" w:eastAsia="Arial" w:hAnsi="Arial"/>
                <w:sz w:val="15"/>
                <w:szCs w:val="15"/>
                <w:b w:val="1"/>
                <w:bCs w:val="1"/>
                <w:color w:val="auto"/>
              </w:rPr>
              <w:t>ENPHASE ENERGY, INC.</w:t>
            </w:r>
          </w:p>
        </w:tc>
      </w:tr>
      <w:tr>
        <w:trPr>
          <w:trHeight w:val="324"/>
        </w:trPr>
        <w:tc>
          <w:tcPr>
            <w:tcW w:w="1240" w:type="dxa"/>
            <w:vAlign w:val="bottom"/>
          </w:tcPr>
          <w:p>
            <w:pPr>
              <w:spacing w:after="0"/>
              <w:rPr>
                <w:sz w:val="20"/>
                <w:szCs w:val="20"/>
                <w:color w:val="auto"/>
              </w:rPr>
            </w:pPr>
            <w:r>
              <w:rPr>
                <w:rFonts w:ascii="Arial" w:cs="Arial" w:eastAsia="Arial" w:hAnsi="Arial"/>
                <w:sz w:val="15"/>
                <w:szCs w:val="15"/>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Darien Spencer</w:t>
            </w:r>
          </w:p>
        </w:tc>
      </w:tr>
      <w:tr>
        <w:trPr>
          <w:trHeight w:val="201"/>
        </w:trPr>
        <w:tc>
          <w:tcPr>
            <w:tcW w:w="1240" w:type="dxa"/>
            <w:vAlign w:val="bottom"/>
          </w:tcPr>
          <w:p>
            <w:pPr>
              <w:spacing w:after="0"/>
              <w:rPr>
                <w:sz w:val="20"/>
                <w:szCs w:val="20"/>
                <w:color w:val="auto"/>
              </w:rPr>
            </w:pPr>
            <w:r>
              <w:rPr>
                <w:rFonts w:ascii="Arial" w:cs="Arial" w:eastAsia="Arial" w:hAnsi="Arial"/>
                <w:sz w:val="15"/>
                <w:szCs w:val="15"/>
                <w:color w:val="auto"/>
              </w:rPr>
              <w:t>Name:</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Darien Spencer</w:t>
            </w:r>
          </w:p>
        </w:tc>
      </w:tr>
      <w:tr>
        <w:trPr>
          <w:trHeight w:val="205"/>
        </w:trPr>
        <w:tc>
          <w:tcPr>
            <w:tcW w:w="1240" w:type="dxa"/>
            <w:vAlign w:val="bottom"/>
          </w:tcPr>
          <w:p>
            <w:pPr>
              <w:spacing w:after="0"/>
              <w:rPr>
                <w:sz w:val="20"/>
                <w:szCs w:val="20"/>
                <w:color w:val="auto"/>
              </w:rPr>
            </w:pPr>
            <w:r>
              <w:rPr>
                <w:rFonts w:ascii="Arial" w:cs="Arial" w:eastAsia="Arial" w:hAnsi="Arial"/>
                <w:sz w:val="15"/>
                <w:szCs w:val="15"/>
                <w:color w:val="auto"/>
              </w:rPr>
              <w:t>Title:</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VP, Global Operations</w:t>
            </w:r>
          </w:p>
        </w:tc>
      </w:tr>
    </w:tbl>
    <w:p>
      <w:pPr>
        <w:spacing w:after="0" w:line="289"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Arial" w:cs="Arial" w:eastAsia="Arial" w:hAnsi="Arial"/>
                <w:sz w:val="15"/>
                <w:szCs w:val="15"/>
                <w:b w:val="1"/>
                <w:bCs w:val="1"/>
                <w:color w:val="auto"/>
              </w:rPr>
              <w:t>PHOENIX CONTACT GMBH &amp; CO. KG</w:t>
            </w:r>
          </w:p>
        </w:tc>
        <w:tc>
          <w:tcPr>
            <w:tcW w:w="5600" w:type="dxa"/>
            <w:vAlign w:val="bottom"/>
            <w:gridSpan w:val="2"/>
          </w:tcPr>
          <w:p>
            <w:pPr>
              <w:ind w:left="140"/>
              <w:spacing w:after="0"/>
              <w:rPr>
                <w:sz w:val="20"/>
                <w:szCs w:val="20"/>
                <w:color w:val="auto"/>
              </w:rPr>
            </w:pPr>
            <w:r>
              <w:rPr>
                <w:rFonts w:ascii="Arial" w:cs="Arial" w:eastAsia="Arial" w:hAnsi="Arial"/>
                <w:sz w:val="15"/>
                <w:szCs w:val="15"/>
                <w:b w:val="1"/>
                <w:bCs w:val="1"/>
                <w:color w:val="auto"/>
              </w:rPr>
              <w:t>PHOENIX CONTACT USA, INC.</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5"/>
                <w:szCs w:val="15"/>
                <w:color w:val="auto"/>
              </w:rPr>
              <w:t>By:</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Torsten Janwlecke</w:t>
            </w:r>
          </w:p>
        </w:tc>
        <w:tc>
          <w:tcPr>
            <w:tcW w:w="1260" w:type="dxa"/>
            <w:vAlign w:val="bottom"/>
          </w:tcPr>
          <w:p>
            <w:pPr>
              <w:ind w:left="140"/>
              <w:spacing w:after="0"/>
              <w:rPr>
                <w:sz w:val="20"/>
                <w:szCs w:val="20"/>
                <w:color w:val="auto"/>
              </w:rPr>
            </w:pPr>
            <w:r>
              <w:rPr>
                <w:rFonts w:ascii="Arial" w:cs="Arial" w:eastAsia="Arial" w:hAnsi="Arial"/>
                <w:sz w:val="15"/>
                <w:szCs w:val="15"/>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Jack Nehlig</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5"/>
                <w:szCs w:val="15"/>
                <w:color w:val="auto"/>
              </w:rPr>
              <w:t>Name:</w:t>
            </w:r>
          </w:p>
        </w:tc>
        <w:tc>
          <w:tcPr>
            <w:tcW w:w="4700" w:type="dxa"/>
            <w:vAlign w:val="bottom"/>
          </w:tcPr>
          <w:p>
            <w:pPr>
              <w:ind w:left="40"/>
              <w:spacing w:after="0"/>
              <w:rPr>
                <w:sz w:val="20"/>
                <w:szCs w:val="20"/>
                <w:color w:val="auto"/>
              </w:rPr>
            </w:pPr>
            <w:r>
              <w:rPr>
                <w:rFonts w:ascii="Arial" w:cs="Arial" w:eastAsia="Arial" w:hAnsi="Arial"/>
                <w:sz w:val="15"/>
                <w:szCs w:val="15"/>
                <w:color w:val="auto"/>
              </w:rPr>
              <w:t>Torsten Janwlecke</w:t>
            </w:r>
          </w:p>
        </w:tc>
        <w:tc>
          <w:tcPr>
            <w:tcW w:w="1260" w:type="dxa"/>
            <w:vAlign w:val="bottom"/>
          </w:tcPr>
          <w:p>
            <w:pPr>
              <w:ind w:left="140"/>
              <w:spacing w:after="0"/>
              <w:rPr>
                <w:sz w:val="20"/>
                <w:szCs w:val="20"/>
                <w:color w:val="auto"/>
              </w:rPr>
            </w:pPr>
            <w:r>
              <w:rPr>
                <w:rFonts w:ascii="Arial" w:cs="Arial" w:eastAsia="Arial" w:hAnsi="Arial"/>
                <w:sz w:val="15"/>
                <w:szCs w:val="15"/>
                <w:color w:val="auto"/>
              </w:rPr>
              <w:t>Name:</w:t>
            </w:r>
          </w:p>
        </w:tc>
        <w:tc>
          <w:tcPr>
            <w:tcW w:w="4340" w:type="dxa"/>
            <w:vAlign w:val="bottom"/>
            <w:vMerge w:val="restart"/>
          </w:tcPr>
          <w:p>
            <w:pPr>
              <w:ind w:left="20"/>
              <w:spacing w:after="0"/>
              <w:rPr>
                <w:sz w:val="20"/>
                <w:szCs w:val="20"/>
                <w:color w:val="auto"/>
              </w:rPr>
            </w:pPr>
            <w:r>
              <w:rPr>
                <w:rFonts w:ascii="Arial" w:cs="Arial" w:eastAsia="Arial" w:hAnsi="Arial"/>
                <w:sz w:val="15"/>
                <w:szCs w:val="15"/>
                <w:color w:val="auto"/>
              </w:rPr>
              <w:t>Jack Nehlig</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4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20" w:type="dxa"/>
            <w:vAlign w:val="bottom"/>
          </w:tcPr>
          <w:p>
            <w:pPr>
              <w:spacing w:after="0"/>
              <w:rPr>
                <w:sz w:val="20"/>
                <w:szCs w:val="20"/>
                <w:color w:val="auto"/>
              </w:rPr>
            </w:pPr>
            <w:r>
              <w:rPr>
                <w:rFonts w:ascii="Arial" w:cs="Arial" w:eastAsia="Arial" w:hAnsi="Arial"/>
                <w:sz w:val="15"/>
                <w:szCs w:val="15"/>
                <w:color w:val="auto"/>
              </w:rPr>
              <w:t>Title:</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President</w:t>
            </w:r>
          </w:p>
        </w:tc>
        <w:tc>
          <w:tcPr>
            <w:tcW w:w="1260" w:type="dxa"/>
            <w:vAlign w:val="bottom"/>
          </w:tcPr>
          <w:p>
            <w:pPr>
              <w:ind w:left="140"/>
              <w:spacing w:after="0"/>
              <w:rPr>
                <w:sz w:val="20"/>
                <w:szCs w:val="20"/>
                <w:color w:val="auto"/>
              </w:rPr>
            </w:pPr>
            <w:r>
              <w:rPr>
                <w:rFonts w:ascii="Arial" w:cs="Arial" w:eastAsia="Arial" w:hAnsi="Arial"/>
                <w:sz w:val="15"/>
                <w:szCs w:val="15"/>
                <w:color w:val="auto"/>
              </w:rPr>
              <w:t>Title:</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1452"/>
          </w:cols>
          <w:pgMar w:left="228" w:top="327"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5"/>
          <w:szCs w:val="15"/>
          <w:b w:val="1"/>
          <w:bCs w:val="1"/>
          <w:color w:val="auto"/>
        </w:rPr>
        <w:t>Exhibit 10.4</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#1 to the Flextronics Logistics Services Agreement</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This Amendment # 1 (“Amendment #1) to the Flextronics Logistics Services Agreement with an effective date of May 1</w:t>
      </w:r>
      <w:r>
        <w:rPr>
          <w:rFonts w:ascii="Arial" w:cs="Arial" w:eastAsia="Arial" w:hAnsi="Arial"/>
          <w:sz w:val="17"/>
          <w:szCs w:val="17"/>
          <w:color w:val="auto"/>
          <w:vertAlign w:val="superscript"/>
        </w:rPr>
        <w:t>st</w:t>
      </w:r>
      <w:r>
        <w:rPr>
          <w:rFonts w:ascii="Arial" w:cs="Arial" w:eastAsia="Arial" w:hAnsi="Arial"/>
          <w:sz w:val="15"/>
          <w:szCs w:val="15"/>
          <w:color w:val="auto"/>
        </w:rPr>
        <w:t>, 2009 (“Agreement”) is entered into as of this 28</w:t>
      </w:r>
      <w:r>
        <w:rPr>
          <w:rFonts w:ascii="Arial" w:cs="Arial" w:eastAsia="Arial" w:hAnsi="Arial"/>
          <w:sz w:val="17"/>
          <w:szCs w:val="17"/>
          <w:color w:val="auto"/>
          <w:vertAlign w:val="superscript"/>
        </w:rPr>
        <w:t>th</w:t>
      </w:r>
      <w:r>
        <w:rPr>
          <w:rFonts w:ascii="Arial" w:cs="Arial" w:eastAsia="Arial" w:hAnsi="Arial"/>
          <w:sz w:val="15"/>
          <w:szCs w:val="15"/>
          <w:color w:val="auto"/>
        </w:rPr>
        <w:t xml:space="preserve"> day of July, 2016 (the “Effective Date”), by and between Enphase Energy, Inc. (“Enphase”), with an address at 201 1</w:t>
      </w:r>
      <w:r>
        <w:rPr>
          <w:rFonts w:ascii="Arial" w:cs="Arial" w:eastAsia="Arial" w:hAnsi="Arial"/>
          <w:sz w:val="17"/>
          <w:szCs w:val="17"/>
          <w:color w:val="auto"/>
          <w:vertAlign w:val="superscript"/>
        </w:rPr>
        <w:t>st</w:t>
      </w:r>
      <w:r>
        <w:rPr>
          <w:rFonts w:ascii="Arial" w:cs="Arial" w:eastAsia="Arial" w:hAnsi="Arial"/>
          <w:sz w:val="15"/>
          <w:szCs w:val="15"/>
          <w:color w:val="auto"/>
        </w:rPr>
        <w:t xml:space="preserve"> Street, Petaluma, CA 94952, and Flextronics America LLC (“Flextronics”) with an address of 260 South Milpitas Blvd., Milpitas, CA 95035 (together the “Parties”).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For valuable consideration, the sufficiency of which is hereby acknowledged, the Parties agree:</w:t>
      </w:r>
    </w:p>
    <w:p>
      <w:pPr>
        <w:spacing w:after="0" w:line="181" w:lineRule="exact"/>
        <w:rPr>
          <w:sz w:val="20"/>
          <w:szCs w:val="20"/>
          <w:color w:val="auto"/>
        </w:rPr>
      </w:pPr>
    </w:p>
    <w:p>
      <w:pPr>
        <w:ind w:left="540" w:hanging="266"/>
        <w:spacing w:after="0" w:line="258"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That from time to time, Enphase will request Flex to arrange for the shipment of certain Goods including but not limited to raw materials, finished goods inventory, defective product returned, demonstration or evaluation units and equipment to Australia (“Australia Goods”).</w:t>
      </w:r>
    </w:p>
    <w:p>
      <w:pPr>
        <w:ind w:left="540" w:hanging="266"/>
        <w:spacing w:after="0" w:line="246"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 xml:space="preserve">In connection with these Australia Goods, Enphase intends to use the services of a logistics services provider called </w:t>
      </w:r>
      <w:r>
        <w:rPr>
          <w:rFonts w:ascii="Arial" w:cs="Arial" w:eastAsia="Arial" w:hAnsi="Arial"/>
          <w:sz w:val="15"/>
          <w:szCs w:val="15"/>
          <w:u w:val="single" w:color="auto"/>
          <w:color w:val="auto"/>
        </w:rPr>
        <w:t>YUSEN LOGISTICS (AUST) PTY LTD</w:t>
      </w:r>
      <w:r>
        <w:rPr>
          <w:rFonts w:ascii="Arial" w:cs="Arial" w:eastAsia="Arial" w:hAnsi="Arial"/>
          <w:sz w:val="15"/>
          <w:szCs w:val="15"/>
          <w:color w:val="auto"/>
        </w:rPr>
        <w:t xml:space="preserve"> (“Yusen”) located at </w:t>
      </w:r>
      <w:r>
        <w:rPr>
          <w:rFonts w:ascii="Arial" w:cs="Arial" w:eastAsia="Arial" w:hAnsi="Arial"/>
          <w:sz w:val="15"/>
          <w:szCs w:val="15"/>
          <w:u w:val="single" w:color="auto"/>
          <w:color w:val="auto"/>
        </w:rPr>
        <w:t>3 Davis Rd, Wetherill Park, NSW 2164,</w:t>
      </w:r>
      <w:r>
        <w:rPr>
          <w:rFonts w:ascii="Arial" w:cs="Arial" w:eastAsia="Arial" w:hAnsi="Arial"/>
          <w:sz w:val="15"/>
          <w:szCs w:val="15"/>
          <w:color w:val="auto"/>
        </w:rPr>
        <w:t xml:space="preserve"> Australia. For a separately agreed service fee, Flextronics shall manage the relationship with Yusen.</w:t>
      </w:r>
    </w:p>
    <w:p>
      <w:pPr>
        <w:ind w:left="540" w:hanging="266"/>
        <w:spacing w:after="0" w:line="246"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Notwithstanding any terms to the contrary in the Agreement, Flextronics shall have no liability of any kind in connection with Australia Goods delivered to Yusen by Enphase or by Flextronics on behalf of Enphase.</w:t>
      </w:r>
    </w:p>
    <w:p>
      <w:pPr>
        <w:ind w:left="540" w:hanging="266"/>
        <w:spacing w:after="0" w:line="246"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Flextronics shall have no liability for loss or damage to Goods while such Australia Goods are in the care, control or custody of Yusen or in transit to Yusen or from Yusen.</w:t>
      </w:r>
    </w:p>
    <w:p>
      <w:pPr>
        <w:ind w:left="540" w:right="20" w:hanging="266"/>
        <w:spacing w:after="0" w:line="246"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Enphase shall be solely responsible for insuring the Australia Goods against all risks while they are under Yusen’s or under Flextronics’s care, control and custody, and Flextronics will not provide or obtain on behalf of Enphase any form or type of insurance on the Australia Goods.</w:t>
      </w:r>
    </w:p>
    <w:p>
      <w:pPr>
        <w:ind w:left="540" w:hanging="266"/>
        <w:spacing w:after="0" w:line="246"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Flextronics will make commercially reasonable efforts to assist Enphase to obtain relevant documentation to assist Enphase if a claim is made involving loss or damage to Australia Goods while in transit to or from Yusen, or while Australia Goods are in the control, care or custody of Yusen.</w:t>
      </w:r>
    </w:p>
    <w:p>
      <w:pPr>
        <w:ind w:left="540" w:hanging="266"/>
        <w:spacing w:after="0" w:line="246"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Capitalized terms not otherwise defined herein shall have the meanings assigned to them in the Agreement. Except as set forth herein, all other terms and conditions of the Agreement remain in full force and effect.</w:t>
      </w:r>
    </w:p>
    <w:p>
      <w:pPr>
        <w:ind w:left="540" w:hanging="266"/>
        <w:spacing w:after="0"/>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 the event of a conflict between the provisions of the Agreement and this Amendment #1, the provisions of this Amendment #1 shall supersede and prevail.</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Accepted and Agreed to by</w:t>
      </w:r>
      <w:r>
        <w:rPr>
          <w:rFonts w:ascii="Arial" w:cs="Arial" w:eastAsia="Arial" w:hAnsi="Arial"/>
          <w:sz w:val="15"/>
          <w:szCs w:val="15"/>
          <w:color w:val="auto"/>
        </w:rPr>
        <w:t>:</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1440" w:type="dxa"/>
            <w:vAlign w:val="bottom"/>
          </w:tcPr>
          <w:p>
            <w:pPr>
              <w:spacing w:after="0"/>
              <w:rPr>
                <w:sz w:val="20"/>
                <w:szCs w:val="20"/>
                <w:color w:val="auto"/>
              </w:rPr>
            </w:pPr>
            <w:r>
              <w:rPr>
                <w:rFonts w:ascii="Arial" w:cs="Arial" w:eastAsia="Arial" w:hAnsi="Arial"/>
                <w:sz w:val="15"/>
                <w:szCs w:val="15"/>
                <w:color w:val="auto"/>
                <w:w w:val="98"/>
              </w:rPr>
              <w:t>Enphase Energy, Inc.</w:t>
            </w:r>
          </w:p>
        </w:tc>
        <w:tc>
          <w:tcPr>
            <w:tcW w:w="3420" w:type="dxa"/>
            <w:vAlign w:val="bottom"/>
          </w:tcPr>
          <w:p>
            <w:pPr>
              <w:spacing w:after="0"/>
              <w:rPr>
                <w:sz w:val="17"/>
                <w:szCs w:val="17"/>
                <w:color w:val="auto"/>
              </w:rPr>
            </w:pPr>
          </w:p>
        </w:tc>
        <w:tc>
          <w:tcPr>
            <w:tcW w:w="3800" w:type="dxa"/>
            <w:vAlign w:val="bottom"/>
          </w:tcPr>
          <w:p>
            <w:pPr>
              <w:ind w:left="2120"/>
              <w:spacing w:after="0"/>
              <w:rPr>
                <w:sz w:val="20"/>
                <w:szCs w:val="20"/>
                <w:color w:val="auto"/>
              </w:rPr>
            </w:pPr>
            <w:r>
              <w:rPr>
                <w:rFonts w:ascii="Arial" w:cs="Arial" w:eastAsia="Arial" w:hAnsi="Arial"/>
                <w:sz w:val="15"/>
                <w:szCs w:val="15"/>
                <w:color w:val="auto"/>
                <w:w w:val="99"/>
              </w:rPr>
              <w:t>Flextronics America LLC:</w:t>
            </w:r>
          </w:p>
        </w:tc>
        <w:tc>
          <w:tcPr>
            <w:tcW w:w="1380" w:type="dxa"/>
            <w:vAlign w:val="bottom"/>
          </w:tcPr>
          <w:p>
            <w:pPr>
              <w:spacing w:after="0"/>
              <w:rPr>
                <w:sz w:val="17"/>
                <w:szCs w:val="17"/>
                <w:color w:val="auto"/>
              </w:rPr>
            </w:pPr>
          </w:p>
        </w:tc>
      </w:tr>
      <w:tr>
        <w:trPr>
          <w:trHeight w:val="741"/>
        </w:trPr>
        <w:tc>
          <w:tcPr>
            <w:tcW w:w="1440" w:type="dxa"/>
            <w:vAlign w:val="bottom"/>
          </w:tcPr>
          <w:p>
            <w:pPr>
              <w:spacing w:after="0"/>
              <w:rPr>
                <w:sz w:val="20"/>
                <w:szCs w:val="20"/>
                <w:color w:val="auto"/>
              </w:rPr>
            </w:pPr>
            <w:r>
              <w:rPr>
                <w:rFonts w:ascii="Arial" w:cs="Arial" w:eastAsia="Arial" w:hAnsi="Arial"/>
                <w:sz w:val="15"/>
                <w:szCs w:val="15"/>
                <w:color w:val="auto"/>
              </w:rPr>
              <w:t>Signature:</w:t>
            </w:r>
          </w:p>
        </w:tc>
        <w:tc>
          <w:tcPr>
            <w:tcW w:w="3420" w:type="dxa"/>
            <w:vAlign w:val="bottom"/>
          </w:tcPr>
          <w:p>
            <w:pPr>
              <w:spacing w:after="0"/>
              <w:rPr>
                <w:sz w:val="24"/>
                <w:szCs w:val="24"/>
                <w:color w:val="auto"/>
              </w:rPr>
            </w:pPr>
          </w:p>
        </w:tc>
        <w:tc>
          <w:tcPr>
            <w:tcW w:w="3800" w:type="dxa"/>
            <w:vAlign w:val="bottom"/>
          </w:tcPr>
          <w:p>
            <w:pPr>
              <w:ind w:left="2120"/>
              <w:spacing w:after="0"/>
              <w:rPr>
                <w:sz w:val="20"/>
                <w:szCs w:val="20"/>
                <w:color w:val="auto"/>
              </w:rPr>
            </w:pPr>
            <w:r>
              <w:rPr>
                <w:rFonts w:ascii="Arial" w:cs="Arial" w:eastAsia="Arial" w:hAnsi="Arial"/>
                <w:sz w:val="15"/>
                <w:szCs w:val="15"/>
                <w:color w:val="auto"/>
              </w:rPr>
              <w:t>Signature:</w:t>
            </w:r>
          </w:p>
        </w:tc>
        <w:tc>
          <w:tcPr>
            <w:tcW w:w="1380" w:type="dxa"/>
            <w:vAlign w:val="bottom"/>
          </w:tcPr>
          <w:p>
            <w:pPr>
              <w:spacing w:after="0"/>
              <w:rPr>
                <w:sz w:val="24"/>
                <w:szCs w:val="24"/>
                <w:color w:val="auto"/>
              </w:rPr>
            </w:pPr>
          </w:p>
        </w:tc>
      </w:tr>
      <w:tr>
        <w:trPr>
          <w:trHeight w:val="265"/>
        </w:trPr>
        <w:tc>
          <w:tcPr>
            <w:tcW w:w="1440" w:type="dxa"/>
            <w:vAlign w:val="bottom"/>
          </w:tcPr>
          <w:p>
            <w:pPr>
              <w:spacing w:after="0"/>
              <w:rPr>
                <w:sz w:val="23"/>
                <w:szCs w:val="23"/>
                <w:color w:val="auto"/>
              </w:rPr>
            </w:pPr>
          </w:p>
        </w:tc>
        <w:tc>
          <w:tcPr>
            <w:tcW w:w="3420" w:type="dxa"/>
            <w:vAlign w:val="bottom"/>
          </w:tcPr>
          <w:p>
            <w:pPr>
              <w:ind w:left="40"/>
              <w:spacing w:after="0"/>
              <w:rPr>
                <w:sz w:val="20"/>
                <w:szCs w:val="20"/>
                <w:color w:val="auto"/>
              </w:rPr>
            </w:pPr>
            <w:r>
              <w:rPr>
                <w:rFonts w:ascii="Arial" w:cs="Arial" w:eastAsia="Arial" w:hAnsi="Arial"/>
                <w:sz w:val="15"/>
                <w:szCs w:val="15"/>
                <w:color w:val="auto"/>
              </w:rPr>
              <w:t>/s/ Jeffery Rosen</w:t>
            </w:r>
          </w:p>
        </w:tc>
        <w:tc>
          <w:tcPr>
            <w:tcW w:w="3800" w:type="dxa"/>
            <w:vAlign w:val="bottom"/>
          </w:tcPr>
          <w:p>
            <w:pPr>
              <w:spacing w:after="0"/>
              <w:rPr>
                <w:sz w:val="23"/>
                <w:szCs w:val="23"/>
                <w:color w:val="auto"/>
              </w:rPr>
            </w:pPr>
          </w:p>
        </w:tc>
        <w:tc>
          <w:tcPr>
            <w:tcW w:w="1380" w:type="dxa"/>
            <w:vAlign w:val="bottom"/>
          </w:tcPr>
          <w:p>
            <w:pPr>
              <w:ind w:left="40"/>
              <w:spacing w:after="0"/>
              <w:rPr>
                <w:sz w:val="20"/>
                <w:szCs w:val="20"/>
                <w:color w:val="auto"/>
              </w:rPr>
            </w:pPr>
            <w:r>
              <w:rPr>
                <w:rFonts w:ascii="Arial" w:cs="Arial" w:eastAsia="Arial" w:hAnsi="Arial"/>
                <w:sz w:val="15"/>
                <w:szCs w:val="15"/>
                <w:color w:val="auto"/>
              </w:rPr>
              <w:t>/s/ Timothy Stewart</w:t>
            </w:r>
          </w:p>
        </w:tc>
      </w:tr>
      <w:tr>
        <w:trPr>
          <w:trHeight w:val="210"/>
        </w:trPr>
        <w:tc>
          <w:tcPr>
            <w:tcW w:w="1440" w:type="dxa"/>
            <w:vAlign w:val="bottom"/>
          </w:tcPr>
          <w:p>
            <w:pPr>
              <w:spacing w:after="0"/>
              <w:rPr>
                <w:sz w:val="20"/>
                <w:szCs w:val="20"/>
                <w:color w:val="auto"/>
              </w:rPr>
            </w:pPr>
            <w:r>
              <w:rPr>
                <w:rFonts w:ascii="Arial" w:cs="Arial" w:eastAsia="Arial" w:hAnsi="Arial"/>
                <w:sz w:val="15"/>
                <w:szCs w:val="15"/>
                <w:color w:val="auto"/>
              </w:rPr>
              <w:t>Name:</w:t>
            </w:r>
          </w:p>
        </w:tc>
        <w:tc>
          <w:tcPr>
            <w:tcW w:w="3420" w:type="dxa"/>
            <w:vAlign w:val="bottom"/>
          </w:tcPr>
          <w:p>
            <w:pPr>
              <w:ind w:left="40"/>
              <w:spacing w:after="0"/>
              <w:rPr>
                <w:sz w:val="20"/>
                <w:szCs w:val="20"/>
                <w:color w:val="auto"/>
              </w:rPr>
            </w:pPr>
            <w:r>
              <w:rPr>
                <w:rFonts w:ascii="Arial" w:cs="Arial" w:eastAsia="Arial" w:hAnsi="Arial"/>
                <w:sz w:val="15"/>
                <w:szCs w:val="15"/>
                <w:color w:val="auto"/>
              </w:rPr>
              <w:t>Jeffery Rosen</w:t>
            </w:r>
          </w:p>
        </w:tc>
        <w:tc>
          <w:tcPr>
            <w:tcW w:w="3800" w:type="dxa"/>
            <w:vAlign w:val="bottom"/>
          </w:tcPr>
          <w:p>
            <w:pPr>
              <w:ind w:left="2120"/>
              <w:spacing w:after="0"/>
              <w:rPr>
                <w:sz w:val="20"/>
                <w:szCs w:val="20"/>
                <w:color w:val="auto"/>
              </w:rPr>
            </w:pPr>
            <w:r>
              <w:rPr>
                <w:rFonts w:ascii="Arial" w:cs="Arial" w:eastAsia="Arial" w:hAnsi="Arial"/>
                <w:sz w:val="15"/>
                <w:szCs w:val="15"/>
                <w:color w:val="auto"/>
              </w:rPr>
              <w:t>Name:</w:t>
            </w:r>
          </w:p>
        </w:tc>
        <w:tc>
          <w:tcPr>
            <w:tcW w:w="1380" w:type="dxa"/>
            <w:vAlign w:val="bottom"/>
          </w:tcPr>
          <w:p>
            <w:pPr>
              <w:ind w:left="40"/>
              <w:spacing w:after="0"/>
              <w:rPr>
                <w:sz w:val="20"/>
                <w:szCs w:val="20"/>
                <w:color w:val="auto"/>
              </w:rPr>
            </w:pPr>
            <w:r>
              <w:rPr>
                <w:rFonts w:ascii="Arial" w:cs="Arial" w:eastAsia="Arial" w:hAnsi="Arial"/>
                <w:sz w:val="15"/>
                <w:szCs w:val="15"/>
                <w:color w:val="auto"/>
              </w:rPr>
              <w:t>Timothy Stewart</w:t>
            </w:r>
          </w:p>
        </w:tc>
      </w:tr>
      <w:tr>
        <w:trPr>
          <w:trHeight w:val="475"/>
        </w:trPr>
        <w:tc>
          <w:tcPr>
            <w:tcW w:w="1440" w:type="dxa"/>
            <w:vAlign w:val="bottom"/>
          </w:tcPr>
          <w:p>
            <w:pPr>
              <w:spacing w:after="0"/>
              <w:rPr>
                <w:sz w:val="20"/>
                <w:szCs w:val="20"/>
                <w:color w:val="auto"/>
              </w:rPr>
            </w:pPr>
            <w:r>
              <w:rPr>
                <w:rFonts w:ascii="Arial" w:cs="Arial" w:eastAsia="Arial" w:hAnsi="Arial"/>
                <w:sz w:val="15"/>
                <w:szCs w:val="15"/>
                <w:color w:val="auto"/>
              </w:rPr>
              <w:t>Date:</w:t>
            </w:r>
          </w:p>
        </w:tc>
        <w:tc>
          <w:tcPr>
            <w:tcW w:w="3420" w:type="dxa"/>
            <w:vAlign w:val="bottom"/>
          </w:tcPr>
          <w:p>
            <w:pPr>
              <w:ind w:left="40"/>
              <w:spacing w:after="0"/>
              <w:rPr>
                <w:sz w:val="20"/>
                <w:szCs w:val="20"/>
                <w:color w:val="auto"/>
              </w:rPr>
            </w:pPr>
            <w:r>
              <w:rPr>
                <w:rFonts w:ascii="Arial" w:cs="Arial" w:eastAsia="Arial" w:hAnsi="Arial"/>
                <w:sz w:val="15"/>
                <w:szCs w:val="15"/>
                <w:color w:val="auto"/>
              </w:rPr>
              <w:t>September 8, 2016</w:t>
            </w:r>
          </w:p>
        </w:tc>
        <w:tc>
          <w:tcPr>
            <w:tcW w:w="3800" w:type="dxa"/>
            <w:vAlign w:val="bottom"/>
          </w:tcPr>
          <w:p>
            <w:pPr>
              <w:ind w:left="2120"/>
              <w:spacing w:after="0"/>
              <w:rPr>
                <w:sz w:val="20"/>
                <w:szCs w:val="20"/>
                <w:color w:val="auto"/>
              </w:rPr>
            </w:pPr>
            <w:r>
              <w:rPr>
                <w:rFonts w:ascii="Arial" w:cs="Arial" w:eastAsia="Arial" w:hAnsi="Arial"/>
                <w:sz w:val="15"/>
                <w:szCs w:val="15"/>
                <w:color w:val="auto"/>
              </w:rPr>
              <w:t>Date:</w:t>
            </w:r>
          </w:p>
        </w:tc>
        <w:tc>
          <w:tcPr>
            <w:tcW w:w="1380" w:type="dxa"/>
            <w:vAlign w:val="bottom"/>
          </w:tcPr>
          <w:p>
            <w:pPr>
              <w:ind w:left="40"/>
              <w:spacing w:after="0"/>
              <w:rPr>
                <w:sz w:val="20"/>
                <w:szCs w:val="20"/>
                <w:color w:val="auto"/>
              </w:rPr>
            </w:pPr>
            <w:r>
              <w:rPr>
                <w:rFonts w:ascii="Arial" w:cs="Arial" w:eastAsia="Arial" w:hAnsi="Arial"/>
                <w:sz w:val="15"/>
                <w:szCs w:val="15"/>
                <w:color w:val="auto"/>
                <w:w w:val="97"/>
              </w:rPr>
              <w:t>September 12, 2016</w:t>
            </w:r>
          </w:p>
        </w:tc>
      </w:tr>
    </w:tbl>
    <w:p>
      <w:pPr>
        <w:sectPr>
          <w:pgSz w:w="11900" w:h="16838" w:orient="portrait"/>
          <w:cols w:equalWidth="0" w:num="1">
            <w:col w:w="11460"/>
          </w:cols>
          <w:pgMar w:left="220" w:top="318" w:right="2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5"/>
          <w:szCs w:val="15"/>
          <w:b w:val="1"/>
          <w:bCs w:val="1"/>
          <w:color w:val="auto"/>
        </w:rPr>
        <w:t>Exhibit 31.1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I, Paul B. Nahi, certify that:</w:t>
      </w:r>
    </w:p>
    <w:p>
      <w:pPr>
        <w:spacing w:after="0" w:line="159"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I have reviewed this Form 10-Q of Enphase Energy, Inc.;</w:t>
      </w:r>
    </w:p>
    <w:p>
      <w:pPr>
        <w:spacing w:after="0" w:line="159" w:lineRule="exact"/>
        <w:rPr>
          <w:rFonts w:ascii="Arial" w:cs="Arial" w:eastAsia="Arial" w:hAnsi="Arial"/>
          <w:sz w:val="15"/>
          <w:szCs w:val="15"/>
          <w:color w:val="auto"/>
        </w:rPr>
      </w:pPr>
    </w:p>
    <w:p>
      <w:pPr>
        <w:ind w:left="280" w:right="300" w:hanging="272"/>
        <w:spacing w:after="0" w:line="280" w:lineRule="auto"/>
        <w:tabs>
          <w:tab w:leader="none" w:pos="2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Arial" w:cs="Arial" w:eastAsia="Arial" w:hAnsi="Arial"/>
          <w:sz w:val="15"/>
          <w:szCs w:val="15"/>
          <w:color w:val="auto"/>
        </w:rPr>
      </w:pPr>
    </w:p>
    <w:p>
      <w:pPr>
        <w:ind w:left="280" w:right="40" w:hanging="272"/>
        <w:spacing w:after="0" w:line="280" w:lineRule="auto"/>
        <w:tabs>
          <w:tab w:leader="none" w:pos="2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280" w:right="80" w:hanging="272"/>
        <w:spacing w:after="0" w:line="280" w:lineRule="auto"/>
        <w:tabs>
          <w:tab w:leader="none" w:pos="2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5"/>
          <w:szCs w:val="15"/>
          <w:color w:val="auto"/>
        </w:rPr>
      </w:pPr>
    </w:p>
    <w:p>
      <w:pPr>
        <w:ind w:left="940" w:right="220" w:hanging="268"/>
        <w:spacing w:after="0" w:line="263" w:lineRule="auto"/>
        <w:tabs>
          <w:tab w:leader="none" w:pos="94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5"/>
          <w:szCs w:val="15"/>
          <w:color w:val="auto"/>
        </w:rPr>
      </w:pPr>
    </w:p>
    <w:p>
      <w:pPr>
        <w:ind w:left="940" w:right="40" w:hanging="268"/>
        <w:spacing w:after="0" w:line="263" w:lineRule="auto"/>
        <w:tabs>
          <w:tab w:leader="none" w:pos="94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5"/>
          <w:szCs w:val="15"/>
          <w:color w:val="auto"/>
        </w:rPr>
      </w:pPr>
    </w:p>
    <w:p>
      <w:pPr>
        <w:ind w:left="940" w:right="380" w:hanging="268"/>
        <w:spacing w:after="0" w:line="280" w:lineRule="auto"/>
        <w:tabs>
          <w:tab w:leader="none" w:pos="94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940" w:right="220" w:hanging="268"/>
        <w:spacing w:after="0" w:line="263" w:lineRule="auto"/>
        <w:tabs>
          <w:tab w:leader="none" w:pos="94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5"/>
          <w:szCs w:val="15"/>
          <w:color w:val="auto"/>
        </w:rPr>
      </w:pPr>
    </w:p>
    <w:p>
      <w:pPr>
        <w:ind w:left="280" w:right="220" w:hanging="272"/>
        <w:spacing w:after="0" w:line="280" w:lineRule="auto"/>
        <w:tabs>
          <w:tab w:leader="none" w:pos="28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5"/>
          <w:szCs w:val="15"/>
          <w:color w:val="auto"/>
        </w:rPr>
      </w:pPr>
    </w:p>
    <w:p>
      <w:pPr>
        <w:ind w:left="940" w:right="100" w:hanging="268"/>
        <w:spacing w:after="0" w:line="280" w:lineRule="auto"/>
        <w:tabs>
          <w:tab w:leader="none" w:pos="94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5"/>
          <w:szCs w:val="15"/>
          <w:color w:val="auto"/>
        </w:rPr>
      </w:pPr>
    </w:p>
    <w:p>
      <w:pPr>
        <w:ind w:left="940" w:right="340" w:hanging="268"/>
        <w:spacing w:after="0" w:line="280" w:lineRule="auto"/>
        <w:tabs>
          <w:tab w:leader="none" w:pos="94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 2016</w:t>
      </w:r>
    </w:p>
    <w:p>
      <w:pPr>
        <w:spacing w:after="0" w:line="35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21590</wp:posOffset>
            </wp:positionV>
            <wp:extent cx="268097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80970" cy="698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Paul B. Nahi</w:t>
      </w:r>
    </w:p>
    <w:p>
      <w:pPr>
        <w:spacing w:after="0" w:line="49"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President and Chief Executive Officer</w:t>
      </w:r>
    </w:p>
    <w:p>
      <w:pPr>
        <w:spacing w:after="0" w:line="49"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60"/>
          </w:cols>
          <w:pgMar w:left="220" w:top="782" w:right="2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5"/>
          <w:szCs w:val="15"/>
          <w:b w:val="1"/>
          <w:bCs w:val="1"/>
          <w:color w:val="auto"/>
        </w:rPr>
        <w:t>Exhibit 31.2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CERTIFICATION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I, Humberto Garcia, certify that:</w:t>
      </w:r>
    </w:p>
    <w:p>
      <w:pPr>
        <w:spacing w:after="0" w:line="159" w:lineRule="exact"/>
        <w:rPr>
          <w:sz w:val="20"/>
          <w:szCs w:val="20"/>
          <w:color w:val="auto"/>
        </w:rPr>
      </w:pPr>
    </w:p>
    <w:p>
      <w:pPr>
        <w:ind w:left="280" w:hanging="272"/>
        <w:spacing w:after="0"/>
        <w:tabs>
          <w:tab w:leader="none" w:pos="2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 have reviewed this Form 10-Q of Enphase Energy, Inc.;</w:t>
      </w:r>
    </w:p>
    <w:p>
      <w:pPr>
        <w:spacing w:after="0" w:line="159" w:lineRule="exact"/>
        <w:rPr>
          <w:rFonts w:ascii="Arial" w:cs="Arial" w:eastAsia="Arial" w:hAnsi="Arial"/>
          <w:sz w:val="15"/>
          <w:szCs w:val="15"/>
          <w:color w:val="auto"/>
        </w:rPr>
      </w:pPr>
    </w:p>
    <w:p>
      <w:pPr>
        <w:ind w:left="280" w:right="300" w:hanging="272"/>
        <w:spacing w:after="0" w:line="280" w:lineRule="auto"/>
        <w:tabs>
          <w:tab w:leader="none" w:pos="2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Arial" w:cs="Arial" w:eastAsia="Arial" w:hAnsi="Arial"/>
          <w:sz w:val="15"/>
          <w:szCs w:val="15"/>
          <w:color w:val="auto"/>
        </w:rPr>
      </w:pPr>
    </w:p>
    <w:p>
      <w:pPr>
        <w:ind w:left="280" w:right="40" w:hanging="272"/>
        <w:spacing w:after="0" w:line="280" w:lineRule="auto"/>
        <w:tabs>
          <w:tab w:leader="none" w:pos="2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280" w:right="80" w:hanging="272"/>
        <w:spacing w:after="0" w:line="280" w:lineRule="auto"/>
        <w:tabs>
          <w:tab w:leader="none" w:pos="2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5"/>
          <w:szCs w:val="15"/>
          <w:color w:val="auto"/>
        </w:rPr>
      </w:pPr>
    </w:p>
    <w:p>
      <w:pPr>
        <w:ind w:left="940" w:right="220" w:hanging="268"/>
        <w:spacing w:after="0" w:line="263" w:lineRule="auto"/>
        <w:tabs>
          <w:tab w:leader="none" w:pos="94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5"/>
          <w:szCs w:val="15"/>
          <w:color w:val="auto"/>
        </w:rPr>
      </w:pPr>
    </w:p>
    <w:p>
      <w:pPr>
        <w:ind w:left="940" w:right="40" w:hanging="268"/>
        <w:spacing w:after="0" w:line="263" w:lineRule="auto"/>
        <w:tabs>
          <w:tab w:leader="none" w:pos="94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5"/>
          <w:szCs w:val="15"/>
          <w:color w:val="auto"/>
        </w:rPr>
      </w:pPr>
    </w:p>
    <w:p>
      <w:pPr>
        <w:ind w:left="940" w:right="380" w:hanging="268"/>
        <w:spacing w:after="0" w:line="280" w:lineRule="auto"/>
        <w:tabs>
          <w:tab w:leader="none" w:pos="94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940" w:right="220" w:hanging="268"/>
        <w:spacing w:after="0" w:line="263" w:lineRule="auto"/>
        <w:tabs>
          <w:tab w:leader="none" w:pos="94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5"/>
          <w:szCs w:val="15"/>
          <w:color w:val="auto"/>
        </w:rPr>
      </w:pPr>
    </w:p>
    <w:p>
      <w:pPr>
        <w:ind w:left="280" w:right="220" w:hanging="272"/>
        <w:spacing w:after="0" w:line="280" w:lineRule="auto"/>
        <w:tabs>
          <w:tab w:leader="none" w:pos="2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5"/>
          <w:szCs w:val="15"/>
          <w:color w:val="auto"/>
        </w:rPr>
      </w:pPr>
    </w:p>
    <w:p>
      <w:pPr>
        <w:ind w:left="940" w:right="100" w:hanging="268"/>
        <w:spacing w:after="0" w:line="280" w:lineRule="auto"/>
        <w:tabs>
          <w:tab w:leader="none" w:pos="94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5"/>
          <w:szCs w:val="15"/>
          <w:color w:val="auto"/>
        </w:rPr>
      </w:pPr>
    </w:p>
    <w:p>
      <w:pPr>
        <w:ind w:left="940" w:right="340" w:hanging="268"/>
        <w:spacing w:after="0" w:line="280" w:lineRule="auto"/>
        <w:tabs>
          <w:tab w:leader="none" w:pos="94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 November 2, 2016</w:t>
      </w:r>
    </w:p>
    <w:p>
      <w:pPr>
        <w:spacing w:after="0" w:line="34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28575</wp:posOffset>
            </wp:positionV>
            <wp:extent cx="268097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0970" cy="6985"/>
                    </a:xfrm>
                    <a:prstGeom prst="rect">
                      <a:avLst/>
                    </a:prstGeom>
                    <a:noFill/>
                  </pic:spPr>
                </pic:pic>
              </a:graphicData>
            </a:graphic>
          </wp:anchor>
        </w:drawing>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Humberto Garcia</w:t>
      </w:r>
    </w:p>
    <w:p>
      <w:pPr>
        <w:spacing w:after="0" w:line="60"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Vice President and Chief Financial Officer</w:t>
      </w:r>
    </w:p>
    <w:p>
      <w:pPr>
        <w:spacing w:after="0" w:line="49"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11460"/>
          </w:cols>
          <w:pgMar w:left="220" w:top="782" w:right="2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5"/>
          <w:szCs w:val="15"/>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Humberto Garcia, Vice President and Chief Financial Officer of the Company, each hereby certifies that, to the best of his or her knowledge:</w:t>
      </w:r>
    </w:p>
    <w:p>
      <w:pPr>
        <w:spacing w:after="0" w:line="118" w:lineRule="exact"/>
        <w:rPr>
          <w:sz w:val="20"/>
          <w:szCs w:val="20"/>
          <w:color w:val="auto"/>
        </w:rPr>
      </w:pPr>
    </w:p>
    <w:p>
      <w:pPr>
        <w:ind w:right="120" w:firstLine="8"/>
        <w:spacing w:after="0" w:line="280" w:lineRule="auto"/>
        <w:tabs>
          <w:tab w:leader="none" w:pos="164"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The Company’s Quarterly Report on Form 10-Q for the period ended September 30, 2016, to which this Certification is attached as Exhibit 32.1 (the “Periodic Report”), fully complies with the requirements of Section 13(a) or Section 15(d) of the Exchange Act; and</w:t>
      </w:r>
    </w:p>
    <w:p>
      <w:pPr>
        <w:spacing w:after="0" w:line="105" w:lineRule="exact"/>
        <w:rPr>
          <w:rFonts w:ascii="Arial" w:cs="Arial" w:eastAsia="Arial" w:hAnsi="Arial"/>
          <w:sz w:val="15"/>
          <w:szCs w:val="15"/>
          <w:b w:val="1"/>
          <w:bCs w:val="1"/>
          <w:color w:val="auto"/>
        </w:rPr>
      </w:pPr>
    </w:p>
    <w:p>
      <w:pPr>
        <w:ind w:left="180" w:hanging="172"/>
        <w:spacing w:after="0"/>
        <w:tabs>
          <w:tab w:leader="none" w:pos="180"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undersigned have set their hands hereto as of the 2nd day of November, 2016.</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Paul B. Nahi</w:t>
            </w:r>
          </w:p>
        </w:tc>
        <w:tc>
          <w:tcPr>
            <w:tcW w:w="100" w:type="dxa"/>
            <w:vAlign w:val="bottom"/>
          </w:tcPr>
          <w:p>
            <w:pPr>
              <w:spacing w:after="0"/>
              <w:rPr>
                <w:sz w:val="18"/>
                <w:szCs w:val="18"/>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Humberto Garcia</w:t>
            </w:r>
          </w:p>
        </w:tc>
      </w:tr>
      <w:tr>
        <w:trPr>
          <w:trHeight w:val="196"/>
        </w:trPr>
        <w:tc>
          <w:tcPr>
            <w:tcW w:w="5700" w:type="dxa"/>
            <w:vAlign w:val="bottom"/>
            <w:gridSpan w:val="2"/>
          </w:tcPr>
          <w:p>
            <w:pPr>
              <w:spacing w:after="0"/>
              <w:rPr>
                <w:sz w:val="20"/>
                <w:szCs w:val="20"/>
                <w:color w:val="auto"/>
              </w:rPr>
            </w:pPr>
            <w:r>
              <w:rPr>
                <w:rFonts w:ascii="Arial" w:cs="Arial" w:eastAsia="Arial" w:hAnsi="Arial"/>
                <w:sz w:val="15"/>
                <w:szCs w:val="15"/>
                <w:color w:val="auto"/>
              </w:rPr>
              <w:t>Paul B. Nahi</w:t>
            </w:r>
          </w:p>
        </w:tc>
        <w:tc>
          <w:tcPr>
            <w:tcW w:w="5700" w:type="dxa"/>
            <w:vAlign w:val="bottom"/>
          </w:tcPr>
          <w:p>
            <w:pPr>
              <w:ind w:left="20"/>
              <w:spacing w:after="0"/>
              <w:rPr>
                <w:sz w:val="20"/>
                <w:szCs w:val="20"/>
                <w:color w:val="auto"/>
              </w:rPr>
            </w:pPr>
            <w:r>
              <w:rPr>
                <w:rFonts w:ascii="Arial" w:cs="Arial" w:eastAsia="Arial" w:hAnsi="Arial"/>
                <w:sz w:val="15"/>
                <w:szCs w:val="15"/>
                <w:color w:val="auto"/>
              </w:rPr>
              <w:t>Humberto Garcia</w:t>
            </w:r>
          </w:p>
        </w:tc>
      </w:tr>
      <w:tr>
        <w:trPr>
          <w:trHeight w:val="232"/>
        </w:trPr>
        <w:tc>
          <w:tcPr>
            <w:tcW w:w="5700" w:type="dxa"/>
            <w:vAlign w:val="bottom"/>
            <w:gridSpan w:val="2"/>
          </w:tcPr>
          <w:p>
            <w:pPr>
              <w:spacing w:after="0"/>
              <w:rPr>
                <w:sz w:val="20"/>
                <w:szCs w:val="20"/>
                <w:color w:val="auto"/>
              </w:rPr>
            </w:pPr>
            <w:r>
              <w:rPr>
                <w:rFonts w:ascii="Arial" w:cs="Arial" w:eastAsia="Arial" w:hAnsi="Arial"/>
                <w:sz w:val="15"/>
                <w:szCs w:val="15"/>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5"/>
                <w:szCs w:val="15"/>
                <w:color w:val="auto"/>
              </w:rPr>
              <w:t>Vice President and Chief Financial Officer</w:t>
            </w:r>
          </w:p>
        </w:tc>
      </w:tr>
    </w:tbl>
    <w:p>
      <w:pPr>
        <w:spacing w:after="0" w:line="123" w:lineRule="exact"/>
        <w:rPr>
          <w:sz w:val="20"/>
          <w:szCs w:val="20"/>
          <w:color w:val="auto"/>
        </w:rPr>
      </w:pPr>
    </w:p>
    <w:p>
      <w:pPr>
        <w:jc w:val="both"/>
        <w:ind w:right="140"/>
        <w:spacing w:after="0" w:line="263" w:lineRule="auto"/>
        <w:rPr>
          <w:sz w:val="20"/>
          <w:szCs w:val="20"/>
          <w:color w:val="auto"/>
        </w:rPr>
      </w:pPr>
      <w:r>
        <w:rPr>
          <w:rFonts w:ascii="Arial" w:cs="Arial" w:eastAsia="Arial" w:hAnsi="Arial"/>
          <w:sz w:val="15"/>
          <w:szCs w:val="15"/>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60"/>
      </w:cols>
      <w:pgMar w:left="220" w:top="78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x"/>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1."/>
      <w:numFmt w:val="upperLetter"/>
      <w:start w:val="1"/>
    </w:lvl>
  </w:abstractNum>
  <w:abstractNum w:abstractNumId="20">
    <w:nsid w:val="1F48EAA1"/>
    <w:multiLevelType w:val="hybridMultilevel"/>
    <w:lvl w:ilvl="0">
      <w:lvlJc w:val="left"/>
      <w:lvlText w:val="%1."/>
      <w:numFmt w:val="upperLetter"/>
      <w:start w:val="2"/>
    </w:lvl>
  </w:abstractNum>
  <w:abstractNum w:abstractNumId="21">
    <w:nsid w:val="1381823A"/>
    <w:multiLevelType w:val="hybridMultilevel"/>
    <w:lvl w:ilvl="0">
      <w:lvlJc w:val="left"/>
      <w:lvlText w:val="%1"/>
      <w:numFmt w:val="upperLetter"/>
      <w:start w:val="1"/>
    </w:lvl>
    <w:lvl w:ilvl="1">
      <w:lvlJc w:val="left"/>
      <w:lvlText w:val="(%2)"/>
      <w:numFmt w:val="lowerLetter"/>
      <w:start w:val="9"/>
    </w:lvl>
  </w:abstractNum>
  <w:abstractNum w:abstractNumId="22">
    <w:nsid w:val="5DB70AE5"/>
    <w:multiLevelType w:val="hybridMultilevel"/>
    <w:lvl w:ilvl="0">
      <w:lvlJc w:val="left"/>
      <w:lvlText w:val="%1."/>
      <w:numFmt w:val="upperLetter"/>
      <w:start w:val="3"/>
    </w:lvl>
    <w:lvl w:ilvl="1">
      <w:lvlJc w:val="left"/>
      <w:lvlText w:val="(%2)"/>
      <w:numFmt w:val="lowerLetter"/>
      <w:start w:val="8"/>
    </w:lvl>
  </w:abstractNum>
  <w:abstractNum w:abstractNumId="23">
    <w:nsid w:val="100F8FCA"/>
    <w:multiLevelType w:val="hybridMultilevel"/>
    <w:lvl w:ilvl="0">
      <w:lvlJc w:val="left"/>
      <w:lvlText w:val="%1"/>
      <w:numFmt w:val="upperLetter"/>
      <w:start w:val="1"/>
    </w:lvl>
    <w:lvl w:ilvl="1">
      <w:lvlJc w:val="left"/>
      <w:lvlText w:val="(%2)"/>
      <w:numFmt w:val="lowerLetter"/>
      <w:start w:val="1"/>
    </w:lvl>
  </w:abstractNum>
  <w:abstractNum w:abstractNumId="24">
    <w:nsid w:val="6590700B"/>
    <w:multiLevelType w:val="hybridMultilevel"/>
    <w:lvl w:ilvl="0">
      <w:lvlJc w:val="left"/>
      <w:lvlText w:val="%1."/>
      <w:numFmt w:val="upperLetter"/>
      <w:start w:val="6"/>
    </w:lvl>
    <w:lvl w:ilvl="1">
      <w:lvlJc w:val="left"/>
      <w:lvlText w:val="%2"/>
      <w:numFmt w:val="lowerLetter"/>
      <w:start w:val="1"/>
    </w:lvl>
  </w:abstractNum>
  <w:abstractNum w:abstractNumId="25">
    <w:nsid w:val="15014ACB"/>
    <w:multiLevelType w:val="hybridMultilevel"/>
    <w:lvl w:ilvl="0">
      <w:lvlJc w:val="left"/>
      <w:lvlText w:val="%1"/>
      <w:numFmt w:val="upperLetter"/>
      <w:start w:val="1"/>
    </w:lvl>
    <w:lvl w:ilvl="1">
      <w:lvlJc w:val="left"/>
      <w:lvlText w:val="(%2)"/>
      <w:numFmt w:val="lowerLetter"/>
      <w:start w:val="2"/>
    </w:lvl>
  </w:abstractNum>
  <w:abstractNum w:abstractNumId="26">
    <w:nsid w:val="5F5E7FD0"/>
    <w:multiLevelType w:val="hybridMultilevel"/>
    <w:lvl w:ilvl="0">
      <w:lvlJc w:val="left"/>
      <w:lvlText w:val="%1."/>
      <w:numFmt w:val="upperLetter"/>
      <w:start w:val="7"/>
    </w:lvl>
    <w:lvl w:ilvl="1">
      <w:lvlJc w:val="left"/>
      <w:lvlText w:val="(%2)"/>
      <w:numFmt w:val="lowerLetter"/>
      <w:start w:val="2"/>
    </w:lvl>
  </w:abstractNum>
  <w:abstractNum w:abstractNumId="27">
    <w:nsid w:val="98A3148"/>
    <w:multiLevelType w:val="hybridMultilevel"/>
    <w:lvl w:ilvl="0">
      <w:lvlJc w:val="left"/>
      <w:lvlText w:val="%1"/>
      <w:numFmt w:val="upperLetter"/>
      <w:start w:val="1"/>
    </w:lvl>
    <w:lvl w:ilvl="1">
      <w:lvlJc w:val="left"/>
      <w:lvlText w:val="(%2)"/>
      <w:numFmt w:val="lowerLetter"/>
      <w:start w:val="35"/>
    </w:lvl>
  </w:abstractNum>
  <w:abstractNum w:abstractNumId="28">
    <w:nsid w:val="799D0247"/>
    <w:multiLevelType w:val="hybridMultilevel"/>
    <w:lvl w:ilvl="0">
      <w:lvlJc w:val="left"/>
      <w:lvlText w:val="%1."/>
      <w:numFmt w:val="upperLetter"/>
      <w:start w:val="8"/>
    </w:lvl>
    <w:lvl w:ilvl="1">
      <w:lvlJc w:val="left"/>
      <w:lvlText w:val="(%2)"/>
      <w:numFmt w:val="lowerLetter"/>
      <w:start w:val="4"/>
    </w:lvl>
  </w:abstractNum>
  <w:abstractNum w:abstractNumId="29">
    <w:nsid w:val="6B94764"/>
    <w:multiLevelType w:val="hybridMultilevel"/>
    <w:lvl w:ilvl="0">
      <w:lvlJc w:val="left"/>
      <w:lvlText w:val="%1"/>
      <w:numFmt w:val="upperLetter"/>
      <w:start w:val="1"/>
    </w:lvl>
    <w:lvl w:ilvl="1">
      <w:lvlJc w:val="left"/>
      <w:lvlText w:val="(%2)"/>
      <w:numFmt w:val="lowerLetter"/>
      <w:start w:val="6"/>
    </w:lvl>
  </w:abstractNum>
  <w:abstractNum w:abstractNumId="30">
    <w:nsid w:val="42C296BD"/>
    <w:multiLevelType w:val="hybridMultilevel"/>
    <w:lvl w:ilvl="0">
      <w:lvlJc w:val="left"/>
      <w:lvlText w:val="%1."/>
      <w:numFmt w:val="upperLetter"/>
      <w:start w:val="10"/>
    </w:lvl>
  </w:abstractNum>
  <w:abstractNum w:abstractNumId="31">
    <w:nsid w:val="168E121F"/>
    <w:multiLevelType w:val="hybridMultilevel"/>
    <w:lvl w:ilvl="0">
      <w:lvlJc w:val="left"/>
      <w:lvlText w:val="%1."/>
      <w:numFmt w:val="upperLetter"/>
      <w:start w:val="11"/>
    </w:lvl>
  </w:abstractNum>
  <w:abstractNum w:abstractNumId="32">
    <w:nsid w:val="1EBA5D23"/>
    <w:multiLevelType w:val="hybridMultilevel"/>
    <w:lvl w:ilvl="0">
      <w:lvlJc w:val="left"/>
      <w:lvlText w:val="%1."/>
      <w:numFmt w:val="upperLetter"/>
      <w:start w:val="12"/>
    </w:lvl>
    <w:lvl w:ilvl="1">
      <w:lvlJc w:val="left"/>
      <w:lvlText w:val="(%2)"/>
      <w:numFmt w:val="lowerRoman"/>
      <w:start w:val="1"/>
    </w:lvl>
  </w:abstractNum>
  <w:abstractNum w:abstractNumId="33">
    <w:nsid w:val="661E3F1E"/>
    <w:multiLevelType w:val="hybridMultilevel"/>
    <w:lvl w:ilvl="0">
      <w:lvlJc w:val="left"/>
      <w:lvlText w:val="(%1)"/>
      <w:numFmt w:val="lowerRoman"/>
      <w:start w:val="1"/>
    </w:lvl>
  </w:abstractNum>
  <w:abstractNum w:abstractNumId="34">
    <w:nsid w:val="5DC79EA8"/>
    <w:multiLevelType w:val="hybridMultilevel"/>
    <w:lvl w:ilvl="0">
      <w:lvlJc w:val="left"/>
      <w:lvlText w:val="(%1)"/>
      <w:numFmt w:val="lowerRoman"/>
      <w:start w:val="6"/>
    </w:lvl>
  </w:abstractNum>
  <w:abstractNum w:abstractNumId="35">
    <w:nsid w:val="540A471C"/>
    <w:multiLevelType w:val="hybridMultilevel"/>
    <w:lvl w:ilvl="0">
      <w:lvlJc w:val="left"/>
      <w:lvlText w:val="%1."/>
      <w:numFmt w:val="upperLetter"/>
      <w:start w:val="1"/>
    </w:lvl>
    <w:lvl w:ilvl="1">
      <w:lvlJc w:val="left"/>
      <w:lvlText w:val="(%2)"/>
      <w:numFmt w:val="lowerRoman"/>
      <w:start w:val="1"/>
    </w:lvl>
  </w:abstractNum>
  <w:abstractNum w:abstractNumId="36">
    <w:nsid w:val="7BD3EE7B"/>
    <w:multiLevelType w:val="hybridMultilevel"/>
    <w:lvl w:ilvl="0">
      <w:lvlJc w:val="left"/>
      <w:lvlText w:val="%1."/>
      <w:numFmt w:val="upperLetter"/>
      <w:start w:val="4"/>
    </w:lvl>
  </w:abstractNum>
  <w:abstractNum w:abstractNumId="37">
    <w:nsid w:val="51D9C564"/>
    <w:multiLevelType w:val="hybridMultilevel"/>
    <w:lvl w:ilvl="0">
      <w:lvlJc w:val="left"/>
      <w:lvlText w:val="%1."/>
      <w:numFmt w:val="upperLetter"/>
      <w:start w:val="1"/>
    </w:lvl>
    <w:lvl w:ilvl="1">
      <w:lvlJc w:val="left"/>
      <w:lvlText w:val="(%2)"/>
      <w:numFmt w:val="lowerRoman"/>
      <w:start w:val="1"/>
    </w:lvl>
  </w:abstractNum>
  <w:abstractNum w:abstractNumId="38">
    <w:nsid w:val="613EFDC5"/>
    <w:multiLevelType w:val="hybridMultilevel"/>
    <w:lvl w:ilvl="0">
      <w:lvlJc w:val="left"/>
      <w:lvlText w:val="%1."/>
      <w:numFmt w:val="upperLetter"/>
      <w:start w:val="2"/>
    </w:lvl>
  </w:abstractNum>
  <w:abstractNum w:abstractNumId="39">
    <w:nsid w:val="BF72B14"/>
    <w:multiLevelType w:val="hybridMultilevel"/>
    <w:lvl w:ilvl="0">
      <w:lvlJc w:val="left"/>
      <w:lvlText w:val="(%1)"/>
      <w:numFmt w:val="lowerLetter"/>
      <w:start w:val="1"/>
    </w:lvl>
    <w:lvl w:ilvl="1">
      <w:lvlJc w:val="left"/>
      <w:lvlText w:val="(%2)"/>
      <w:numFmt w:val="lowerRoman"/>
      <w:start w:val="1"/>
    </w:lvl>
  </w:abstractNum>
  <w:abstractNum w:abstractNumId="40">
    <w:nsid w:val="11447B73"/>
    <w:multiLevelType w:val="hybridMultilevel"/>
    <w:lvl w:ilvl="0">
      <w:lvlJc w:val="left"/>
      <w:lvlText w:val="(%1)"/>
      <w:numFmt w:val="lowerLetter"/>
      <w:start w:val="1"/>
    </w:lvl>
    <w:lvl w:ilvl="1">
      <w:lvlJc w:val="left"/>
      <w:lvlText w:val="(%2)"/>
      <w:numFmt w:val="lowerLetter"/>
      <w:start w:val="4"/>
    </w:lvl>
  </w:abstractNum>
  <w:abstractNum w:abstractNumId="41">
    <w:nsid w:val="42963E5A"/>
    <w:multiLevelType w:val="hybridMultilevel"/>
    <w:lvl w:ilvl="0">
      <w:lvlJc w:val="left"/>
      <w:lvlText w:val="(%1)"/>
      <w:numFmt w:val="lowerLetter"/>
      <w:start w:val="1"/>
    </w:lvl>
  </w:abstractNum>
  <w:abstractNum w:abstractNumId="42">
    <w:nsid w:val="A0382C5"/>
    <w:multiLevelType w:val="hybridMultilevel"/>
    <w:lvl w:ilvl="0">
      <w:lvlJc w:val="left"/>
      <w:lvlText w:val="(%1)"/>
      <w:numFmt w:val="lowerLetter"/>
      <w:start w:val="3"/>
    </w:lvl>
  </w:abstractNum>
  <w:abstractNum w:abstractNumId="43">
    <w:nsid w:val="8F2B15E"/>
    <w:multiLevelType w:val="hybridMultilevel"/>
    <w:lvl w:ilvl="0">
      <w:lvlJc w:val="left"/>
      <w:lvlText w:val="%1"/>
      <w:numFmt w:val="lowerLetter"/>
      <w:start w:val="1"/>
    </w:lvl>
    <w:lvl w:ilvl="1">
      <w:lvlJc w:val="left"/>
      <w:lvlText w:val="(%2)"/>
      <w:numFmt w:val="lowerLetter"/>
      <w:start w:val="1"/>
    </w:lvl>
  </w:abstractNum>
  <w:abstractNum w:abstractNumId="44">
    <w:nsid w:val="1A32234B"/>
    <w:multiLevelType w:val="hybridMultilevel"/>
    <w:lvl w:ilvl="0">
      <w:lvlJc w:val="left"/>
      <w:lvlText w:val="(%1)"/>
      <w:numFmt w:val="lowerLetter"/>
      <w:start w:val="35"/>
    </w:lvl>
    <w:lvl w:ilvl="1">
      <w:lvlJc w:val="left"/>
      <w:lvlText w:val="(%2)"/>
      <w:numFmt w:val="lowerLetter"/>
      <w:start w:val="5"/>
    </w:lvl>
  </w:abstractNum>
  <w:abstractNum w:abstractNumId="45">
    <w:nsid w:val="3B0FD379"/>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46">
    <w:nsid w:val="68EB2F63"/>
    <w:multiLevelType w:val="hybridMultilevel"/>
    <w:lvl w:ilvl="0">
      <w:lvlJc w:val="left"/>
      <w:lvlText w:val="%1."/>
      <w:numFmt w:val="lowerRoman"/>
      <w:start w:val="3"/>
    </w:lvl>
  </w:abstractNum>
  <w:abstractNum w:abstractNumId="47">
    <w:nsid w:val="4962813B"/>
    <w:multiLevelType w:val="hybridMultilevel"/>
    <w:lvl w:ilvl="0">
      <w:lvlJc w:val="left"/>
      <w:lvlText w:val="(%1)"/>
      <w:numFmt w:val="lowerLetter"/>
      <w:start w:val="7"/>
    </w:lvl>
  </w:abstractNum>
  <w:abstractNum w:abstractNumId="48">
    <w:nsid w:val="60B6DF70"/>
    <w:multiLevelType w:val="hybridMultilevel"/>
    <w:lvl w:ilvl="0">
      <w:lvlJc w:val="left"/>
      <w:lvlText w:val="(%1)"/>
      <w:numFmt w:val="lowerLetter"/>
      <w:start w:val="1"/>
    </w:lvl>
  </w:abstractNum>
  <w:abstractNum w:abstractNumId="49">
    <w:nsid w:val="6A5EE64"/>
    <w:multiLevelType w:val="hybridMultilevel"/>
    <w:lvl w:ilvl="0">
      <w:lvlJc w:val="left"/>
      <w:lvlText w:val="(%1)"/>
      <w:numFmt w:val="lowerLetter"/>
      <w:start w:val="4"/>
    </w:lvl>
  </w:abstractNum>
  <w:abstractNum w:abstractNumId="50">
    <w:nsid w:val="14330624"/>
    <w:multiLevelType w:val="hybridMultilevel"/>
    <w:lvl w:ilvl="0">
      <w:lvlJc w:val="left"/>
      <w:lvlText w:val="(%1)"/>
      <w:numFmt w:val="lowerLetter"/>
      <w:start w:val="1"/>
    </w:lvl>
  </w:abstractNum>
  <w:abstractNum w:abstractNumId="51">
    <w:nsid w:val="7FFFCA11"/>
    <w:multiLevelType w:val="hybridMultilevel"/>
    <w:lvl w:ilvl="0">
      <w:lvlJc w:val="left"/>
      <w:lvlText w:val="(%1)"/>
      <w:numFmt w:val="lowerLetter"/>
      <w:start w:val="1"/>
    </w:lvl>
  </w:abstractNum>
  <w:abstractNum w:abstractNumId="52">
    <w:nsid w:val="1A27709E"/>
    <w:multiLevelType w:val="hybridMultilevel"/>
    <w:lvl w:ilvl="0">
      <w:lvlJc w:val="left"/>
      <w:lvlText w:val="(%1)"/>
      <w:numFmt w:val="lowerLetter"/>
      <w:start w:val="1"/>
    </w:lvl>
  </w:abstractNum>
  <w:abstractNum w:abstractNumId="53">
    <w:nsid w:val="71EA1109"/>
    <w:multiLevelType w:val="hybridMultilevel"/>
    <w:lvl w:ilvl="0">
      <w:lvlJc w:val="left"/>
      <w:lvlText w:val="(%1)"/>
      <w:numFmt w:val="lowerLetter"/>
      <w:start w:val="1"/>
    </w:lvl>
  </w:abstractNum>
  <w:abstractNum w:abstractNumId="54">
    <w:nsid w:val="100F59DC"/>
    <w:multiLevelType w:val="hybridMultilevel"/>
    <w:lvl w:ilvl="0">
      <w:lvlJc w:val="left"/>
      <w:lvlText w:val="(%1)"/>
      <w:numFmt w:val="lowerLetter"/>
      <w:start w:val="1"/>
    </w:lvl>
  </w:abstractNum>
  <w:abstractNum w:abstractNumId="55">
    <w:nsid w:val="7FB7E0AA"/>
    <w:multiLevelType w:val="hybridMultilevel"/>
    <w:lvl w:ilvl="0">
      <w:lvlJc w:val="left"/>
      <w:lvlText w:val="(%1)"/>
      <w:numFmt w:val="lowerLetter"/>
      <w:start w:val="1"/>
    </w:lvl>
  </w:abstractNum>
  <w:abstractNum w:abstractNumId="56">
    <w:nsid w:val="6EB5BD4"/>
    <w:multiLevelType w:val="hybridMultilevel"/>
    <w:lvl w:ilvl="0">
      <w:lvlJc w:val="left"/>
      <w:lvlText w:val="(%1)"/>
      <w:numFmt w:val="lowerLetter"/>
      <w:start w:val="2"/>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decimal"/>
      <w:start w:val="30"/>
    </w:lvl>
  </w:abstractNum>
  <w:abstractNum w:abstractNumId="59">
    <w:nsid w:val="885E1B"/>
    <w:multiLevelType w:val="hybridMultilevel"/>
    <w:lvl w:ilvl="0">
      <w:lvlJc w:val="left"/>
      <w:lvlText w:val="(%1)"/>
      <w:numFmt w:val="decimal"/>
      <w:start w:val="30"/>
    </w:lvl>
  </w:abstractNum>
  <w:abstractNum w:abstractNumId="60">
    <w:nsid w:val="76272110"/>
    <w:multiLevelType w:val="hybridMultilevel"/>
    <w:lvl w:ilvl="0">
      <w:lvlJc w:val="left"/>
      <w:lvlText w:val="(%1)"/>
      <w:numFmt w:val="lowerLetter"/>
      <w:start w:val="3"/>
    </w:lvl>
  </w:abstractNum>
  <w:abstractNum w:abstractNumId="61">
    <w:nsid w:val="4C04A8AF"/>
    <w:multiLevelType w:val="hybridMultilevel"/>
    <w:lvl w:ilvl="0">
      <w:lvlJc w:val="left"/>
      <w:lvlText w:val="(%1)"/>
      <w:numFmt w:val="lowerLetter"/>
      <w:start w:val="4"/>
    </w:lvl>
  </w:abstractNum>
  <w:abstractNum w:abstractNumId="62">
    <w:nsid w:val="1716703B"/>
    <w:multiLevelType w:val="hybridMultilevel"/>
    <w:lvl w:ilvl="0">
      <w:lvlJc w:val="left"/>
      <w:lvlText w:val="(%1)"/>
      <w:numFmt w:val="lowerLetter"/>
      <w:start w:val="26"/>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1"/>
    </w:lvl>
  </w:abstractNum>
  <w:abstractNum w:abstractNumId="65">
    <w:nsid w:val="74DE0EE3"/>
    <w:multiLevelType w:val="hybridMultilevel"/>
    <w:lvl w:ilvl="0">
      <w:lvlJc w:val="left"/>
      <w:lvlText w:val="(%1)"/>
      <w:numFmt w:val="lowerLetter"/>
      <w:start w:val="2"/>
    </w:lvl>
  </w:abstractNum>
  <w:abstractNum w:abstractNumId="66">
    <w:nsid w:val="68EBC550"/>
    <w:multiLevelType w:val="hybridMultilevel"/>
    <w:lvl w:ilvl="0">
      <w:lvlJc w:val="left"/>
      <w:lvlText w:val="(%1)"/>
      <w:numFmt w:val="lowerLetter"/>
      <w:start w:val="1"/>
    </w:lvl>
  </w:abstractNum>
  <w:abstractNum w:abstractNumId="67">
    <w:nsid w:val="2DF6D648"/>
    <w:multiLevelType w:val="hybridMultilevel"/>
    <w:lvl w:ilvl="0">
      <w:lvlJc w:val="left"/>
      <w:lvlText w:val="(%1)"/>
      <w:numFmt w:val="lowerLetter"/>
      <w:start w:val="5"/>
    </w:lvl>
  </w:abstractNum>
  <w:abstractNum w:abstractNumId="68">
    <w:nsid w:val="46B7D447"/>
    <w:multiLevelType w:val="hybridMultilevel"/>
    <w:lvl w:ilvl="0">
      <w:lvlJc w:val="left"/>
      <w:lvlText w:val="(%1)"/>
      <w:numFmt w:val="lowerRoman"/>
      <w:start w:val="1"/>
    </w:lvl>
  </w:abstractNum>
  <w:abstractNum w:abstractNumId="69">
    <w:nsid w:val="4A2AC315"/>
    <w:multiLevelType w:val="hybridMultilevel"/>
    <w:lvl w:ilvl="0">
      <w:lvlJc w:val="left"/>
      <w:lvlText w:val="(%1)"/>
      <w:numFmt w:val="lowerRoman"/>
      <w:start w:val="3"/>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1)"/>
      <w:numFmt w:val="lowerLetter"/>
      <w:start w:val="3"/>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lowerLetter"/>
      <w:start w:val="3"/>
    </w:lvl>
  </w:abstractNum>
  <w:abstractNum w:abstractNumId="75">
    <w:nsid w:val="26F324BA"/>
    <w:multiLevelType w:val="hybridMultilevel"/>
    <w:lvl w:ilvl="0">
      <w:lvlJc w:val="left"/>
      <w:lvlText w:val="(%1)"/>
      <w:numFmt w:val="lowerLetter"/>
      <w:start w:val="8"/>
    </w:lvl>
  </w:abstractNum>
  <w:abstractNum w:abstractNumId="76">
    <w:nsid w:val="7F01579B"/>
    <w:multiLevelType w:val="hybridMultilevel"/>
    <w:lvl w:ilvl="0">
      <w:lvlJc w:val="left"/>
      <w:lvlText w:val="%1"/>
      <w:numFmt w:val="lowerRoman"/>
      <w:start w:val="1"/>
    </w:lvl>
    <w:lvl w:ilvl="1">
      <w:lvlJc w:val="left"/>
      <w:lvlText w:val="(%2)"/>
      <w:numFmt w:val="lowerLetter"/>
      <w:start w:val="1"/>
    </w:lvl>
  </w:abstractNum>
  <w:abstractNum w:abstractNumId="77">
    <w:nsid w:val="49DA307D"/>
    <w:multiLevelType w:val="hybridMultilevel"/>
    <w:lvl w:ilvl="0">
      <w:lvlJc w:val="left"/>
      <w:lvlText w:val="(%1)"/>
      <w:numFmt w:val="lowerRoman"/>
      <w:start w:val="4"/>
    </w:lvl>
    <w:lvl w:ilvl="1">
      <w:lvlJc w:val="left"/>
      <w:lvlText w:val="(%2)"/>
      <w:numFmt w:val="lowerLetter"/>
      <w:start w:val="2"/>
    </w:lvl>
  </w:abstractNum>
  <w:abstractNum w:abstractNumId="78">
    <w:nsid w:val="7055A5F5"/>
    <w:multiLevelType w:val="hybridMultilevel"/>
    <w:lvl w:ilvl="0">
      <w:lvlJc w:val="left"/>
      <w:lvlText w:val="(%1)"/>
      <w:numFmt w:val="lowerLetter"/>
      <w:start w:val="1"/>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13"/>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1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10"/>
    </w:lvl>
  </w:abstractNum>
  <w:abstractNum w:abstractNumId="87">
    <w:nsid w:val="7D5E18F8"/>
    <w:multiLevelType w:val="hybridMultilevel"/>
    <w:lvl w:ilvl="0">
      <w:lvlJc w:val="left"/>
      <w:lvlText w:val="%1."/>
      <w:numFmt w:val="decimal"/>
      <w:start w:val="1"/>
    </w:lvl>
  </w:abstractNum>
  <w:abstractNum w:abstractNumId="88">
    <w:nsid w:val="5F3534A4"/>
    <w:multiLevelType w:val="hybridMultilevel"/>
    <w:lvl w:ilvl="0">
      <w:lvlJc w:val="left"/>
      <w:lvlText w:val="%1."/>
      <w:numFmt w:val="decimal"/>
      <w:start w:val="3"/>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1)"/>
      <w:numFmt w:val="upperLetter"/>
      <w:start w:val="9"/>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lowerRoman"/>
      <w:start w:val="1"/>
    </w:lvl>
  </w:abstractNum>
  <w:abstractNum w:abstractNumId="94">
    <w:nsid w:val="6A3DD3E8"/>
    <w:multiLevelType w:val="hybridMultilevel"/>
    <w:lvl w:ilvl="0">
      <w:lvlJc w:val="left"/>
      <w:lvlText w:val="(%1)"/>
      <w:numFmt w:val="lowerRoman"/>
      <w:start w:val="2"/>
    </w:lvl>
  </w:abstractNum>
  <w:abstractNum w:abstractNumId="95">
    <w:nsid w:val="71C91298"/>
    <w:multiLevelType w:val="hybridMultilevel"/>
    <w:lvl w:ilvl="0">
      <w:lvlJc w:val="left"/>
      <w:lvlText w:val="%1."/>
      <w:numFmt w:val="decimal"/>
      <w:start w:val="1"/>
    </w:lvl>
    <w:lvl w:ilvl="1">
      <w:lvlJc w:val="left"/>
      <w:lvlText w:val="%2."/>
      <w:numFmt w:val="lowerLetter"/>
      <w:start w:val="1"/>
    </w:lvl>
  </w:abstractNum>
  <w:abstractNum w:abstractNumId="96">
    <w:nsid w:val="9DAF632"/>
    <w:multiLevelType w:val="hybridMultilevel"/>
    <w:lvl w:ilvl="0">
      <w:lvlJc w:val="left"/>
      <w:lvlText w:val="%1."/>
      <w:numFmt w:val="decimal"/>
      <w:start w:val="4"/>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3"/>
    </w:lvl>
  </w:abstractNum>
  <w:abstractNum w:abstractNumId="99">
    <w:nsid w:val="5092CA79"/>
    <w:multiLevelType w:val="hybridMultilevel"/>
    <w:lvl w:ilvl="0">
      <w:lvlJc w:val="left"/>
      <w:lvlText w:val="%1."/>
      <w:numFmt w:val="decimal"/>
      <w:start w:val="7"/>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1)"/>
      <w:numFmt w:val="lowerRoman"/>
      <w:start w:val="3"/>
    </w:lvl>
    <w:lvl w:ilvl="1">
      <w:lvlJc w:val="left"/>
      <w:lvlText w:val="%2."/>
      <w:numFmt w:val="decimal"/>
      <w:start w:val="2"/>
    </w:lvl>
  </w:abstractNum>
  <w:abstractNum w:abstractNumId="102">
    <w:nsid w:val="288F1A34"/>
    <w:multiLevelType w:val="hybridMultilevel"/>
    <w:lvl w:ilvl="0">
      <w:lvlJc w:val="left"/>
      <w:lvlText w:val="%1."/>
      <w:numFmt w:val="decimal"/>
      <w:start w:val="4"/>
    </w:lvl>
  </w:abstractNum>
  <w:abstractNum w:abstractNumId="103">
    <w:nsid w:val="2A155DBC"/>
    <w:multiLevelType w:val="hybridMultilevel"/>
    <w:lvl w:ilvl="0">
      <w:lvlJc w:val="left"/>
      <w:lvlText w:val="%1."/>
      <w:numFmt w:val="upperLetter"/>
      <w:start w:val="9"/>
    </w:lvl>
  </w:abstractNum>
  <w:abstractNum w:abstractNumId="104">
    <w:nsid w:val="1D9F6E5F"/>
    <w:multiLevelType w:val="hybridMultilevel"/>
    <w:lvl w:ilvl="0">
      <w:lvlJc w:val="left"/>
      <w:lvlText w:val="%1."/>
      <w:numFmt w:val="upperLetter"/>
      <w:start w:val="35"/>
    </w:lvl>
  </w:abstractNum>
  <w:abstractNum w:abstractNumId="105">
    <w:nsid w:val="97E1B4E"/>
    <w:multiLevelType w:val="hybridMultilevel"/>
    <w:lvl w:ilvl="0">
      <w:lvlJc w:val="left"/>
      <w:lvlText w:val="(%1)"/>
      <w:numFmt w:val="decimal"/>
      <w:start w:val="2"/>
    </w:lvl>
  </w:abstractNum>
  <w:abstractNum w:abstractNumId="106">
    <w:nsid w:val="51088277"/>
    <w:multiLevelType w:val="hybridMultilevel"/>
    <w:lvl w:ilvl="0">
      <w:lvlJc w:val="left"/>
      <w:lvlText w:val="%1."/>
      <w:numFmt w:val="upperLetter"/>
      <w:start w:val="1"/>
    </w:lvl>
  </w:abstractNum>
  <w:abstractNum w:abstractNumId="107">
    <w:nsid w:val="1CA0C5FA"/>
    <w:multiLevelType w:val="hybridMultilevel"/>
    <w:lvl w:ilvl="0">
      <w:lvlJc w:val="left"/>
      <w:lvlText w:val="%1."/>
      <w:numFmt w:val="decimal"/>
      <w:start w:val="1"/>
    </w:lvl>
  </w:abstractNum>
  <w:abstractNum w:abstractNumId="108">
    <w:nsid w:val="53584BCB"/>
    <w:multiLevelType w:val="hybridMultilevel"/>
    <w:lvl w:ilvl="0">
      <w:lvlJc w:val="left"/>
      <w:lvlText w:val="%1."/>
      <w:numFmt w:val="decimal"/>
      <w:start w:val="2"/>
    </w:lvl>
  </w:abstractNum>
  <w:abstractNum w:abstractNumId="109">
    <w:nsid w:val="415E286C"/>
    <w:multiLevelType w:val="hybridMultilevel"/>
    <w:lvl w:ilvl="0">
      <w:lvlJc w:val="left"/>
      <w:lvlText w:val="%1."/>
      <w:numFmt w:val="decimal"/>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2019-12-29T09:45:26Z</dcterms:created>
  <dcterms:modified xsi:type="dcterms:W3CDTF">2019-12-29T09:45:26Z</dcterms:modified>
</cp:coreProperties>
</file>