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9"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4"/>
          <w:szCs w:val="24"/>
          <w:color w:val="auto"/>
        </w:rPr>
      </w:pPr>
    </w:p>
    <w:p>
      <w:pPr>
        <w:sectPr>
          <w:pgSz w:w="11900" w:h="16838" w:orient="portrait"/>
          <w:cols w:equalWidth="0" w:num="4">
            <w:col w:w="1960" w:space="720"/>
            <w:col w:w="452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4">
            <w:col w:w="1960" w:space="720"/>
            <w:col w:w="4520" w:space="720"/>
            <w:col w:w="2460" w:space="720"/>
            <w:col w:w="32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July 31, 2015, there were 44,556,907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11"/>
          </w:tcPr>
          <w:p>
            <w:pPr>
              <w:jc w:val="center"/>
              <w:ind w:right="2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300" w:type="dxa"/>
            <w:vAlign w:val="bottom"/>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274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48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4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Loss</w:t>
              </w:r>
            </w:hyperlink>
          </w:p>
        </w:tc>
        <w:tc>
          <w:tcPr>
            <w:tcW w:w="41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7"/>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22</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372"/>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288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85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6"/>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Defaults Upon Senior Securities</w:t>
              </w:r>
            </w:hyperlink>
          </w:p>
        </w:tc>
        <w:tc>
          <w:tcPr>
            <w:tcW w:w="2020" w:type="dxa"/>
            <w:vAlign w:val="bottom"/>
            <w:gridSpan w:val="7"/>
          </w:tcPr>
          <w:p>
            <w:pPr>
              <w:spacing w:after="0"/>
              <w:rPr>
                <w:sz w:val="21"/>
                <w:szCs w:val="21"/>
                <w:color w:val="auto"/>
              </w:rPr>
            </w:pPr>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620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2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7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42</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42,032</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9"/>
              </w:rPr>
              <w:t>Accounts receivable, net of allowances of $587 and $569 at June 30, 2015 and December 31, 2014,</w:t>
            </w:r>
          </w:p>
        </w:tc>
        <w:tc>
          <w:tcPr>
            <w:tcW w:w="30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67,315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45,119</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114,896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152,192</w:t>
            </w:r>
          </w:p>
        </w:tc>
        <w:tc>
          <w:tcPr>
            <w:tcW w:w="0" w:type="dxa"/>
            <w:vAlign w:val="bottom"/>
          </w:tcPr>
          <w:p>
            <w:pPr>
              <w:spacing w:after="0"/>
              <w:rPr>
                <w:sz w:val="1"/>
                <w:szCs w:val="1"/>
                <w:color w:val="auto"/>
              </w:rPr>
            </w:pP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26,036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 current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6"/>
              </w:rPr>
              <w:t>Warranty obligations, current (includes $1,971 and $1,125 measured at fair value at June 30, 2015 and</w:t>
            </w:r>
          </w:p>
        </w:tc>
        <w:tc>
          <w:tcPr>
            <w:tcW w:w="30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7,251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122"/>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December 31, 2014, respectively)</w:t>
            </w:r>
          </w:p>
        </w:tc>
        <w:tc>
          <w:tcPr>
            <w:tcW w:w="3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noncurrent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Warranty obligations, noncurrent (includes $3,832 and $2,437 measured at fair value at</w:t>
            </w:r>
          </w:p>
        </w:tc>
        <w:tc>
          <w:tcPr>
            <w:tcW w:w="3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26,333</w:t>
            </w:r>
          </w:p>
        </w:tc>
        <w:tc>
          <w:tcPr>
            <w:tcW w:w="0" w:type="dxa"/>
            <w:vAlign w:val="bottom"/>
          </w:tcPr>
          <w:p>
            <w:pPr>
              <w:spacing w:after="0"/>
              <w:rPr>
                <w:sz w:val="1"/>
                <w:szCs w:val="1"/>
                <w:color w:val="auto"/>
              </w:rPr>
            </w:pPr>
          </w:p>
        </w:tc>
      </w:tr>
      <w:tr>
        <w:trPr>
          <w:trHeight w:val="122"/>
        </w:trPr>
        <w:tc>
          <w:tcPr>
            <w:tcW w:w="83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June 30, 2015 and December 31, 2014, respectively)</w:t>
            </w:r>
          </w:p>
        </w:tc>
        <w:tc>
          <w:tcPr>
            <w:tcW w:w="3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105,240</w:t>
            </w:r>
          </w:p>
        </w:tc>
        <w:tc>
          <w:tcPr>
            <w:tcW w:w="0" w:type="dxa"/>
            <w:vAlign w:val="bottom"/>
          </w:tcPr>
          <w:p>
            <w:pPr>
              <w:spacing w:after="0"/>
              <w:rPr>
                <w:sz w:val="1"/>
                <w:szCs w:val="1"/>
                <w:color w:val="auto"/>
              </w:rPr>
            </w:pP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Common stock, $0.00001 par value, 100,000 shares authorized; 44,427 and 43,756 shares issued and</w:t>
            </w:r>
          </w:p>
        </w:tc>
        <w:tc>
          <w:tcPr>
            <w:tcW w:w="30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3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outstanding at June 30, 2015 and December 31, 2014, respectively</w:t>
            </w:r>
          </w:p>
        </w:tc>
        <w:tc>
          <w:tcPr>
            <w:tcW w:w="3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217,062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208,022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152,192</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102,093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188,746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69,066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127,695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94,097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33,027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45,487</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12,508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24,445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19,321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8,102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33,396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66,968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44,319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44,136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42,428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(9,260)</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(6,923)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(9,267)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3,902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Net loss on disposal of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4,507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Revaluation of 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16,582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17"/>
        </w:trPr>
        <w:tc>
          <w:tcPr>
            <w:tcW w:w="858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Borrowings under revolving credit facility</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7"/>
        </w:trPr>
        <w:tc>
          <w:tcPr>
            <w:tcW w:w="8580" w:type="dxa"/>
            <w:vAlign w:val="bottom"/>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42,032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38,190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37,621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5020"/>
        <w:spacing w:after="0" w:line="409" w:lineRule="auto"/>
        <w:rPr>
          <w:sz w:val="20"/>
          <w:szCs w:val="20"/>
          <w:color w:val="auto"/>
        </w:rPr>
      </w:pPr>
      <w:r>
        <w:rPr>
          <w:rFonts w:ascii="Arial" w:cs="Arial" w:eastAsia="Arial" w:hAnsi="Arial"/>
          <w:sz w:val="18"/>
          <w:szCs w:val="18"/>
          <w:b w:val="1"/>
          <w:bCs w:val="1"/>
          <w:color w:val="auto"/>
        </w:rPr>
        <w:t xml:space="preserve">1. OVERVIEW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 The Company also offers operations and maintenance services for photovoltaic (“PV”) systems including preventive and corrective maintenance, solar panel cleaning and solar system commissioning.</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six months ended June 30, 2015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2014.</w:t>
      </w:r>
    </w:p>
    <w:p>
      <w:pPr>
        <w:spacing w:after="0" w:line="1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have been no material changes in the Company’s significant accounting policies during the six months ended June 30, 2015, as compared to the significant accounting policies described in the Company’s Annual Report on Form 10-K for the year ended December 31, 2014. Reference is made to the disclosures therein for a summary of all of the Company’s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The effective date was recently deferred for one year to the interim and annual periods beginning on or after December 15, 2017.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Early adoption is permitted as of the original effective date – interim and annual periods beginning on or after December 15, 2016. The guidance permits the use of either a retrospective or cumulative effect transition method. The Company has not yet selected a transition method and is currently evaluating the effect that the updated standard will have on its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June 30, 2015 and December 31, 2014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31,403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18,161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and six months ended June 30, 2015 and 2014 were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33,763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(7,251)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the three and six months ended June 30, 2014, warranty expense included net changes in estimates of $3.0 million and $4.4 million respectively, to reflect higher than originally estimated replacement unit costs and failure rates related to the Company’s second generation microinverter.</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2015, the $33.8 million in warranty obligations included $5.8 million measured at fair value (see Note 4—Fair Value Measurements).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1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1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 at June 30, 2015 and December 31, 2014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70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3</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3,562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3</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2,300</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75"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The Company utilizes foreign currency forward contracts from time to time to reduce the impact of foreign currency fluctuations arising from both sales and purchases denominated in Euros and the British Pound Sterling. At June 30, 2015 and December 31, 2014, the notional amounts of the Company’s foreign currency forward contracts outstanding were $1.3 million and $1.5 million, respectively. For the six months ended June 30, 2015 and 2014, the Company recorded net gains of $37,000 and $50,000, respectively, related to foreign currency forward contracts in other income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1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1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5,803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1,806</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Liability</w:t>
      </w:r>
    </w:p>
    <w:p>
      <w:pPr>
        <w:spacing w:after="0" w:line="175"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In December 2014, the Company acquired substantially all of the assets of Next Phase Solar, Inc. In connection with the acquisition, the Company recorded a contingent consideration liability. The selling party may be entitled to receive two contingent payments, each based on achievement of defined revenue targets for the two annual periods subsequent to the acquisition date. The range of undiscounted amounts the Company could be required to pay for each contingent payment is between zero and $2.8 million. Any amounts due will be payable in early 2016 and 2017 based on achievement of defined 2015 and 2016 revenue targets, respectively.</w:t>
      </w:r>
    </w:p>
    <w:p>
      <w:pPr>
        <w:spacing w:after="0" w:line="134"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During the two-year earnout period, the Company is required to reevaluate the fair value of the contingent consideration liability at each reporting period based on any new developments and record any changes in fair value. The fair value of the contingent consideration liability was estimated by applying the income approach. That measure is based on significant Level 3 inputs not observable in the market. Key assumptions include (i) probability adjusted level of revenues and the resultant payout; and (ii) a risk-adjusted discount rate estimated using a capital asset pricing model, which reflects an expected rate of return required by a market participant holding a financial instrument with risk attributes similar to the Company’s contingent consideration liability.</w:t>
      </w:r>
    </w:p>
    <w:p>
      <w:pPr>
        <w:spacing w:after="0" w:line="8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provides information regarding changes in financial liabilities related to the contingent consideration liability measured at fair value on a recurring basis using significant unobservable inputs (Level 3) for the six months ended June 30, 2015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Revaluations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Balance—June 30, 2015</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The decrease in fair value of the contingent consideration liability for the six months ended June 30, 2015 was attributable to changes in management estimates related to the probability adjusted level of revenues. The gain was recorded in sales and marketing expenses in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of June 30, 2015, the significant unobservable inputs used in the fair value measurement of the Company’s liabilities designated as Level 3 are as follows:</w:t>
      </w:r>
    </w:p>
    <w:p>
      <w:pPr>
        <w:sectPr>
          <w:pgSz w:w="11900" w:h="16838" w:orient="portrait"/>
          <w:cols w:equalWidth="0" w:num="1">
            <w:col w:w="11420"/>
          </w:cols>
          <w:pgMar w:left="240" w:top="125"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68" w:lineRule="exact"/>
        <w:rPr>
          <w:sz w:val="20"/>
          <w:szCs w:val="20"/>
          <w:color w:val="auto"/>
        </w:rPr>
      </w:pPr>
    </w:p>
    <w:p>
      <w:pPr>
        <w:ind w:left="200" w:hanging="80"/>
        <w:spacing w:after="0" w:line="278"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Contingent consideration liability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4"/>
                <w:szCs w:val="14"/>
                <w:color w:val="auto"/>
              </w:rPr>
            </w:pP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Description of Significant Unobservable Input</w:t>
            </w:r>
          </w:p>
        </w:tc>
        <w:tc>
          <w:tcPr>
            <w:tcW w:w="120" w:type="dxa"/>
            <w:vAlign w:val="bottom"/>
            <w:vMerge w:val="restart"/>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Percent Used</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25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1"/>
              </w:rPr>
              <w:t>Discounted cash flows</w:t>
            </w:r>
          </w:p>
        </w:tc>
        <w:tc>
          <w:tcPr>
            <w:tcW w:w="10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1"/>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19%</w:t>
            </w:r>
          </w:p>
        </w:tc>
        <w:tc>
          <w:tcPr>
            <w:tcW w:w="0" w:type="dxa"/>
            <w:vAlign w:val="bottom"/>
          </w:tcPr>
          <w:p>
            <w:pPr>
              <w:spacing w:after="0"/>
              <w:rPr>
                <w:sz w:val="1"/>
                <w:szCs w:val="1"/>
                <w:color w:val="auto"/>
              </w:rPr>
            </w:pPr>
          </w:p>
        </w:tc>
      </w:tr>
      <w:tr>
        <w:trPr>
          <w:trHeight w:val="102"/>
        </w:trPr>
        <w:tc>
          <w:tcPr>
            <w:tcW w:w="2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gridSpan w:val="2"/>
            <w:vMerge w:val="continue"/>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vMerge w:val="continue"/>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3"/>
              </w:rPr>
              <w:t>Probability-weighted discounted</w:t>
            </w:r>
          </w:p>
        </w:tc>
        <w:tc>
          <w:tcPr>
            <w:tcW w:w="100" w:type="dxa"/>
            <w:vAlign w:val="bottom"/>
          </w:tcPr>
          <w:p>
            <w:pPr>
              <w:spacing w:after="0"/>
              <w:rPr>
                <w:sz w:val="6"/>
                <w:szCs w:val="6"/>
                <w:color w:val="auto"/>
              </w:rPr>
            </w:pPr>
          </w:p>
        </w:tc>
        <w:tc>
          <w:tcPr>
            <w:tcW w:w="4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5"/>
        </w:trPr>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1"/>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98"/>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w w:val="90"/>
              </w:rPr>
              <w:t>cash flows</w:t>
            </w: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-810260</wp:posOffset>
            </wp:positionV>
            <wp:extent cx="319849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849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60"/>
            <w:col w:w="8880"/>
          </w:cols>
          <w:pgMar w:left="240" w:top="125"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5"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requirements of a third-party participant willing to assume the Company’s warranty obligations. The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$0.2 million reduction of the liability. Decreasing the discount rate by 100 basis points would result in a $0.2 million increase to the liability.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Contingent Consideration Liability</w:t>
      </w:r>
    </w:p>
    <w:p>
      <w:pPr>
        <w:spacing w:after="0" w:line="17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Changes in assumed probability adjustments with respect to achievement of target metrics can materially impact the fair value measurement of contingent consideration as of the acquisition date and for each subsequent period. Assumptions about the probability and amount of payout require less subjectivity over the course of the earnout period as management refines estimates based on actual events. Due to the short duration of the earnout period of two years, increasing or decreasing the risk-adjusted discount rate by 100 basis points would not have a material impact on the fair value measurement of the contingent consideration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assets with finite lives: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57"/>
        </w:trPr>
        <w:tc>
          <w:tcPr>
            <w:tcW w:w="378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The acquired customer relationships from the Company’s December 2014 NPS acquisition are being amortized on a straight-line basis over its estimated useful life of 5 years.</w:t>
      </w:r>
    </w:p>
    <w:p>
      <w:pPr>
        <w:spacing w:after="0" w:line="7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For the six months ended June 30, 2015, amortization expense related to intangible assets was $0.2 million. As of June 30, 2015, estimated future amortization expense related to finite-lived intangible assets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(In thousands)</w:t>
            </w: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(remaining 6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r>
      <w:tr>
        <w:trPr>
          <w:trHeight w:val="257"/>
        </w:trPr>
        <w:tc>
          <w:tcPr>
            <w:tcW w:w="10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1,310</w:t>
            </w:r>
          </w:p>
        </w:tc>
      </w:tr>
      <w:tr>
        <w:trPr>
          <w:trHeight w:val="20"/>
        </w:trPr>
        <w:tc>
          <w:tcPr>
            <w:tcW w:w="10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17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 has a $50.0 million revolving credit facility (the “Revolver”) with Wells Fargo Bank, N.A. (“Wells Fargo”) that was entered into in November 2012 and subsequently amended in February 2014 to extend the maturity date to November 7, 2016. The amount of credit available under the Revolver is subject to a borrowing base calculation that limits availability to a percentage of eligible domestic accounts receivable plus a percentage of the value of eligible domestic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inventory, less certain reserves. Amounts advanced under the Revolver bear interest at an annual rate equal to, at the Company’s option, either LIBOR or a “base rate” that is comprised of, among other things, the prime rate, plus a margin that is between 1.5% and 4.25% depending on the currency borrowed and the specific term of repayment. Advances under the Revolver may be drawn, repaid and redrawn until November 7, 2016, at which time all amounts borrowed must be repaid. The Revolver contains customary affirmative and negative covenants and events of default, and requires the Company to maintain at least $15.0 million in liquidity, consisting of cash, cash equivalents, and availability on the Revolver. Of this $15.0 million liquidity requirement, at least $5.0 million must be undrawn availability. The Company was in compliance with all financial covenants of the Revolver as of June 30, 2015.</w:t>
      </w:r>
    </w:p>
    <w:p>
      <w:pPr>
        <w:spacing w:after="0" w:line="1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second quarter of 2015, the Company borrowed $17.0 million to fund working capital requirements. As of June 30, 2015, the Company’s net availability under the Revolver, reflecting outstanding borrowings of $17.0 million, was $22.5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71" w:lineRule="exact"/>
        <w:rPr>
          <w:sz w:val="20"/>
          <w:szCs w:val="20"/>
          <w:color w:val="auto"/>
        </w:rPr>
      </w:pPr>
    </w:p>
    <w:p>
      <w:pPr>
        <w:ind w:right="400" w:firstLine="446"/>
        <w:spacing w:after="0" w:line="289"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not currently involved in any material legal proceedings. The Company may become involved in various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six months ended June 30, 2015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intrinsic value of options exercised in the six months ended June 30, 2015 was $2.4 million. As of June 30, 2015, the intrinsic value of options outstanding was $28.8 million based on the closing price of the Company’s stock as of June 30,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the six months ended June 30, 2015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0"/>
              </w:rPr>
              <w:t>RSUs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total fair value of restricted stock units that vested in the six months ended June 30, 2015 was $2.9 million. As of June 30, 2015, the intrinsic value of restricted stock units outstanding was $13.0 million based on the closing price of the Company’s stock as of June 30,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 condensed consolidated statements</w:t>
      </w:r>
      <w:r>
        <w:rPr>
          <w:rFonts w:ascii="Arial" w:cs="Arial" w:eastAsia="Arial" w:hAnsi="Arial"/>
          <w:sz w:val="18"/>
          <w:szCs w:val="18"/>
          <w:color w:val="auto"/>
        </w:rPr>
        <w:t xml:space="preserve"> </w:t>
      </w:r>
      <w:r>
        <w:rPr>
          <w:rFonts w:ascii="Arial" w:cs="Arial" w:eastAsia="Arial" w:hAnsi="Arial"/>
          <w:sz w:val="18"/>
          <w:szCs w:val="18"/>
          <w:color w:val="010202"/>
        </w:rPr>
        <w:t xml:space="preserve">of operations for the periods presented (in </w:t>
      </w:r>
      <w:r>
        <w:rPr>
          <w:rFonts w:ascii="Arial" w:cs="Arial" w:eastAsia="Arial" w:hAnsi="Arial"/>
          <w:sz w:val="18"/>
          <w:szCs w:val="18"/>
          <w:color w:val="000000"/>
        </w:rPr>
        <w:t>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1,391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1,592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summarizes stock-based compensation associated with stock options, restricted stock units, and employee stock purchase plan shares for the periods presented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359</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jc w:val="center"/>
              <w:ind w:left="577"/>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r>
      <w:tr>
        <w:trPr>
          <w:trHeight w:val="192"/>
        </w:trPr>
        <w:tc>
          <w:tcPr>
            <w:tcW w:w="46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577"/>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1"/>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6.38</w:t>
            </w: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4.13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spacing w:after="0"/>
              <w:rPr>
                <w:sz w:val="21"/>
                <w:szCs w:val="21"/>
                <w:color w:val="auto"/>
              </w:rPr>
            </w:pPr>
          </w:p>
        </w:tc>
        <w:tc>
          <w:tcPr>
            <w:tcW w:w="660" w:type="dxa"/>
            <w:vAlign w:val="bottom"/>
          </w:tcPr>
          <w:p>
            <w:pPr>
              <w:jc w:val="right"/>
              <w:ind w:right="23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17"/>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1"/>
                <w:szCs w:val="21"/>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4.4</w:t>
            </w: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0"/>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72.0%</w:t>
            </w:r>
          </w:p>
        </w:tc>
        <w:tc>
          <w:tcPr>
            <w:tcW w:w="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66.4%</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94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1.4%</w:t>
            </w:r>
          </w:p>
        </w:tc>
      </w:tr>
      <w:tr>
        <w:trPr>
          <w:trHeight w:val="27"/>
        </w:trPr>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r>
      <w:tr>
        <w:trPr>
          <w:trHeight w:val="27"/>
        </w:trPr>
        <w:tc>
          <w:tcPr>
            <w:tcW w:w="4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As of June 30, 2015, there was approximately $25.9 million of total unrecognized compensation cost related to unvested equity awards expected to be recognized over a weighted-average period of 2.7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used the discrete tax approach in calculating the tax expense for the three and six months ended June 30, 2015 and 2014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provisions recorded were primarily related to income taxes in jurisdictions outside of the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computation of basic and diluted net loss per share (in thousands, except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44,319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44,136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42,428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20" w:type="dxa"/>
            <w:vAlign w:val="bottom"/>
            <w:gridSpan w:val="3"/>
          </w:tcPr>
          <w:p>
            <w:pPr>
              <w:jc w:val="center"/>
              <w:ind w:left="817"/>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878"/>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1,128</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10,489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10,331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9,871</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500" w:type="dxa"/>
            <w:vAlign w:val="bottom"/>
          </w:tcPr>
          <w:p>
            <w:pPr>
              <w:jc w:val="right"/>
              <w:ind w:right="77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8.8 million microinverters as of June 30, 2015, which represents over 1.9 gigawatts (AC) of solar PV generating capacity. We currently offer microinverter systems targeting the residential and commercial markets in the United States, Canada, Mexico and other Latin America countries, the United Kingdom, France, the Benelux region, certain other European markets, Australia and New Zealand.</w:t>
      </w:r>
    </w:p>
    <w:p>
      <w:pPr>
        <w:spacing w:after="0" w:line="85"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jc w:val="both"/>
        <w:ind w:right="440" w:firstLine="446"/>
        <w:spacing w:after="0" w:line="342" w:lineRule="auto"/>
        <w:rPr>
          <w:sz w:val="20"/>
          <w:szCs w:val="20"/>
          <w:color w:val="auto"/>
        </w:rPr>
      </w:pPr>
      <w:r>
        <w:rPr>
          <w:rFonts w:ascii="Arial" w:cs="Arial" w:eastAsia="Arial" w:hAnsi="Arial"/>
          <w:sz w:val="16"/>
          <w:szCs w:val="16"/>
          <w:color w:val="auto"/>
        </w:rPr>
        <w:t>We primarily generate net revenues from sales of our microinverter systems, which include microinverter units and related accessories, an Envoy communications gateway device, and our Enlighten web-based monitoring service. We sell to distributors, large installers, OEMs and strategic partners.</w:t>
      </w:r>
    </w:p>
    <w:p>
      <w:pPr>
        <w:spacing w:after="0" w:line="1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revenue is affected by changes in the volume and average selling prices of our microinverter systems, driven by supply and demand, sales incentives, and competitive product offerings. Our revenue growth is dependent on our ability to develop and introduce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2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manufacturing personnel, logistics and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46" w:lineRule="exact"/>
        <w:rPr>
          <w:sz w:val="20"/>
          <w:szCs w:val="20"/>
          <w:color w:val="auto"/>
        </w:rPr>
      </w:pPr>
    </w:p>
    <w:p>
      <w:pPr>
        <w:jc w:val="both"/>
        <w:ind w:right="460" w:firstLine="446"/>
        <w:spacing w:after="0" w:line="342"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w:t>
      </w:r>
    </w:p>
    <w:p>
      <w:pPr>
        <w:spacing w:after="0" w:line="16"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North America, Europe, Australia and New Zealand.</w:t>
      </w:r>
    </w:p>
    <w:p>
      <w:pPr>
        <w:spacing w:after="0" w:line="62"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(including changes in estimates) and sales volume fluctuations resulting from seasonality.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incentive and stock-based compensation.</w:t>
      </w:r>
    </w:p>
    <w:p>
      <w:pPr>
        <w:spacing w:after="0" w:line="73"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Research and development expense includes personnel-related expenses such as salaries, incentive and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as well as development of new products that utilize technological innovation to drive down product costs, improve functionality, and enhance reliability. We intend to continue to invest substantial resources in our research and development efforts because we believe they are critical to maintaining our competitive position.</w:t>
      </w:r>
    </w:p>
    <w:p>
      <w:pPr>
        <w:spacing w:after="0" w:line="70"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incentive and stock-based compensation, employee benefits and travel and changes in fair value of the acquisition-related contingent consideration liability.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sell our products in the United States, Canada, Mexico and other Latin America countries, the United Kingdom, France, the Benelux region, certain other European markets, Australia and New Zealand. We expect to continue to expand the geographic reach of our product offerings and explore new sales channels in addressable markets in the future.</w:t>
      </w:r>
    </w:p>
    <w:p>
      <w:pPr>
        <w:spacing w:after="0" w:line="297" w:lineRule="exact"/>
        <w:rPr>
          <w:sz w:val="20"/>
          <w:szCs w:val="20"/>
          <w:color w:val="auto"/>
        </w:rPr>
      </w:pPr>
    </w:p>
    <w:p>
      <w:pPr>
        <w:jc w:val="both"/>
        <w:ind w:right="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incentive and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Other income (expense), net includes interest expense on amounts under our outstanding term loans prior to 2015 and non-cash interest expense related to the amortization of debt discounts and deferred financing costs. Other income (expense), net also includes gains or losses upon conversion of non-U.S. dollar transactions into U.S. dollars and from foreign currency forward contracts.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We are subject to income taxes in the countries where we sell our products, including the United States where we sell the majority of our products.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it is more-likely-than-not that all of our U.S. and state deferred tax assets will not be realized as of 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2015 and 2014</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1420" w:type="dxa"/>
            <w:vAlign w:val="bottom"/>
            <w:tcBorders>
              <w:bottom w:val="single" w:sz="8" w:color="auto"/>
            </w:tcBorders>
            <w:gridSpan w:val="2"/>
          </w:tcPr>
          <w:p>
            <w:pPr>
              <w:jc w:val="center"/>
              <w:ind w:left="70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   102,093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82,004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20,089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  $</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188,746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139,584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49,162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revenues increased by 24% for the three months ended June 30, 2015, as compared to the same period in 2014, primarily due to higher volume of microinverter systems sold. We sold 859,000 microinverter units in the three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June 30, 2015, compared to 598,000 units in the same period in 2014. The favorable impact of the higher volume was partially offset by a decline in the average selling price of our products.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Net revenues increased by 35% for the six months ended June 30, 2015, as compared to the same period in 2014, primarily due to higher volume of microinverter systems sold. We sold 1,578,000 microinverter units in the six months ended June 30, 2015, compared to 1,021,000 units in the same period in 2014. The favorable impact of the higher volume was partially offset by a decline in the average selling price of our products.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w w:val="98"/>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w w:val="97"/>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55,172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13,894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127,695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94,097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33,598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33,027</w:t>
            </w:r>
          </w:p>
        </w:tc>
        <w:tc>
          <w:tcPr>
            <w:tcW w:w="600" w:type="dxa"/>
            <w:vAlign w:val="bottom"/>
          </w:tcPr>
          <w:p>
            <w:pPr>
              <w:spacing w:after="0"/>
              <w:rPr>
                <w:sz w:val="21"/>
                <w:szCs w:val="21"/>
                <w:color w:val="auto"/>
              </w:rPr>
            </w:pPr>
          </w:p>
        </w:tc>
        <w:tc>
          <w:tcPr>
            <w:tcW w:w="780" w:type="dxa"/>
            <w:vAlign w:val="bottom"/>
          </w:tcPr>
          <w:p>
            <w:pPr>
              <w:jc w:val="right"/>
              <w:ind w:right="117"/>
              <w:spacing w:after="0"/>
              <w:rPr>
                <w:sz w:val="20"/>
                <w:szCs w:val="20"/>
                <w:color w:val="auto"/>
              </w:rPr>
            </w:pPr>
            <w:r>
              <w:rPr>
                <w:rFonts w:ascii="Arial" w:cs="Arial" w:eastAsia="Arial" w:hAnsi="Arial"/>
                <w:sz w:val="18"/>
                <w:szCs w:val="18"/>
                <w:color w:val="auto"/>
              </w:rPr>
              <w:t>26,832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99"/>
              <w:spacing w:after="0"/>
              <w:rPr>
                <w:sz w:val="20"/>
                <w:szCs w:val="20"/>
                <w:color w:val="auto"/>
              </w:rPr>
            </w:pPr>
            <w:r>
              <w:rPr>
                <w:rFonts w:ascii="Arial" w:cs="Arial" w:eastAsia="Arial" w:hAnsi="Arial"/>
                <w:sz w:val="18"/>
                <w:szCs w:val="18"/>
                <w:color w:val="auto"/>
              </w:rPr>
              <w:t>6,195</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61,051</w:t>
            </w:r>
          </w:p>
        </w:tc>
        <w:tc>
          <w:tcPr>
            <w:tcW w:w="340" w:type="dxa"/>
            <w:vAlign w:val="bottom"/>
          </w:tcPr>
          <w:p>
            <w:pPr>
              <w:spacing w:after="0"/>
              <w:rPr>
                <w:sz w:val="21"/>
                <w:szCs w:val="21"/>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45,487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99"/>
              <w:spacing w:after="0"/>
              <w:rPr>
                <w:sz w:val="20"/>
                <w:szCs w:val="20"/>
                <w:color w:val="auto"/>
              </w:rPr>
            </w:pPr>
            <w:r>
              <w:rPr>
                <w:rFonts w:ascii="Arial" w:cs="Arial" w:eastAsia="Arial" w:hAnsi="Arial"/>
                <w:sz w:val="18"/>
                <w:szCs w:val="18"/>
                <w:color w:val="auto"/>
              </w:rPr>
              <w:t>15,564</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Cost of revenues increased by 25% for the three months ended June 30, 2015, as compared to the same period in 2014, and was commensurate with the increase in net revenues. Gross margin remained relatively flat for the three months ended June 30, 2015, as compared to the same period in 2014. Warranty expense as a percentage of net revenues for the three months ended June 30, 2015 was 1.3 percent compared to 5.0 percent for the same period in 2014. Warranty expense in the prior year period included a $3.0 million incremental charge due to changes in estimates related to our second generation product, which reduced gross margin by approximately 4 percentage points.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Cost of revenues increased by 36% for the six months ended June 30, 2015, as compared to the same period in 2014, primarily due to the corresponding increase in net revenues. Gross margin remained relatively flat for the six months ended June 30, 2015, as compared to the same period in 2014. Warranty expense as a percentage of net revenues for the six months ended June 30, 2015 was 1.4 percent compared to 4.4 percent for the same period in 2014. Warranty expense in the prior year period included a $4.4 million incremental charge due to changes in estimates related to our second generation product, which reduced gross margin by approximately 3 percentage points.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90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Research and development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1,638</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26,216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20,234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5,982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Research and development expenses increased by 15% for the three months ended June 30, 2015, as compared to the same period in 2014. The increase was primarily attributable to a $1.6 million increase in personnel-related costs due to growth in headcount to support expanded research and development initiatives including development of new products as well as enhancements to existing products. The amount of research and development expenses may fluctuate from period to period due to the differing levels and stages of development activity.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Research and development expenses increased by 30% for the six months ended June 30, 2015, as compared to the same period in 2014. The increase was primarily attributable to a $4.3 million increase in personnel-related costs due to growth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headcount to support expanded research and development initiatives including development of new products as well as enhancements to existing products. In addition, the remaining increase was primarily attributable to a $1.1 million increase in research equipment depreciation and prototype material expense and a $0.6 million increase in third-party development costs.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90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10,493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24,445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19,321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5,124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w w:val="94"/>
              </w:rPr>
              <w:t>Percentage of net revenues</w:t>
            </w: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Sales and marketing expenses increased by 19% for the three months ended June 30, 2015, as compared to the same period in 2014. The increase was due primarily to a $1.9 million increase in personnel-related costs due to growth in headcount to support our growing business both domestically and internationally, severance costs of $0.9 million, increased marketing and consulting expenses of $0.6 million and increased amortization from intangibles of $0.2 million. The increase was partially offset by a $1.0 million benefit related to a revaluation of acquisition-related contingent consideration liability and a $0.6 million decrease in bad debt expense.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Sales and marketing expenses increased by 27% for the six months ended June 30, 2015, as compared to the same period in 2014. The increase was due primarily to a $4.3 million increase in personnel-related costs due to growth in headcount to support our growing business both domestically and internationally, increased marketing and consulting expenses of $1.2 million, severance costs of $0.9 million and increased amortization from intangibles of $0.2 million. The increase was partially offset by a $0.9 million net benefit related to a revaluation of acquisition-related contingent consideration liability and a $0.6 million decrease in bad debt expense.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7"/>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423</w:t>
            </w:r>
          </w:p>
        </w:tc>
        <w:tc>
          <w:tcPr>
            <w:tcW w:w="10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16,307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14,205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2,102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1220" w:type="dxa"/>
            <w:vAlign w:val="bottom"/>
            <w:gridSpan w:val="2"/>
          </w:tcPr>
          <w:p>
            <w:pPr>
              <w:jc w:val="right"/>
              <w:ind w:right="359"/>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General and administrative expenses increased by 6% for the three months ended June 30, 2015, as compared to the same period in 2014. The increase was due primarily to increased facilities-related expenses including rent, utilities and depreciation related to corporate fixed assets and other professional services costs.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General and administrative expenses increased by 15% for the six months ended June 30, 2015, as compared to the same period in 2014. The increase was due primarily to $0.8 million increase in corporate-level expenses including rent, utilities and depreciation related to corporate fixed assets, $0.7 million increase in professional services costs and $0.6 million increase in recruiting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420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  $</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157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2015 and 2014</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Other expense, net, for the three months ended June 30, 2015 decreased by $0.4 million, as compared to the same period in 2014. The decrease was primarily attributable to lower interest expense, as our term loans were repaid in full in December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2015 and 2014</w:t>
      </w:r>
    </w:p>
    <w:p>
      <w:pPr>
        <w:spacing w:after="0" w:line="17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Other expense, net, for the six months ended June 30, 2015 decreased by $0.2 million, as compared to the same period in 2014. The decrease was attributable to a $0.8 million decrease in interest expense, as our term loans were repaid in full in December 2014. This decrease was offset by a $0.6 million increase in losses from unfavorable foreign currency exchange movements associated with transactions denominated in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432"/>
        <w:spacing w:after="0" w:line="283" w:lineRule="auto"/>
        <w:rPr>
          <w:sz w:val="20"/>
          <w:szCs w:val="20"/>
          <w:color w:val="auto"/>
        </w:rPr>
      </w:pPr>
      <w:r>
        <w:rPr>
          <w:rFonts w:ascii="Arial" w:cs="Arial" w:eastAsia="Arial" w:hAnsi="Arial"/>
          <w:sz w:val="16"/>
          <w:szCs w:val="16"/>
          <w:color w:val="auto"/>
        </w:rPr>
        <w:t>As of June 30, 2015, we had $31.9 million in cash and cash equivalents and working capital of $57.6 million. Cash and cash equivalents held in the United States were $27.3 million and consisted primarily of non-interest bearing checking deposits, with the remainder held in various foreign subsidiaries. In addition, we have a $50.0 million revolving credit facility (the “Revolver”) with Wells Fargo Bank, N.A. (“Wells Fargo”) that was entered into in November 2012 and subsequently amended in February 2014 to extend the maturity date to November 7, 2016. The amount of credit available under the Revolver is subject to a borrowing base calculation that limits availability to a percentage of eligible domestic accounts receivable plus a percentage of the value of eligible domestic inventory, less certain reserves. Amounts advanced under the Revolver bear interest at an annual rate equal to, at our option, either LIBOR or a “base rate” that is comprised of, among other things, the prime rate, plus a margin that is between 1.5% and 4.25% depending on the currency borrowed and the specific term of repayment. Advances under the Revolver may be drawn, repaid and redrawn until November 7, 2016, at which time all amounts borrowed must be repaid. The Revolver contains customary affirmative and negative covenants and events of default, and requires us to maintain at</w:t>
      </w:r>
    </w:p>
    <w:p>
      <w:pPr>
        <w:spacing w:after="0" w:line="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least $15.0 million of liquidity, consisting of cash, cash equivalents, and availability on the Revolver. Of this $15.0 million liquidity requirement, at least $5.0 million must be undrawn availability. We were in compliance with all financial covenants of the Revolver as of June 30, 2015.</w:t>
      </w:r>
    </w:p>
    <w:p>
      <w:pPr>
        <w:spacing w:after="0" w:line="13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second quarter of 2015, we borrowed $17.0 million under our Revolver to fund working capital requirements. As of June 30, 2015, our net availability under the Revolver, reflecting outstanding borrowings of $17.0 million, was $22.5 million.</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our current cash and cash equivalents of $31.9 million as of June 30, 2015, together with borrowings expected to be available under our Revolver with Wells Fargo, will be sufficient to satisfy our working capital needs, capital asset purchases, outstanding commitments and obligations and fund our operations for at least the next 12 months.</w:t>
      </w:r>
    </w:p>
    <w:p>
      <w:pPr>
        <w:spacing w:after="0" w:line="73"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19,744</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For the six months ended June 30, 2015, net cash used in operating activities of $23.3 million was primarily attributable to a net loss of $6.9 million, net changes in our operating assets and liabilities of $27.3 million, offset by non-cash charges of $10.9 million primarily consisting of stock-based compensation and depreciation and amortization. Cash used for operating assets and liabilities included a $22.3 million increase in accounts receivable as a result of a disproportionate percentage of second quarter’s sales occurring in the last month of the quarter, as compared to the more even sales pattern in the fourth quarter of 2014. Other changes in operating assets and liabilities that used cash included a $12.5 million increase in inventory, a $4.1 million increase in other assets and a $0.2 million decrease in warranty obligations. The increase in other assets included a $2.5 million increase in customer financing receivables and the corresponding deferred costs. Cash provided by changes in operating assets and liabilities included a $6.7 million increase in accounts payable, accrued and other liabilities and a $5.0 million increase in deferred revenue. The increase in accounts payable, accrued and other liabilities was due to timing of vendor payments as well as increased inventory purchases. The increase in deferred revenue included revenue related to our Enlighten service as well as deferred product revenue corresponding with the increase in customer financing receivables.</w:t>
      </w:r>
    </w:p>
    <w:p>
      <w:pPr>
        <w:spacing w:after="0" w:line="11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For the six months ended June 30, 2014, net cash provided by operating activities of $4.1 million consisted of a net loss of $9.3 million, offset by non-cash charges of $9.3 million and a net cash inflow from changes in operating assets and liabilities of $4.1 million. Non-cash charges primarily consisted of stock-based compensation of $4.5 million, depreciation and amortization of $3.9 million and provisions for doubtful accounts of $0.7 million. The increase in cash provided by operating assets and liabilities was primarily attributable to a $16.6 million increase in accounts payable, accrued compensation and other accrued liabilities, and was partially offset by an increase of $15.2 million in accounts receivable and a $2.3 million increase to prepaid expenses and other assets. The increase in accounts payable was the result of higher business volume and the timing of vendor payments. The increase in accrued liabilities included higher anticipated purchase volume rebates earned by customers under our sales incentive programs. The increase in accounts receivable was reflective of the overall growth in revenues. The increase in other assets included replacement units on-hand for use in servicing our warranty obligations. During the six months ended June 30, 2014, inventory decreased by $0.9 million as a result of the higher than anticipated demand for our microinverter systems in the second quarter of 2014. In addition, cash from operating activities benefited from a $1.5 million increase in deferred revenues related to sales of our Enlighten web-based monitoring service and a $2.5 million increase in warranty obligations due to increased sales of microinverters.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six months ended June 30, 2015, net cash used in investing activities was $6.3 million, primarily as a result of purchases of test and assembly equipment and internally developed software additions.</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six months ended June 30, 2014, net cash used in investing activities was $4.3 million, primarily as a result of purchases of test and assembly equipment and internally developed software additions.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the six months ended June 30, 2015, net cash provided by financing activities was $19.7 million, consisting of $17.0 million drawn under the Revolver and $2.7 million in proceeds from the issuance of common stock under employee stock plans.</w:t>
      </w:r>
    </w:p>
    <w:p>
      <w:pPr>
        <w:spacing w:after="0" w:line="116"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For the six months ended June 30, 2014, net cash used in financing activities of $0.5 million was attributable to $2.2 million in principal repayments of outstanding term loans. The outflow of cash was offset by $1.7 million in proceeds from the issuance of common stock under employee stock plans.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There were no material changes during the six months ended June 30, 2015 to our contractual commitments as presented in “Management’s Discussion and Analysis of Financial Condition and Results of Operations” of our 2014 Form 10-K that were outside the ordinary course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There have been no significant changes during the six months ended June 30, 2015 to the items that we disclosed as our critical accounting policies and estimates in Management’s Discussion and Analysis of Financial Condition and Results of Operations in our Annual Report on Form 10-K for the year ended December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Effective</w:t>
      </w:r>
    </w:p>
    <w:p>
      <w:pPr>
        <w:spacing w:after="0" w:line="17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The effective date was recently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effect that the updated standard will have on our consolidated financial statements and related disclosures.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2014. Our exposures to market risk have not changed materially since December 31, 2014.</w:t>
      </w:r>
    </w:p>
    <w:p>
      <w:pPr>
        <w:spacing w:after="0" w:line="22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2015.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2015,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8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8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incurred significant net losses since we began doing business, including a net loss of $6.9 million during the six months ended June 30, 2015. As of June 30, 2015, we had an accumulated deficit of $167.9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relatively short operating history makes it difficult to evaluate our current business and future prospects.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While we have been in existence since 2006 and began shipping our products in commercial quantities until mid-2008, much of our growth has occurred in recent periods. Our relatively short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0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5620" w:right="5340" w:hanging="5126"/>
        <w:spacing w:after="0" w:line="659" w:lineRule="auto"/>
        <w:tabs>
          <w:tab w:leader="none" w:pos="977"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acceptance of solar PV systems based on our product platform; 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24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28"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Creation Act of 2008 provides a 30% federal tax credit for residential and commercial solar installations, which expires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139"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derive a significant portion of our revenues from California, which is the largest single solar market in the United States.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1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temporarily suspended for further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also sell our products in Europe.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1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Australia recently elected a new national government. The new leadership has pledged to revise national energy policy, including potentially reducing Australia’s renewable energy target and revising certain renewable energy financing mechanisms. In July 2014, the new leadership successfully repealed the tax on carbon emissions.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reduce and control product costs;</w:t>
      </w:r>
    </w:p>
    <w:p>
      <w:pPr>
        <w:spacing w:after="0" w:line="117" w:lineRule="exact"/>
        <w:rPr>
          <w:rFonts w:ascii="Arial" w:cs="Arial" w:eastAsia="Arial" w:hAnsi="Arial"/>
          <w:sz w:val="18"/>
          <w:szCs w:val="18"/>
          <w:color w:val="auto"/>
        </w:rPr>
      </w:pPr>
    </w:p>
    <w:p>
      <w:pPr>
        <w:ind w:left="980" w:right="5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To date, we have competed primarily against central or string inverter manufacturers. Marketing and selling our microinverter systems against traditional inverter solutions is highly competitive. Currently, competitors in the inverter market range from large companies such as SMA Solar Technology AG, Fronius International GmbH and ABB to emerging companies such as SolarEdge Technologies offering alternative microinverter or other solar electronics products, including DC to DC optimizer products. Several of our existing and potential competitors are significantly larger, have greater financial, marketing, distribution, customer support and other resources, are more established than we are, and have significantly better brand recognition, especially in certain markets.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Competition has intensified and we expect it to continue to intensify as new and existing competitors enter the microinverter market and additional add-on components like DC to DC optimizers that can be used with central or string inverters continue to gain more traction. SMA Solar Technology AG and ABB market and sell microinverter products. We believe that a number of companies have developed or are developing microinverters and other products that will compete directly with our microinverter systems. In addition, several new entrants to the microinverter market have recently announced plans to ship or have already shipped products.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recently acquired SolarBridge Technologies, Inc., a microinverter manufacturer selling in small volumes.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4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62"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62"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62"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right="720" w:firstLine="432"/>
        <w:spacing w:after="0" w:line="312" w:lineRule="auto"/>
        <w:rPr>
          <w:sz w:val="20"/>
          <w:szCs w:val="20"/>
          <w:color w:val="auto"/>
        </w:rPr>
      </w:pPr>
      <w:r>
        <w:rPr>
          <w:rFonts w:ascii="Arial" w:cs="Arial" w:eastAsia="Arial" w:hAnsi="Arial"/>
          <w:sz w:val="16"/>
          <w:szCs w:val="16"/>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19"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17"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other Latin America countries, the United Kingdom, France, the Benelux region, certain other European markets, Australia and New Zealand.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79"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17"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24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6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operating results to fluctuate significantly. This fluctuation may cause our results to fall short of analyst or investor expectations in a certain period, which may cause our stock price to decline.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Australia, New Zealand,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and sales to developers of third party solar finance offerings. In 2014, Vivint Solar, Inc. and CED Greentech accounted for 24% and 16% of total net revenues, respectively.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59" w:lineRule="exact"/>
        <w:rPr>
          <w:sz w:val="20"/>
          <w:szCs w:val="20"/>
          <w:color w:val="auto"/>
        </w:rPr>
      </w:pPr>
    </w:p>
    <w:p>
      <w:pPr>
        <w:ind w:left="980" w:right="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a party to a loan and security agreements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markets that we are pursuing.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are pursuing opportunities in energy management and energy storage. We have made and will continue to make investments in our infrastructure, increased our operating costs and forgone other business opportunities in order to seek opportunities in these areas. If these new potential business segments fail to translate into revenue in the quantities or timeline projected it could have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1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1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may also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We also rely on more expensive air transportation when ocean transportation is not available or compatible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Recently, contentious negotiations between the Pacific Maritime Association and the International Longshore &amp; Warehouse Union have resulted in port slowdowns which have caused port congestion and major delays in the transfer of cargo in the United States West Coast. Accordingly, we have had to ship a higher percentage of our products to our customers in North America via air transportation. Material interruptions in service or stoppages in transportation, such as the aforementioned dispute, whether caused by strike, work stoppage, lock-out, slowdown or otherwise, could materially and adversely impact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“Part II. Item 1A. Risk Factors”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80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 restrict our ability to pay dividends. Consequently, an investor’s only opportunity to achieve a return on its investment in our company will be if the market price of our common stock appreciates and the investor sells its shares at a profit.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62"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8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June 30, 2015, we entered into a Second Amendment (the “Amendment”) to the Supply Agreement with Dow Corning Corporation, dated April 22, 2014 (the “Agreement”), which requires us to purchase silicone encapsulates used in the production of our microinverters exclusively from Dow Corning Corporation. Pursuant to the terms of the Amendment, we are required to purchase a minimum volume of silicone encapsulates from January 1, 2015 to December 31, 2018 that will be no less than $29.0 million in the aggregate. If at the end of December 31, 2018 there is a shortfall between the quantity of supply purchased by us and the quantities of supply required under the Amendment, we will be required to pay an amount equal to the shortfall in quantity purchased multiplied by a specified price as set forth in the Amendment. The time frame for which to fulfill the minimum volume purchase may be made at any time during the term of the Amendment so long as the cumulative volume is met by December 31, 2018.</w:t>
      </w:r>
    </w:p>
    <w:p>
      <w:pPr>
        <w:spacing w:after="0" w:line="17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foregoing description of each of the Agreement and the Amendment are a summary of the material terms of each of the agreements and is qualified in its entirety by reference to the full text of the agreements, which are filed as exhibits hereto.</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August 5, 2015</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3"/>
              </w:rPr>
              <w:t>Form of June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8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Summary of 2015 Performance Bonus Program.</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93"/>
        </w:trPr>
        <w:tc>
          <w:tcPr>
            <w:tcW w:w="880" w:type="dxa"/>
            <w:vAlign w:val="bottom"/>
            <w:gridSpan w:val="2"/>
          </w:tcPr>
          <w:p>
            <w:pPr>
              <w:spacing w:after="0"/>
              <w:rPr>
                <w:sz w:val="20"/>
                <w:szCs w:val="20"/>
                <w:color w:val="auto"/>
              </w:rPr>
            </w:pPr>
            <w:r>
              <w:rPr>
                <w:rFonts w:ascii="Arial" w:cs="Arial" w:eastAsia="Arial" w:hAnsi="Arial"/>
                <w:sz w:val="18"/>
                <w:szCs w:val="18"/>
                <w:color w:val="auto"/>
              </w:rPr>
              <w:t>10.2***</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Supply Agreement by and between the Company and Dow Corning Corporation, dated April 22, 2014.</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7"/>
              </w:rPr>
              <w:t>Amendment No. 1 to Supply Agreement by and between the Company and Dow Corning Corporation, dated August 1, 2014.</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10.4***</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8"/>
              </w:rPr>
              <w:t>Amendment No. 2 to Supply Agreement by and between the Company and Dow Corning Corporation, dated June 30, 2015.</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Current Report on Form 8-K (File No. 001-35480), filed with the Securities and Exchange Commission on June 19, 2015, and incorporated by reference herein.</w:t>
      </w:r>
    </w:p>
    <w:p>
      <w:pPr>
        <w:spacing w:after="0" w:line="35" w:lineRule="exact"/>
        <w:rPr>
          <w:sz w:val="20"/>
          <w:szCs w:val="20"/>
          <w:color w:val="auto"/>
        </w:rPr>
      </w:pPr>
    </w:p>
    <w:p>
      <w:pPr>
        <w:jc w:val="both"/>
        <w:ind w:left="1300" w:hanging="48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6" w:lineRule="exact"/>
        <w:rPr>
          <w:sz w:val="20"/>
          <w:szCs w:val="20"/>
          <w:color w:val="auto"/>
        </w:rPr>
      </w:pPr>
    </w:p>
    <w:p>
      <w:pPr>
        <w:ind w:left="1300" w:right="20" w:hanging="482"/>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 in the exhibit marked with three asterisks [***] has been omitted pursuant to a request for confidential treatment filed with the Securities and Exchange Commission. Omitted portions have been filed separately with the Securities and Exchange Commission.</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ind w:right="160" w:firstLine="8"/>
        <w:spacing w:after="0" w:line="261" w:lineRule="auto"/>
        <w:tabs>
          <w:tab w:leader="none" w:pos="43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SUPPLY AGREEMENT</w:t>
      </w: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Dow Corning Corporation, a Michigan corporation with its principal place of business at 2200 W. Salzburg Road, Midland, Michigan 48686 (“</w:t>
      </w:r>
      <w:r>
        <w:rPr>
          <w:rFonts w:ascii="Arial" w:cs="Arial" w:eastAsia="Arial" w:hAnsi="Arial"/>
          <w:sz w:val="20"/>
          <w:szCs w:val="20"/>
          <w:b w:val="1"/>
          <w:bCs w:val="1"/>
          <w:color w:val="auto"/>
        </w:rPr>
        <w:t>Dow Corning</w:t>
      </w:r>
      <w:r>
        <w:rPr>
          <w:rFonts w:ascii="Arial" w:cs="Arial" w:eastAsia="Arial" w:hAnsi="Arial"/>
          <w:sz w:val="20"/>
          <w:szCs w:val="20"/>
          <w:color w:val="auto"/>
        </w:rPr>
        <w:t>”) agrees to sell Product(s) (as defined below) to Enphase Energy, Inc., a Delaware corporation with its principal place of business at 1420 N. McDowell Blvd., Petaluma, California 94954 (“</w:t>
      </w:r>
      <w:r>
        <w:rPr>
          <w:rFonts w:ascii="Arial" w:cs="Arial" w:eastAsia="Arial" w:hAnsi="Arial"/>
          <w:sz w:val="20"/>
          <w:szCs w:val="20"/>
          <w:b w:val="1"/>
          <w:bCs w:val="1"/>
          <w:color w:val="auto"/>
        </w:rPr>
        <w:t>Buyer</w:t>
      </w:r>
      <w:r>
        <w:rPr>
          <w:rFonts w:ascii="Arial" w:cs="Arial" w:eastAsia="Arial" w:hAnsi="Arial"/>
          <w:sz w:val="20"/>
          <w:szCs w:val="20"/>
          <w:color w:val="auto"/>
        </w:rPr>
        <w:t>”) and Buyer agrees to purchase Product(s) from Dow Corning according to the terms and conditions set forth below. Each of Dow Corning and Buyer may be individually referred to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216" w:lineRule="exact"/>
        <w:rPr>
          <w:sz w:val="20"/>
          <w:szCs w:val="20"/>
          <w:color w:val="auto"/>
        </w:rPr>
      </w:pPr>
    </w:p>
    <w:p>
      <w:pPr>
        <w:jc w:val="both"/>
        <w:ind w:left="1220" w:hanging="652"/>
        <w:spacing w:after="0" w:line="273" w:lineRule="auto"/>
        <w:tabs>
          <w:tab w:leader="none" w:pos="12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This Agreement will be in effect from April 22, 2014 (the “</w:t>
      </w:r>
      <w:r>
        <w:rPr>
          <w:rFonts w:ascii="Arial" w:cs="Arial" w:eastAsia="Arial" w:hAnsi="Arial"/>
          <w:sz w:val="19"/>
          <w:szCs w:val="19"/>
          <w:b w:val="1"/>
          <w:bCs w:val="1"/>
          <w:color w:val="auto"/>
        </w:rPr>
        <w:t>Effective Date</w:t>
      </w:r>
      <w:r>
        <w:rPr>
          <w:rFonts w:ascii="Arial" w:cs="Arial" w:eastAsia="Arial" w:hAnsi="Arial"/>
          <w:sz w:val="19"/>
          <w:szCs w:val="19"/>
          <w:color w:val="auto"/>
        </w:rPr>
        <w:t>”) until December 31, 2015 (the “</w:t>
      </w:r>
      <w:r>
        <w:rPr>
          <w:rFonts w:ascii="Arial" w:cs="Arial" w:eastAsia="Arial" w:hAnsi="Arial"/>
          <w:sz w:val="19"/>
          <w:szCs w:val="19"/>
          <w:b w:val="1"/>
          <w:bCs w:val="1"/>
          <w:color w:val="auto"/>
        </w:rPr>
        <w:t>Initial Term</w:t>
      </w:r>
      <w:r>
        <w:rPr>
          <w:rFonts w:ascii="Arial" w:cs="Arial" w:eastAsia="Arial" w:hAnsi="Arial"/>
          <w:sz w:val="19"/>
          <w:szCs w:val="19"/>
          <w:color w:val="auto"/>
        </w:rPr>
        <w:t>”), and may be extended upon the mutual written agreement of the Parties for additional calendar year periods (each such calendar year, a “</w:t>
      </w:r>
      <w:r>
        <w:rPr>
          <w:rFonts w:ascii="Arial" w:cs="Arial" w:eastAsia="Arial" w:hAnsi="Arial"/>
          <w:sz w:val="19"/>
          <w:szCs w:val="19"/>
          <w:b w:val="1"/>
          <w:bCs w:val="1"/>
          <w:color w:val="auto"/>
        </w:rPr>
        <w:t>Renewal Term</w:t>
      </w:r>
      <w:r>
        <w:rPr>
          <w:rFonts w:ascii="Arial" w:cs="Arial" w:eastAsia="Arial" w:hAnsi="Arial"/>
          <w:sz w:val="19"/>
          <w:szCs w:val="19"/>
          <w:color w:val="auto"/>
        </w:rPr>
        <w:t>” and collectively the Initial Term and each Renewal Term will be defined as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5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PRODUCT(S)</w:t>
      </w:r>
    </w:p>
    <w:p>
      <w:pPr>
        <w:spacing w:after="0" w:line="229" w:lineRule="exact"/>
        <w:rPr>
          <w:sz w:val="20"/>
          <w:szCs w:val="20"/>
          <w:color w:val="auto"/>
        </w:rPr>
      </w:pPr>
    </w:p>
    <w:p>
      <w:pPr>
        <w:jc w:val="both"/>
        <w:ind w:left="1740" w:hanging="1156"/>
        <w:spacing w:after="0" w:line="245" w:lineRule="auto"/>
        <w:rPr>
          <w:sz w:val="20"/>
          <w:szCs w:val="20"/>
          <w:color w:val="auto"/>
        </w:rPr>
      </w:pPr>
      <w:r>
        <w:rPr>
          <w:rFonts w:ascii="Arial" w:cs="Arial" w:eastAsia="Arial" w:hAnsi="Arial"/>
          <w:sz w:val="20"/>
          <w:szCs w:val="20"/>
          <w:color w:val="auto"/>
        </w:rPr>
        <w:t xml:space="preserve">2.1The Product(s) subject to this Agreement are listed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Product(s)</w:t>
      </w:r>
      <w:r>
        <w:rPr>
          <w:rFonts w:ascii="Arial" w:cs="Arial" w:eastAsia="Arial" w:hAnsi="Arial"/>
          <w:sz w:val="20"/>
          <w:szCs w:val="20"/>
          <w:color w:val="auto"/>
        </w:rPr>
        <w:t xml:space="preserve">”) and will be sold in the packages and at the prices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During the Term, Dow Corning may offer and make available to Buyer any alternative, new or subsequent generation of Product(s) sold or supplied by Dow Corning (“</w:t>
      </w:r>
      <w:r>
        <w:rPr>
          <w:rFonts w:ascii="Arial" w:cs="Arial" w:eastAsia="Arial" w:hAnsi="Arial"/>
          <w:sz w:val="20"/>
          <w:szCs w:val="20"/>
          <w:b w:val="1"/>
          <w:bCs w:val="1"/>
          <w:color w:val="auto"/>
        </w:rPr>
        <w:t>New Product(s)</w:t>
      </w:r>
      <w:r>
        <w:rPr>
          <w:rFonts w:ascii="Arial" w:cs="Arial" w:eastAsia="Arial" w:hAnsi="Arial"/>
          <w:sz w:val="20"/>
          <w:szCs w:val="20"/>
          <w:color w:val="auto"/>
        </w:rPr>
        <w:t>”) and such New Product(s) may be purchased by Buyer under the terms of this Agreement. The Product Specifications (as defined below) of any New Product(s) will be as mutually agreed to by the Parties and will be subject to the quality requirements set forth in Section 3 herein.</w:t>
      </w:r>
    </w:p>
    <w:p>
      <w:pPr>
        <w:spacing w:after="0" w:line="205" w:lineRule="exact"/>
        <w:rPr>
          <w:sz w:val="20"/>
          <w:szCs w:val="20"/>
          <w:color w:val="auto"/>
        </w:rPr>
      </w:pPr>
    </w:p>
    <w:p>
      <w:pPr>
        <w:jc w:val="both"/>
        <w:ind w:left="1740" w:hanging="1156"/>
        <w:spacing w:after="0" w:line="244" w:lineRule="auto"/>
        <w:rPr>
          <w:sz w:val="20"/>
          <w:szCs w:val="20"/>
          <w:color w:val="auto"/>
        </w:rPr>
      </w:pPr>
      <w:r>
        <w:rPr>
          <w:rFonts w:ascii="Arial" w:cs="Arial" w:eastAsia="Arial" w:hAnsi="Arial"/>
          <w:sz w:val="20"/>
          <w:szCs w:val="20"/>
          <w:color w:val="auto"/>
        </w:rPr>
        <w:t>2.2Each of Dow Corning and Buyer desire to collaborate in evaluating future application and development opportunities to continue to meet evolving performance and cost standards during the Term, and may either amend this Agreement to include such opportunities, or enter into other agreements for such Product(s). The preceding sentence notwithstanding, each of Dow Corning and Buyer reserve the right to accept or reject any future opportunities to collaborate, and will make independent business judgments regarding each such opportunity.</w:t>
      </w:r>
    </w:p>
    <w:p>
      <w:pPr>
        <w:spacing w:after="0" w:line="20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QUALITY AND PRODUCT SPECIFICATIONS</w:t>
      </w:r>
    </w:p>
    <w:p>
      <w:pPr>
        <w:spacing w:after="0" w:line="216" w:lineRule="exact"/>
        <w:rPr>
          <w:sz w:val="20"/>
          <w:szCs w:val="20"/>
          <w:color w:val="auto"/>
        </w:rPr>
      </w:pPr>
    </w:p>
    <w:p>
      <w:pPr>
        <w:jc w:val="both"/>
        <w:ind w:left="1220" w:hanging="652"/>
        <w:spacing w:after="0" w:line="246" w:lineRule="auto"/>
        <w:tabs>
          <w:tab w:leader="none" w:pos="12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Product(s) will meet the Dow Corning Product Specifications (the “</w:t>
      </w:r>
      <w:r>
        <w:rPr>
          <w:rFonts w:ascii="Arial" w:cs="Arial" w:eastAsia="Arial" w:hAnsi="Arial"/>
          <w:sz w:val="20"/>
          <w:szCs w:val="20"/>
          <w:b w:val="1"/>
          <w:bCs w:val="1"/>
          <w:color w:val="auto"/>
        </w:rPr>
        <w:t>Product Specifications</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No changes to the Product Specifications will be implemented without agreement by both Parties. The “</w:t>
      </w:r>
      <w:r>
        <w:rPr>
          <w:rFonts w:ascii="Arial" w:cs="Arial" w:eastAsia="Arial" w:hAnsi="Arial"/>
          <w:sz w:val="20"/>
          <w:szCs w:val="20"/>
          <w:b w:val="1"/>
          <w:bCs w:val="1"/>
          <w:color w:val="auto"/>
        </w:rPr>
        <w:t>Minimum Shelf-Life</w:t>
      </w:r>
      <w:r>
        <w:rPr>
          <w:rFonts w:ascii="Arial" w:cs="Arial" w:eastAsia="Arial" w:hAnsi="Arial"/>
          <w:sz w:val="20"/>
          <w:szCs w:val="20"/>
          <w:color w:val="auto"/>
        </w:rPr>
        <w:t>” for the Product(s) will be (a) from the Effective Date through [***], at least nine (9) months from the date of shipment of the Product(s) to Buyer, and (b) from [***] through the remainder of this Agreement, at least twelve (12) months from the date of shipment of the Product(s) to Buyer.</w:t>
      </w:r>
    </w:p>
    <w:p>
      <w:pPr>
        <w:spacing w:after="0" w:line="205" w:lineRule="exact"/>
        <w:rPr>
          <w:sz w:val="20"/>
          <w:szCs w:val="20"/>
          <w:color w:val="auto"/>
        </w:rPr>
      </w:pPr>
    </w:p>
    <w:p>
      <w:pPr>
        <w:jc w:val="both"/>
        <w:ind w:left="1220" w:hanging="652"/>
        <w:spacing w:after="0" w:line="260" w:lineRule="auto"/>
        <w:tabs>
          <w:tab w:leader="none" w:pos="12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Dow Corning’s production facility has ISO9001 registration and has implemented change management procedures in compliance with ISO9001 requirements.</w:t>
      </w:r>
    </w:p>
    <w:p>
      <w:pPr>
        <w:spacing w:after="0" w:line="21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7"/>
          <w:szCs w:val="17"/>
          <w:color w:val="auto"/>
        </w:rPr>
        <w:t>During Dow Corning’s internal quality control and testing, Dow Corning will ensure compliance with: (i) the Product Specifications;</w:t>
      </w:r>
    </w:p>
    <w:p>
      <w:pPr>
        <w:spacing w:after="0" w:line="20" w:lineRule="exact"/>
        <w:rPr>
          <w:sz w:val="20"/>
          <w:szCs w:val="20"/>
          <w:color w:val="auto"/>
        </w:rPr>
      </w:pPr>
    </w:p>
    <w:p>
      <w:pPr>
        <w:ind w:left="1220" w:firstLine="8"/>
        <w:spacing w:after="0" w:line="262" w:lineRule="auto"/>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only to the extent applicable, relevant and reasonable to Supplier’s status as a liquid materials supplier and not a parts supplier, the Buyer’s Advanced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4" w:name="page45"/>
    <w:bookmarkEnd w:id="44"/>
    <w:p>
      <w:pPr>
        <w:jc w:val="both"/>
        <w:ind w:left="1220" w:firstLine="1202"/>
        <w:spacing w:after="0" w:line="297" w:lineRule="auto"/>
        <w:rPr>
          <w:sz w:val="20"/>
          <w:szCs w:val="20"/>
          <w:color w:val="auto"/>
        </w:rPr>
      </w:pPr>
      <w:r>
        <w:rPr>
          <w:rFonts w:ascii="Arial" w:cs="Arial" w:eastAsia="Arial" w:hAnsi="Arial"/>
          <w:sz w:val="19"/>
          <w:szCs w:val="19"/>
          <w:color w:val="auto"/>
        </w:rPr>
        <w:t>Product Quality Planning process (the “</w:t>
      </w:r>
      <w:r>
        <w:rPr>
          <w:rFonts w:ascii="Arial" w:cs="Arial" w:eastAsia="Arial" w:hAnsi="Arial"/>
          <w:sz w:val="19"/>
          <w:szCs w:val="19"/>
          <w:b w:val="1"/>
          <w:bCs w:val="1"/>
          <w:color w:val="auto"/>
        </w:rPr>
        <w:t>APQP Process</w:t>
      </w:r>
      <w:r>
        <w:rPr>
          <w:rFonts w:ascii="Arial" w:cs="Arial" w:eastAsia="Arial" w:hAnsi="Arial"/>
          <w:sz w:val="19"/>
          <w:szCs w:val="19"/>
          <w:color w:val="auto"/>
        </w:rPr>
        <w:t>”), previously provided by Buyer to Dow Corning, and (iii) any future product specifications mutually agreed to by the Parties. Dow Corning will provide Buyer with written certification of compliance with the foregoing in a form that is mutually acceptable to the Parties.</w:t>
      </w:r>
    </w:p>
    <w:p>
      <w:pPr>
        <w:spacing w:after="0" w:line="15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PRODUCT TESTING AND QUALIFICATION</w:t>
      </w:r>
    </w:p>
    <w:p>
      <w:pPr>
        <w:spacing w:after="0" w:line="216" w:lineRule="exact"/>
        <w:rPr>
          <w:sz w:val="20"/>
          <w:szCs w:val="20"/>
          <w:color w:val="auto"/>
        </w:rPr>
      </w:pPr>
    </w:p>
    <w:p>
      <w:pPr>
        <w:jc w:val="both"/>
        <w:ind w:left="1220" w:hanging="652"/>
        <w:spacing w:after="0" w:line="266" w:lineRule="auto"/>
        <w:tabs>
          <w:tab w:leader="none" w:pos="12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The Product(s) will be deemed as “</w:t>
      </w:r>
      <w:r>
        <w:rPr>
          <w:rFonts w:ascii="Arial" w:cs="Arial" w:eastAsia="Arial" w:hAnsi="Arial"/>
          <w:sz w:val="19"/>
          <w:szCs w:val="19"/>
          <w:b w:val="1"/>
          <w:bCs w:val="1"/>
          <w:color w:val="auto"/>
        </w:rPr>
        <w:t>Qualified</w:t>
      </w:r>
      <w:r>
        <w:rPr>
          <w:rFonts w:ascii="Arial" w:cs="Arial" w:eastAsia="Arial" w:hAnsi="Arial"/>
          <w:sz w:val="19"/>
          <w:szCs w:val="19"/>
          <w:color w:val="auto"/>
        </w:rPr>
        <w:t>” once: (i) Buyer’s Product Validation group successfully completes its internal testing results of the Product(s) and signs -off on its results in Buyer’s Arena system; (ii) the Product(s) comply with the Product Specifications; (iii) the APQP Process is successfully completed; and (iv) Parts Submission Warrant is formally signed-off by Buyer’s Supplier Quality Engineer and is formally released in Buyer’s Arena System.</w:t>
      </w:r>
    </w:p>
    <w:p>
      <w:pPr>
        <w:spacing w:after="0" w:line="185" w:lineRule="exact"/>
        <w:rPr>
          <w:sz w:val="20"/>
          <w:szCs w:val="20"/>
          <w:color w:val="auto"/>
        </w:rPr>
      </w:pPr>
    </w:p>
    <w:p>
      <w:pPr>
        <w:jc w:val="both"/>
        <w:ind w:left="1220" w:hanging="652"/>
        <w:spacing w:after="0" w:line="263" w:lineRule="auto"/>
        <w:tabs>
          <w:tab w:leader="none" w:pos="12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In the event that the Product(s) cannot be Qualified, the Parties agree to work together to resolve any issues related to the Qualification of the Product(s); provided however, that Buyer may, if Buyer and Dow Corning mutually agree that use of the Product(s) is commercially unreasonable due to delay, cost, performance or any other reason, and Dow Corning is unable to remedy such determination within thirty (30) days, terminate this Agreement upon ten (10) days’ notice.</w:t>
      </w:r>
    </w:p>
    <w:p>
      <w:pPr>
        <w:spacing w:after="0" w:line="18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PRICE AND QUANTITY</w:t>
      </w:r>
    </w:p>
    <w:p>
      <w:pPr>
        <w:spacing w:after="0" w:line="21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for the Product(s) or New Product(s) will be as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35" w:lineRule="exact"/>
        <w:rPr>
          <w:sz w:val="20"/>
          <w:szCs w:val="20"/>
          <w:color w:val="auto"/>
        </w:rPr>
      </w:pPr>
    </w:p>
    <w:p>
      <w:pPr>
        <w:jc w:val="both"/>
        <w:ind w:left="1220" w:hanging="652"/>
        <w:spacing w:after="0" w:line="274" w:lineRule="auto"/>
        <w:tabs>
          <w:tab w:leader="none" w:pos="12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 xml:space="preserve">Buyer’s minimum purchase obligation in calendar year 2014 is [***]kg of Products between July 1, 2014 and December 31, 2014, and in calendar year 2015 is [***]kg of Products (the “Minimum Volume Commitment”). Dow Corning’s maximum supply obligation is [***]kg of Products in calendar year 2014 and [***]kg of Products in calendar year 2015. Unless otherwise agreed, Dow Corning’s monthly supply obligation will not exceed 200% of Buyer’s average monthly purchase obligation (calculated as the Minimum Volume Commitment divided by the number of months in the relevant calendar year). In the event that Buyer purchases at least the Minimum Volume Commitment in [***], then Dow Corning agrees that for calendar year [***], the Purchase Price for the Product(s) will be [***] percent less than the amount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7" w:lineRule="exact"/>
        <w:rPr>
          <w:sz w:val="20"/>
          <w:szCs w:val="20"/>
          <w:color w:val="auto"/>
        </w:rPr>
      </w:pPr>
    </w:p>
    <w:p>
      <w:pPr>
        <w:jc w:val="both"/>
        <w:ind w:left="1220" w:hanging="652"/>
        <w:spacing w:after="0" w:line="245" w:lineRule="auto"/>
        <w:tabs>
          <w:tab w:leader="none" w:pos="12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If, during the period of time between the Effective Date and June 30, 2015 (the “</w:t>
      </w:r>
      <w:r>
        <w:rPr>
          <w:rFonts w:ascii="Arial" w:cs="Arial" w:eastAsia="Arial" w:hAnsi="Arial"/>
          <w:sz w:val="20"/>
          <w:szCs w:val="20"/>
          <w:b w:val="1"/>
          <w:bCs w:val="1"/>
          <w:color w:val="auto"/>
        </w:rPr>
        <w:t>Price Protection Period</w:t>
      </w:r>
      <w:r>
        <w:rPr>
          <w:rFonts w:ascii="Arial" w:cs="Arial" w:eastAsia="Arial" w:hAnsi="Arial"/>
          <w:sz w:val="20"/>
          <w:szCs w:val="20"/>
          <w:color w:val="auto"/>
        </w:rPr>
        <w:t>”), Dow Corning sells to any other party any quantity of the same grade and quality of the Product(s) or New Product(s) for like use, and at a price lower than the Purchase Price or Purchase Price less the discounts provided for in Section 5.2, then Dow Corning will apply such lower price to all Product(s) purchased by Buyer during the Price Protection Period. In the event the application of this Section creates a rebate for the benefit of Buyer, Dow Corning will issue a credit to Buyer’s account for such amount within thirty (30) days of the determination thereof.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1" w:lineRule="exact"/>
        <w:rPr>
          <w:sz w:val="20"/>
          <w:szCs w:val="20"/>
          <w:color w:val="auto"/>
        </w:rPr>
      </w:pPr>
    </w:p>
    <w:p>
      <w:pPr>
        <w:ind w:right="160" w:firstLine="8"/>
        <w:spacing w:after="0" w:line="282" w:lineRule="auto"/>
        <w:tabs>
          <w:tab w:leader="none" w:pos="43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81" w:right="239" w:bottom="1440" w:gutter="0" w:footer="0" w:header="0"/>
        </w:sectPr>
      </w:pPr>
    </w:p>
    <w:bookmarkStart w:id="45" w:name="page46"/>
    <w:bookmarkEnd w:id="45"/>
    <w:p>
      <w:pPr>
        <w:jc w:val="both"/>
        <w:ind w:left="1220" w:hanging="652"/>
        <w:spacing w:after="0" w:line="250" w:lineRule="auto"/>
        <w:tabs>
          <w:tab w:leader="none" w:pos="12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In the event that Buyer desires, at a later date, to have a designated agent that is approved in writing by Dow Corning purchase the Products directly from Dow Corning, Dow Corning will count such purchases towards Buyer’s Minimum Volume Commitment.</w:t>
      </w:r>
    </w:p>
    <w:p>
      <w:pPr>
        <w:spacing w:after="0" w:line="19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FREIGHT AND SHIPPING DESTINATION(S); TITLE AND RISK OF LOSS</w:t>
      </w:r>
    </w:p>
    <w:p>
      <w:pPr>
        <w:spacing w:after="0" w:line="222" w:lineRule="exact"/>
        <w:rPr>
          <w:sz w:val="20"/>
          <w:szCs w:val="20"/>
          <w:color w:val="auto"/>
        </w:rPr>
      </w:pPr>
    </w:p>
    <w:p>
      <w:pPr>
        <w:jc w:val="both"/>
        <w:ind w:left="1220" w:hanging="652"/>
        <w:spacing w:after="0" w:line="242" w:lineRule="auto"/>
        <w:tabs>
          <w:tab w:leader="none" w:pos="12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Freight terms are INCOTERMS 2010 [***] to Flextronics Electronics Technology(Shenzhen) Co., LTD # 89 Yong Fu Road, Tong Fu Yu Industrial Park, Fu Yong Town, Bao An District, Shenzhen, 518103 P.R. China or any other location agreed to by Buyer and Dow Corning. Title and risk of loss with respect to all Products shall pass to Buyer upon delivery pursuant to [***] terms. Except as set forth in Section 6.4, Dow Corning will deliver the Product(s) in full container loads (84 drums/42 kits, double stacked) from Dow Corning’s bonded warehouse in Hong Kong. Upon notification from Dow Corning for shipment release against a purchase order placed by Buyer to Dow Corning, Buyer or its designated agent must complete Import Customs Clearance and provide confirmation thereof to Dow Corning prior to completion of the shipment.to Flextronics warehouse in Shenzhen, China.</w:t>
      </w:r>
    </w:p>
    <w:p>
      <w:pPr>
        <w:spacing w:after="0" w:line="211" w:lineRule="exact"/>
        <w:rPr>
          <w:sz w:val="20"/>
          <w:szCs w:val="20"/>
          <w:color w:val="auto"/>
        </w:rPr>
      </w:pPr>
    </w:p>
    <w:p>
      <w:pPr>
        <w:jc w:val="both"/>
        <w:ind w:left="1220" w:right="20" w:hanging="652"/>
        <w:spacing w:after="0" w:line="260" w:lineRule="auto"/>
        <w:tabs>
          <w:tab w:leader="none" w:pos="12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For rush orders (with requested shipping date less than fifteen (15) business days prior to order, per Section 7 below), freight terms are INCOTERMS 2010 FCA Dow Corning’s bonded warehouse in Hong Kong.</w:t>
      </w:r>
    </w:p>
    <w:p>
      <w:pPr>
        <w:spacing w:after="0" w:line="19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Dow Corning will select the carrier and the routing.</w:t>
      </w:r>
    </w:p>
    <w:p>
      <w:pPr>
        <w:spacing w:after="0" w:line="229" w:lineRule="exact"/>
        <w:rPr>
          <w:sz w:val="20"/>
          <w:szCs w:val="20"/>
          <w:color w:val="auto"/>
        </w:rPr>
      </w:pPr>
    </w:p>
    <w:p>
      <w:pPr>
        <w:jc w:val="both"/>
        <w:ind w:left="1220" w:hanging="652"/>
        <w:spacing w:after="0" w:line="260" w:lineRule="auto"/>
        <w:tabs>
          <w:tab w:leader="none" w:pos="12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In the event Buyer requests shipments in increments smaller than full container loads, freight terms will be INCOTERMS 2010 FCA Dow Corning’s bonded warehouse in Hong Kong.</w:t>
      </w:r>
    </w:p>
    <w:p>
      <w:pPr>
        <w:spacing w:after="0" w:line="18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ORDERS</w:t>
      </w:r>
    </w:p>
    <w:p>
      <w:pPr>
        <w:spacing w:after="0" w:line="221" w:lineRule="exact"/>
        <w:rPr>
          <w:rFonts w:ascii="Arial" w:cs="Arial" w:eastAsia="Arial" w:hAnsi="Arial"/>
          <w:sz w:val="20"/>
          <w:szCs w:val="20"/>
          <w:b w:val="1"/>
          <w:bCs w:val="1"/>
          <w:color w:val="auto"/>
        </w:rPr>
      </w:pPr>
    </w:p>
    <w:p>
      <w:pPr>
        <w:ind w:left="660" w:right="2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Buyer’s order must be received at least fifteen (15) business days prior to requested shipping date. Dow Corning will use reasonable commercial efforts to meet requested shipping dates that specify timelines shorter than fifteen (15) business days.</w:t>
      </w:r>
    </w:p>
    <w:p>
      <w:pPr>
        <w:spacing w:after="0" w:line="160" w:lineRule="exact"/>
        <w:rPr>
          <w:rFonts w:ascii="Arial" w:cs="Arial" w:eastAsia="Arial" w:hAnsi="Arial"/>
          <w:sz w:val="20"/>
          <w:szCs w:val="20"/>
          <w:b w:val="1"/>
          <w:bCs w:val="1"/>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color w:val="auto"/>
        </w:rPr>
        <w:t>FORECAST</w:t>
      </w:r>
    </w:p>
    <w:p>
      <w:pPr>
        <w:spacing w:after="0" w:line="212" w:lineRule="exact"/>
        <w:rPr>
          <w:rFonts w:ascii="Arial" w:cs="Arial" w:eastAsia="Arial" w:hAnsi="Arial"/>
          <w:sz w:val="22"/>
          <w:szCs w:val="22"/>
          <w:b w:val="1"/>
          <w:bCs w:val="1"/>
          <w:color w:val="auto"/>
        </w:rPr>
      </w:pPr>
    </w:p>
    <w:p>
      <w:pPr>
        <w:jc w:val="both"/>
        <w:ind w:left="660"/>
        <w:spacing w:after="0" w:line="230" w:lineRule="auto"/>
        <w:rPr>
          <w:rFonts w:ascii="Arial" w:cs="Arial" w:eastAsia="Arial" w:hAnsi="Arial"/>
          <w:sz w:val="22"/>
          <w:szCs w:val="22"/>
          <w:b w:val="1"/>
          <w:bCs w:val="1"/>
          <w:color w:val="auto"/>
        </w:rPr>
      </w:pPr>
      <w:r>
        <w:rPr>
          <w:rFonts w:ascii="Arial" w:cs="Arial" w:eastAsia="Arial" w:hAnsi="Arial"/>
          <w:sz w:val="20"/>
          <w:szCs w:val="20"/>
          <w:color w:val="auto"/>
        </w:rPr>
        <w:t>On the first (1</w:t>
      </w:r>
      <w:r>
        <w:rPr>
          <w:rFonts w:ascii="Arial" w:cs="Arial" w:eastAsia="Arial" w:hAnsi="Arial"/>
          <w:sz w:val="25"/>
          <w:szCs w:val="25"/>
          <w:color w:val="auto"/>
          <w:vertAlign w:val="superscript"/>
        </w:rPr>
        <w:t>st</w:t>
      </w:r>
      <w:r>
        <w:rPr>
          <w:rFonts w:ascii="Arial" w:cs="Arial" w:eastAsia="Arial" w:hAnsi="Arial"/>
          <w:sz w:val="20"/>
          <w:szCs w:val="20"/>
          <w:color w:val="auto"/>
        </w:rPr>
        <w:t>) business day of each month, Buyer will provide Dow Corning a three-month rolling forecast of purchases for each Product. Only the first month of each three-month forecast will be considered a binding commitment on the part of Buyer to purchase and of Dow Corning to supply the corresponding volume of Product(s) subject to the Quantity provisions set forth in this Agreement; the balance of such three-month forecast is for planning purposes only.</w:t>
      </w:r>
    </w:p>
    <w:p>
      <w:pPr>
        <w:spacing w:after="0" w:line="205" w:lineRule="exact"/>
        <w:rPr>
          <w:rFonts w:ascii="Arial" w:cs="Arial" w:eastAsia="Arial" w:hAnsi="Arial"/>
          <w:sz w:val="22"/>
          <w:szCs w:val="22"/>
          <w:b w:val="1"/>
          <w:bCs w:val="1"/>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color w:val="auto"/>
        </w:rPr>
        <w:t>PAYMENT</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9.1Provided that Product(s) has been delivered and Accepted, payment for such Product(s) must be delivered to Dow Corning within</w:t>
      </w:r>
    </w:p>
    <w:p>
      <w:pPr>
        <w:spacing w:after="0" w:line="39" w:lineRule="exact"/>
        <w:rPr>
          <w:sz w:val="20"/>
          <w:szCs w:val="20"/>
          <w:color w:val="auto"/>
        </w:rPr>
      </w:pPr>
    </w:p>
    <w:p>
      <w:pPr>
        <w:ind w:left="1400" w:firstLine="8"/>
        <w:spacing w:after="0" w:line="269" w:lineRule="auto"/>
        <w:tabs>
          <w:tab w:leader="none" w:pos="1884" w:val="left"/>
        </w:tabs>
        <w:numPr>
          <w:ilvl w:val="0"/>
          <w:numId w:val="32"/>
        </w:numPr>
        <w:rPr>
          <w:rFonts w:ascii="Arial" w:cs="Arial" w:eastAsia="Arial" w:hAnsi="Arial"/>
          <w:sz w:val="19"/>
          <w:szCs w:val="19"/>
          <w:color w:val="auto"/>
        </w:rPr>
      </w:pPr>
      <w:r>
        <w:rPr>
          <w:rFonts w:ascii="Arial" w:cs="Arial" w:eastAsia="Arial" w:hAnsi="Arial"/>
          <w:sz w:val="19"/>
          <w:szCs w:val="19"/>
          <w:color w:val="auto"/>
        </w:rPr>
        <w:t>calendar days from the date that an undisputed invoice (“</w:t>
      </w:r>
      <w:r>
        <w:rPr>
          <w:rFonts w:ascii="Arial" w:cs="Arial" w:eastAsia="Arial" w:hAnsi="Arial"/>
          <w:sz w:val="19"/>
          <w:szCs w:val="19"/>
          <w:b w:val="1"/>
          <w:bCs w:val="1"/>
          <w:color w:val="auto"/>
        </w:rPr>
        <w:t>Undisputed Invoice</w:t>
      </w:r>
      <w:r>
        <w:rPr>
          <w:rFonts w:ascii="Arial" w:cs="Arial" w:eastAsia="Arial" w:hAnsi="Arial"/>
          <w:sz w:val="19"/>
          <w:szCs w:val="19"/>
          <w:color w:val="auto"/>
        </w:rPr>
        <w:t>”) has been received by Buyer’s accounts payable group (“</w:t>
      </w:r>
      <w:r>
        <w:rPr>
          <w:rFonts w:ascii="Arial" w:cs="Arial" w:eastAsia="Arial" w:hAnsi="Arial"/>
          <w:sz w:val="19"/>
          <w:szCs w:val="19"/>
          <w:b w:val="1"/>
          <w:bCs w:val="1"/>
          <w:color w:val="auto"/>
        </w:rPr>
        <w:t>AP</w:t>
      </w:r>
      <w:r>
        <w:rPr>
          <w:rFonts w:ascii="Arial" w:cs="Arial" w:eastAsia="Arial" w:hAnsi="Arial"/>
          <w:sz w:val="19"/>
          <w:szCs w:val="19"/>
          <w:color w:val="auto"/>
        </w:rPr>
        <w:t>”). Buyer will be entitled to a [***] percent discount off of the amounts in an Undisputed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1" w:lineRule="exact"/>
        <w:rPr>
          <w:sz w:val="20"/>
          <w:szCs w:val="20"/>
          <w:color w:val="auto"/>
        </w:rPr>
      </w:pPr>
    </w:p>
    <w:p>
      <w:pPr>
        <w:ind w:right="160" w:firstLine="8"/>
        <w:spacing w:after="0" w:line="282" w:lineRule="auto"/>
        <w:tabs>
          <w:tab w:leader="none" w:pos="4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66" w:right="239" w:bottom="1440" w:gutter="0" w:footer="0" w:header="0"/>
        </w:sectPr>
      </w:pPr>
    </w:p>
    <w:bookmarkStart w:id="46" w:name="page47"/>
    <w:bookmarkEnd w:id="46"/>
    <w:p>
      <w:pPr>
        <w:jc w:val="both"/>
        <w:ind w:left="1220"/>
        <w:spacing w:after="0" w:line="278" w:lineRule="auto"/>
        <w:rPr>
          <w:sz w:val="20"/>
          <w:szCs w:val="20"/>
          <w:color w:val="auto"/>
        </w:rPr>
      </w:pPr>
      <w:r>
        <w:rPr>
          <w:rFonts w:ascii="Arial" w:cs="Arial" w:eastAsia="Arial" w:hAnsi="Arial"/>
          <w:sz w:val="20"/>
          <w:szCs w:val="20"/>
          <w:color w:val="auto"/>
        </w:rPr>
        <w:t>Invoice if Buyer pays the full amount of the Undisputed Invoice within [***] business days from the date of receipt of invoice. Dow Corning agrees that it will invoice AP via email at the following address and that the date of the email transmission will serve as the invoice receipt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Email Address for AP: AP@enphaseenergy.com</w:t>
      </w:r>
    </w:p>
    <w:p>
      <w:pPr>
        <w:spacing w:after="0" w:line="223" w:lineRule="exact"/>
        <w:rPr>
          <w:sz w:val="20"/>
          <w:szCs w:val="20"/>
          <w:color w:val="auto"/>
        </w:rPr>
      </w:pPr>
    </w:p>
    <w:p>
      <w:pPr>
        <w:jc w:val="both"/>
        <w:ind w:left="1400" w:hanging="832"/>
        <w:spacing w:after="0" w:line="257" w:lineRule="auto"/>
        <w:rPr>
          <w:sz w:val="20"/>
          <w:szCs w:val="20"/>
          <w:color w:val="auto"/>
        </w:rPr>
      </w:pPr>
      <w:r>
        <w:rPr>
          <w:rFonts w:ascii="Arial" w:cs="Arial" w:eastAsia="Arial" w:hAnsi="Arial"/>
          <w:sz w:val="19"/>
          <w:szCs w:val="19"/>
          <w:color w:val="auto"/>
        </w:rPr>
        <w:t>9.2In the event that Buyer, in good faith, is not in material agreement with the amount owed in a particular invoice (a “</w:t>
      </w:r>
      <w:r>
        <w:rPr>
          <w:rFonts w:ascii="Arial" w:cs="Arial" w:eastAsia="Arial" w:hAnsi="Arial"/>
          <w:sz w:val="19"/>
          <w:szCs w:val="19"/>
          <w:b w:val="1"/>
          <w:bCs w:val="1"/>
          <w:color w:val="auto"/>
        </w:rPr>
        <w:t>Disputed</w:t>
      </w:r>
      <w:r>
        <w:rPr>
          <w:rFonts w:ascii="Arial" w:cs="Arial" w:eastAsia="Arial" w:hAnsi="Arial"/>
          <w:sz w:val="19"/>
          <w:szCs w:val="19"/>
          <w:color w:val="auto"/>
        </w:rPr>
        <w:t xml:space="preserve"> </w:t>
      </w:r>
      <w:r>
        <w:rPr>
          <w:rFonts w:ascii="Arial" w:cs="Arial" w:eastAsia="Arial" w:hAnsi="Arial"/>
          <w:sz w:val="19"/>
          <w:szCs w:val="19"/>
          <w:b w:val="1"/>
          <w:bCs w:val="1"/>
          <w:color w:val="auto"/>
        </w:rPr>
        <w:t>Invoice</w:t>
      </w:r>
      <w:r>
        <w:rPr>
          <w:rFonts w:ascii="Arial" w:cs="Arial" w:eastAsia="Arial" w:hAnsi="Arial"/>
          <w:sz w:val="19"/>
          <w:szCs w:val="19"/>
          <w:color w:val="auto"/>
        </w:rPr>
        <w:t>”), then Buyer will notify Dow Corning in writing (email communication will be considered sufficient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for this Section 9.2) within five (5) business days of receipt of the Disputed Invoice (“</w:t>
      </w:r>
      <w:r>
        <w:rPr>
          <w:rFonts w:ascii="Arial" w:cs="Arial" w:eastAsia="Arial" w:hAnsi="Arial"/>
          <w:sz w:val="19"/>
          <w:szCs w:val="19"/>
          <w:b w:val="1"/>
          <w:bCs w:val="1"/>
          <w:color w:val="auto"/>
        </w:rPr>
        <w:t>Notice Date</w:t>
      </w:r>
      <w:r>
        <w:rPr>
          <w:rFonts w:ascii="Arial" w:cs="Arial" w:eastAsia="Arial" w:hAnsi="Arial"/>
          <w:sz w:val="19"/>
          <w:szCs w:val="19"/>
          <w:color w:val="auto"/>
        </w:rPr>
        <w:t>”). The parties agree to attempt to resolve the Disputed Invoice within thirty (30) calendar days from the Notice Date (the “Negotiation Period”). Upon resolution of a Disputed Invoice (agreement as to appropriate amount), Buyer shall pay such Invoice within ten (10) calendar days of such resolution (or the original due date of such Invoice, whichever is later). Early payment discounts will not be available or applied for invoices paid after they have been Disputed Invoices. In the event that the parties are unable to resolve the Disputed Invoice within the Negotiation Period, then the parties agree to resolve such Disputed Invoice pursuant to the terms of Section 20.</w:t>
      </w:r>
    </w:p>
    <w:p>
      <w:pPr>
        <w:spacing w:after="0" w:line="196" w:lineRule="exact"/>
        <w:rPr>
          <w:sz w:val="20"/>
          <w:szCs w:val="20"/>
          <w:color w:val="auto"/>
        </w:rPr>
      </w:pPr>
    </w:p>
    <w:p>
      <w:pPr>
        <w:jc w:val="both"/>
        <w:ind w:left="1400" w:hanging="832"/>
        <w:spacing w:after="0" w:line="244" w:lineRule="auto"/>
        <w:rPr>
          <w:sz w:val="20"/>
          <w:szCs w:val="20"/>
          <w:color w:val="auto"/>
        </w:rPr>
      </w:pPr>
      <w:r>
        <w:rPr>
          <w:rFonts w:ascii="Arial" w:cs="Arial" w:eastAsia="Arial" w:hAnsi="Arial"/>
          <w:sz w:val="20"/>
          <w:szCs w:val="20"/>
          <w:color w:val="auto"/>
        </w:rPr>
        <w:t>9.3Other than as required by law, Buyer will not make deductions, counterclaims or set-offs to justify withholding payment of any invoice amount in whole or in part. Failure to pay Undisputed Invoices when due, failure to pay finance charges when assessed or making deductions, counterclaims or set-offs from invoices will result in delayed or cancelled shipments until such Undisputed Invoices have been paid, or termination of this Agreement by Dow Corning. Buyer agrees to pay Dow Corning’s collection costs, including reasonable attorney fees.</w:t>
      </w:r>
    </w:p>
    <w:p>
      <w:pPr>
        <w:spacing w:after="0" w:line="20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BUYER’S KNOWLEDGE AND EXPERIENCE WITH THE PRODUCT</w:t>
      </w:r>
    </w:p>
    <w:p>
      <w:pPr>
        <w:spacing w:after="0" w:line="235" w:lineRule="exact"/>
        <w:rPr>
          <w:sz w:val="20"/>
          <w:szCs w:val="20"/>
          <w:color w:val="auto"/>
        </w:rPr>
      </w:pPr>
    </w:p>
    <w:p>
      <w:pPr>
        <w:jc w:val="both"/>
        <w:ind w:left="1220" w:hanging="652"/>
        <w:spacing w:after="0" w:line="276" w:lineRule="auto"/>
        <w:tabs>
          <w:tab w:leader="none" w:pos="12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Buyer acknowledges and understands that it is familiar with and understands the nature of the Product(s) and that it may be dangerous when handled, used, sold, stored, transported or disposed. Buyer will follow safe handling, use, selling, storage, transportation, and disposal practices for the Product(s), will instruct its employees, contractors, agents, and customers in these practices, and take appropriate action with respect to the Product(s) to avoid releases or other dangers to persons, property, or the environment. Buyer acknowledges and agrees that it has the requisite expertise, experience and equipment for the conduct of all the aforementioned activities with the Product(s), and Buyer assumes all risks of doing so.</w:t>
      </w:r>
    </w:p>
    <w:p>
      <w:pPr>
        <w:spacing w:after="0" w:line="179" w:lineRule="exact"/>
        <w:rPr>
          <w:sz w:val="20"/>
          <w:szCs w:val="20"/>
          <w:color w:val="auto"/>
        </w:rPr>
      </w:pPr>
    </w:p>
    <w:p>
      <w:pPr>
        <w:jc w:val="both"/>
        <w:ind w:left="1340" w:hanging="764"/>
        <w:spacing w:after="0" w:line="269" w:lineRule="auto"/>
        <w:rPr>
          <w:sz w:val="20"/>
          <w:szCs w:val="20"/>
          <w:color w:val="auto"/>
        </w:rPr>
      </w:pPr>
      <w:r>
        <w:rPr>
          <w:rFonts w:ascii="Arial" w:cs="Arial" w:eastAsia="Arial" w:hAnsi="Arial"/>
          <w:sz w:val="19"/>
          <w:szCs w:val="19"/>
          <w:color w:val="auto"/>
        </w:rPr>
        <w:t>10.2Buyer shall indemnify, defend and hold harmless Dow Corning, its affiliates and the employees, agents, officers, directors and shareholders of Dow Corning and/or its affiliates for all claims, damages, and related costs, including reasonable attorney fees, arising out of Buyer’s noncompliance with any of its commitments under this Section.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1" w:lineRule="exact"/>
        <w:rPr>
          <w:sz w:val="20"/>
          <w:szCs w:val="20"/>
          <w:color w:val="auto"/>
        </w:rPr>
      </w:pPr>
    </w:p>
    <w:p>
      <w:pPr>
        <w:ind w:right="160" w:firstLine="8"/>
        <w:spacing w:after="0" w:line="282" w:lineRule="auto"/>
        <w:tabs>
          <w:tab w:leader="none" w:pos="4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79" w:right="239" w:bottom="1440" w:gutter="0" w:footer="0" w:header="0"/>
        </w:sectPr>
      </w:pPr>
    </w:p>
    <w:bookmarkStart w:id="47" w:name="page48"/>
    <w:bookmarkEnd w:id="47"/>
    <w:p>
      <w:pPr>
        <w:jc w:val="both"/>
        <w:ind w:left="1340" w:hanging="764"/>
        <w:spacing w:after="0" w:line="316" w:lineRule="auto"/>
        <w:rPr>
          <w:sz w:val="20"/>
          <w:szCs w:val="20"/>
          <w:color w:val="auto"/>
        </w:rPr>
      </w:pPr>
      <w:r>
        <w:rPr>
          <w:rFonts w:ascii="Arial" w:cs="Arial" w:eastAsia="Arial" w:hAnsi="Arial"/>
          <w:sz w:val="18"/>
          <w:szCs w:val="18"/>
          <w:color w:val="auto"/>
        </w:rPr>
        <w:t>10.3Dow Corning will make available to Buyer all relevant Material Safety Data Sheets and Product Data Sheets relating to the Product(s). Buyer will only use the Product(s) in accordance with such Material Safety Data Sheets and Product Data Sheets.</w:t>
      </w:r>
    </w:p>
    <w:p>
      <w:pPr>
        <w:spacing w:after="0" w:line="144" w:lineRule="exact"/>
        <w:rPr>
          <w:sz w:val="20"/>
          <w:szCs w:val="20"/>
          <w:color w:val="auto"/>
        </w:rPr>
      </w:pPr>
    </w:p>
    <w:p>
      <w:pPr>
        <w:jc w:val="both"/>
        <w:ind w:left="1340" w:hanging="764"/>
        <w:spacing w:after="0" w:line="282" w:lineRule="auto"/>
        <w:rPr>
          <w:sz w:val="20"/>
          <w:szCs w:val="20"/>
          <w:color w:val="auto"/>
        </w:rPr>
      </w:pPr>
      <w:r>
        <w:rPr>
          <w:rFonts w:ascii="Arial" w:cs="Arial" w:eastAsia="Arial" w:hAnsi="Arial"/>
          <w:sz w:val="18"/>
          <w:szCs w:val="18"/>
          <w:color w:val="auto"/>
        </w:rPr>
        <w:t>10.4In the event that Dow Corning discovers that Buyer has failed to comply with the terms of this Section 10, then Dow Corning agrees to give Buyer written notice of such non-compliance. Buyer will then have fifteen (15) business days to cure such non-compliance and to notify Dow Corning of the steps taken to remedy the non-compliance. If Buyer fails to remedy the non-compliance and notify Dow Corning, then Dow Corning may terminate this Agreement immediately upon written notice.</w:t>
      </w:r>
    </w:p>
    <w:p>
      <w:pPr>
        <w:spacing w:after="0" w:line="16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END USE</w:t>
      </w:r>
    </w:p>
    <w:p>
      <w:pPr>
        <w:spacing w:after="0" w:line="221" w:lineRule="exact"/>
        <w:rPr>
          <w:rFonts w:ascii="Arial" w:cs="Arial" w:eastAsia="Arial" w:hAnsi="Arial"/>
          <w:sz w:val="20"/>
          <w:szCs w:val="20"/>
          <w:b w:val="1"/>
          <w:bCs w:val="1"/>
          <w:color w:val="auto"/>
        </w:rPr>
      </w:pPr>
    </w:p>
    <w:p>
      <w:pPr>
        <w:jc w:val="both"/>
        <w:ind w:left="66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Buyer is responsible to determine the suitability of the Product(s) purchased for the use contemplated by Buyer. Additionally, Buyer agrees not to knowingly sell or use the Product(s) in a finished medical device or pharmaceutical end-use applications. Dow Corning may terminate this Agreement immediately upon notice to Buyer in the event of breach of this obligation.</w:t>
      </w:r>
    </w:p>
    <w:p>
      <w:pPr>
        <w:spacing w:after="0" w:line="177" w:lineRule="exact"/>
        <w:rPr>
          <w:rFonts w:ascii="Arial" w:cs="Arial" w:eastAsia="Arial" w:hAnsi="Arial"/>
          <w:sz w:val="20"/>
          <w:szCs w:val="20"/>
          <w:b w:val="1"/>
          <w:bCs w:val="1"/>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LIMITED WARRANTY</w:t>
      </w:r>
    </w:p>
    <w:p>
      <w:pPr>
        <w:spacing w:after="0" w:line="235"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Dow Corning warrants that the Product(s) supplied under this Agreement meet the Product Specifications, will convey good title to the Product(s), and that the Product(s) will be delivered free from any lawful security interest, lien or encumbrance unknown to Buyer. TO THE FULLEST EXTENT PERMITTED BY THE APPLICABLE LAW, THE ABOVE WARRANTY IS IN LIEU OF ALL OTHER WRITTEN OR UNWRITTEN, EXPRESS OR IMPLIED WARRANTIES. DOW CORNING EXPRESSLY DISCLAIMS ANY EXPRESS OR IMPLIED WARRANTIES INCLUDING MERCHANTABILITY, FITNESS FOR A PARTICULAR PURPOSE, AND ANY OTHER WARRANTIES ARISING FROM COURSE OF DEALING, COURSE OF PERFORMANCE OR USAGE OF TRADE.</w:t>
      </w:r>
    </w:p>
    <w:p>
      <w:pPr>
        <w:spacing w:after="0" w:line="200" w:lineRule="exact"/>
        <w:rPr>
          <w:rFonts w:ascii="Arial" w:cs="Arial" w:eastAsia="Arial" w:hAnsi="Arial"/>
          <w:sz w:val="20"/>
          <w:szCs w:val="20"/>
          <w:b w:val="1"/>
          <w:bCs w:val="1"/>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BUYER’S REMEDIES</w:t>
      </w:r>
    </w:p>
    <w:p>
      <w:pPr>
        <w:spacing w:after="0" w:line="235" w:lineRule="exact"/>
        <w:rPr>
          <w:sz w:val="20"/>
          <w:szCs w:val="20"/>
          <w:color w:val="auto"/>
        </w:rPr>
      </w:pPr>
    </w:p>
    <w:p>
      <w:pPr>
        <w:jc w:val="both"/>
        <w:ind w:left="1220" w:hanging="652"/>
        <w:spacing w:after="0" w:line="282" w:lineRule="auto"/>
        <w:tabs>
          <w:tab w:leader="none" w:pos="12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If the Product(s) provided by Dow Corning are deemed, by both Dow Corning and Buyer, to be nonconforming upon Buyer’s receipt, Dow Corning will either (a) replace the Product(s) in question with Product(s) that meet the quality requirements of this Agreement, or (b) credit Buyer the Purchase Price of the Product(s) shown to be other than as warranted (if Buyer agrees to such credit in lieu of replacement Product(s)). For Product(s) that are deemed defective pursuant to this Section: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13.1.1 </w:t>
      </w:r>
      <w:r>
        <w:rPr>
          <w:rFonts w:ascii="Arial" w:cs="Arial" w:eastAsia="Arial" w:hAnsi="Arial"/>
          <w:sz w:val="19"/>
          <w:szCs w:val="19"/>
          <w:color w:val="auto"/>
        </w:rPr>
        <w:t>A Return Authorization Number (RMA) will be assigned by Dow Corning;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13.1.2 </w:t>
      </w:r>
      <w:r>
        <w:rPr>
          <w:rFonts w:ascii="Arial" w:cs="Arial" w:eastAsia="Arial" w:hAnsi="Arial"/>
          <w:sz w:val="18"/>
          <w:szCs w:val="18"/>
          <w:color w:val="auto"/>
        </w:rPr>
        <w:t>Dow Corning will be responsible for selecting the carrier and routing all returns and replacement Product shipments;</w:t>
      </w:r>
    </w:p>
    <w:p>
      <w:pPr>
        <w:spacing w:after="0" w:line="231" w:lineRule="exact"/>
        <w:rPr>
          <w:sz w:val="20"/>
          <w:szCs w:val="20"/>
          <w:color w:val="auto"/>
        </w:rPr>
      </w:pPr>
    </w:p>
    <w:p>
      <w:pPr>
        <w:ind w:left="1960" w:hanging="647"/>
        <w:spacing w:after="0" w:line="245" w:lineRule="auto"/>
        <w:rPr>
          <w:sz w:val="20"/>
          <w:szCs w:val="20"/>
          <w:color w:val="auto"/>
        </w:rPr>
      </w:pPr>
      <w:r>
        <w:rPr>
          <w:rFonts w:ascii="Arial" w:cs="Arial" w:eastAsia="Arial" w:hAnsi="Arial"/>
          <w:sz w:val="22"/>
          <w:szCs w:val="22"/>
          <w:color w:val="auto"/>
        </w:rPr>
        <w:t xml:space="preserve">13.1.3 </w:t>
      </w:r>
      <w:r>
        <w:rPr>
          <w:rFonts w:ascii="Arial" w:cs="Arial" w:eastAsia="Arial" w:hAnsi="Arial"/>
          <w:sz w:val="19"/>
          <w:szCs w:val="19"/>
          <w:color w:val="auto"/>
        </w:rPr>
        <w:t>Dow Corning will be responsible for all reasonable costs associated with the return and replacement of such</w:t>
      </w:r>
      <w:r>
        <w:rPr>
          <w:rFonts w:ascii="Arial" w:cs="Arial" w:eastAsia="Arial" w:hAnsi="Arial"/>
          <w:sz w:val="22"/>
          <w:szCs w:val="22"/>
          <w:color w:val="auto"/>
        </w:rPr>
        <w:t xml:space="preserve"> </w:t>
      </w:r>
      <w:r>
        <w:rPr>
          <w:rFonts w:ascii="Arial" w:cs="Arial" w:eastAsia="Arial" w:hAnsi="Arial"/>
          <w:sz w:val="19"/>
          <w:szCs w:val="19"/>
          <w:color w:val="auto"/>
        </w:rPr>
        <w:t>Product(s);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1" w:lineRule="exact"/>
        <w:rPr>
          <w:sz w:val="20"/>
          <w:szCs w:val="20"/>
          <w:color w:val="auto"/>
        </w:rPr>
      </w:pPr>
    </w:p>
    <w:p>
      <w:pPr>
        <w:ind w:right="160" w:firstLine="8"/>
        <w:spacing w:after="0" w:line="282" w:lineRule="auto"/>
        <w:tabs>
          <w:tab w:leader="none" w:pos="4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66" w:right="239" w:bottom="1440" w:gutter="0" w:footer="0" w:header="0"/>
        </w:sectPr>
      </w:pPr>
    </w:p>
    <w:bookmarkStart w:id="48" w:name="page49"/>
    <w:bookmarkEnd w:id="48"/>
    <w:p>
      <w:pPr>
        <w:jc w:val="right"/>
        <w:ind w:left="1300"/>
        <w:spacing w:after="0" w:line="268" w:lineRule="auto"/>
        <w:rPr>
          <w:sz w:val="20"/>
          <w:szCs w:val="20"/>
          <w:color w:val="auto"/>
        </w:rPr>
      </w:pPr>
      <w:r>
        <w:rPr>
          <w:rFonts w:ascii="Arial" w:cs="Arial" w:eastAsia="Arial" w:hAnsi="Arial"/>
          <w:sz w:val="21"/>
          <w:szCs w:val="21"/>
          <w:color w:val="auto"/>
        </w:rPr>
        <w:t xml:space="preserve">13.1.4 </w:t>
      </w:r>
      <w:r>
        <w:rPr>
          <w:rFonts w:ascii="Arial" w:cs="Arial" w:eastAsia="Arial" w:hAnsi="Arial"/>
          <w:sz w:val="18"/>
          <w:szCs w:val="18"/>
          <w:color w:val="auto"/>
        </w:rPr>
        <w:t>If replacement Product(s) are deemed necessary, Dow Corning will use its best commercial efforts to ensure that such</w:t>
      </w:r>
      <w:r>
        <w:rPr>
          <w:rFonts w:ascii="Arial" w:cs="Arial" w:eastAsia="Arial" w:hAnsi="Arial"/>
          <w:sz w:val="21"/>
          <w:szCs w:val="21"/>
          <w:color w:val="auto"/>
        </w:rPr>
        <w:t xml:space="preserve"> </w:t>
      </w:r>
      <w:r>
        <w:rPr>
          <w:rFonts w:ascii="Arial" w:cs="Arial" w:eastAsia="Arial" w:hAnsi="Arial"/>
          <w:sz w:val="18"/>
          <w:szCs w:val="18"/>
          <w:color w:val="auto"/>
        </w:rPr>
        <w:t>replacement Product(s) are delivered to the location specified in this Agreement within Buyer’s requested timeline; and</w:t>
      </w:r>
    </w:p>
    <w:p>
      <w:pPr>
        <w:spacing w:after="0" w:line="190" w:lineRule="exact"/>
        <w:rPr>
          <w:sz w:val="20"/>
          <w:szCs w:val="20"/>
          <w:color w:val="auto"/>
        </w:rPr>
      </w:pPr>
    </w:p>
    <w:p>
      <w:pPr>
        <w:ind w:left="1960" w:hanging="647"/>
        <w:spacing w:after="0" w:line="245"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19"/>
          <w:szCs w:val="19"/>
          <w:color w:val="auto"/>
        </w:rPr>
        <w:t>Dow Corning will provide Buyer with a failure analysis report (8D report) within forty-five (45) days following receipt</w:t>
      </w:r>
      <w:r>
        <w:rPr>
          <w:rFonts w:ascii="Arial" w:cs="Arial" w:eastAsia="Arial" w:hAnsi="Arial"/>
          <w:sz w:val="22"/>
          <w:szCs w:val="22"/>
          <w:color w:val="auto"/>
        </w:rPr>
        <w:t xml:space="preserve"> </w:t>
      </w:r>
      <w:r>
        <w:rPr>
          <w:rFonts w:ascii="Arial" w:cs="Arial" w:eastAsia="Arial" w:hAnsi="Arial"/>
          <w:sz w:val="19"/>
          <w:szCs w:val="19"/>
          <w:color w:val="auto"/>
        </w:rPr>
        <w:t>of returned Product(s), subject to the complexity of the failure.</w:t>
      </w:r>
    </w:p>
    <w:p>
      <w:pPr>
        <w:spacing w:after="0" w:line="204" w:lineRule="exact"/>
        <w:rPr>
          <w:sz w:val="20"/>
          <w:szCs w:val="20"/>
          <w:color w:val="auto"/>
        </w:rPr>
      </w:pPr>
    </w:p>
    <w:p>
      <w:pPr>
        <w:jc w:val="both"/>
        <w:ind w:left="1220" w:hanging="652"/>
        <w:spacing w:after="0" w:line="244" w:lineRule="auto"/>
        <w:tabs>
          <w:tab w:leader="none" w:pos="1200" w:val="left"/>
        </w:tabs>
        <w:rPr>
          <w:sz w:val="20"/>
          <w:szCs w:val="20"/>
          <w:color w:val="auto"/>
        </w:rPr>
      </w:pPr>
      <w:r>
        <w:rPr>
          <w:rFonts w:ascii="Arial" w:cs="Arial" w:eastAsia="Arial" w:hAnsi="Arial"/>
          <w:sz w:val="20"/>
          <w:szCs w:val="20"/>
          <w:color w:val="auto"/>
        </w:rPr>
        <w:t>13.2</w:t>
        <w:tab/>
        <w:t>Any remedy to be received by Buyer pursuant to Section 13.1 is conditional upon Buyer giving Dow Corning notice of any claim within thirty (30) calendar days from the expiration of Minimum Shelf Life of the Product(s) or two (2) years from the date the claim arose, whichever occurs later. Failure by Buyer to give notice of a claim within this period will constitute a waiver by Buyer of any such claim. If requested by Dow Corning, all unconsumed Product(s) alleged by Buyer to be other than as warranted will be returned to Dow Corning freight collect.</w:t>
      </w:r>
    </w:p>
    <w:p>
      <w:pPr>
        <w:spacing w:after="0" w:line="20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LIABILITY</w:t>
      </w:r>
    </w:p>
    <w:p>
      <w:pPr>
        <w:spacing w:after="0" w:line="235"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EXCEPT AS PROVIDED IN THIS AGREEMENT, IN NO EVENT WILL EITHER PARTY BE LIABLE TO THE OTHER PARTY WHETHER IN CONTRACT OR TORT OR FOR BREACH OF STATUTORY DUTY, FOR ANY INCIDENTAL, INDIRECT, CONSEQUENTIAL, OR SPECIAL DAMAGES, INCLUDING WITHOUT LIMITATION, LOST REVENUES AND PROFITS EVEN IF SUCH PARTY HAS BEEN ADVISED OF THE POSSIBILITY OF SUCH DAMAGES. THESE LIMITATIONS WILL APPLY NOTWITHSTANDING ANY FAILURE OF ESSENTIAL PURPOSE OF THE LIMITED REMEDY OR ANY OTHER REMEDY SET FORTH IN THIS AGREEMENT.</w:t>
      </w:r>
    </w:p>
    <w:p>
      <w:pPr>
        <w:spacing w:after="0" w:line="204" w:lineRule="exact"/>
        <w:rPr>
          <w:rFonts w:ascii="Arial" w:cs="Arial" w:eastAsia="Arial" w:hAnsi="Arial"/>
          <w:sz w:val="20"/>
          <w:szCs w:val="20"/>
          <w:b w:val="1"/>
          <w:bCs w:val="1"/>
          <w:color w:val="auto"/>
        </w:rPr>
      </w:pPr>
    </w:p>
    <w:p>
      <w:pPr>
        <w:ind w:left="660" w:hanging="652"/>
        <w:spacing w:after="0"/>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TAXES</w:t>
      </w:r>
    </w:p>
    <w:p>
      <w:pPr>
        <w:spacing w:after="0" w:line="235" w:lineRule="exact"/>
        <w:rPr>
          <w:sz w:val="20"/>
          <w:szCs w:val="20"/>
          <w:color w:val="auto"/>
        </w:rPr>
      </w:pPr>
    </w:p>
    <w:p>
      <w:pPr>
        <w:ind w:left="1340" w:right="20" w:hanging="764"/>
        <w:spacing w:after="0" w:line="260" w:lineRule="auto"/>
        <w:rPr>
          <w:sz w:val="20"/>
          <w:szCs w:val="20"/>
          <w:color w:val="auto"/>
        </w:rPr>
      </w:pPr>
      <w:r>
        <w:rPr>
          <w:rFonts w:ascii="Arial" w:cs="Arial" w:eastAsia="Arial" w:hAnsi="Arial"/>
          <w:sz w:val="20"/>
          <w:szCs w:val="20"/>
          <w:color w:val="auto"/>
        </w:rPr>
        <w:t>15.1Any tax, duty or other governmental charge now or in the future levied upon the production, sale, use or shipment of the Product(s) may, at Dow Corning’s option, be added to the purchase price.</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15.2Income taxes imposed upon Dow Corning are excluded from this definition of taxes.</w:t>
      </w:r>
    </w:p>
    <w:p>
      <w:pPr>
        <w:spacing w:after="0" w:line="22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FORCE MAJEURE</w:t>
      </w:r>
    </w:p>
    <w:p>
      <w:pPr>
        <w:spacing w:after="0" w:line="222" w:lineRule="exact"/>
        <w:rPr>
          <w:sz w:val="20"/>
          <w:szCs w:val="20"/>
          <w:color w:val="auto"/>
        </w:rPr>
      </w:pPr>
    </w:p>
    <w:p>
      <w:pPr>
        <w:jc w:val="both"/>
        <w:ind w:left="1220" w:hanging="652"/>
        <w:spacing w:after="0" w:line="258" w:lineRule="auto"/>
        <w:tabs>
          <w:tab w:leader="none" w:pos="12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9"/>
          <w:szCs w:val="19"/>
          <w:color w:val="auto"/>
        </w:rPr>
        <w:t>Dow Corning will incur no liability due to delay in performance, non-performance or other failure to meet any obligation to the Buyer caused by circumstances beyond its control (a “</w:t>
      </w:r>
      <w:r>
        <w:rPr>
          <w:rFonts w:ascii="Arial" w:cs="Arial" w:eastAsia="Arial" w:hAnsi="Arial"/>
          <w:sz w:val="19"/>
          <w:szCs w:val="19"/>
          <w:b w:val="1"/>
          <w:bCs w:val="1"/>
          <w:color w:val="auto"/>
        </w:rPr>
        <w:t>Force Majeure Event</w:t>
      </w:r>
      <w:r>
        <w:rPr>
          <w:rFonts w:ascii="Arial" w:cs="Arial" w:eastAsia="Arial" w:hAnsi="Arial"/>
          <w:sz w:val="19"/>
          <w:szCs w:val="19"/>
          <w:color w:val="auto"/>
        </w:rPr>
        <w:t>”) including but not limited to war, fire, flood, strike, labor troubles, breakage of equipment, accident, riot, act of governmental authority, Acts of nature or the inability to obtain, on terms judged reasonable by Dow Corning, raw materials (including energy source) used in connection with the Product(s). Dow Corning may, during any shortage due to a Force Majeure Event, allocate its raw materials and finished Product(s) in any manner that, in the opinion of Dow Corning, is fair and reasonable. Buyer will incur no liability due to inability of Buyer to have Product delivered due to a Force Majeure Event.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1" w:lineRule="exact"/>
        <w:rPr>
          <w:sz w:val="20"/>
          <w:szCs w:val="20"/>
          <w:color w:val="auto"/>
        </w:rPr>
      </w:pPr>
    </w:p>
    <w:p>
      <w:pPr>
        <w:ind w:right="160" w:firstLine="8"/>
        <w:spacing w:after="0" w:line="282" w:lineRule="auto"/>
        <w:tabs>
          <w:tab w:leader="none" w:pos="43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75" w:right="239" w:bottom="1440" w:gutter="0" w:footer="0" w:header="0"/>
        </w:sectPr>
      </w:pPr>
    </w:p>
    <w:bookmarkStart w:id="49" w:name="page50"/>
    <w:bookmarkEnd w:id="49"/>
    <w:p>
      <w:pPr>
        <w:ind w:left="660" w:hanging="652"/>
        <w:spacing w:after="0"/>
        <w:tabs>
          <w:tab w:leader="none" w:pos="6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22" w:lineRule="exact"/>
        <w:rPr>
          <w:sz w:val="20"/>
          <w:szCs w:val="20"/>
          <w:color w:val="auto"/>
        </w:rPr>
      </w:pPr>
    </w:p>
    <w:p>
      <w:pPr>
        <w:jc w:val="both"/>
        <w:ind w:left="1340" w:hanging="764"/>
        <w:spacing w:after="0" w:line="246" w:lineRule="auto"/>
        <w:rPr>
          <w:sz w:val="20"/>
          <w:szCs w:val="20"/>
          <w:color w:val="auto"/>
        </w:rPr>
      </w:pPr>
      <w:r>
        <w:rPr>
          <w:rFonts w:ascii="Arial" w:cs="Arial" w:eastAsia="Arial" w:hAnsi="Arial"/>
          <w:sz w:val="20"/>
          <w:szCs w:val="20"/>
          <w:color w:val="auto"/>
        </w:rPr>
        <w:t>17.1A party may terminate this Agreement for cause if the other party fails to remedy any default in its compliance with any representation or warranty or in its performance of any covenant or obligation under this Agreement within thirty (30) calendar days after written notice thereof. Where the default is incapable of remedy the party suffering the default may terminate this Agreement immediately upon notice to the other party.</w:t>
      </w:r>
    </w:p>
    <w:p>
      <w:pPr>
        <w:spacing w:after="0" w:line="205" w:lineRule="exact"/>
        <w:rPr>
          <w:sz w:val="20"/>
          <w:szCs w:val="20"/>
          <w:color w:val="auto"/>
        </w:rPr>
      </w:pPr>
    </w:p>
    <w:p>
      <w:pPr>
        <w:jc w:val="both"/>
        <w:ind w:left="1220" w:hanging="652"/>
        <w:spacing w:after="0" w:line="246" w:lineRule="auto"/>
        <w:tabs>
          <w:tab w:leader="none" w:pos="1200" w:val="left"/>
        </w:tabs>
        <w:rPr>
          <w:sz w:val="20"/>
          <w:szCs w:val="20"/>
          <w:color w:val="auto"/>
        </w:rPr>
      </w:pPr>
      <w:r>
        <w:rPr>
          <w:rFonts w:ascii="Arial" w:cs="Arial" w:eastAsia="Arial" w:hAnsi="Arial"/>
          <w:sz w:val="20"/>
          <w:szCs w:val="20"/>
          <w:color w:val="auto"/>
        </w:rPr>
        <w:t>17.2</w:t>
        <w:tab/>
        <w:t>Either party may unilaterally terminate this Agreement at any time upon five (5) business days written notice in the event of the institution by or against either party of insolvency, receivership or bankruptcy proceedings or any other proceedings for the settlement of that party’s debts, upon either party making an assignment for the benefit of creditors, or upon either party’s dissolution or ceasing to do business.</w:t>
      </w:r>
    </w:p>
    <w:p>
      <w:pPr>
        <w:spacing w:after="0" w:line="205" w:lineRule="exact"/>
        <w:rPr>
          <w:sz w:val="20"/>
          <w:szCs w:val="20"/>
          <w:color w:val="auto"/>
        </w:rPr>
      </w:pPr>
    </w:p>
    <w:p>
      <w:pPr>
        <w:jc w:val="both"/>
        <w:ind w:left="1220" w:hanging="652"/>
        <w:spacing w:after="0" w:line="259" w:lineRule="auto"/>
        <w:tabs>
          <w:tab w:leader="none" w:pos="12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9"/>
          <w:szCs w:val="19"/>
          <w:color w:val="auto"/>
        </w:rPr>
        <w:t>If Dow Corning discontinues the sale of any Product(s) for the application(s), market(s) or industries served by Buyer, then Dow Corning may, upon at least 270 days prior written notice, remove the discontinued Product(s) from this Agreement without any further obligation to Buyer (such date after 270 days, the “</w:t>
      </w:r>
      <w:r>
        <w:rPr>
          <w:rFonts w:ascii="Arial" w:cs="Arial" w:eastAsia="Arial" w:hAnsi="Arial"/>
          <w:sz w:val="19"/>
          <w:szCs w:val="19"/>
          <w:b w:val="1"/>
          <w:bCs w:val="1"/>
          <w:color w:val="auto"/>
        </w:rPr>
        <w:t>EOL Date</w:t>
      </w:r>
      <w:r>
        <w:rPr>
          <w:rFonts w:ascii="Arial" w:cs="Arial" w:eastAsia="Arial" w:hAnsi="Arial"/>
          <w:sz w:val="19"/>
          <w:szCs w:val="19"/>
          <w:color w:val="auto"/>
        </w:rPr>
        <w:t>”). Buyer reserves the right to order the Product(s) until the EOL Date, and Dow Corning will be obligated to accept commercially reasonable orders that it is capable of meeting until the EOL Date. For purchases during such 270 day period, Buyer must accept delivery of all Product(s) ordered during such 270 day period within ninety (90) days of such order.</w:t>
      </w:r>
    </w:p>
    <w:p>
      <w:pPr>
        <w:spacing w:after="0" w:line="192" w:lineRule="exact"/>
        <w:rPr>
          <w:sz w:val="20"/>
          <w:szCs w:val="20"/>
          <w:color w:val="auto"/>
        </w:rPr>
      </w:pPr>
    </w:p>
    <w:p>
      <w:pPr>
        <w:jc w:val="both"/>
        <w:ind w:left="1820" w:right="20" w:hanging="1250"/>
        <w:spacing w:after="0" w:line="260" w:lineRule="auto"/>
        <w:rPr>
          <w:sz w:val="20"/>
          <w:szCs w:val="20"/>
          <w:color w:val="auto"/>
        </w:rPr>
      </w:pPr>
      <w:r>
        <w:rPr>
          <w:rFonts w:ascii="Arial" w:cs="Arial" w:eastAsia="Arial" w:hAnsi="Arial"/>
          <w:sz w:val="20"/>
          <w:szCs w:val="20"/>
          <w:color w:val="auto"/>
        </w:rPr>
        <w:t>17.4Termination of this Agreement due to default by Dow Corning will not relieve Dow Corning of any obligation or liability arising prior to such termination (including the notice period in Section 17.3).</w:t>
      </w:r>
    </w:p>
    <w:p>
      <w:pPr>
        <w:spacing w:after="0" w:line="190" w:lineRule="exact"/>
        <w:rPr>
          <w:sz w:val="20"/>
          <w:szCs w:val="20"/>
          <w:color w:val="auto"/>
        </w:rPr>
      </w:pPr>
    </w:p>
    <w:p>
      <w:pPr>
        <w:jc w:val="both"/>
        <w:ind w:left="1820" w:hanging="1250"/>
        <w:spacing w:after="0" w:line="260" w:lineRule="auto"/>
        <w:rPr>
          <w:sz w:val="20"/>
          <w:szCs w:val="20"/>
          <w:color w:val="auto"/>
        </w:rPr>
      </w:pPr>
      <w:r>
        <w:rPr>
          <w:rFonts w:ascii="Arial" w:cs="Arial" w:eastAsia="Arial" w:hAnsi="Arial"/>
          <w:sz w:val="20"/>
          <w:szCs w:val="20"/>
          <w:color w:val="auto"/>
        </w:rPr>
        <w:t>17.5Survival. Sections titled “Buyer’s Knowledge and Experience with the Product,” “End Use,” “Limited Warranty,” “Buyer’s Remedy,” “Limitation of Liability,” and “Audit Rights” will survive termination of this Agreement.</w:t>
      </w:r>
    </w:p>
    <w:p>
      <w:pPr>
        <w:spacing w:after="0" w:line="184"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AUDIT RIGHTS</w:t>
      </w:r>
    </w:p>
    <w:p>
      <w:pPr>
        <w:spacing w:after="0" w:line="235"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Buyer may request (at Buyer’s expense) that a third party conduct an audit of Dow Corning’s relevant books and records at any commercially reasonable time to confirm compliance with the terms of Section 5.3, provided that Buyer will not be permitted to conduct such an audit more than one time in any 365 day period. Such auditor will be required to sign a non-disclosure agreement prohibiting the auditor from disclosing to any party, including Buyer, any information provided to the auditor by Dow Corning, except that the auditor will provide a confidential report to Buyer and Dow Corning limited to the auditor’s determination as to whether Dow Corning complied with Section 5.3 hereof during the period of time at issue. The determination of such auditor will be final and binding on the parties (absent bad faith or manifest error by such auditor). Upon termination of this Agreement for any reason, Buyer will have the right to request that a final audit be conducted.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1" w:lineRule="exact"/>
        <w:rPr>
          <w:sz w:val="20"/>
          <w:szCs w:val="20"/>
          <w:color w:val="auto"/>
        </w:rPr>
      </w:pPr>
    </w:p>
    <w:p>
      <w:pPr>
        <w:ind w:right="160" w:firstLine="8"/>
        <w:spacing w:after="0" w:line="282" w:lineRule="auto"/>
        <w:tabs>
          <w:tab w:leader="none" w:pos="43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60" w:right="239" w:bottom="1440" w:gutter="0" w:footer="0" w:header="0"/>
        </w:sectPr>
      </w:pPr>
    </w:p>
    <w:bookmarkStart w:id="50" w:name="page51"/>
    <w:bookmarkEnd w:id="50"/>
    <w:p>
      <w:pPr>
        <w:ind w:left="540" w:hanging="532"/>
        <w:spacing w:after="0"/>
        <w:tabs>
          <w:tab w:leader="none" w:pos="5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NON-ASSIGNMENT</w:t>
      </w:r>
    </w:p>
    <w:p>
      <w:pPr>
        <w:spacing w:after="0" w:line="235"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Buyer will not assign or transfer its rights and duties under this Agreement without Dow Corning’s prior written consent; provided however, that a change in control of Buyer will not be deemed an assignment. In the event Dow Corning agrees in writing to a proper assignment, this Agreement will be binding upon and inure to the benefit of Buyer’s assignees; and, in the event of a default by the assignee, Buyer will remain liable for full performance of all obligations under this Agreement.</w:t>
      </w:r>
    </w:p>
    <w:p>
      <w:pPr>
        <w:spacing w:after="0" w:line="18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DISPUTES</w:t>
      </w:r>
    </w:p>
    <w:p>
      <w:pPr>
        <w:spacing w:after="0" w:line="235" w:lineRule="exact"/>
        <w:rPr>
          <w:rFonts w:ascii="Arial" w:cs="Arial" w:eastAsia="Arial" w:hAnsi="Arial"/>
          <w:sz w:val="20"/>
          <w:szCs w:val="20"/>
          <w:b w:val="1"/>
          <w:bCs w:val="1"/>
          <w:color w:val="auto"/>
        </w:rPr>
      </w:pPr>
    </w:p>
    <w:p>
      <w:pPr>
        <w:jc w:val="both"/>
        <w:ind w:left="66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This Agreement will be governed by and interpreted under of the laws of the State of Michigan (specifically disclaiming the U.N. Convention on Contracts for the International Sale of Goods) and without giving effect to any choice or conflict of law rule that would cause application of the laws of any jurisdiction other than that set forth in this Section. Any controversy, claim or disputes (“</w:t>
      </w:r>
      <w:r>
        <w:rPr>
          <w:rFonts w:ascii="Arial" w:cs="Arial" w:eastAsia="Arial" w:hAnsi="Arial"/>
          <w:sz w:val="18"/>
          <w:szCs w:val="18"/>
          <w:b w:val="1"/>
          <w:bCs w:val="1"/>
          <w:color w:val="auto"/>
        </w:rPr>
        <w:t>Disputes</w:t>
      </w:r>
      <w:r>
        <w:rPr>
          <w:rFonts w:ascii="Arial" w:cs="Arial" w:eastAsia="Arial" w:hAnsi="Arial"/>
          <w:sz w:val="18"/>
          <w:szCs w:val="18"/>
          <w:color w:val="auto"/>
        </w:rPr>
        <w:t>”), including those related to interpretation, enforceability, validity, and construction, will be determined under the laws of the State of Michigan without regard to any conflict of law provisions. In the event of a Dispute, a Party will provide written notice to the other Party and, for the 30-day period following delivery of such notice, representatives of the Parties with decision-making authority will negotiate in good faith to resolve such Dispute. If such representatives fail to resolve the Dispute within such 30-day period, then the Dispute will be submitted to the exclusive jurisdiction of the courts of Michigan in the judicial district (state or federal) nearest to Dow Corning’s headquarters. To the extent permitted by the applicable law, any action arising, directly or indirectly, out of this Agreement must be commenced within two (2) years after the cause of action has accrued or is discovered.</w:t>
      </w:r>
    </w:p>
    <w:p>
      <w:pPr>
        <w:spacing w:after="0" w:line="195" w:lineRule="exact"/>
        <w:rPr>
          <w:rFonts w:ascii="Arial" w:cs="Arial" w:eastAsia="Arial" w:hAnsi="Arial"/>
          <w:sz w:val="20"/>
          <w:szCs w:val="20"/>
          <w:b w:val="1"/>
          <w:bCs w:val="1"/>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0"/>
          <w:szCs w:val="20"/>
          <w:b w:val="1"/>
          <w:bCs w:val="1"/>
          <w:color w:val="auto"/>
        </w:rPr>
        <w:t>COMPLIANCE WITH APPLICABLE LAW AND FCPA</w:t>
      </w:r>
    </w:p>
    <w:p>
      <w:pPr>
        <w:spacing w:after="0" w:line="212" w:lineRule="exact"/>
        <w:rPr>
          <w:sz w:val="20"/>
          <w:szCs w:val="20"/>
          <w:color w:val="auto"/>
        </w:rPr>
      </w:pPr>
    </w:p>
    <w:p>
      <w:pPr>
        <w:jc w:val="both"/>
        <w:ind w:left="1220" w:hanging="652"/>
        <w:spacing w:after="0" w:line="270" w:lineRule="auto"/>
        <w:tabs>
          <w:tab w:leader="none" w:pos="12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With respect to the matters covered by this Agreement, Dow Corning represents, warrants, and covenants to Buyer, that neither Dow Corning nor any owners, directors, officers, employees, agents, affiliates or other contractors and subcontractors (collectively, “</w:t>
      </w:r>
      <w:r>
        <w:rPr>
          <w:rFonts w:ascii="Arial" w:cs="Arial" w:eastAsia="Arial" w:hAnsi="Arial"/>
          <w:sz w:val="18"/>
          <w:szCs w:val="18"/>
          <w:b w:val="1"/>
          <w:bCs w:val="1"/>
          <w:color w:val="auto"/>
        </w:rPr>
        <w:t>Relevant Persons</w:t>
      </w:r>
      <w:r>
        <w:rPr>
          <w:rFonts w:ascii="Arial" w:cs="Arial" w:eastAsia="Arial" w:hAnsi="Arial"/>
          <w:sz w:val="18"/>
          <w:szCs w:val="18"/>
          <w:color w:val="auto"/>
        </w:rPr>
        <w:t>”) of Dow Corning has or will, with respect to the Products being sold hereunder, (i) violate or cause Buyer or its Relevant Persons to be in violation of the U.S. Foreign Corrupt Practices Act of 1977 as amended (15 U.S.C. §§78dd-1, et seq.) (the “</w:t>
      </w:r>
      <w:r>
        <w:rPr>
          <w:rFonts w:ascii="Arial" w:cs="Arial" w:eastAsia="Arial" w:hAnsi="Arial"/>
          <w:sz w:val="18"/>
          <w:szCs w:val="18"/>
          <w:b w:val="1"/>
          <w:bCs w:val="1"/>
          <w:color w:val="auto"/>
        </w:rPr>
        <w:t>FCPA</w:t>
      </w:r>
      <w:r>
        <w:rPr>
          <w:rFonts w:ascii="Arial" w:cs="Arial" w:eastAsia="Arial" w:hAnsi="Arial"/>
          <w:sz w:val="18"/>
          <w:szCs w:val="18"/>
          <w:color w:val="auto"/>
        </w:rPr>
        <w:t>”), the U.S. Travel Act, or any other applicable anti-corruption law or regulation (collectively “</w:t>
      </w:r>
      <w:r>
        <w:rPr>
          <w:rFonts w:ascii="Arial" w:cs="Arial" w:eastAsia="Arial" w:hAnsi="Arial"/>
          <w:sz w:val="18"/>
          <w:szCs w:val="18"/>
          <w:b w:val="1"/>
          <w:bCs w:val="1"/>
          <w:color w:val="auto"/>
        </w:rPr>
        <w:t>Anti-Corruption Laws</w:t>
      </w:r>
      <w:r>
        <w:rPr>
          <w:rFonts w:ascii="Arial" w:cs="Arial" w:eastAsia="Arial" w:hAnsi="Arial"/>
          <w:sz w:val="18"/>
          <w:szCs w:val="18"/>
          <w:color w:val="auto"/>
        </w:rPr>
        <w:t>”); (ii) with a corrupt, improper, or illegal intent directly or indirectly (through third parties) pay, provide, promise, offer, or authorize the payment or provision of any money or thing of value to (a) an official, employee, or agent of any government, military, political party, public international organization, state-owned or affiliated entity, or instrumentality thereof (collectively “</w:t>
      </w:r>
      <w:r>
        <w:rPr>
          <w:rFonts w:ascii="Arial" w:cs="Arial" w:eastAsia="Arial" w:hAnsi="Arial"/>
          <w:sz w:val="18"/>
          <w:szCs w:val="18"/>
          <w:b w:val="1"/>
          <w:bCs w:val="1"/>
          <w:color w:val="auto"/>
        </w:rPr>
        <w:t>Government Officials</w:t>
      </w:r>
      <w:r>
        <w:rPr>
          <w:rFonts w:ascii="Arial" w:cs="Arial" w:eastAsia="Arial" w:hAnsi="Arial"/>
          <w:sz w:val="18"/>
          <w:szCs w:val="18"/>
          <w:color w:val="auto"/>
        </w:rPr>
        <w:t>”), (b) a political party or candidate for public office, (c) any person while “knowing” (as that term is interpreted by the U.S. government in relation to the FCPA) that all or a portion of that money or thing of value will be offered, promised, paid, or provided to the foregoing persons, or (d) any other individual, entity, or organization, in order to obtain, retain, or direct approvals, licenses, permits, business, sales, tax or duty assessments, import or export clearances, or other advantages; (iii) offer, promise, authorize, provide, or incur any bribe, kickback, or other corrupt or unlawful payment, expense, contribution, gift, entertainment, travel or other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1" w:lineRule="exact"/>
        <w:rPr>
          <w:sz w:val="20"/>
          <w:szCs w:val="20"/>
          <w:color w:val="auto"/>
        </w:rPr>
      </w:pPr>
    </w:p>
    <w:p>
      <w:pPr>
        <w:ind w:right="160" w:firstLine="8"/>
        <w:spacing w:after="0" w:line="282" w:lineRule="auto"/>
        <w:tabs>
          <w:tab w:leader="none" w:pos="43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60" w:right="239" w:bottom="1440" w:gutter="0" w:footer="0" w:header="0"/>
        </w:sectPr>
      </w:pPr>
    </w:p>
    <w:bookmarkStart w:id="51" w:name="page52"/>
    <w:bookmarkEnd w:id="51"/>
    <w:p>
      <w:pPr>
        <w:jc w:val="both"/>
        <w:ind w:left="1220" w:right="20"/>
        <w:spacing w:after="0" w:line="281" w:lineRule="auto"/>
        <w:rPr>
          <w:sz w:val="20"/>
          <w:szCs w:val="20"/>
          <w:color w:val="auto"/>
        </w:rPr>
      </w:pPr>
      <w:r>
        <w:rPr>
          <w:rFonts w:ascii="Arial" w:cs="Arial" w:eastAsia="Arial" w:hAnsi="Arial"/>
          <w:sz w:val="20"/>
          <w:szCs w:val="20"/>
          <w:color w:val="auto"/>
        </w:rPr>
        <w:t>benefit, or advantage (collectively, “</w:t>
      </w:r>
      <w:r>
        <w:rPr>
          <w:rFonts w:ascii="Arial" w:cs="Arial" w:eastAsia="Arial" w:hAnsi="Arial"/>
          <w:sz w:val="20"/>
          <w:szCs w:val="20"/>
          <w:b w:val="1"/>
          <w:bCs w:val="1"/>
          <w:color w:val="auto"/>
        </w:rPr>
        <w:t>Restricted Benefits</w:t>
      </w:r>
      <w:r>
        <w:rPr>
          <w:rFonts w:ascii="Arial" w:cs="Arial" w:eastAsia="Arial" w:hAnsi="Arial"/>
          <w:sz w:val="20"/>
          <w:szCs w:val="20"/>
          <w:color w:val="auto"/>
        </w:rPr>
        <w:t>”) to or for the benefit of any Government Official, political party or candidate, or any other individual, entity, or organization; (iv) solicit, accept, or receive any Restricted Benefits; or (v) establish or maintain any unlawful funds.</w:t>
      </w:r>
    </w:p>
    <w:p>
      <w:pPr>
        <w:spacing w:after="0" w:line="184" w:lineRule="exact"/>
        <w:rPr>
          <w:sz w:val="20"/>
          <w:szCs w:val="20"/>
          <w:color w:val="auto"/>
        </w:rPr>
      </w:pPr>
    </w:p>
    <w:p>
      <w:pPr>
        <w:jc w:val="both"/>
        <w:ind w:left="1220" w:hanging="652"/>
        <w:spacing w:after="0" w:line="257" w:lineRule="auto"/>
        <w:tabs>
          <w:tab w:leader="none" w:pos="12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Dow Corning shall keep full, true, and accurate records and accounts, in accordance with generally-accepted accounting principles, of Dow Corning’s performance under this Agreement for a period of five (5) years from the termination or expiration date of this Agreement. The Company may upon twenty-one (21) days prior written notice audit these records (solely for the purpose of, and solely with access to the information completely necessary for determining, compliance with this Section 21) at its discretion and suspend its performance under this Agreement for the duration of such audit if Buyer reasonably suspects that Dow Corning or its Relevant Persons have violated or caused Buyer or its Relevant Persons to violate Anti-Corruption Laws. Dow Corning shall reasonably cooperate with Buyer with such audit. These audit rights shall last for up to five (5) years from the date of the expiration or termination of this Agreement.</w:t>
      </w:r>
    </w:p>
    <w:p>
      <w:pPr>
        <w:spacing w:after="0" w:line="195" w:lineRule="exact"/>
        <w:rPr>
          <w:sz w:val="20"/>
          <w:szCs w:val="20"/>
          <w:color w:val="auto"/>
        </w:rPr>
      </w:pPr>
    </w:p>
    <w:p>
      <w:pPr>
        <w:jc w:val="both"/>
        <w:ind w:left="1220" w:hanging="652"/>
        <w:spacing w:after="0" w:line="244" w:lineRule="auto"/>
        <w:tabs>
          <w:tab w:leader="none" w:pos="1200" w:val="left"/>
        </w:tabs>
        <w:rPr>
          <w:sz w:val="20"/>
          <w:szCs w:val="20"/>
          <w:color w:val="auto"/>
        </w:rPr>
      </w:pPr>
      <w:r>
        <w:rPr>
          <w:rFonts w:ascii="Arial" w:cs="Arial" w:eastAsia="Arial" w:hAnsi="Arial"/>
          <w:sz w:val="20"/>
          <w:szCs w:val="20"/>
          <w:color w:val="auto"/>
        </w:rPr>
        <w:t>21.3</w:t>
        <w:tab/>
        <w:t>Dow Corning understands and acknowledges that its material violation of the foregoing representations, warranties, covenants, terms, or conditions contained in this Section 21 shall constitute a material breach of this Agreement, and Buyer may, at its sole option, terminate this Agreement for cause and without further liability or obligation on the part of Buyer. Any such material breach shall entitle Buyer to injunctive and other equitable relief, in addition to any other remedies which may be available, including indemnification rights under this Agreement.</w:t>
      </w:r>
    </w:p>
    <w:p>
      <w:pPr>
        <w:spacing w:after="0" w:line="21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0"/>
          <w:szCs w:val="20"/>
          <w:b w:val="1"/>
          <w:bCs w:val="1"/>
          <w:color w:val="auto"/>
        </w:rPr>
        <w:t>FEDERAL ACQUISITION REGULATIONS</w:t>
      </w:r>
    </w:p>
    <w:p>
      <w:pPr>
        <w:spacing w:after="0" w:line="212" w:lineRule="exact"/>
        <w:rPr>
          <w:rFonts w:ascii="Arial" w:cs="Arial" w:eastAsia="Arial" w:hAnsi="Arial"/>
          <w:sz w:val="22"/>
          <w:szCs w:val="22"/>
          <w:b w:val="1"/>
          <w:bCs w:val="1"/>
          <w:color w:val="auto"/>
        </w:rPr>
      </w:pPr>
    </w:p>
    <w:p>
      <w:pPr>
        <w:jc w:val="both"/>
        <w:ind w:left="660"/>
        <w:spacing w:after="0" w:line="258" w:lineRule="auto"/>
        <w:rPr>
          <w:rFonts w:ascii="Arial" w:cs="Arial" w:eastAsia="Arial" w:hAnsi="Arial"/>
          <w:sz w:val="22"/>
          <w:szCs w:val="22"/>
          <w:b w:val="1"/>
          <w:bCs w:val="1"/>
          <w:color w:val="auto"/>
        </w:rPr>
      </w:pPr>
      <w:r>
        <w:rPr>
          <w:rFonts w:ascii="Arial" w:cs="Arial" w:eastAsia="Arial" w:hAnsi="Arial"/>
          <w:sz w:val="19"/>
          <w:szCs w:val="19"/>
          <w:color w:val="auto"/>
        </w:rPr>
        <w:t>Pursuant to the Federal Acquisition Regulation (FAR) 52.212-5(e)(l) and FAR 52.244-6 concerning the acquisition of commercial items, Dow Corning accepts only the following flow down contract clauses: FAR 52.219-8 (Orders of $550,000 and Greater), FAR 52.222-26, FAR 52.222-35 (Orders of $100,00 and Greater), FAR 52.222-36 (Orders of $10,000 and Greater), FAR 52.222-39 (Orders of $100,00 and Greater), FAR 52.222-41, FAR 52.247-64, FAR 52.203-13 (Orders of $5 Million and Greater), and FAR 52.222-50. Unless otherwise agreed to in writing by Dow Corning, Buyer agrees that no other clauses from the FAR or any other agency are applicable or flowed down to Dow Corning. This Agreement supersedes any other provision relating to the applicability of FAR flow down clauses to the transactions between Dow Corning and Buyer.</w:t>
      </w:r>
    </w:p>
    <w:p>
      <w:pPr>
        <w:spacing w:after="0" w:line="186" w:lineRule="exact"/>
        <w:rPr>
          <w:rFonts w:ascii="Arial" w:cs="Arial" w:eastAsia="Arial" w:hAnsi="Arial"/>
          <w:sz w:val="22"/>
          <w:szCs w:val="22"/>
          <w:b w:val="1"/>
          <w:bCs w:val="1"/>
          <w:color w:val="auto"/>
        </w:rPr>
      </w:pPr>
    </w:p>
    <w:p>
      <w:pPr>
        <w:ind w:left="660" w:hanging="652"/>
        <w:spacing w:after="0"/>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EXPORT LAWS AND REGULATIONS</w:t>
      </w:r>
    </w:p>
    <w:p>
      <w:pPr>
        <w:spacing w:after="0" w:line="235" w:lineRule="exact"/>
        <w:rPr>
          <w:sz w:val="20"/>
          <w:szCs w:val="20"/>
          <w:color w:val="auto"/>
        </w:rPr>
      </w:pPr>
    </w:p>
    <w:p>
      <w:pPr>
        <w:jc w:val="both"/>
        <w:ind w:left="1220" w:hanging="652"/>
        <w:spacing w:after="0" w:line="244" w:lineRule="auto"/>
        <w:tabs>
          <w:tab w:leader="none" w:pos="1200" w:val="left"/>
        </w:tabs>
        <w:rPr>
          <w:sz w:val="20"/>
          <w:szCs w:val="20"/>
          <w:color w:val="auto"/>
        </w:rPr>
      </w:pPr>
      <w:r>
        <w:rPr>
          <w:rFonts w:ascii="Arial" w:cs="Arial" w:eastAsia="Arial" w:hAnsi="Arial"/>
          <w:sz w:val="20"/>
          <w:szCs w:val="20"/>
          <w:color w:val="auto"/>
        </w:rPr>
        <w:t>23.1</w:t>
        <w:tab/>
        <w:t xml:space="preserve">Buyer agrees to be responsible for being knowledgeable as to all laws, regulations, and requirements regarding the export, re-export, resale, shipment, or diversion of Dow Corning Product(s) or any other Dow Corning items (whether tangible or intangible, including without limitation commodities, software, technology, and technical data). Buyer acknowledges that the Product(s) referenced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may be subject to export control laws and regulations and may require an export license or permit prior to resale, transfer, export or re-export,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1" w:lineRule="exact"/>
        <w:rPr>
          <w:sz w:val="20"/>
          <w:szCs w:val="20"/>
          <w:color w:val="auto"/>
        </w:rPr>
      </w:pPr>
    </w:p>
    <w:p>
      <w:pPr>
        <w:ind w:right="160" w:firstLine="8"/>
        <w:spacing w:after="0" w:line="282" w:lineRule="auto"/>
        <w:tabs>
          <w:tab w:leader="none" w:pos="43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73" w:right="239" w:bottom="1440" w:gutter="0" w:footer="0" w:header="0"/>
        </w:sectPr>
      </w:pPr>
    </w:p>
    <w:bookmarkStart w:id="52" w:name="page53"/>
    <w:bookmarkEnd w:id="52"/>
    <w:p>
      <w:pPr>
        <w:ind w:left="1220" w:right="20"/>
        <w:spacing w:after="0" w:line="289" w:lineRule="auto"/>
        <w:rPr>
          <w:sz w:val="20"/>
          <w:szCs w:val="20"/>
          <w:color w:val="auto"/>
        </w:rPr>
      </w:pPr>
      <w:r>
        <w:rPr>
          <w:rFonts w:ascii="Arial" w:cs="Arial" w:eastAsia="Arial" w:hAnsi="Arial"/>
          <w:sz w:val="20"/>
          <w:szCs w:val="20"/>
          <w:color w:val="auto"/>
        </w:rPr>
        <w:t>including the U.S. Export Administration Regulations and U.S. Department of Treasury Office of Foreign Assets Control sanction regulations.</w:t>
      </w:r>
    </w:p>
    <w:p>
      <w:pPr>
        <w:spacing w:after="0" w:line="175" w:lineRule="exact"/>
        <w:rPr>
          <w:sz w:val="20"/>
          <w:szCs w:val="20"/>
          <w:color w:val="auto"/>
        </w:rPr>
      </w:pPr>
    </w:p>
    <w:p>
      <w:pPr>
        <w:jc w:val="both"/>
        <w:ind w:left="1220" w:hanging="652"/>
        <w:spacing w:after="0" w:line="257" w:lineRule="auto"/>
        <w:tabs>
          <w:tab w:leader="none" w:pos="12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color w:val="auto"/>
        </w:rPr>
        <w:t>Buyer agrees it will not in any form export, re-export, resell, ship or divert or cause to be exported, re-exported, resold, shipped or diverted, directly or indirectly, any Product or technical data furnished hereunder to any country, end-use, or end-user that requires an export license or other approval without first obtaining such license or approval. The end-users and end-uses that may require an export license or other approval include, without limitation, (i) any person, entity, organization or other party identified on an applicable government restricted party list, including for example the U.S. Department of Commerce’s Denied Persons or Entity List, the U.S. Department of Treasury’s Specially Designated Nationals or Blocked Persons List or the Department of State’s Debarred Parties List, and (ii) any end-use involving nuclear applications, chemical/biological weapons or missile, rocket systems or unmanned air vehicle applications.</w:t>
      </w:r>
    </w:p>
    <w:p>
      <w:pPr>
        <w:spacing w:after="0" w:line="195" w:lineRule="exact"/>
        <w:rPr>
          <w:sz w:val="20"/>
          <w:szCs w:val="20"/>
          <w:color w:val="auto"/>
        </w:rPr>
      </w:pPr>
    </w:p>
    <w:p>
      <w:pPr>
        <w:jc w:val="both"/>
        <w:ind w:left="1220" w:hanging="652"/>
        <w:spacing w:after="0" w:line="260" w:lineRule="auto"/>
        <w:tabs>
          <w:tab w:leader="none" w:pos="120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9"/>
          <w:szCs w:val="19"/>
          <w:color w:val="auto"/>
        </w:rPr>
        <w:t>Additionally, Buyer agrees to abide by the regulations of U.S. Department of Treasury, Office of Foreign Assets Control, which administers U.S. trade sanctions and embargoes. As of the date of this Agreement, OFAC regulations currently include, without limitation, Iran, Cuba, Syria and Sudan. As of the date of this Agreement, similar restrictions apply to North Korea under the U.S. Export Administration Regulations. OFAC sanctioned and embargoed countries and related regulations are currently listed at http://www.treas.gov/offices/enforcement/ofac/programs/index.shtml.</w:t>
      </w:r>
    </w:p>
    <w:p>
      <w:pPr>
        <w:spacing w:after="0" w:line="194" w:lineRule="exact"/>
        <w:rPr>
          <w:sz w:val="20"/>
          <w:szCs w:val="20"/>
          <w:color w:val="auto"/>
        </w:rPr>
      </w:pPr>
    </w:p>
    <w:p>
      <w:pPr>
        <w:jc w:val="both"/>
        <w:ind w:left="1220" w:hanging="652"/>
        <w:spacing w:after="0" w:line="260" w:lineRule="auto"/>
        <w:tabs>
          <w:tab w:leader="none" w:pos="1200" w:val="left"/>
        </w:tabs>
        <w:rPr>
          <w:sz w:val="20"/>
          <w:szCs w:val="20"/>
          <w:color w:val="auto"/>
        </w:rPr>
      </w:pPr>
      <w:r>
        <w:rPr>
          <w:rFonts w:ascii="Arial" w:cs="Arial" w:eastAsia="Arial" w:hAnsi="Arial"/>
          <w:sz w:val="20"/>
          <w:szCs w:val="20"/>
          <w:color w:val="auto"/>
        </w:rPr>
        <w:t>23.4</w:t>
        <w:tab/>
        <w:t>Buyer agrees to indemnify, defend and hold Dow Corning harmless from any and all costs (including attorneys’ fees) expenses, judgments, penalties, or other liabilities due to Buyer’s failure to comply with this section.</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p>
    <w:p>
      <w:pPr>
        <w:spacing w:after="0" w:line="221" w:lineRule="exact"/>
        <w:rPr>
          <w:rFonts w:ascii="Arial" w:cs="Arial" w:eastAsia="Arial" w:hAnsi="Arial"/>
          <w:sz w:val="20"/>
          <w:szCs w:val="20"/>
          <w:b w:val="1"/>
          <w:bCs w:val="1"/>
          <w:color w:val="auto"/>
        </w:rPr>
      </w:pPr>
    </w:p>
    <w:p>
      <w:pPr>
        <w:jc w:val="both"/>
        <w:ind w:left="66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Dow Corning’s failure to exercise a right or remedy or Dow Corning’s acceptance of a partial or delinquent payment will not operate as a waiver of any of Dow Corning’s original rights or Buyer’s obligations under this Agreement and will not constitute a waiver of Dow Corning’s right to declare an immediate or subsequent default. A waiver or failure of Buyer to enforce any provision of this Agreement will not act as a waiver of that provision or the ability to later assert that provision relative to the particular situation involved.</w:t>
      </w:r>
    </w:p>
    <w:p>
      <w:pPr>
        <w:spacing w:after="0" w:line="169" w:lineRule="exact"/>
        <w:rPr>
          <w:rFonts w:ascii="Arial" w:cs="Arial" w:eastAsia="Arial" w:hAnsi="Arial"/>
          <w:sz w:val="20"/>
          <w:szCs w:val="20"/>
          <w:b w:val="1"/>
          <w:bCs w:val="1"/>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p>
    <w:p>
      <w:pPr>
        <w:spacing w:after="0" w:line="235" w:lineRule="exact"/>
        <w:rPr>
          <w:rFonts w:ascii="Arial" w:cs="Arial" w:eastAsia="Arial" w:hAnsi="Arial"/>
          <w:sz w:val="20"/>
          <w:szCs w:val="20"/>
          <w:b w:val="1"/>
          <w:bCs w:val="1"/>
          <w:color w:val="auto"/>
        </w:rPr>
      </w:pPr>
    </w:p>
    <w:p>
      <w:pPr>
        <w:jc w:val="both"/>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If one or more of the provisions of this Agreement or part(s) thereof will be found, by a court with jurisdiction, to be illegal, invalid or unenforceable, it will not affect the legality, validity, enforceability of any of the remaining provisions of this Agreement. The parties agree to attempt to substitute for any illegal, invalid or unenforceable provision or part(s) thereof, a legal, valid or enforceable provision or part(s) thereof which achieves to the greatest extent possible the objectives of the illegal, invalid or unenforceable provision.</w:t>
      </w:r>
    </w:p>
    <w:p>
      <w:pPr>
        <w:spacing w:after="0" w:line="202" w:lineRule="exact"/>
        <w:rPr>
          <w:rFonts w:ascii="Arial" w:cs="Arial" w:eastAsia="Arial" w:hAnsi="Arial"/>
          <w:sz w:val="20"/>
          <w:szCs w:val="20"/>
          <w:b w:val="1"/>
          <w:bCs w:val="1"/>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1" w:lineRule="exact"/>
        <w:rPr>
          <w:sz w:val="20"/>
          <w:szCs w:val="20"/>
          <w:color w:val="auto"/>
        </w:rPr>
      </w:pPr>
    </w:p>
    <w:p>
      <w:pPr>
        <w:ind w:right="160" w:firstLine="8"/>
        <w:spacing w:after="0" w:line="282" w:lineRule="auto"/>
        <w:tabs>
          <w:tab w:leader="none" w:pos="4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79" w:right="239" w:bottom="1440" w:gutter="0" w:footer="0" w:header="0"/>
        </w:sectPr>
      </w:pPr>
    </w:p>
    <w:bookmarkStart w:id="53" w:name="page54"/>
    <w:bookmarkEnd w:id="53"/>
    <w:p>
      <w:pPr>
        <w:ind w:left="660"/>
        <w:spacing w:after="0" w:line="260" w:lineRule="auto"/>
        <w:rPr>
          <w:sz w:val="20"/>
          <w:szCs w:val="20"/>
          <w:color w:val="auto"/>
        </w:rPr>
      </w:pPr>
      <w:r>
        <w:rPr>
          <w:rFonts w:ascii="Arial" w:cs="Arial" w:eastAsia="Arial" w:hAnsi="Arial"/>
          <w:sz w:val="20"/>
          <w:szCs w:val="20"/>
          <w:color w:val="auto"/>
        </w:rPr>
        <w:t>All required notices will be deemed effective upon receipt and will be in writing and mailed, postage prepaid, to the following addresses:</w:t>
      </w:r>
    </w:p>
    <w:p>
      <w:pPr>
        <w:sectPr>
          <w:pgSz w:w="11900" w:h="16838" w:orient="portrait"/>
          <w:cols w:equalWidth="0" w:num="1">
            <w:col w:w="11420"/>
          </w:cols>
          <w:pgMar w:left="240" w:top="595" w:right="239" w:bottom="1440" w:gutter="0" w:footer="0" w:header="0"/>
        </w:sectPr>
      </w:pP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To Dow Corning:</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Buyer</w:t>
      </w:r>
    </w:p>
    <w:p>
      <w:pPr>
        <w:spacing w:after="0" w:line="105" w:lineRule="exact"/>
        <w:rPr>
          <w:sz w:val="20"/>
          <w:szCs w:val="20"/>
          <w:color w:val="auto"/>
        </w:rPr>
      </w:pPr>
    </w:p>
    <w:p>
      <w:pPr>
        <w:sectPr>
          <w:pgSz w:w="11900" w:h="16838" w:orient="portrait"/>
          <w:cols w:equalWidth="0" w:num="2">
            <w:col w:w="5020" w:space="720"/>
            <w:col w:w="5680"/>
          </w:cols>
          <w:pgMar w:left="240" w:top="595"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Dow Corning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Enphase Energy, Inc.</w:t>
      </w:r>
    </w:p>
    <w:p>
      <w:pPr>
        <w:spacing w:after="0" w:line="99" w:lineRule="exact"/>
        <w:rPr>
          <w:sz w:val="20"/>
          <w:szCs w:val="20"/>
          <w:color w:val="auto"/>
        </w:rPr>
      </w:pPr>
    </w:p>
    <w:p>
      <w:pPr>
        <w:sectPr>
          <w:pgSz w:w="11900" w:h="16838" w:orient="portrait"/>
          <w:cols w:equalWidth="0" w:num="2">
            <w:col w:w="5020" w:space="720"/>
            <w:col w:w="5680"/>
          </w:cols>
          <w:pgMar w:left="240" w:top="595"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Attn: Shane Ladwein, Director, Engineered Materials</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Product Line</w:t>
      </w:r>
    </w:p>
    <w:p>
      <w:pPr>
        <w:ind w:left="1280"/>
        <w:spacing w:after="0"/>
        <w:rPr>
          <w:sz w:val="20"/>
          <w:szCs w:val="20"/>
          <w:color w:val="auto"/>
        </w:rPr>
      </w:pPr>
      <w:r>
        <w:rPr>
          <w:rFonts w:ascii="Arial" w:cs="Arial" w:eastAsia="Arial" w:hAnsi="Arial"/>
          <w:sz w:val="20"/>
          <w:szCs w:val="20"/>
          <w:color w:val="auto"/>
        </w:rPr>
        <w:t>cc: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Attn: Cristina Nguyen, Strategic Sourcing Manager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cc: Legal Counsel</w:t>
      </w:r>
    </w:p>
    <w:p>
      <w:pPr>
        <w:spacing w:after="0" w:line="267" w:lineRule="exact"/>
        <w:rPr>
          <w:sz w:val="20"/>
          <w:szCs w:val="20"/>
          <w:color w:val="auto"/>
        </w:rPr>
      </w:pPr>
    </w:p>
    <w:p>
      <w:pPr>
        <w:sectPr>
          <w:pgSz w:w="11900" w:h="16838" w:orient="portrait"/>
          <w:cols w:equalWidth="0" w:num="2">
            <w:col w:w="5520" w:space="220"/>
            <w:col w:w="5680"/>
          </w:cols>
          <w:pgMar w:left="240" w:top="595" w:right="23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2200 W. Salzburg 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1420 N. McDowell Blvd.</w:t>
      </w:r>
    </w:p>
    <w:p>
      <w:pPr>
        <w:spacing w:after="0" w:line="65" w:lineRule="exact"/>
        <w:rPr>
          <w:sz w:val="20"/>
          <w:szCs w:val="20"/>
          <w:color w:val="auto"/>
        </w:rPr>
      </w:pPr>
    </w:p>
    <w:p>
      <w:pPr>
        <w:sectPr>
          <w:pgSz w:w="11900" w:h="16838" w:orient="portrait"/>
          <w:cols w:equalWidth="0" w:num="2">
            <w:col w:w="5020" w:space="720"/>
            <w:col w:w="5680"/>
          </w:cols>
          <w:pgMar w:left="240" w:top="595"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Auburn, MI 48611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Petaluma, CA 94954</w:t>
      </w:r>
    </w:p>
    <w:p>
      <w:pPr>
        <w:spacing w:after="0" w:line="222" w:lineRule="exact"/>
        <w:rPr>
          <w:sz w:val="20"/>
          <w:szCs w:val="20"/>
          <w:color w:val="auto"/>
        </w:rPr>
      </w:pPr>
    </w:p>
    <w:p>
      <w:pPr>
        <w:sectPr>
          <w:pgSz w:w="11900" w:h="16838" w:orient="portrait"/>
          <w:cols w:equalWidth="0" w:num="2">
            <w:col w:w="5020" w:space="720"/>
            <w:col w:w="5680"/>
          </w:cols>
          <w:pgMar w:left="240" w:top="595" w:right="239" w:bottom="1440" w:gutter="0" w:footer="0" w:header="0"/>
          <w:type w:val="continuous"/>
        </w:sectPr>
      </w:pPr>
    </w:p>
    <w:p>
      <w:pPr>
        <w:spacing w:after="0" w:line="8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0"/>
          <w:szCs w:val="20"/>
          <w:b w:val="1"/>
          <w:bCs w:val="1"/>
          <w:color w:val="auto"/>
        </w:rPr>
        <w:t>HEADINGS</w:t>
      </w:r>
    </w:p>
    <w:p>
      <w:pPr>
        <w:spacing w:after="0" w:line="212" w:lineRule="exact"/>
        <w:rPr>
          <w:rFonts w:ascii="Arial" w:cs="Arial" w:eastAsia="Arial" w:hAnsi="Arial"/>
          <w:sz w:val="22"/>
          <w:szCs w:val="22"/>
          <w:b w:val="1"/>
          <w:bCs w:val="1"/>
          <w:color w:val="auto"/>
        </w:rPr>
      </w:pPr>
    </w:p>
    <w:p>
      <w:pPr>
        <w:ind w:left="660"/>
        <w:spacing w:after="0" w:line="260" w:lineRule="auto"/>
        <w:rPr>
          <w:rFonts w:ascii="Arial" w:cs="Arial" w:eastAsia="Arial" w:hAnsi="Arial"/>
          <w:sz w:val="22"/>
          <w:szCs w:val="22"/>
          <w:b w:val="1"/>
          <w:bCs w:val="1"/>
          <w:color w:val="auto"/>
        </w:rPr>
      </w:pPr>
      <w:r>
        <w:rPr>
          <w:rFonts w:ascii="Arial" w:cs="Arial" w:eastAsia="Arial" w:hAnsi="Arial"/>
          <w:sz w:val="20"/>
          <w:szCs w:val="20"/>
          <w:color w:val="auto"/>
        </w:rPr>
        <w:t>Titles and headings to articles, sections or paragraphs in this Agreement are inserted for reference only and are not intended to affect the interpretation or construction of this Agreement.</w:t>
      </w:r>
    </w:p>
    <w:p>
      <w:pPr>
        <w:spacing w:after="0" w:line="184" w:lineRule="exact"/>
        <w:rPr>
          <w:rFonts w:ascii="Arial" w:cs="Arial" w:eastAsia="Arial" w:hAnsi="Arial"/>
          <w:sz w:val="22"/>
          <w:szCs w:val="22"/>
          <w:b w:val="1"/>
          <w:bCs w:val="1"/>
          <w:color w:val="auto"/>
        </w:rPr>
      </w:pPr>
    </w:p>
    <w:p>
      <w:pPr>
        <w:ind w:left="660" w:hanging="652"/>
        <w:spacing w:after="0"/>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235" w:lineRule="exact"/>
        <w:rPr>
          <w:rFonts w:ascii="Arial" w:cs="Arial" w:eastAsia="Arial" w:hAnsi="Arial"/>
          <w:sz w:val="20"/>
          <w:szCs w:val="20"/>
          <w:b w:val="1"/>
          <w:bCs w:val="1"/>
          <w:color w:val="auto"/>
        </w:rPr>
      </w:pPr>
    </w:p>
    <w:p>
      <w:pPr>
        <w:jc w:val="both"/>
        <w:ind w:left="66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This Agreement and the Exhibits attached hereto constitute the entire understanding between the parties with respect to the subject matter of this Agreement and supersede any prior discussions, representations, negotiations, agreements, memoranda of understanding, term sheets and the like. Additional or different terms contained in any Buyer or Dow Corning document (including, without limitation, any purchase order, estimate, order acknowledgment, or payment remittance) will not be binding, and will not create, nor be construed to create any modification of Buyer’s or Dow Corning’s rights or obligations under this Agreement. Modifications to this Agreement must be made in a writing with specific reference to this Agreement and signed by each party. This Agreement will be considered for all purposes as prepared through the joint efforts of the Parties and will not be construed against one Party or the other as a result of the manner in which this Agreement was negotiated, prepared, drafted or executed.</w:t>
      </w:r>
    </w:p>
    <w:p>
      <w:pPr>
        <w:spacing w:after="0" w:line="200" w:lineRule="exact"/>
        <w:rPr>
          <w:rFonts w:ascii="Arial" w:cs="Arial" w:eastAsia="Arial" w:hAnsi="Arial"/>
          <w:sz w:val="20"/>
          <w:szCs w:val="20"/>
          <w:b w:val="1"/>
          <w:bCs w:val="1"/>
          <w:color w:val="auto"/>
        </w:rPr>
      </w:pPr>
    </w:p>
    <w:p>
      <w:pPr>
        <w:spacing w:after="0" w:line="206" w:lineRule="exact"/>
        <w:rPr>
          <w:rFonts w:ascii="Arial" w:cs="Arial" w:eastAsia="Arial" w:hAnsi="Arial"/>
          <w:sz w:val="20"/>
          <w:szCs w:val="20"/>
          <w:b w:val="1"/>
          <w:bCs w:val="1"/>
          <w:color w:val="auto"/>
        </w:rPr>
      </w:pPr>
    </w:p>
    <w:p>
      <w:pPr>
        <w:ind w:left="660" w:hanging="652"/>
        <w:spacing w:after="0"/>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RIGHTS OF THIRD PARTIES</w:t>
      </w:r>
    </w:p>
    <w:p>
      <w:pPr>
        <w:spacing w:after="0" w:line="235"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Except as expressly provided in this Agreement, no term of this Agreement will be enforceable by a person other than the Parties or the permitted successors and assignees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1" w:lineRule="exact"/>
        <w:rPr>
          <w:sz w:val="20"/>
          <w:szCs w:val="20"/>
          <w:color w:val="auto"/>
        </w:rPr>
      </w:pPr>
    </w:p>
    <w:p>
      <w:pPr>
        <w:ind w:right="160" w:firstLine="8"/>
        <w:spacing w:after="0" w:line="282" w:lineRule="auto"/>
        <w:tabs>
          <w:tab w:leader="none" w:pos="43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595" w:right="239" w:bottom="1440" w:gutter="0" w:footer="0" w:header="0"/>
          <w:type w:val="continuous"/>
        </w:sectPr>
      </w:pPr>
    </w:p>
    <w:bookmarkStart w:id="54" w:name="page55"/>
    <w:bookmarkEnd w:id="54"/>
    <w:p>
      <w:pPr>
        <w:ind w:left="1112"/>
        <w:spacing w:after="0"/>
        <w:tabs>
          <w:tab w:leader="none" w:pos="6692" w:val="left"/>
        </w:tabs>
        <w:rPr>
          <w:sz w:val="20"/>
          <w:szCs w:val="20"/>
          <w:color w:val="auto"/>
        </w:rPr>
      </w:pPr>
      <w:r>
        <w:rPr>
          <w:rFonts w:ascii="Arial" w:cs="Arial" w:eastAsia="Arial" w:hAnsi="Arial"/>
          <w:sz w:val="20"/>
          <w:szCs w:val="20"/>
          <w:color w:val="auto"/>
        </w:rPr>
        <w:t>DOW CORNING CORPORATION</w:t>
      </w:r>
      <w:r>
        <w:rPr>
          <w:sz w:val="20"/>
          <w:szCs w:val="20"/>
          <w:color w:val="auto"/>
        </w:rPr>
        <w:tab/>
      </w:r>
      <w:r>
        <w:rPr>
          <w:rFonts w:ascii="Arial" w:cs="Arial" w:eastAsia="Arial" w:hAnsi="Arial"/>
          <w:sz w:val="18"/>
          <w:szCs w:val="18"/>
          <w:color w:val="auto"/>
        </w:rPr>
        <w:t>ENPHASE ENERGY, INC.</w:t>
      </w:r>
    </w:p>
    <w:p>
      <w:pPr>
        <w:spacing w:after="0" w:line="200" w:lineRule="exact"/>
        <w:rPr>
          <w:sz w:val="20"/>
          <w:szCs w:val="20"/>
          <w:color w:val="auto"/>
        </w:rPr>
      </w:pPr>
    </w:p>
    <w:p>
      <w:pPr>
        <w:spacing w:after="0" w:line="376" w:lineRule="exact"/>
        <w:rPr>
          <w:sz w:val="20"/>
          <w:szCs w:val="20"/>
          <w:color w:val="auto"/>
        </w:rPr>
      </w:pPr>
    </w:p>
    <w:tbl>
      <w:tblPr>
        <w:tblLayout w:type="fixed"/>
        <w:tblInd w:w="112"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Thomas H. Cook</w:t>
            </w:r>
          </w:p>
        </w:tc>
        <w:tc>
          <w:tcPr>
            <w:tcW w:w="1240" w:type="dxa"/>
            <w:vAlign w:val="bottom"/>
          </w:tcPr>
          <w:p>
            <w:pPr>
              <w:ind w:left="40"/>
              <w:spacing w:after="0"/>
              <w:rPr>
                <w:sz w:val="20"/>
                <w:szCs w:val="20"/>
                <w:color w:val="auto"/>
              </w:rPr>
            </w:pPr>
            <w:r>
              <w:rPr>
                <w:rFonts w:ascii="Arial" w:cs="Arial" w:eastAsia="Arial" w:hAnsi="Arial"/>
                <w:sz w:val="20"/>
                <w:szCs w:val="20"/>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Paul Nahi</w:t>
            </w:r>
          </w:p>
        </w:tc>
      </w:tr>
      <w:tr>
        <w:trPr>
          <w:trHeight w:val="291"/>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Thomas H. Cook</w:t>
            </w:r>
          </w:p>
        </w:tc>
        <w:tc>
          <w:tcPr>
            <w:tcW w:w="1240" w:type="dxa"/>
            <w:vAlign w:val="bottom"/>
          </w:tcPr>
          <w:p>
            <w:pPr>
              <w:ind w:left="40"/>
              <w:spacing w:after="0"/>
              <w:rPr>
                <w:sz w:val="20"/>
                <w:szCs w:val="20"/>
                <w:color w:val="auto"/>
              </w:rPr>
            </w:pPr>
            <w:r>
              <w:rPr>
                <w:rFonts w:ascii="Arial" w:cs="Arial" w:eastAsia="Arial" w:hAnsi="Arial"/>
                <w:sz w:val="20"/>
                <w:szCs w:val="20"/>
                <w:color w:val="auto"/>
              </w:rPr>
              <w:t>Name: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Paul Nahi</w:t>
            </w:r>
          </w:p>
        </w:tc>
      </w:tr>
      <w:tr>
        <w:trPr>
          <w:trHeight w:val="280"/>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2"/>
                <w:szCs w:val="22"/>
                <w:color w:val="auto"/>
              </w:rPr>
              <w:t>Senior VP, Sales &amp;</w:t>
            </w:r>
          </w:p>
        </w:tc>
        <w:tc>
          <w:tcPr>
            <w:tcW w:w="1240" w:type="dxa"/>
            <w:vAlign w:val="bottom"/>
          </w:tcPr>
          <w:p>
            <w:pPr>
              <w:ind w:left="40"/>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President and CEO</w:t>
            </w:r>
          </w:p>
        </w:tc>
      </w:tr>
      <w:tr>
        <w:trPr>
          <w:trHeight w:val="297"/>
        </w:trPr>
        <w:tc>
          <w:tcPr>
            <w:tcW w:w="98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22"/>
                <w:szCs w:val="22"/>
                <w:color w:val="auto"/>
              </w:rPr>
              <w:t>Customer Experience</w:t>
            </w: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22, 2014</w:t>
            </w:r>
          </w:p>
        </w:tc>
        <w:tc>
          <w:tcPr>
            <w:tcW w:w="1240" w:type="dxa"/>
            <w:vAlign w:val="bottom"/>
          </w:tcPr>
          <w:p>
            <w:pPr>
              <w:ind w:left="40"/>
              <w:spacing w:after="0"/>
              <w:rPr>
                <w:sz w:val="20"/>
                <w:szCs w:val="20"/>
                <w:color w:val="auto"/>
              </w:rPr>
            </w:pPr>
            <w:r>
              <w:rPr>
                <w:rFonts w:ascii="Arial" w:cs="Arial" w:eastAsia="Arial" w:hAnsi="Arial"/>
                <w:sz w:val="20"/>
                <w:szCs w:val="20"/>
                <w:color w:val="auto"/>
              </w:rPr>
              <w:t>Date:</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22,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12</w:t>
      </w:r>
    </w:p>
    <w:p>
      <w:pPr>
        <w:spacing w:after="0" w:line="221" w:lineRule="exact"/>
        <w:rPr>
          <w:sz w:val="20"/>
          <w:szCs w:val="20"/>
          <w:color w:val="auto"/>
        </w:rPr>
      </w:pPr>
    </w:p>
    <w:p>
      <w:pPr>
        <w:ind w:left="-8" w:right="20" w:firstLine="8"/>
        <w:spacing w:after="0" w:line="282" w:lineRule="auto"/>
        <w:tabs>
          <w:tab w:leader="none" w:pos="42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72"/>
          </w:cols>
          <w:pgMar w:left="248" w:top="528" w:right="379" w:bottom="1440" w:gutter="0" w:footer="0" w:header="0"/>
        </w:sectPr>
      </w:pPr>
    </w:p>
    <w:bookmarkStart w:id="55" w:name="page56"/>
    <w:bookmarkEnd w:id="55"/>
    <w:p>
      <w:pPr>
        <w:jc w:val="center"/>
        <w:ind w:right="6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PRODUCT(S), CONTAINERS AND PRICES</w:t>
      </w: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Product</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Container</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Price/ LB or KG</w:t>
            </w:r>
          </w:p>
        </w:tc>
        <w:tc>
          <w:tcPr>
            <w:tcW w:w="0" w:type="dxa"/>
            <w:vAlign w:val="bottom"/>
          </w:tcPr>
          <w:p>
            <w:pPr>
              <w:spacing w:after="0"/>
              <w:rPr>
                <w:sz w:val="1"/>
                <w:szCs w:val="1"/>
                <w:color w:val="auto"/>
              </w:rPr>
            </w:pPr>
          </w:p>
        </w:tc>
      </w:tr>
      <w:tr>
        <w:trPr>
          <w:trHeight w:val="23"/>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Dow Corning© EE-[***] Encapsulant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Product is sold in two parts (Part A and Part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US$[***]/ KG</w:t>
            </w:r>
          </w:p>
        </w:tc>
        <w:tc>
          <w:tcPr>
            <w:tcW w:w="0" w:type="dxa"/>
            <w:vAlign w:val="bottom"/>
          </w:tcPr>
          <w:p>
            <w:pPr>
              <w:spacing w:after="0"/>
              <w:rPr>
                <w:sz w:val="1"/>
                <w:szCs w:val="1"/>
                <w:color w:val="auto"/>
              </w:rPr>
            </w:pPr>
          </w:p>
        </w:tc>
      </w:tr>
      <w:tr>
        <w:trPr>
          <w:trHeight w:val="230"/>
        </w:trPr>
        <w:tc>
          <w:tcPr>
            <w:tcW w:w="39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Enphase Item Numbers:</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 each of which will be packed in 225kg</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20" w:type="dxa"/>
            <w:vAlign w:val="bottom"/>
            <w:tcBorders>
              <w:left w:val="single" w:sz="8" w:color="00000A"/>
              <w:right w:val="single" w:sz="8" w:color="00000A"/>
            </w:tcBorders>
            <w:vMerge w:val="continue"/>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drums.</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751-00127-01</w:t>
            </w:r>
          </w:p>
        </w:tc>
        <w:tc>
          <w:tcPr>
            <w:tcW w:w="3760" w:type="dxa"/>
            <w:vAlign w:val="bottom"/>
            <w:tcBorders>
              <w:right w:val="single" w:sz="8" w:color="00000A"/>
            </w:tcBorders>
          </w:tcPr>
          <w:p>
            <w:pPr>
              <w:spacing w:after="0"/>
              <w:rPr>
                <w:sz w:val="24"/>
                <w:szCs w:val="24"/>
                <w:color w:val="auto"/>
              </w:rPr>
            </w:pPr>
          </w:p>
        </w:tc>
        <w:tc>
          <w:tcPr>
            <w:tcW w:w="37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751-00128-01</w:t>
            </w:r>
          </w:p>
        </w:tc>
        <w:tc>
          <w:tcPr>
            <w:tcW w:w="3760" w:type="dxa"/>
            <w:vAlign w:val="bottom"/>
            <w:tcBorders>
              <w:right w:val="single" w:sz="8" w:color="00000A"/>
            </w:tcBorders>
          </w:tcPr>
          <w:p>
            <w:pPr>
              <w:spacing w:after="0"/>
              <w:rPr>
                <w:sz w:val="24"/>
                <w:szCs w:val="24"/>
                <w:color w:val="auto"/>
              </w:rPr>
            </w:pPr>
          </w:p>
        </w:tc>
        <w:tc>
          <w:tcPr>
            <w:tcW w:w="37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color w:val="auto"/>
        </w:rPr>
        <w:t xml:space="preserve">If the Minimum Volume Commitment is met for calendar year [***], then the </w:t>
      </w:r>
      <w:r>
        <w:rPr>
          <w:rFonts w:ascii="Arial" w:cs="Arial" w:eastAsia="Arial" w:hAnsi="Arial"/>
          <w:sz w:val="20"/>
          <w:szCs w:val="20"/>
          <w:b w:val="1"/>
          <w:bCs w:val="1"/>
          <w:color w:val="auto"/>
        </w:rPr>
        <w:t>PRODUCT(S), CONTAINERS AND PRICES</w:t>
      </w:r>
      <w:r>
        <w:rPr>
          <w:rFonts w:ascii="Arial" w:cs="Arial" w:eastAsia="Arial" w:hAnsi="Arial"/>
          <w:sz w:val="20"/>
          <w:szCs w:val="20"/>
          <w:color w:val="auto"/>
        </w:rPr>
        <w:t xml:space="preserve"> for calendar year [***] will be as follows:</w:t>
      </w: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Product</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Container</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Price/ LB or KG</w:t>
            </w:r>
          </w:p>
        </w:tc>
        <w:tc>
          <w:tcPr>
            <w:tcW w:w="0" w:type="dxa"/>
            <w:vAlign w:val="bottom"/>
          </w:tcPr>
          <w:p>
            <w:pPr>
              <w:spacing w:after="0"/>
              <w:rPr>
                <w:sz w:val="1"/>
                <w:szCs w:val="1"/>
                <w:color w:val="auto"/>
              </w:rPr>
            </w:pPr>
          </w:p>
        </w:tc>
      </w:tr>
      <w:tr>
        <w:trPr>
          <w:trHeight w:val="23"/>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Dow Corning© EE-[***] Encapsulant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Product is sold in two parts (Part A and Part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US$[***]/ KG</w:t>
            </w:r>
          </w:p>
        </w:tc>
        <w:tc>
          <w:tcPr>
            <w:tcW w:w="0" w:type="dxa"/>
            <w:vAlign w:val="bottom"/>
          </w:tcPr>
          <w:p>
            <w:pPr>
              <w:spacing w:after="0"/>
              <w:rPr>
                <w:sz w:val="1"/>
                <w:szCs w:val="1"/>
                <w:color w:val="auto"/>
              </w:rPr>
            </w:pPr>
          </w:p>
        </w:tc>
      </w:tr>
      <w:tr>
        <w:trPr>
          <w:trHeight w:val="230"/>
        </w:trPr>
        <w:tc>
          <w:tcPr>
            <w:tcW w:w="39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Enphase Item Numbers:</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 each of which will be packed in 225kg</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20" w:type="dxa"/>
            <w:vAlign w:val="bottom"/>
            <w:tcBorders>
              <w:left w:val="single" w:sz="8" w:color="00000A"/>
              <w:right w:val="single" w:sz="8" w:color="00000A"/>
            </w:tcBorders>
            <w:vMerge w:val="continue"/>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drums.</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751-00127-01</w:t>
            </w:r>
          </w:p>
        </w:tc>
        <w:tc>
          <w:tcPr>
            <w:tcW w:w="3760" w:type="dxa"/>
            <w:vAlign w:val="bottom"/>
            <w:tcBorders>
              <w:right w:val="single" w:sz="8" w:color="00000A"/>
            </w:tcBorders>
          </w:tcPr>
          <w:p>
            <w:pPr>
              <w:spacing w:after="0"/>
              <w:rPr>
                <w:sz w:val="24"/>
                <w:szCs w:val="24"/>
                <w:color w:val="auto"/>
              </w:rPr>
            </w:pPr>
          </w:p>
        </w:tc>
        <w:tc>
          <w:tcPr>
            <w:tcW w:w="37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751-00128-01</w:t>
            </w:r>
          </w:p>
        </w:tc>
        <w:tc>
          <w:tcPr>
            <w:tcW w:w="3760" w:type="dxa"/>
            <w:vAlign w:val="bottom"/>
            <w:tcBorders>
              <w:right w:val="single" w:sz="8" w:color="00000A"/>
            </w:tcBorders>
          </w:tcPr>
          <w:p>
            <w:pPr>
              <w:spacing w:after="0"/>
              <w:rPr>
                <w:sz w:val="24"/>
                <w:szCs w:val="24"/>
                <w:color w:val="auto"/>
              </w:rPr>
            </w:pPr>
          </w:p>
        </w:tc>
        <w:tc>
          <w:tcPr>
            <w:tcW w:w="37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00000A"/>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37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firstLine="8"/>
        <w:spacing w:after="0" w:line="282" w:lineRule="auto"/>
        <w:tabs>
          <w:tab w:leader="none" w:pos="4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522" w:right="219" w:bottom="1440" w:gutter="0" w:footer="0" w:header="0"/>
        </w:sectPr>
      </w:pPr>
    </w:p>
    <w:bookmarkStart w:id="56" w:name="page57"/>
    <w:bookmarkEnd w:id="56"/>
    <w:p>
      <w:pPr>
        <w:jc w:val="center"/>
        <w:ind w:right="-15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PRODUCT SPECIFICATIONS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attached)</w:t>
      </w:r>
    </w:p>
    <w:p>
      <w:pPr>
        <w:spacing w:after="0" w:line="241" w:lineRule="exact"/>
        <w:rPr>
          <w:sz w:val="20"/>
          <w:szCs w:val="20"/>
          <w:color w:val="auto"/>
        </w:rPr>
      </w:pPr>
    </w:p>
    <w:p>
      <w:pPr>
        <w:ind w:firstLine="8"/>
        <w:spacing w:after="0" w:line="282" w:lineRule="auto"/>
        <w:tabs>
          <w:tab w:leader="none" w:pos="43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60"/>
          </w:cols>
          <w:pgMar w:left="240" w:top="360" w:right="3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1465580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00"/>
        <w:spacing w:after="0"/>
        <w:rPr>
          <w:sz w:val="20"/>
          <w:szCs w:val="20"/>
          <w:color w:val="auto"/>
        </w:rPr>
      </w:pPr>
      <w:r>
        <w:rPr>
          <w:rFonts w:ascii="Arial" w:cs="Arial" w:eastAsia="Arial" w:hAnsi="Arial"/>
          <w:sz w:val="65"/>
          <w:szCs w:val="65"/>
          <w:b w:val="1"/>
          <w:bCs w:val="1"/>
          <w:color w:val="DD5F27"/>
        </w:rPr>
        <w:t>Dow Corning</w:t>
      </w:r>
      <w:r>
        <w:rPr>
          <w:rFonts w:ascii="Arial" w:cs="Arial" w:eastAsia="Arial" w:hAnsi="Arial"/>
          <w:sz w:val="41"/>
          <w:szCs w:val="41"/>
          <w:b w:val="1"/>
          <w:bCs w:val="1"/>
          <w:color w:val="DD5F27"/>
        </w:rPr>
        <w:t>®</w:t>
      </w:r>
      <w:r>
        <w:rPr>
          <w:rFonts w:ascii="Arial" w:cs="Arial" w:eastAsia="Arial" w:hAnsi="Arial"/>
          <w:sz w:val="65"/>
          <w:szCs w:val="65"/>
          <w:b w:val="1"/>
          <w:bCs w:val="1"/>
          <w:color w:val="DD5F27"/>
        </w:rPr>
        <w:t xml:space="preserve"> [***]</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65"/>
          <w:szCs w:val="65"/>
          <w:b w:val="1"/>
          <w:bCs w:val="1"/>
          <w:color w:val="DD5F27"/>
        </w:rPr>
        <w:t>Low Stress Encapsulant</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65"/>
          <w:szCs w:val="65"/>
          <w:b w:val="1"/>
          <w:bCs w:val="1"/>
          <w:color w:val="DD5F27"/>
        </w:rPr>
        <w:t>Product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0E2B1D"/>
              </w:rPr>
              <w:t>Doc. No.  360-00102</w:t>
            </w:r>
          </w:p>
        </w:tc>
        <w:tc>
          <w:tcPr>
            <w:tcW w:w="4560" w:type="dxa"/>
            <w:vAlign w:val="bottom"/>
          </w:tcPr>
          <w:p>
            <w:pPr>
              <w:spacing w:after="0"/>
              <w:rPr>
                <w:sz w:val="19"/>
                <w:szCs w:val="19"/>
                <w:color w:val="auto"/>
              </w:rPr>
            </w:pPr>
          </w:p>
        </w:tc>
      </w:tr>
      <w:tr>
        <w:trPr>
          <w:trHeight w:val="217"/>
        </w:trPr>
        <w:tc>
          <w:tcPr>
            <w:tcW w:w="12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E2B1D"/>
              </w:rPr>
              <w:t>Revision</w:t>
            </w:r>
          </w:p>
        </w:tc>
        <w:tc>
          <w:tcPr>
            <w:tcW w:w="1080" w:type="dxa"/>
            <w:vAlign w:val="bottom"/>
          </w:tcPr>
          <w:p>
            <w:pPr>
              <w:jc w:val="right"/>
              <w:ind w:right="710"/>
              <w:spacing w:after="0"/>
              <w:rPr>
                <w:sz w:val="20"/>
                <w:szCs w:val="20"/>
                <w:color w:val="auto"/>
              </w:rPr>
            </w:pPr>
            <w:r>
              <w:rPr>
                <w:rFonts w:ascii="Arial" w:cs="Arial" w:eastAsia="Arial" w:hAnsi="Arial"/>
                <w:sz w:val="18"/>
                <w:szCs w:val="18"/>
                <w:color w:val="0E2B1D"/>
              </w:rPr>
              <w:t>1.0</w:t>
            </w:r>
          </w:p>
        </w:tc>
        <w:tc>
          <w:tcPr>
            <w:tcW w:w="36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864"/>
        </w:trPr>
        <w:tc>
          <w:tcPr>
            <w:tcW w:w="128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0E2B1D"/>
              </w:rPr>
              <w:t>Modification History</w:t>
            </w:r>
          </w:p>
        </w:tc>
        <w:tc>
          <w:tcPr>
            <w:tcW w:w="456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64"/>
        </w:trPr>
        <w:tc>
          <w:tcPr>
            <w:tcW w:w="1280" w:type="dxa"/>
            <w:vAlign w:val="bottom"/>
            <w:tcBorders>
              <w:left w:val="single" w:sz="8" w:color="0E2B1D"/>
              <w:bottom w:val="single" w:sz="8" w:color="0E2B1D"/>
              <w:right w:val="single" w:sz="8" w:color="0E2B1D"/>
            </w:tcBorders>
            <w:shd w:val="clear" w:color="auto" w:fill="0E2B1D"/>
          </w:tcPr>
          <w:p>
            <w:pPr>
              <w:ind w:left="40"/>
              <w:spacing w:after="0"/>
              <w:rPr>
                <w:sz w:val="20"/>
                <w:szCs w:val="20"/>
                <w:color w:val="auto"/>
              </w:rPr>
            </w:pPr>
            <w:r>
              <w:rPr>
                <w:rFonts w:ascii="Arial" w:cs="Arial" w:eastAsia="Arial" w:hAnsi="Arial"/>
                <w:sz w:val="18"/>
                <w:szCs w:val="18"/>
                <w:b w:val="1"/>
                <w:bCs w:val="1"/>
                <w:color w:val="FFFFFF"/>
              </w:rPr>
              <w:t>Revision</w:t>
            </w:r>
          </w:p>
        </w:tc>
        <w:tc>
          <w:tcPr>
            <w:tcW w:w="860" w:type="dxa"/>
            <w:vAlign w:val="bottom"/>
            <w:tcBorders>
              <w:bottom w:val="single" w:sz="8" w:color="0E2B1D"/>
            </w:tcBorders>
            <w:shd w:val="clear" w:color="auto" w:fill="0E2B1D"/>
          </w:tcPr>
          <w:p>
            <w:pPr>
              <w:ind w:left="20"/>
              <w:spacing w:after="0"/>
              <w:rPr>
                <w:sz w:val="20"/>
                <w:szCs w:val="20"/>
                <w:color w:val="auto"/>
              </w:rPr>
            </w:pPr>
            <w:r>
              <w:rPr>
                <w:rFonts w:ascii="Arial" w:cs="Arial" w:eastAsia="Arial" w:hAnsi="Arial"/>
                <w:sz w:val="18"/>
                <w:szCs w:val="18"/>
                <w:b w:val="1"/>
                <w:bCs w:val="1"/>
                <w:color w:val="FFFFFF"/>
              </w:rPr>
              <w:t>Date</w:t>
            </w:r>
          </w:p>
        </w:tc>
        <w:tc>
          <w:tcPr>
            <w:tcW w:w="1080" w:type="dxa"/>
            <w:vAlign w:val="bottom"/>
            <w:tcBorders>
              <w:bottom w:val="single" w:sz="8" w:color="0E2B1D"/>
              <w:right w:val="single" w:sz="8" w:color="0E2B1D"/>
            </w:tcBorders>
            <w:shd w:val="clear" w:color="auto" w:fill="0E2B1D"/>
          </w:tcPr>
          <w:p>
            <w:pPr>
              <w:spacing w:after="0"/>
              <w:rPr>
                <w:sz w:val="22"/>
                <w:szCs w:val="22"/>
                <w:color w:val="auto"/>
              </w:rPr>
            </w:pPr>
          </w:p>
        </w:tc>
        <w:tc>
          <w:tcPr>
            <w:tcW w:w="3660" w:type="dxa"/>
            <w:vAlign w:val="bottom"/>
            <w:tcBorders>
              <w:bottom w:val="single" w:sz="8" w:color="0E2B1D"/>
              <w:right w:val="single" w:sz="8" w:color="0E2B1D"/>
            </w:tcBorders>
            <w:shd w:val="clear" w:color="auto" w:fill="0E2B1D"/>
          </w:tcPr>
          <w:p>
            <w:pPr>
              <w:ind w:left="20"/>
              <w:spacing w:after="0"/>
              <w:rPr>
                <w:sz w:val="20"/>
                <w:szCs w:val="20"/>
                <w:color w:val="auto"/>
              </w:rPr>
            </w:pPr>
            <w:r>
              <w:rPr>
                <w:rFonts w:ascii="Arial" w:cs="Arial" w:eastAsia="Arial" w:hAnsi="Arial"/>
                <w:sz w:val="18"/>
                <w:szCs w:val="18"/>
                <w:b w:val="1"/>
                <w:bCs w:val="1"/>
                <w:color w:val="FFFFFF"/>
              </w:rPr>
              <w:t>Author</w:t>
            </w:r>
          </w:p>
        </w:tc>
        <w:tc>
          <w:tcPr>
            <w:tcW w:w="4560" w:type="dxa"/>
            <w:vAlign w:val="bottom"/>
            <w:tcBorders>
              <w:bottom w:val="single" w:sz="8" w:color="0E2B1D"/>
              <w:right w:val="single" w:sz="8" w:color="0E2B1D"/>
            </w:tcBorders>
            <w:shd w:val="clear" w:color="auto" w:fill="0E2B1D"/>
          </w:tcPr>
          <w:p>
            <w:pPr>
              <w:ind w:left="20"/>
              <w:spacing w:after="0"/>
              <w:rPr>
                <w:sz w:val="20"/>
                <w:szCs w:val="20"/>
                <w:color w:val="auto"/>
              </w:rPr>
            </w:pPr>
            <w:r>
              <w:rPr>
                <w:rFonts w:ascii="Arial" w:cs="Arial" w:eastAsia="Arial" w:hAnsi="Arial"/>
                <w:sz w:val="18"/>
                <w:szCs w:val="18"/>
                <w:b w:val="1"/>
                <w:bCs w:val="1"/>
                <w:color w:val="FFFFFF"/>
              </w:rPr>
              <w:t>Description of Change</w:t>
            </w:r>
          </w:p>
        </w:tc>
      </w:tr>
      <w:tr>
        <w:trPr>
          <w:trHeight w:val="256"/>
        </w:trPr>
        <w:tc>
          <w:tcPr>
            <w:tcW w:w="1280" w:type="dxa"/>
            <w:vAlign w:val="bottom"/>
            <w:tcBorders>
              <w:left w:val="single" w:sz="8" w:color="0E2B1D"/>
              <w:right w:val="single" w:sz="8" w:color="0E2B1D"/>
            </w:tcBorders>
          </w:tcPr>
          <w:p>
            <w:pPr>
              <w:spacing w:after="0"/>
              <w:rPr>
                <w:sz w:val="22"/>
                <w:szCs w:val="22"/>
                <w:color w:val="auto"/>
              </w:rPr>
            </w:pPr>
          </w:p>
        </w:tc>
        <w:tc>
          <w:tcPr>
            <w:tcW w:w="860" w:type="dxa"/>
            <w:vAlign w:val="bottom"/>
          </w:tcPr>
          <w:p>
            <w:pPr>
              <w:spacing w:after="0"/>
              <w:rPr>
                <w:sz w:val="22"/>
                <w:szCs w:val="22"/>
                <w:color w:val="auto"/>
              </w:rPr>
            </w:pPr>
          </w:p>
        </w:tc>
        <w:tc>
          <w:tcPr>
            <w:tcW w:w="1080" w:type="dxa"/>
            <w:vAlign w:val="bottom"/>
            <w:tcBorders>
              <w:right w:val="single" w:sz="8" w:color="0E2B1D"/>
            </w:tcBorders>
          </w:tcPr>
          <w:p>
            <w:pPr>
              <w:spacing w:after="0"/>
              <w:rPr>
                <w:sz w:val="22"/>
                <w:szCs w:val="22"/>
                <w:color w:val="auto"/>
              </w:rPr>
            </w:pPr>
          </w:p>
        </w:tc>
        <w:tc>
          <w:tcPr>
            <w:tcW w:w="3660" w:type="dxa"/>
            <w:vAlign w:val="bottom"/>
            <w:tcBorders>
              <w:right w:val="single" w:sz="8" w:color="0E2B1D"/>
            </w:tcBorders>
          </w:tcPr>
          <w:p>
            <w:pPr>
              <w:ind w:left="120"/>
              <w:spacing w:after="0"/>
              <w:rPr>
                <w:sz w:val="20"/>
                <w:szCs w:val="20"/>
                <w:color w:val="auto"/>
              </w:rPr>
            </w:pPr>
            <w:r>
              <w:rPr>
                <w:rFonts w:ascii="Arial" w:cs="Arial" w:eastAsia="Arial" w:hAnsi="Arial"/>
                <w:sz w:val="18"/>
                <w:szCs w:val="18"/>
                <w:color w:val="auto"/>
              </w:rPr>
              <w:t>Tom Krizner, Sr. Staff</w:t>
            </w:r>
          </w:p>
        </w:tc>
        <w:tc>
          <w:tcPr>
            <w:tcW w:w="4560" w:type="dxa"/>
            <w:vAlign w:val="bottom"/>
            <w:tcBorders>
              <w:right w:val="single" w:sz="8" w:color="0E2B1D"/>
            </w:tcBorders>
          </w:tcPr>
          <w:p>
            <w:pPr>
              <w:spacing w:after="0"/>
              <w:rPr>
                <w:sz w:val="22"/>
                <w:szCs w:val="22"/>
                <w:color w:val="auto"/>
              </w:rPr>
            </w:pPr>
          </w:p>
        </w:tc>
      </w:tr>
      <w:tr>
        <w:trPr>
          <w:trHeight w:val="230"/>
        </w:trPr>
        <w:tc>
          <w:tcPr>
            <w:tcW w:w="1280" w:type="dxa"/>
            <w:vAlign w:val="bottom"/>
            <w:tcBorders>
              <w:left w:val="single" w:sz="8" w:color="0E2B1D"/>
              <w:right w:val="single" w:sz="8" w:color="0E2B1D"/>
            </w:tcBorders>
          </w:tcPr>
          <w:p>
            <w:pPr>
              <w:ind w:left="40"/>
              <w:spacing w:after="0"/>
              <w:rPr>
                <w:sz w:val="20"/>
                <w:szCs w:val="20"/>
                <w:color w:val="auto"/>
              </w:rPr>
            </w:pPr>
            <w:r>
              <w:rPr>
                <w:rFonts w:ascii="Arial" w:cs="Arial" w:eastAsia="Arial" w:hAnsi="Arial"/>
                <w:sz w:val="18"/>
                <w:szCs w:val="18"/>
                <w:color w:val="auto"/>
              </w:rPr>
              <w:t>1.0</w:t>
            </w:r>
          </w:p>
        </w:tc>
        <w:tc>
          <w:tcPr>
            <w:tcW w:w="860" w:type="dxa"/>
            <w:vAlign w:val="bottom"/>
          </w:tcPr>
          <w:p>
            <w:pPr>
              <w:ind w:left="100"/>
              <w:spacing w:after="0"/>
              <w:rPr>
                <w:sz w:val="20"/>
                <w:szCs w:val="20"/>
                <w:color w:val="auto"/>
              </w:rPr>
            </w:pPr>
            <w:r>
              <w:rPr>
                <w:rFonts w:ascii="Arial" w:cs="Arial" w:eastAsia="Arial" w:hAnsi="Arial"/>
                <w:sz w:val="18"/>
                <w:szCs w:val="18"/>
                <w:color w:val="auto"/>
              </w:rPr>
              <w:t>02-28-14</w:t>
            </w:r>
          </w:p>
        </w:tc>
        <w:tc>
          <w:tcPr>
            <w:tcW w:w="1080" w:type="dxa"/>
            <w:vAlign w:val="bottom"/>
            <w:tcBorders>
              <w:right w:val="single" w:sz="8" w:color="0E2B1D"/>
            </w:tcBorders>
          </w:tcPr>
          <w:p>
            <w:pPr>
              <w:spacing w:after="0"/>
              <w:rPr>
                <w:sz w:val="20"/>
                <w:szCs w:val="20"/>
                <w:color w:val="auto"/>
              </w:rPr>
            </w:pPr>
          </w:p>
        </w:tc>
        <w:tc>
          <w:tcPr>
            <w:tcW w:w="3660" w:type="dxa"/>
            <w:vAlign w:val="bottom"/>
            <w:tcBorders>
              <w:right w:val="single" w:sz="8" w:color="0E2B1D"/>
            </w:tcBorders>
          </w:tcPr>
          <w:p>
            <w:pPr>
              <w:ind w:left="120"/>
              <w:spacing w:after="0"/>
              <w:rPr>
                <w:sz w:val="20"/>
                <w:szCs w:val="20"/>
                <w:color w:val="auto"/>
              </w:rPr>
            </w:pPr>
            <w:r>
              <w:rPr>
                <w:rFonts w:ascii="Arial" w:cs="Arial" w:eastAsia="Arial" w:hAnsi="Arial"/>
                <w:sz w:val="18"/>
                <w:szCs w:val="18"/>
                <w:color w:val="auto"/>
              </w:rPr>
              <w:t>Engineer, Mechanical</w:t>
            </w:r>
          </w:p>
        </w:tc>
        <w:tc>
          <w:tcPr>
            <w:tcW w:w="4560" w:type="dxa"/>
            <w:vAlign w:val="bottom"/>
            <w:tcBorders>
              <w:right w:val="single" w:sz="8" w:color="0E2B1D"/>
            </w:tcBorders>
          </w:tcPr>
          <w:p>
            <w:pPr>
              <w:ind w:left="20"/>
              <w:spacing w:after="0"/>
              <w:rPr>
                <w:sz w:val="20"/>
                <w:szCs w:val="20"/>
                <w:color w:val="auto"/>
              </w:rPr>
            </w:pPr>
            <w:r>
              <w:rPr>
                <w:rFonts w:ascii="Arial" w:cs="Arial" w:eastAsia="Arial" w:hAnsi="Arial"/>
                <w:sz w:val="18"/>
                <w:szCs w:val="18"/>
                <w:color w:val="auto"/>
              </w:rPr>
              <w:t>Initial release in Arena</w:t>
            </w:r>
          </w:p>
        </w:tc>
      </w:tr>
      <w:tr>
        <w:trPr>
          <w:trHeight w:val="27"/>
        </w:trPr>
        <w:tc>
          <w:tcPr>
            <w:tcW w:w="1280" w:type="dxa"/>
            <w:vAlign w:val="bottom"/>
            <w:tcBorders>
              <w:left w:val="single" w:sz="8" w:color="0E2B1D"/>
              <w:bottom w:val="single" w:sz="8" w:color="0E2B1D"/>
              <w:right w:val="single" w:sz="8" w:color="0E2B1D"/>
            </w:tcBorders>
          </w:tcPr>
          <w:p>
            <w:pPr>
              <w:spacing w:after="0"/>
              <w:rPr>
                <w:sz w:val="2"/>
                <w:szCs w:val="2"/>
                <w:color w:val="auto"/>
              </w:rPr>
            </w:pPr>
          </w:p>
        </w:tc>
        <w:tc>
          <w:tcPr>
            <w:tcW w:w="860" w:type="dxa"/>
            <w:vAlign w:val="bottom"/>
            <w:tcBorders>
              <w:bottom w:val="single" w:sz="8" w:color="0E2B1D"/>
            </w:tcBorders>
          </w:tcPr>
          <w:p>
            <w:pPr>
              <w:spacing w:after="0"/>
              <w:rPr>
                <w:sz w:val="2"/>
                <w:szCs w:val="2"/>
                <w:color w:val="auto"/>
              </w:rPr>
            </w:pPr>
          </w:p>
        </w:tc>
        <w:tc>
          <w:tcPr>
            <w:tcW w:w="1080" w:type="dxa"/>
            <w:vAlign w:val="bottom"/>
            <w:tcBorders>
              <w:bottom w:val="single" w:sz="8" w:color="0E2B1D"/>
              <w:right w:val="single" w:sz="8" w:color="0E2B1D"/>
            </w:tcBorders>
          </w:tcPr>
          <w:p>
            <w:pPr>
              <w:spacing w:after="0"/>
              <w:rPr>
                <w:sz w:val="2"/>
                <w:szCs w:val="2"/>
                <w:color w:val="auto"/>
              </w:rPr>
            </w:pPr>
          </w:p>
        </w:tc>
        <w:tc>
          <w:tcPr>
            <w:tcW w:w="3660" w:type="dxa"/>
            <w:vAlign w:val="bottom"/>
            <w:tcBorders>
              <w:bottom w:val="single" w:sz="8" w:color="0E2B1D"/>
              <w:right w:val="single" w:sz="8" w:color="0E2B1D"/>
            </w:tcBorders>
          </w:tcPr>
          <w:p>
            <w:pPr>
              <w:spacing w:after="0"/>
              <w:rPr>
                <w:sz w:val="2"/>
                <w:szCs w:val="2"/>
                <w:color w:val="auto"/>
              </w:rPr>
            </w:pPr>
          </w:p>
        </w:tc>
        <w:tc>
          <w:tcPr>
            <w:tcW w:w="4560" w:type="dxa"/>
            <w:vAlign w:val="bottom"/>
            <w:tcBorders>
              <w:bottom w:val="single" w:sz="8" w:color="0E2B1D"/>
              <w:right w:val="single" w:sz="8" w:color="0E2B1D"/>
            </w:tcBorders>
          </w:tcPr>
          <w:p>
            <w:pPr>
              <w:spacing w:after="0"/>
              <w:rPr>
                <w:sz w:val="2"/>
                <w:szCs w:val="2"/>
                <w:color w:val="auto"/>
              </w:rPr>
            </w:pPr>
          </w:p>
        </w:tc>
      </w:tr>
      <w:tr>
        <w:trPr>
          <w:trHeight w:val="331"/>
        </w:trPr>
        <w:tc>
          <w:tcPr>
            <w:tcW w:w="1280" w:type="dxa"/>
            <w:vAlign w:val="bottom"/>
            <w:tcBorders>
              <w:left w:val="single" w:sz="8" w:color="0E2B1D"/>
              <w:bottom w:val="single" w:sz="8" w:color="0E2B1D"/>
              <w:right w:val="single" w:sz="8" w:color="0E2B1D"/>
            </w:tcBorders>
          </w:tcPr>
          <w:p>
            <w:pPr>
              <w:spacing w:after="0"/>
              <w:rPr>
                <w:sz w:val="24"/>
                <w:szCs w:val="24"/>
                <w:color w:val="auto"/>
              </w:rPr>
            </w:pPr>
          </w:p>
        </w:tc>
        <w:tc>
          <w:tcPr>
            <w:tcW w:w="860" w:type="dxa"/>
            <w:vAlign w:val="bottom"/>
            <w:tcBorders>
              <w:bottom w:val="single" w:sz="8" w:color="0E2B1D"/>
            </w:tcBorders>
          </w:tcPr>
          <w:p>
            <w:pPr>
              <w:spacing w:after="0"/>
              <w:rPr>
                <w:sz w:val="24"/>
                <w:szCs w:val="24"/>
                <w:color w:val="auto"/>
              </w:rPr>
            </w:pPr>
          </w:p>
        </w:tc>
        <w:tc>
          <w:tcPr>
            <w:tcW w:w="1080" w:type="dxa"/>
            <w:vAlign w:val="bottom"/>
            <w:tcBorders>
              <w:bottom w:val="single" w:sz="8" w:color="0E2B1D"/>
              <w:right w:val="single" w:sz="8" w:color="0E2B1D"/>
            </w:tcBorders>
          </w:tcPr>
          <w:p>
            <w:pPr>
              <w:spacing w:after="0"/>
              <w:rPr>
                <w:sz w:val="24"/>
                <w:szCs w:val="24"/>
                <w:color w:val="auto"/>
              </w:rPr>
            </w:pPr>
          </w:p>
        </w:tc>
        <w:tc>
          <w:tcPr>
            <w:tcW w:w="3660" w:type="dxa"/>
            <w:vAlign w:val="bottom"/>
            <w:tcBorders>
              <w:bottom w:val="single" w:sz="8" w:color="0E2B1D"/>
              <w:right w:val="single" w:sz="8" w:color="0E2B1D"/>
            </w:tcBorders>
          </w:tcPr>
          <w:p>
            <w:pPr>
              <w:spacing w:after="0"/>
              <w:rPr>
                <w:sz w:val="24"/>
                <w:szCs w:val="24"/>
                <w:color w:val="auto"/>
              </w:rPr>
            </w:pPr>
          </w:p>
        </w:tc>
        <w:tc>
          <w:tcPr>
            <w:tcW w:w="4560" w:type="dxa"/>
            <w:vAlign w:val="bottom"/>
            <w:tcBorders>
              <w:bottom w:val="single" w:sz="8" w:color="0E2B1D"/>
              <w:right w:val="single" w:sz="8" w:color="0E2B1D"/>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-736600</wp:posOffset>
            </wp:positionV>
            <wp:extent cx="889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-736600</wp:posOffset>
            </wp:positionV>
            <wp:extent cx="889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-736600</wp:posOffset>
            </wp:positionV>
            <wp:extent cx="889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Approvals (see Arena)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firstLine="8"/>
        <w:spacing w:after="0" w:line="282" w:lineRule="auto"/>
        <w:tabs>
          <w:tab w:leader="none" w:pos="43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1440" w:right="219" w:bottom="1440" w:gutter="0" w:footer="0" w:header="0"/>
        </w:sectPr>
      </w:pPr>
    </w:p>
    <w:bookmarkStart w:id="58" w:name="page59"/>
    <w:bookmarkEnd w:id="58"/>
    <w:p>
      <w:pPr>
        <w:ind w:lef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1157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157605"/>
                    </a:xfrm>
                    <a:prstGeom prst="rect">
                      <a:avLst/>
                    </a:prstGeom>
                    <a:noFill/>
                  </pic:spPr>
                </pic:pic>
              </a:graphicData>
            </a:graphic>
          </wp:anchor>
        </w:drawing>
        <w:t>NameTitleDepartment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top w:val="single" w:sz="8" w:color="0E2B1D"/>
              <w:right w:val="single" w:sz="8" w:color="0E2B1D"/>
            </w:tcBorders>
          </w:tcPr>
          <w:p>
            <w:pPr>
              <w:ind w:left="40"/>
              <w:spacing w:after="0"/>
              <w:rPr>
                <w:sz w:val="20"/>
                <w:szCs w:val="20"/>
                <w:color w:val="auto"/>
              </w:rPr>
            </w:pPr>
            <w:r>
              <w:rPr>
                <w:rFonts w:ascii="Arial" w:cs="Arial" w:eastAsia="Arial" w:hAnsi="Arial"/>
                <w:sz w:val="18"/>
                <w:szCs w:val="18"/>
                <w:color w:val="auto"/>
              </w:rPr>
              <w:t>Arvind Krishna</w:t>
            </w:r>
          </w:p>
        </w:tc>
        <w:tc>
          <w:tcPr>
            <w:tcW w:w="5820" w:type="dxa"/>
            <w:vAlign w:val="bottom"/>
            <w:tcBorders>
              <w:top w:val="single" w:sz="8" w:color="0E2B1D"/>
              <w:right w:val="single" w:sz="8" w:color="0E2B1D"/>
            </w:tcBorders>
          </w:tcPr>
          <w:p>
            <w:pPr>
              <w:ind w:left="100"/>
              <w:spacing w:after="0"/>
              <w:rPr>
                <w:sz w:val="20"/>
                <w:szCs w:val="20"/>
                <w:color w:val="auto"/>
              </w:rPr>
            </w:pPr>
            <w:r>
              <w:rPr>
                <w:rFonts w:ascii="Arial" w:cs="Arial" w:eastAsia="Arial" w:hAnsi="Arial"/>
                <w:sz w:val="18"/>
                <w:szCs w:val="18"/>
                <w:color w:val="auto"/>
              </w:rPr>
              <w:t>Director, Mechanical Engineering</w:t>
            </w:r>
          </w:p>
        </w:tc>
        <w:tc>
          <w:tcPr>
            <w:tcW w:w="3300" w:type="dxa"/>
            <w:vAlign w:val="bottom"/>
            <w:tcBorders>
              <w:top w:val="single" w:sz="8" w:color="0E2B1D"/>
            </w:tcBorders>
          </w:tcPr>
          <w:p>
            <w:pPr>
              <w:ind w:left="20"/>
              <w:spacing w:after="0"/>
              <w:rPr>
                <w:sz w:val="20"/>
                <w:szCs w:val="20"/>
                <w:color w:val="auto"/>
              </w:rPr>
            </w:pPr>
            <w:r>
              <w:rPr>
                <w:rFonts w:ascii="Arial" w:cs="Arial" w:eastAsia="Arial" w:hAnsi="Arial"/>
                <w:sz w:val="18"/>
                <w:szCs w:val="18"/>
                <w:color w:val="auto"/>
              </w:rPr>
              <w:t>Engineering</w:t>
            </w:r>
          </w:p>
        </w:tc>
      </w:tr>
      <w:tr>
        <w:trPr>
          <w:trHeight w:val="27"/>
        </w:trPr>
        <w:tc>
          <w:tcPr>
            <w:tcW w:w="2320" w:type="dxa"/>
            <w:vAlign w:val="bottom"/>
            <w:tcBorders>
              <w:bottom w:val="single" w:sz="8" w:color="0E2B1D"/>
              <w:right w:val="single" w:sz="8" w:color="0E2B1D"/>
            </w:tcBorders>
          </w:tcPr>
          <w:p>
            <w:pPr>
              <w:spacing w:after="0"/>
              <w:rPr>
                <w:sz w:val="2"/>
                <w:szCs w:val="2"/>
                <w:color w:val="auto"/>
              </w:rPr>
            </w:pPr>
          </w:p>
        </w:tc>
        <w:tc>
          <w:tcPr>
            <w:tcW w:w="5820" w:type="dxa"/>
            <w:vAlign w:val="bottom"/>
            <w:tcBorders>
              <w:bottom w:val="single" w:sz="8" w:color="0E2B1D"/>
              <w:right w:val="single" w:sz="8" w:color="0E2B1D"/>
            </w:tcBorders>
          </w:tcPr>
          <w:p>
            <w:pPr>
              <w:spacing w:after="0"/>
              <w:rPr>
                <w:sz w:val="2"/>
                <w:szCs w:val="2"/>
                <w:color w:val="auto"/>
              </w:rPr>
            </w:pPr>
          </w:p>
        </w:tc>
        <w:tc>
          <w:tcPr>
            <w:tcW w:w="3300" w:type="dxa"/>
            <w:vAlign w:val="bottom"/>
            <w:tcBorders>
              <w:bottom w:val="single" w:sz="8" w:color="0E2B1D"/>
            </w:tcBorders>
          </w:tcPr>
          <w:p>
            <w:pPr>
              <w:spacing w:after="0"/>
              <w:rPr>
                <w:sz w:val="2"/>
                <w:szCs w:val="2"/>
                <w:color w:val="auto"/>
              </w:rPr>
            </w:pPr>
          </w:p>
        </w:tc>
      </w:tr>
      <w:tr>
        <w:trPr>
          <w:trHeight w:val="237"/>
        </w:trPr>
        <w:tc>
          <w:tcPr>
            <w:tcW w:w="2320" w:type="dxa"/>
            <w:vAlign w:val="bottom"/>
            <w:tcBorders>
              <w:right w:val="single" w:sz="8" w:color="0E2B1D"/>
            </w:tcBorders>
          </w:tcPr>
          <w:p>
            <w:pPr>
              <w:ind w:left="40"/>
              <w:spacing w:after="0"/>
              <w:rPr>
                <w:sz w:val="20"/>
                <w:szCs w:val="20"/>
                <w:color w:val="auto"/>
              </w:rPr>
            </w:pPr>
            <w:r>
              <w:rPr>
                <w:rFonts w:ascii="Arial" w:cs="Arial" w:eastAsia="Arial" w:hAnsi="Arial"/>
                <w:sz w:val="18"/>
                <w:szCs w:val="18"/>
                <w:color w:val="auto"/>
              </w:rPr>
              <w:t>Peter Tarver</w:t>
            </w:r>
          </w:p>
        </w:tc>
        <w:tc>
          <w:tcPr>
            <w:tcW w:w="5820" w:type="dxa"/>
            <w:vAlign w:val="bottom"/>
            <w:tcBorders>
              <w:right w:val="single" w:sz="8" w:color="0E2B1D"/>
            </w:tcBorders>
          </w:tcPr>
          <w:p>
            <w:pPr>
              <w:ind w:left="20"/>
              <w:spacing w:after="0"/>
              <w:rPr>
                <w:sz w:val="20"/>
                <w:szCs w:val="20"/>
                <w:color w:val="auto"/>
              </w:rPr>
            </w:pPr>
            <w:r>
              <w:rPr>
                <w:rFonts w:ascii="Arial" w:cs="Arial" w:eastAsia="Arial" w:hAnsi="Arial"/>
                <w:sz w:val="18"/>
                <w:szCs w:val="18"/>
                <w:color w:val="auto"/>
              </w:rPr>
              <w:t>Compliance and Homologation Technical Lead</w:t>
            </w:r>
          </w:p>
        </w:tc>
        <w:tc>
          <w:tcPr>
            <w:tcW w:w="3300" w:type="dxa"/>
            <w:vAlign w:val="bottom"/>
          </w:tcPr>
          <w:p>
            <w:pPr>
              <w:ind w:left="20"/>
              <w:spacing w:after="0"/>
              <w:rPr>
                <w:sz w:val="20"/>
                <w:szCs w:val="20"/>
                <w:color w:val="auto"/>
              </w:rPr>
            </w:pPr>
            <w:r>
              <w:rPr>
                <w:rFonts w:ascii="Arial" w:cs="Arial" w:eastAsia="Arial" w:hAnsi="Arial"/>
                <w:sz w:val="18"/>
                <w:szCs w:val="18"/>
                <w:color w:val="auto"/>
              </w:rPr>
              <w:t>Quality and Reliability</w:t>
            </w:r>
          </w:p>
        </w:tc>
      </w:tr>
      <w:tr>
        <w:trPr>
          <w:trHeight w:val="27"/>
        </w:trPr>
        <w:tc>
          <w:tcPr>
            <w:tcW w:w="2320" w:type="dxa"/>
            <w:vAlign w:val="bottom"/>
            <w:tcBorders>
              <w:bottom w:val="single" w:sz="8" w:color="0E2B1D"/>
              <w:right w:val="single" w:sz="8" w:color="0E2B1D"/>
            </w:tcBorders>
          </w:tcPr>
          <w:p>
            <w:pPr>
              <w:spacing w:after="0"/>
              <w:rPr>
                <w:sz w:val="2"/>
                <w:szCs w:val="2"/>
                <w:color w:val="auto"/>
              </w:rPr>
            </w:pPr>
          </w:p>
        </w:tc>
        <w:tc>
          <w:tcPr>
            <w:tcW w:w="5820" w:type="dxa"/>
            <w:vAlign w:val="bottom"/>
            <w:tcBorders>
              <w:bottom w:val="single" w:sz="8" w:color="0E2B1D"/>
              <w:right w:val="single" w:sz="8" w:color="0E2B1D"/>
            </w:tcBorders>
          </w:tcPr>
          <w:p>
            <w:pPr>
              <w:spacing w:after="0"/>
              <w:rPr>
                <w:sz w:val="2"/>
                <w:szCs w:val="2"/>
                <w:color w:val="auto"/>
              </w:rPr>
            </w:pPr>
          </w:p>
        </w:tc>
        <w:tc>
          <w:tcPr>
            <w:tcW w:w="3300" w:type="dxa"/>
            <w:vAlign w:val="bottom"/>
            <w:tcBorders>
              <w:bottom w:val="single" w:sz="8" w:color="0E2B1D"/>
            </w:tcBorders>
          </w:tcPr>
          <w:p>
            <w:pPr>
              <w:spacing w:after="0"/>
              <w:rPr>
                <w:sz w:val="2"/>
                <w:szCs w:val="2"/>
                <w:color w:val="auto"/>
              </w:rPr>
            </w:pPr>
          </w:p>
        </w:tc>
      </w:tr>
      <w:tr>
        <w:trPr>
          <w:trHeight w:val="264"/>
        </w:trPr>
        <w:tc>
          <w:tcPr>
            <w:tcW w:w="2320" w:type="dxa"/>
            <w:vAlign w:val="bottom"/>
            <w:tcBorders>
              <w:right w:val="single" w:sz="8" w:color="0E2B1D"/>
            </w:tcBorders>
          </w:tcPr>
          <w:p>
            <w:pPr>
              <w:ind w:left="40"/>
              <w:spacing w:after="0"/>
              <w:rPr>
                <w:sz w:val="20"/>
                <w:szCs w:val="20"/>
                <w:color w:val="auto"/>
              </w:rPr>
            </w:pPr>
            <w:r>
              <w:rPr>
                <w:rFonts w:ascii="Arial" w:cs="Arial" w:eastAsia="Arial" w:hAnsi="Arial"/>
                <w:sz w:val="18"/>
                <w:szCs w:val="18"/>
                <w:color w:val="auto"/>
              </w:rPr>
              <w:t>Thad Pearson</w:t>
            </w:r>
          </w:p>
        </w:tc>
        <w:tc>
          <w:tcPr>
            <w:tcW w:w="5820" w:type="dxa"/>
            <w:vAlign w:val="bottom"/>
            <w:tcBorders>
              <w:right w:val="single" w:sz="8" w:color="0E2B1D"/>
            </w:tcBorders>
          </w:tcPr>
          <w:p>
            <w:pPr>
              <w:ind w:left="100"/>
              <w:spacing w:after="0"/>
              <w:rPr>
                <w:sz w:val="20"/>
                <w:szCs w:val="20"/>
                <w:color w:val="auto"/>
              </w:rPr>
            </w:pPr>
            <w:r>
              <w:rPr>
                <w:rFonts w:ascii="Arial" w:cs="Arial" w:eastAsia="Arial" w:hAnsi="Arial"/>
                <w:sz w:val="18"/>
                <w:szCs w:val="18"/>
                <w:color w:val="auto"/>
              </w:rPr>
              <w:t>Director, Manufacturing Engineering</w:t>
            </w:r>
          </w:p>
        </w:tc>
        <w:tc>
          <w:tcPr>
            <w:tcW w:w="33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
        </w:trPr>
        <w:tc>
          <w:tcPr>
            <w:tcW w:w="2320" w:type="dxa"/>
            <w:vAlign w:val="bottom"/>
            <w:tcBorders>
              <w:bottom w:val="single" w:sz="8" w:color="0E2B1D"/>
              <w:right w:val="single" w:sz="8" w:color="0E2B1D"/>
            </w:tcBorders>
          </w:tcPr>
          <w:p>
            <w:pPr>
              <w:spacing w:after="0"/>
              <w:rPr>
                <w:sz w:val="2"/>
                <w:szCs w:val="2"/>
                <w:color w:val="auto"/>
              </w:rPr>
            </w:pPr>
          </w:p>
        </w:tc>
        <w:tc>
          <w:tcPr>
            <w:tcW w:w="5820" w:type="dxa"/>
            <w:vAlign w:val="bottom"/>
            <w:tcBorders>
              <w:bottom w:val="single" w:sz="8" w:color="0E2B1D"/>
              <w:right w:val="single" w:sz="8" w:color="0E2B1D"/>
            </w:tcBorders>
          </w:tcPr>
          <w:p>
            <w:pPr>
              <w:spacing w:after="0"/>
              <w:rPr>
                <w:sz w:val="2"/>
                <w:szCs w:val="2"/>
                <w:color w:val="auto"/>
              </w:rPr>
            </w:pPr>
          </w:p>
        </w:tc>
        <w:tc>
          <w:tcPr>
            <w:tcW w:w="3300" w:type="dxa"/>
            <w:vAlign w:val="bottom"/>
            <w:tcBorders>
              <w:bottom w:val="single" w:sz="8" w:color="0E2B1D"/>
            </w:tcBorders>
          </w:tcPr>
          <w:p>
            <w:pPr>
              <w:spacing w:after="0"/>
              <w:rPr>
                <w:sz w:val="2"/>
                <w:szCs w:val="2"/>
                <w:color w:val="auto"/>
              </w:rPr>
            </w:pPr>
          </w:p>
        </w:tc>
      </w:tr>
      <w:tr>
        <w:trPr>
          <w:trHeight w:val="264"/>
        </w:trPr>
        <w:tc>
          <w:tcPr>
            <w:tcW w:w="2320" w:type="dxa"/>
            <w:vAlign w:val="bottom"/>
            <w:tcBorders>
              <w:right w:val="single" w:sz="8" w:color="0E2B1D"/>
            </w:tcBorders>
          </w:tcPr>
          <w:p>
            <w:pPr>
              <w:ind w:left="40"/>
              <w:spacing w:after="0"/>
              <w:rPr>
                <w:sz w:val="20"/>
                <w:szCs w:val="20"/>
                <w:color w:val="auto"/>
              </w:rPr>
            </w:pPr>
            <w:r>
              <w:rPr>
                <w:rFonts w:ascii="Arial" w:cs="Arial" w:eastAsia="Arial" w:hAnsi="Arial"/>
                <w:sz w:val="18"/>
                <w:szCs w:val="18"/>
                <w:color w:val="auto"/>
              </w:rPr>
              <w:t>Rob Howard</w:t>
            </w:r>
          </w:p>
        </w:tc>
        <w:tc>
          <w:tcPr>
            <w:tcW w:w="5820" w:type="dxa"/>
            <w:vAlign w:val="bottom"/>
            <w:tcBorders>
              <w:right w:val="single" w:sz="8" w:color="0E2B1D"/>
            </w:tcBorders>
          </w:tcPr>
          <w:p>
            <w:pPr>
              <w:ind w:left="100"/>
              <w:spacing w:after="0"/>
              <w:rPr>
                <w:sz w:val="20"/>
                <w:szCs w:val="20"/>
                <w:color w:val="auto"/>
              </w:rPr>
            </w:pPr>
            <w:r>
              <w:rPr>
                <w:rFonts w:ascii="Arial" w:cs="Arial" w:eastAsia="Arial" w:hAnsi="Arial"/>
                <w:sz w:val="18"/>
                <w:szCs w:val="18"/>
                <w:color w:val="auto"/>
              </w:rPr>
              <w:t>Director, Global Manufacturing and Supplier Quality</w:t>
            </w:r>
          </w:p>
        </w:tc>
        <w:tc>
          <w:tcPr>
            <w:tcW w:w="33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
        </w:trPr>
        <w:tc>
          <w:tcPr>
            <w:tcW w:w="2320" w:type="dxa"/>
            <w:vAlign w:val="bottom"/>
            <w:tcBorders>
              <w:bottom w:val="single" w:sz="8" w:color="0E2B1D"/>
              <w:right w:val="single" w:sz="8" w:color="0E2B1D"/>
            </w:tcBorders>
          </w:tcPr>
          <w:p>
            <w:pPr>
              <w:spacing w:after="0"/>
              <w:rPr>
                <w:sz w:val="2"/>
                <w:szCs w:val="2"/>
                <w:color w:val="auto"/>
              </w:rPr>
            </w:pPr>
          </w:p>
        </w:tc>
        <w:tc>
          <w:tcPr>
            <w:tcW w:w="5820" w:type="dxa"/>
            <w:vAlign w:val="bottom"/>
            <w:tcBorders>
              <w:bottom w:val="single" w:sz="8" w:color="0E2B1D"/>
              <w:right w:val="single" w:sz="8" w:color="0E2B1D"/>
            </w:tcBorders>
          </w:tcPr>
          <w:p>
            <w:pPr>
              <w:spacing w:after="0"/>
              <w:rPr>
                <w:sz w:val="2"/>
                <w:szCs w:val="2"/>
                <w:color w:val="auto"/>
              </w:rPr>
            </w:pPr>
          </w:p>
        </w:tc>
        <w:tc>
          <w:tcPr>
            <w:tcW w:w="3300" w:type="dxa"/>
            <w:vAlign w:val="bottom"/>
            <w:tcBorders>
              <w:bottom w:val="single" w:sz="8" w:color="0E2B1D"/>
            </w:tcBorders>
          </w:tcPr>
          <w:p>
            <w:pPr>
              <w:spacing w:after="0"/>
              <w:rPr>
                <w:sz w:val="2"/>
                <w:szCs w:val="2"/>
                <w:color w:val="auto"/>
              </w:rPr>
            </w:pPr>
          </w:p>
        </w:tc>
      </w:tr>
      <w:tr>
        <w:trPr>
          <w:trHeight w:val="264"/>
        </w:trPr>
        <w:tc>
          <w:tcPr>
            <w:tcW w:w="2320" w:type="dxa"/>
            <w:vAlign w:val="bottom"/>
            <w:tcBorders>
              <w:right w:val="single" w:sz="8" w:color="0E2B1D"/>
            </w:tcBorders>
          </w:tcPr>
          <w:p>
            <w:pPr>
              <w:ind w:left="40"/>
              <w:spacing w:after="0"/>
              <w:rPr>
                <w:sz w:val="20"/>
                <w:szCs w:val="20"/>
                <w:color w:val="auto"/>
              </w:rPr>
            </w:pPr>
            <w:r>
              <w:rPr>
                <w:rFonts w:ascii="Arial" w:cs="Arial" w:eastAsia="Arial" w:hAnsi="Arial"/>
                <w:sz w:val="18"/>
                <w:szCs w:val="18"/>
                <w:color w:val="auto"/>
              </w:rPr>
              <w:t>Jeff Rosen</w:t>
            </w:r>
          </w:p>
        </w:tc>
        <w:tc>
          <w:tcPr>
            <w:tcW w:w="5820" w:type="dxa"/>
            <w:vAlign w:val="bottom"/>
            <w:tcBorders>
              <w:right w:val="single" w:sz="8" w:color="0E2B1D"/>
            </w:tcBorders>
          </w:tcPr>
          <w:p>
            <w:pPr>
              <w:ind w:left="100"/>
              <w:spacing w:after="0"/>
              <w:rPr>
                <w:sz w:val="20"/>
                <w:szCs w:val="20"/>
                <w:color w:val="auto"/>
              </w:rPr>
            </w:pPr>
            <w:r>
              <w:rPr>
                <w:rFonts w:ascii="Arial" w:cs="Arial" w:eastAsia="Arial" w:hAnsi="Arial"/>
                <w:sz w:val="18"/>
                <w:szCs w:val="18"/>
                <w:color w:val="auto"/>
              </w:rPr>
              <w:t>Director, Supply Chain</w:t>
            </w:r>
          </w:p>
        </w:tc>
        <w:tc>
          <w:tcPr>
            <w:tcW w:w="330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7"/>
        </w:trPr>
        <w:tc>
          <w:tcPr>
            <w:tcW w:w="2320" w:type="dxa"/>
            <w:vAlign w:val="bottom"/>
            <w:tcBorders>
              <w:bottom w:val="single" w:sz="8" w:color="0E2B1D"/>
              <w:right w:val="single" w:sz="8" w:color="0E2B1D"/>
            </w:tcBorders>
          </w:tcPr>
          <w:p>
            <w:pPr>
              <w:spacing w:after="0"/>
              <w:rPr>
                <w:sz w:val="2"/>
                <w:szCs w:val="2"/>
                <w:color w:val="auto"/>
              </w:rPr>
            </w:pPr>
          </w:p>
        </w:tc>
        <w:tc>
          <w:tcPr>
            <w:tcW w:w="5820" w:type="dxa"/>
            <w:vAlign w:val="bottom"/>
            <w:tcBorders>
              <w:bottom w:val="single" w:sz="8" w:color="0E2B1D"/>
              <w:right w:val="single" w:sz="8" w:color="0E2B1D"/>
            </w:tcBorders>
          </w:tcPr>
          <w:p>
            <w:pPr>
              <w:spacing w:after="0"/>
              <w:rPr>
                <w:sz w:val="2"/>
                <w:szCs w:val="2"/>
                <w:color w:val="auto"/>
              </w:rPr>
            </w:pPr>
          </w:p>
        </w:tc>
        <w:tc>
          <w:tcPr>
            <w:tcW w:w="3300" w:type="dxa"/>
            <w:vAlign w:val="bottom"/>
            <w:tcBorders>
              <w:bottom w:val="single" w:sz="8" w:color="0E2B1D"/>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tabs>
          <w:tab w:leader="none" w:pos="3740" w:val="left"/>
          <w:tab w:leader="none" w:pos="6060" w:val="left"/>
        </w:tabs>
        <w:rPr>
          <w:sz w:val="20"/>
          <w:szCs w:val="20"/>
          <w:color w:val="auto"/>
        </w:rPr>
      </w:pPr>
      <w:r>
        <w:rPr>
          <w:rFonts w:ascii="Arial" w:cs="Arial" w:eastAsia="Arial" w:hAnsi="Arial"/>
          <w:sz w:val="14"/>
          <w:szCs w:val="14"/>
          <w:color w:val="808080"/>
        </w:rPr>
        <w:t>1420 N. McDowell Blvd., Petaluma, CA 94954</w:t>
        <w:tab/>
        <w:t>[t] 707-763-4784 [f] 707-763-0784</w:t>
        <w:tab/>
        <w:t>enphase.com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spacing w:after="0"/>
        <w:rPr>
          <w:sz w:val="20"/>
          <w:szCs w:val="20"/>
          <w:color w:val="auto"/>
        </w:rPr>
      </w:pPr>
      <w:r>
        <w:rPr>
          <w:rFonts w:ascii="Arial" w:cs="Arial" w:eastAsia="Arial" w:hAnsi="Arial"/>
          <w:sz w:val="25"/>
          <w:szCs w:val="25"/>
          <w:color w:val="DD5F27"/>
        </w:rPr>
        <w:t>Material Specifications of Encapsulant:</w:t>
      </w:r>
    </w:p>
    <w:p>
      <w:pPr>
        <w:spacing w:after="0" w:line="200" w:lineRule="exact"/>
        <w:rPr>
          <w:sz w:val="20"/>
          <w:szCs w:val="20"/>
          <w:color w:val="auto"/>
        </w:rPr>
      </w:pPr>
    </w:p>
    <w:p>
      <w:pPr>
        <w:spacing w:after="0" w:line="298" w:lineRule="exact"/>
        <w:rPr>
          <w:sz w:val="20"/>
          <w:szCs w:val="20"/>
          <w:color w:val="auto"/>
        </w:rPr>
      </w:pPr>
    </w:p>
    <w:p>
      <w:pPr>
        <w:jc w:val="both"/>
        <w:ind w:left="760" w:right="380"/>
        <w:spacing w:after="0" w:line="373" w:lineRule="auto"/>
        <w:rPr>
          <w:sz w:val="20"/>
          <w:szCs w:val="20"/>
          <w:color w:val="auto"/>
        </w:rPr>
      </w:pPr>
      <w:r>
        <w:rPr>
          <w:rFonts w:ascii="Arial" w:cs="Arial" w:eastAsia="Arial" w:hAnsi="Arial"/>
          <w:sz w:val="18"/>
          <w:szCs w:val="18"/>
          <w:color w:val="auto"/>
        </w:rPr>
        <w:t>The Dow Corning® [***] low stress encapsulant shall be a two-part addition-cure silicone system. The mix ratio of the component parts shall be 1:1 by volume or weight percent. The un-cured silicone encapsulant component material parts A and B shall have a minimum 12 months remaining shelf life from date of receipt.</w:t>
      </w:r>
      <w:r>
        <w:rPr>
          <w:rFonts w:ascii="Arial" w:cs="Arial" w:eastAsia="Arial" w:hAnsi="Arial"/>
          <w:sz w:val="10"/>
          <w:szCs w:val="10"/>
          <w:color w:val="auto"/>
        </w:rPr>
        <w:t>(1)</w:t>
      </w:r>
      <w:r>
        <w:rPr>
          <w:rFonts w:ascii="Arial" w:cs="Arial" w:eastAsia="Arial" w:hAnsi="Arial"/>
          <w:sz w:val="18"/>
          <w:szCs w:val="18"/>
          <w:color w:val="auto"/>
        </w:rPr>
        <w:t xml:space="preserve"> The material properties of silicone encapsulant shall meet the</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specifications listed in</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Table 1 below.</w:t>
      </w:r>
      <w:r>
        <w:rPr>
          <w:rFonts w:ascii="Arial" w:cs="Arial" w:eastAsia="Arial" w:hAnsi="Arial"/>
          <w:sz w:val="10"/>
          <w:szCs w:val="10"/>
          <w:color w:val="auto"/>
        </w:rPr>
        <w:t>(2)</w:t>
      </w:r>
    </w:p>
    <w:p>
      <w:pPr>
        <w:spacing w:after="0" w:line="200" w:lineRule="exact"/>
        <w:rPr>
          <w:sz w:val="20"/>
          <w:szCs w:val="20"/>
          <w:color w:val="auto"/>
        </w:rPr>
      </w:pPr>
    </w:p>
    <w:p>
      <w:pPr>
        <w:spacing w:after="0" w:line="291" w:lineRule="exact"/>
        <w:rPr>
          <w:sz w:val="20"/>
          <w:szCs w:val="20"/>
          <w:color w:val="auto"/>
        </w:rPr>
      </w:pPr>
    </w:p>
    <w:p>
      <w:pPr>
        <w:ind w:right="180" w:firstLine="8"/>
        <w:spacing w:after="0" w:line="282" w:lineRule="auto"/>
        <w:tabs>
          <w:tab w:leader="none" w:pos="43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540" w:right="21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64"/>
        </w:trPr>
        <w:tc>
          <w:tcPr>
            <w:tcW w:w="2660" w:type="dxa"/>
            <w:vAlign w:val="bottom"/>
            <w:tcBorders>
              <w:top w:val="single" w:sz="8" w:color="auto"/>
              <w:left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spacing w:after="0"/>
              <w:rPr>
                <w:sz w:val="22"/>
                <w:szCs w:val="22"/>
                <w:color w:val="auto"/>
              </w:rPr>
            </w:pPr>
          </w:p>
        </w:tc>
        <w:tc>
          <w:tcPr>
            <w:tcW w:w="276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Specification</w:t>
            </w:r>
            <w:r>
              <w:rPr>
                <w:rFonts w:ascii="Arial" w:cs="Arial" w:eastAsia="Arial" w:hAnsi="Arial"/>
                <w:sz w:val="14"/>
                <w:szCs w:val="14"/>
                <w:color w:val="auto"/>
                <w:vertAlign w:val="superscript"/>
              </w:rPr>
              <w:t>(4)</w:t>
            </w:r>
          </w:p>
        </w:tc>
        <w:tc>
          <w:tcPr>
            <w:tcW w:w="0" w:type="dxa"/>
            <w:vAlign w:val="bottom"/>
          </w:tcPr>
          <w:p>
            <w:pPr>
              <w:spacing w:after="0"/>
              <w:rPr>
                <w:sz w:val="1"/>
                <w:szCs w:val="1"/>
                <w:color w:val="auto"/>
              </w:rPr>
            </w:pPr>
          </w:p>
        </w:tc>
      </w:tr>
      <w:tr>
        <w:trPr>
          <w:trHeight w:val="198"/>
        </w:trPr>
        <w:tc>
          <w:tcPr>
            <w:tcW w:w="266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Material property</w:t>
            </w:r>
            <w:r>
              <w:rPr>
                <w:rFonts w:ascii="Arial" w:cs="Arial" w:eastAsia="Arial" w:hAnsi="Arial"/>
                <w:sz w:val="14"/>
                <w:szCs w:val="14"/>
                <w:color w:val="auto"/>
                <w:vertAlign w:val="superscript"/>
              </w:rPr>
              <w:t>(3)</w:t>
            </w:r>
          </w:p>
        </w:tc>
        <w:tc>
          <w:tcPr>
            <w:tcW w:w="114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8"/>
                <w:szCs w:val="18"/>
                <w:b w:val="1"/>
                <w:bCs w:val="1"/>
                <w:color w:val="auto"/>
              </w:rPr>
              <w:t>Unit</w:t>
            </w:r>
          </w:p>
        </w:tc>
        <w:tc>
          <w:tcPr>
            <w:tcW w:w="27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Test Standard</w:t>
            </w:r>
          </w:p>
        </w:tc>
        <w:tc>
          <w:tcPr>
            <w:tcW w:w="1240" w:type="dxa"/>
            <w:vAlign w:val="bottom"/>
            <w:tcBorders>
              <w:right w:val="single" w:sz="8" w:color="auto"/>
            </w:tcBorders>
          </w:tcPr>
          <w:p>
            <w:pPr>
              <w:ind w:left="260"/>
              <w:spacing w:after="0"/>
              <w:rPr>
                <w:sz w:val="20"/>
                <w:szCs w:val="20"/>
                <w:color w:val="auto"/>
              </w:rPr>
            </w:pPr>
            <w:r>
              <w:rPr>
                <w:rFonts w:ascii="Arial" w:cs="Arial" w:eastAsia="Arial" w:hAnsi="Arial"/>
                <w:sz w:val="16"/>
                <w:szCs w:val="16"/>
                <w:b w:val="1"/>
                <w:bCs w:val="1"/>
                <w:color w:val="auto"/>
              </w:rPr>
              <w:t>Critical-to-</w:t>
            </w: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LCL</w:t>
            </w:r>
          </w:p>
        </w:tc>
        <w:tc>
          <w:tcPr>
            <w:tcW w:w="1600" w:type="dxa"/>
            <w:vAlign w:val="bottom"/>
            <w:tcBorders>
              <w:right w:val="single" w:sz="8" w:color="auto"/>
            </w:tcBorders>
          </w:tcPr>
          <w:p>
            <w:pPr>
              <w:ind w:left="560"/>
              <w:spacing w:after="0"/>
              <w:rPr>
                <w:sz w:val="20"/>
                <w:szCs w:val="20"/>
                <w:color w:val="auto"/>
              </w:rPr>
            </w:pPr>
            <w:r>
              <w:rPr>
                <w:rFonts w:ascii="Arial" w:cs="Arial" w:eastAsia="Arial" w:hAnsi="Arial"/>
                <w:sz w:val="16"/>
                <w:szCs w:val="16"/>
                <w:b w:val="1"/>
                <w:bCs w:val="1"/>
                <w:color w:val="auto"/>
              </w:rPr>
              <w:t>Target or</w:t>
            </w:r>
          </w:p>
        </w:tc>
        <w:tc>
          <w:tcPr>
            <w:tcW w:w="12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6"/>
                <w:szCs w:val="16"/>
                <w:b w:val="1"/>
                <w:bCs w:val="1"/>
                <w:color w:val="auto"/>
              </w:rPr>
              <w:t>UCL</w:t>
            </w:r>
          </w:p>
        </w:tc>
        <w:tc>
          <w:tcPr>
            <w:tcW w:w="0" w:type="dxa"/>
            <w:vAlign w:val="bottom"/>
          </w:tcPr>
          <w:p>
            <w:pPr>
              <w:spacing w:after="0"/>
              <w:rPr>
                <w:sz w:val="1"/>
                <w:szCs w:val="1"/>
                <w:color w:val="auto"/>
              </w:rPr>
            </w:pPr>
          </w:p>
        </w:tc>
      </w:tr>
      <w:tr>
        <w:trPr>
          <w:trHeight w:val="228"/>
        </w:trPr>
        <w:tc>
          <w:tcPr>
            <w:tcW w:w="26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2760" w:type="dxa"/>
            <w:vAlign w:val="bottom"/>
            <w:tcBorders>
              <w:bottom w:val="single" w:sz="8" w:color="auto"/>
              <w:right w:val="single" w:sz="8" w:color="auto"/>
            </w:tcBorders>
            <w:vMerge w:val="continue"/>
          </w:tcPr>
          <w:p>
            <w:pPr>
              <w:spacing w:after="0"/>
              <w:rPr>
                <w:sz w:val="19"/>
                <w:szCs w:val="19"/>
                <w:color w:val="auto"/>
              </w:rPr>
            </w:pPr>
          </w:p>
        </w:tc>
        <w:tc>
          <w:tcPr>
            <w:tcW w:w="1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6"/>
                <w:szCs w:val="16"/>
                <w:b w:val="1"/>
                <w:bCs w:val="1"/>
                <w:color w:val="auto"/>
              </w:rPr>
              <w:t>Quality</w:t>
            </w:r>
          </w:p>
        </w:tc>
        <w:tc>
          <w:tcPr>
            <w:tcW w:w="800" w:type="dxa"/>
            <w:vAlign w:val="bottom"/>
            <w:tcBorders>
              <w:bottom w:val="single" w:sz="8" w:color="auto"/>
              <w:right w:val="single" w:sz="8" w:color="auto"/>
            </w:tcBorders>
            <w:vMerge w:val="continue"/>
          </w:tcPr>
          <w:p>
            <w:pPr>
              <w:spacing w:after="0"/>
              <w:rPr>
                <w:sz w:val="19"/>
                <w:szCs w:val="19"/>
                <w:color w:val="auto"/>
              </w:rPr>
            </w:pPr>
          </w:p>
        </w:tc>
        <w:tc>
          <w:tcPr>
            <w:tcW w:w="16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auto"/>
              </w:rPr>
              <w:t>Nominal</w:t>
            </w: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Specific gravity, parts A</w:t>
            </w:r>
          </w:p>
        </w:tc>
        <w:tc>
          <w:tcPr>
            <w:tcW w:w="11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D792/ Dow</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and B</w:t>
            </w:r>
          </w:p>
        </w:tc>
        <w:tc>
          <w:tcPr>
            <w:tcW w:w="11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Corning CTM 0022</w:t>
            </w:r>
          </w:p>
        </w:tc>
        <w:tc>
          <w:tcPr>
            <w:tcW w:w="12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Filler particle size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µm</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By Dow Corning’s Filler</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Supplier (3</w:t>
            </w:r>
            <w:r>
              <w:rPr>
                <w:rFonts w:ascii="Arial" w:cs="Arial" w:eastAsia="Arial" w:hAnsi="Arial"/>
                <w:sz w:val="10"/>
                <w:szCs w:val="10"/>
                <w:color w:val="auto"/>
              </w:rPr>
              <w:t>rd</w:t>
            </w:r>
            <w:r>
              <w:rPr>
                <w:rFonts w:ascii="Arial" w:cs="Arial" w:eastAsia="Arial" w:hAnsi="Arial"/>
                <w:sz w:val="16"/>
                <w:szCs w:val="16"/>
                <w:color w:val="auto"/>
              </w:rPr>
              <w:t xml:space="preserve"> Party)</w:t>
            </w:r>
            <w:r>
              <w:rPr>
                <w:rFonts w:ascii="Arial" w:cs="Arial" w:eastAsia="Arial" w:hAnsi="Arial"/>
                <w:sz w:val="10"/>
                <w:szCs w:val="10"/>
                <w:color w:val="auto"/>
              </w:rPr>
              <w:t>(5)</w:t>
            </w:r>
          </w:p>
        </w:tc>
        <w:tc>
          <w:tcPr>
            <w:tcW w:w="12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Viscosity at 25 ºC, parts 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cps</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D4282</w:t>
            </w:r>
            <w:r>
              <w:rPr>
                <w:rFonts w:ascii="Arial" w:cs="Arial" w:eastAsia="Arial" w:hAnsi="Arial"/>
                <w:sz w:val="21"/>
                <w:szCs w:val="21"/>
                <w:color w:val="auto"/>
                <w:vertAlign w:val="superscript"/>
              </w:rPr>
              <w:t>(6)</w:t>
            </w:r>
          </w:p>
        </w:tc>
        <w:tc>
          <w:tcPr>
            <w:tcW w:w="124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bottom w:val="single" w:sz="8" w:color="auto"/>
              <w:right w:val="single" w:sz="8" w:color="auto"/>
            </w:tcBorders>
          </w:tcPr>
          <w:p>
            <w:pPr>
              <w:ind w:left="120"/>
              <w:spacing w:after="0" w:line="176" w:lineRule="exact"/>
              <w:rPr>
                <w:sz w:val="20"/>
                <w:szCs w:val="20"/>
                <w:color w:val="auto"/>
              </w:rPr>
            </w:pPr>
            <w:r>
              <w:rPr>
                <w:rFonts w:ascii="Arial" w:cs="Arial" w:eastAsia="Arial" w:hAnsi="Arial"/>
                <w:sz w:val="16"/>
                <w:szCs w:val="16"/>
                <w:color w:val="auto"/>
              </w:rPr>
              <w:t>and B</w:t>
            </w:r>
          </w:p>
        </w:tc>
        <w:tc>
          <w:tcPr>
            <w:tcW w:w="114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Viscosity at 25 ºC, mixed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cps</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D4282</w:t>
            </w:r>
            <w:r>
              <w:rPr>
                <w:rFonts w:ascii="Arial" w:cs="Arial" w:eastAsia="Arial" w:hAnsi="Arial"/>
                <w:sz w:val="10"/>
                <w:szCs w:val="10"/>
                <w:color w:val="auto"/>
              </w:rPr>
              <w:t>(6)</w:t>
            </w:r>
          </w:p>
        </w:tc>
        <w:tc>
          <w:tcPr>
            <w:tcW w:w="12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Gel time at 25 ºC</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minutes</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Dow Corning CTM</w:t>
            </w:r>
          </w:p>
        </w:tc>
        <w:tc>
          <w:tcPr>
            <w:tcW w:w="12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266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0674A</w:t>
            </w:r>
            <w:r>
              <w:rPr>
                <w:rFonts w:ascii="Arial" w:cs="Arial" w:eastAsia="Arial" w:hAnsi="Arial"/>
                <w:sz w:val="10"/>
                <w:szCs w:val="10"/>
                <w:color w:val="auto"/>
              </w:rPr>
              <w:t>(7)</w:t>
            </w:r>
          </w:p>
        </w:tc>
        <w:tc>
          <w:tcPr>
            <w:tcW w:w="1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Gel time at 50 ºC</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minutes</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Dow Corning CTM</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266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0674A</w:t>
            </w:r>
            <w:r>
              <w:rPr>
                <w:rFonts w:ascii="Arial" w:cs="Arial" w:eastAsia="Arial" w:hAnsi="Arial"/>
                <w:sz w:val="10"/>
                <w:szCs w:val="10"/>
                <w:color w:val="auto"/>
              </w:rPr>
              <w:t>7</w:t>
            </w:r>
          </w:p>
        </w:tc>
        <w:tc>
          <w:tcPr>
            <w:tcW w:w="12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Cure time at 25 ºC</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hours</w:t>
            </w:r>
          </w:p>
        </w:tc>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Rheometry</w:t>
            </w:r>
            <w:r>
              <w:rPr>
                <w:rFonts w:ascii="Arial" w:cs="Arial" w:eastAsia="Arial" w:hAnsi="Arial"/>
                <w:sz w:val="10"/>
                <w:szCs w:val="10"/>
                <w:color w:val="auto"/>
              </w:rPr>
              <w:t>(8)</w:t>
            </w:r>
          </w:p>
        </w:tc>
        <w:tc>
          <w:tcPr>
            <w:tcW w:w="12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16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0" w:type="dxa"/>
            <w:vAlign w:val="bottom"/>
          </w:tcPr>
          <w:p>
            <w:pPr>
              <w:spacing w:after="0"/>
              <w:rPr>
                <w:sz w:val="1"/>
                <w:szCs w:val="1"/>
                <w:color w:val="auto"/>
              </w:rPr>
            </w:pPr>
          </w:p>
        </w:tc>
      </w:tr>
      <w:tr>
        <w:trPr>
          <w:trHeight w:val="304"/>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Cure time at 50 ºC</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minutes</w:t>
            </w:r>
          </w:p>
        </w:tc>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Rheometry</w:t>
            </w:r>
            <w:r>
              <w:rPr>
                <w:rFonts w:ascii="Arial" w:cs="Arial" w:eastAsia="Arial" w:hAnsi="Arial"/>
                <w:sz w:val="10"/>
                <w:szCs w:val="10"/>
                <w:color w:val="auto"/>
              </w:rPr>
              <w:t>(8)</w:t>
            </w:r>
          </w:p>
        </w:tc>
        <w:tc>
          <w:tcPr>
            <w:tcW w:w="12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16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Durometer</w:t>
            </w:r>
            <w:r>
              <w:rPr>
                <w:rFonts w:ascii="Arial" w:cs="Arial" w:eastAsia="Arial" w:hAnsi="Arial"/>
                <w:sz w:val="10"/>
                <w:szCs w:val="10"/>
                <w:color w:val="auto"/>
              </w:rPr>
              <w:t>(9)</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Type 00</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D2240/ Dow</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7"/>
        </w:trPr>
        <w:tc>
          <w:tcPr>
            <w:tcW w:w="2660" w:type="dxa"/>
            <w:vAlign w:val="bottom"/>
            <w:tcBorders>
              <w:left w:val="single" w:sz="8" w:color="auto"/>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Corning CTM 0099</w:t>
            </w:r>
            <w:r>
              <w:rPr>
                <w:rFonts w:ascii="Arial" w:cs="Arial" w:eastAsia="Arial" w:hAnsi="Arial"/>
                <w:sz w:val="10"/>
                <w:szCs w:val="10"/>
                <w:color w:val="auto"/>
              </w:rPr>
              <w:t>(10)</w:t>
            </w:r>
          </w:p>
        </w:tc>
        <w:tc>
          <w:tcPr>
            <w:tcW w:w="12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Durometer</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Type 000</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D2240/ Dow</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auto"/>
              </w:rPr>
              <w:t>YES</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Corning CTM 0099</w:t>
            </w:r>
            <w:r>
              <w:rPr>
                <w:rFonts w:ascii="Arial" w:cs="Arial" w:eastAsia="Arial" w:hAnsi="Arial"/>
                <w:sz w:val="10"/>
                <w:szCs w:val="10"/>
                <w:color w:val="auto"/>
              </w:rPr>
              <w:t>(10)</w:t>
            </w:r>
          </w:p>
        </w:tc>
        <w:tc>
          <w:tcPr>
            <w:tcW w:w="12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Young’s Modulus (tensile,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MPa</w:t>
            </w: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ASTM D412/ ASTM E111</w:t>
            </w:r>
            <w:r>
              <w:rPr>
                <w:rFonts w:ascii="Arial" w:cs="Arial" w:eastAsia="Arial" w:hAnsi="Arial"/>
                <w:sz w:val="10"/>
                <w:szCs w:val="10"/>
                <w:color w:val="auto"/>
              </w:rPr>
              <w:t>(11)</w:t>
            </w:r>
          </w:p>
        </w:tc>
        <w:tc>
          <w:tcPr>
            <w:tcW w:w="12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0 to 10% elongation)</w:t>
            </w:r>
          </w:p>
        </w:tc>
        <w:tc>
          <w:tcPr>
            <w:tcW w:w="11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Chord modulus (tensile,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MPa</w:t>
            </w: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ASTM D412/ ASTM E111</w:t>
            </w:r>
            <w:r>
              <w:rPr>
                <w:rFonts w:ascii="Arial" w:cs="Arial" w:eastAsia="Arial" w:hAnsi="Arial"/>
                <w:sz w:val="10"/>
                <w:szCs w:val="10"/>
                <w:color w:val="auto"/>
              </w:rPr>
              <w:t>(11)</w:t>
            </w:r>
          </w:p>
        </w:tc>
        <w:tc>
          <w:tcPr>
            <w:tcW w:w="12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100% elongation)</w:t>
            </w:r>
          </w:p>
        </w:tc>
        <w:tc>
          <w:tcPr>
            <w:tcW w:w="1140" w:type="dxa"/>
            <w:vAlign w:val="bottom"/>
            <w:tcBorders>
              <w:right w:val="single" w:sz="8" w:color="auto"/>
            </w:tcBorders>
            <w:vMerge w:val="continue"/>
          </w:tcPr>
          <w:p>
            <w:pPr>
              <w:spacing w:after="0"/>
              <w:rPr>
                <w:sz w:val="9"/>
                <w:szCs w:val="9"/>
                <w:color w:val="auto"/>
              </w:rPr>
            </w:pPr>
          </w:p>
        </w:tc>
        <w:tc>
          <w:tcPr>
            <w:tcW w:w="27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Tensile strength</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MPa</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ASTM D412</w:t>
            </w:r>
          </w:p>
        </w:tc>
        <w:tc>
          <w:tcPr>
            <w:tcW w:w="12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Tensile elongation at break</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ASTM D412</w:t>
            </w:r>
          </w:p>
        </w:tc>
        <w:tc>
          <w:tcPr>
            <w:tcW w:w="12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Dow Corning CTM</w:t>
            </w:r>
          </w:p>
        </w:tc>
        <w:tc>
          <w:tcPr>
            <w:tcW w:w="124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CTE (-40 ºC to 105 ºC)</w:t>
            </w:r>
          </w:p>
        </w:tc>
        <w:tc>
          <w:tcPr>
            <w:tcW w:w="114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µm/m-ºK</w:t>
            </w: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0562</w:t>
            </w:r>
          </w:p>
        </w:tc>
        <w:tc>
          <w:tcPr>
            <w:tcW w:w="12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Glass Transition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ºC</w:t>
            </w:r>
          </w:p>
        </w:tc>
        <w:tc>
          <w:tcPr>
            <w:tcW w:w="27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ASTM E381</w:t>
            </w:r>
          </w:p>
        </w:tc>
        <w:tc>
          <w:tcPr>
            <w:tcW w:w="12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Temperature</w:t>
            </w:r>
          </w:p>
        </w:tc>
        <w:tc>
          <w:tcPr>
            <w:tcW w:w="1140" w:type="dxa"/>
            <w:vAlign w:val="bottom"/>
            <w:tcBorders>
              <w:right w:val="single" w:sz="8" w:color="auto"/>
            </w:tcBorders>
            <w:vMerge w:val="continue"/>
          </w:tcPr>
          <w:p>
            <w:pPr>
              <w:spacing w:after="0"/>
              <w:rPr>
                <w:sz w:val="9"/>
                <w:szCs w:val="9"/>
                <w:color w:val="auto"/>
              </w:rPr>
            </w:pPr>
          </w:p>
        </w:tc>
        <w:tc>
          <w:tcPr>
            <w:tcW w:w="27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Thermal conductivity</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W/m- ºK</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E1530</w:t>
            </w:r>
          </w:p>
        </w:tc>
        <w:tc>
          <w:tcPr>
            <w:tcW w:w="124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Water absorption (24 hours)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ASTM D570</w:t>
            </w:r>
          </w:p>
        </w:tc>
        <w:tc>
          <w:tcPr>
            <w:tcW w:w="1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Water absorption (21 days)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ASTM D570</w:t>
            </w:r>
          </w:p>
        </w:tc>
        <w:tc>
          <w:tcPr>
            <w:tcW w:w="1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Adhesion strength, Al</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N/m</w:t>
            </w:r>
          </w:p>
        </w:tc>
        <w:tc>
          <w:tcPr>
            <w:tcW w:w="27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ASTM D903</w:t>
            </w:r>
          </w:p>
        </w:tc>
        <w:tc>
          <w:tcPr>
            <w:tcW w:w="12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16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substrate,180 deg peel</w:t>
            </w:r>
          </w:p>
        </w:tc>
        <w:tc>
          <w:tcPr>
            <w:tcW w:w="1140" w:type="dxa"/>
            <w:vAlign w:val="bottom"/>
            <w:tcBorders>
              <w:right w:val="single" w:sz="8" w:color="auto"/>
            </w:tcBorders>
            <w:vMerge w:val="continue"/>
          </w:tcPr>
          <w:p>
            <w:pPr>
              <w:spacing w:after="0"/>
              <w:rPr>
                <w:sz w:val="13"/>
                <w:szCs w:val="13"/>
                <w:color w:val="auto"/>
              </w:rPr>
            </w:pPr>
          </w:p>
        </w:tc>
        <w:tc>
          <w:tcPr>
            <w:tcW w:w="276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continue"/>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660" w:type="dxa"/>
            <w:vAlign w:val="bottom"/>
            <w:tcBorders>
              <w:left w:val="single" w:sz="8" w:color="auto"/>
              <w:right w:val="single" w:sz="8" w:color="auto"/>
            </w:tcBorders>
            <w:vMerge w:val="continue"/>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276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Adhesion strength, FR-4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N/m</w:t>
            </w:r>
          </w:p>
        </w:tc>
        <w:tc>
          <w:tcPr>
            <w:tcW w:w="2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ASTM D903/Dow</w:t>
            </w:r>
          </w:p>
        </w:tc>
        <w:tc>
          <w:tcPr>
            <w:tcW w:w="1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21"/>
                <w:szCs w:val="21"/>
                <w:color w:val="auto"/>
                <w:w w:val="89"/>
                <w:vertAlign w:val="superscript"/>
              </w:rPr>
              <w:t>(12)</w:t>
            </w:r>
          </w:p>
        </w:tc>
        <w:tc>
          <w:tcPr>
            <w:tcW w:w="16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substrate,180 deg peel</w:t>
            </w:r>
          </w:p>
        </w:tc>
        <w:tc>
          <w:tcPr>
            <w:tcW w:w="114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Corning CTM 0293</w:t>
            </w:r>
          </w:p>
        </w:tc>
        <w:tc>
          <w:tcPr>
            <w:tcW w:w="12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Table 1 - Material Specifications of Encapsulant</w:t>
      </w:r>
    </w:p>
    <w:p>
      <w:pPr>
        <w:spacing w:after="0" w:line="257" w:lineRule="exact"/>
        <w:rPr>
          <w:sz w:val="20"/>
          <w:szCs w:val="20"/>
          <w:color w:val="auto"/>
        </w:rPr>
      </w:pPr>
    </w:p>
    <w:p>
      <w:pPr>
        <w:ind w:right="180" w:firstLine="8"/>
        <w:spacing w:after="0" w:line="282" w:lineRule="auto"/>
        <w:tabs>
          <w:tab w:leader="none" w:pos="43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498" w:right="219" w:bottom="1440" w:gutter="0" w:footer="0" w:header="0"/>
        </w:sectPr>
      </w:pPr>
    </w:p>
    <w:bookmarkStart w:id="60" w:name="page61"/>
    <w:bookmarkEnd w:id="60"/>
    <w:p>
      <w:pPr>
        <w:ind w:left="752"/>
        <w:spacing w:after="0"/>
        <w:rPr>
          <w:sz w:val="20"/>
          <w:szCs w:val="20"/>
          <w:color w:val="auto"/>
        </w:rPr>
      </w:pPr>
      <w:r>
        <w:rPr>
          <w:rFonts w:ascii="Arial" w:cs="Arial" w:eastAsia="Arial" w:hAnsi="Arial"/>
          <w:sz w:val="25"/>
          <w:szCs w:val="25"/>
          <w:color w:val="DD5F27"/>
        </w:rPr>
        <w:t>UL Certification Requirements</w:t>
      </w:r>
    </w:p>
    <w:p>
      <w:pPr>
        <w:spacing w:after="0" w:line="282" w:lineRule="exact"/>
        <w:rPr>
          <w:sz w:val="20"/>
          <w:szCs w:val="20"/>
          <w:color w:val="auto"/>
        </w:rPr>
      </w:pPr>
    </w:p>
    <w:p>
      <w:pPr>
        <w:ind w:left="752"/>
        <w:spacing w:after="0"/>
        <w:rPr>
          <w:sz w:val="20"/>
          <w:szCs w:val="20"/>
          <w:color w:val="auto"/>
        </w:rPr>
      </w:pPr>
      <w:r>
        <w:rPr>
          <w:rFonts w:ascii="Arial" w:cs="Arial" w:eastAsia="Arial" w:hAnsi="Arial"/>
          <w:sz w:val="18"/>
          <w:szCs w:val="18"/>
          <w:color w:val="auto"/>
        </w:rPr>
        <w:t>The Dow Corning® [***] low stress encapsulant will require UL certification. The UL rating requirements are listed in Table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409575</wp:posOffset>
            </wp:positionV>
            <wp:extent cx="7237730" cy="210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4300" w:type="dxa"/>
            <w:vAlign w:val="bottom"/>
          </w:tcPr>
          <w:p>
            <w:pPr>
              <w:ind w:left="2400"/>
              <w:spacing w:after="0"/>
              <w:rPr>
                <w:sz w:val="20"/>
                <w:szCs w:val="20"/>
                <w:color w:val="auto"/>
              </w:rPr>
            </w:pPr>
            <w:r>
              <w:rPr>
                <w:rFonts w:ascii="Arial" w:cs="Arial" w:eastAsia="Arial" w:hAnsi="Arial"/>
                <w:sz w:val="18"/>
                <w:szCs w:val="18"/>
                <w:b w:val="1"/>
                <w:bCs w:val="1"/>
                <w:color w:val="auto"/>
              </w:rPr>
              <w:t>Property</w:t>
            </w:r>
          </w:p>
        </w:tc>
        <w:tc>
          <w:tcPr>
            <w:tcW w:w="3540" w:type="dxa"/>
            <w:vAlign w:val="bottom"/>
          </w:tcPr>
          <w:p>
            <w:pPr>
              <w:ind w:left="1220"/>
              <w:spacing w:after="0"/>
              <w:rPr>
                <w:sz w:val="20"/>
                <w:szCs w:val="20"/>
                <w:color w:val="auto"/>
              </w:rPr>
            </w:pPr>
            <w:r>
              <w:rPr>
                <w:rFonts w:ascii="Arial" w:cs="Arial" w:eastAsia="Arial" w:hAnsi="Arial"/>
                <w:sz w:val="18"/>
                <w:szCs w:val="18"/>
                <w:b w:val="1"/>
                <w:bCs w:val="1"/>
                <w:color w:val="auto"/>
              </w:rPr>
              <w:t>Test standard</w:t>
            </w:r>
          </w:p>
        </w:tc>
        <w:tc>
          <w:tcPr>
            <w:tcW w:w="3560" w:type="dxa"/>
            <w:vAlign w:val="bottom"/>
          </w:tcPr>
          <w:p>
            <w:pPr>
              <w:ind w:left="620"/>
              <w:spacing w:after="0"/>
              <w:rPr>
                <w:sz w:val="20"/>
                <w:szCs w:val="20"/>
                <w:color w:val="auto"/>
              </w:rPr>
            </w:pPr>
            <w:r>
              <w:rPr>
                <w:rFonts w:ascii="Arial" w:cs="Arial" w:eastAsia="Arial" w:hAnsi="Arial"/>
                <w:sz w:val="18"/>
                <w:szCs w:val="18"/>
                <w:b w:val="1"/>
                <w:bCs w:val="1"/>
                <w:color w:val="auto"/>
              </w:rPr>
              <w:t>Acceptance</w:t>
            </w:r>
          </w:p>
        </w:tc>
      </w:tr>
      <w:tr>
        <w:trPr>
          <w:trHeight w:val="27"/>
        </w:trPr>
        <w:tc>
          <w:tcPr>
            <w:tcW w:w="4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71"/>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Vertical burn</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94</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(at [***] to [***])</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Hot wire ignition (HWI)</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 ASTM D3874</w:t>
            </w:r>
          </w:p>
        </w:tc>
        <w:tc>
          <w:tcPr>
            <w:tcW w:w="35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PLC ≤ [***]</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High current arc ignition (HAI)</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 ASTM D3874</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PLC ≤ [***]</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Relative temperature index (electrical)</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 deg C</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Relative temperature index (impact)</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 deg C</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Relative temperature index (strength)</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 deg C</w:t>
            </w:r>
          </w:p>
        </w:tc>
      </w:tr>
      <w:tr>
        <w:trPr>
          <w:trHeight w:val="27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Comparative tracking index (CTI)</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PLC ≤ [***]</w:t>
            </w:r>
          </w:p>
        </w:tc>
      </w:tr>
      <w:tr>
        <w:trPr>
          <w:trHeight w:val="291"/>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Dielectric strength (kV/mm)</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w:t>
            </w:r>
          </w:p>
        </w:tc>
      </w:tr>
      <w:tr>
        <w:trPr>
          <w:trHeight w:val="291"/>
        </w:trPr>
        <w:tc>
          <w:tcPr>
            <w:tcW w:w="4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Volumetric resistivity, dry (ohm-cm)</w:t>
            </w:r>
          </w:p>
        </w:tc>
        <w:tc>
          <w:tcPr>
            <w:tcW w:w="3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 x [***]</w:t>
            </w:r>
          </w:p>
        </w:tc>
      </w:tr>
      <w:tr>
        <w:trPr>
          <w:trHeight w:val="284"/>
        </w:trPr>
        <w:tc>
          <w:tcPr>
            <w:tcW w:w="4300" w:type="dxa"/>
            <w:vAlign w:val="bottom"/>
          </w:tcPr>
          <w:p>
            <w:pPr>
              <w:ind w:left="120"/>
              <w:spacing w:after="0"/>
              <w:rPr>
                <w:sz w:val="20"/>
                <w:szCs w:val="20"/>
                <w:color w:val="auto"/>
              </w:rPr>
            </w:pPr>
            <w:r>
              <w:rPr>
                <w:rFonts w:ascii="Arial" w:cs="Arial" w:eastAsia="Arial" w:hAnsi="Arial"/>
                <w:sz w:val="18"/>
                <w:szCs w:val="18"/>
                <w:color w:val="auto"/>
              </w:rPr>
              <w:t>Volumetric resistivity, wet (ohm-cm)</w:t>
            </w:r>
          </w:p>
        </w:tc>
        <w:tc>
          <w:tcPr>
            <w:tcW w:w="3540" w:type="dxa"/>
            <w:vAlign w:val="bottom"/>
          </w:tcPr>
          <w:p>
            <w:pPr>
              <w:ind w:left="1220"/>
              <w:spacing w:after="0"/>
              <w:rPr>
                <w:sz w:val="20"/>
                <w:szCs w:val="20"/>
                <w:color w:val="auto"/>
              </w:rPr>
            </w:pPr>
            <w:r>
              <w:rPr>
                <w:rFonts w:ascii="Arial" w:cs="Arial" w:eastAsia="Arial" w:hAnsi="Arial"/>
                <w:sz w:val="18"/>
                <w:szCs w:val="18"/>
                <w:color w:val="auto"/>
              </w:rPr>
              <w:t>UL 746</w:t>
            </w:r>
          </w:p>
        </w:tc>
        <w:tc>
          <w:tcPr>
            <w:tcW w:w="3560" w:type="dxa"/>
            <w:vAlign w:val="bottom"/>
          </w:tcPr>
          <w:p>
            <w:pPr>
              <w:ind w:left="720"/>
              <w:spacing w:after="0"/>
              <w:rPr>
                <w:sz w:val="20"/>
                <w:szCs w:val="20"/>
                <w:color w:val="auto"/>
              </w:rPr>
            </w:pPr>
            <w:r>
              <w:rPr>
                <w:rFonts w:ascii="Arial" w:cs="Arial" w:eastAsia="Arial" w:hAnsi="Arial"/>
                <w:sz w:val="18"/>
                <w:szCs w:val="18"/>
                <w:color w:val="auto"/>
              </w:rPr>
              <w:t>≥ [***]</w:t>
            </w:r>
            <w:r>
              <w:rPr>
                <w:rFonts w:ascii="Arial" w:cs="Arial" w:eastAsia="Arial" w:hAnsi="Arial"/>
                <w:sz w:val="10"/>
                <w:szCs w:val="10"/>
                <w:color w:val="auto"/>
              </w:rPr>
              <w:t>6</w:t>
            </w:r>
          </w:p>
        </w:tc>
      </w:tr>
    </w:tbl>
    <w:p>
      <w:pPr>
        <w:spacing w:after="0" w:line="4" w:lineRule="exact"/>
        <w:rPr>
          <w:sz w:val="20"/>
          <w:szCs w:val="20"/>
          <w:color w:val="auto"/>
        </w:rPr>
      </w:pPr>
    </w:p>
    <w:p>
      <w:pPr>
        <w:ind w:left="2612"/>
        <w:spacing w:after="0"/>
        <w:rPr>
          <w:sz w:val="20"/>
          <w:szCs w:val="20"/>
          <w:color w:val="auto"/>
        </w:rPr>
      </w:pPr>
      <w:r>
        <w:rPr>
          <w:rFonts w:ascii="Arial" w:cs="Arial" w:eastAsia="Arial" w:hAnsi="Arial"/>
          <w:sz w:val="18"/>
          <w:szCs w:val="18"/>
          <w:b w:val="1"/>
          <w:bCs w:val="1"/>
          <w:color w:val="auto"/>
        </w:rPr>
        <w:t>Table 2- UL Certification Requirements of Encapsulant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52"/>
        <w:spacing w:after="0"/>
        <w:rPr>
          <w:sz w:val="20"/>
          <w:szCs w:val="20"/>
          <w:color w:val="auto"/>
        </w:rPr>
      </w:pPr>
      <w:r>
        <w:rPr>
          <w:rFonts w:ascii="Arial" w:cs="Arial" w:eastAsia="Arial" w:hAnsi="Arial"/>
          <w:sz w:val="18"/>
          <w:szCs w:val="18"/>
          <w:color w:val="auto"/>
        </w:rPr>
        <w:t>Notes:</w:t>
      </w:r>
    </w:p>
    <w:p>
      <w:pPr>
        <w:spacing w:after="0" w:line="279" w:lineRule="exact"/>
        <w:rPr>
          <w:sz w:val="20"/>
          <w:szCs w:val="20"/>
          <w:color w:val="auto"/>
        </w:rPr>
      </w:pPr>
    </w:p>
    <w:p>
      <w:pPr>
        <w:ind w:left="752" w:right="20" w:firstLine="4"/>
        <w:spacing w:after="0" w:line="364" w:lineRule="auto"/>
        <w:tabs>
          <w:tab w:leader="none" w:pos="102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minimum 12 month remaining shelf life is required by Enphase Energy from the date of receipt at our designated warehouse location. A deviation request and approval is required to ship any material which does not meet the minimum remaining shelf life of 12 months from date of receipt. All shipments starting in August, 2014 must have a minimum 12 months remaining shelf life from date of receipt. Testing shall be performed by Dow Corning to verify a 12 month shelf life by June 30, 2014.</w:t>
      </w:r>
    </w:p>
    <w:p>
      <w:pPr>
        <w:spacing w:after="0" w:line="202" w:lineRule="exact"/>
        <w:rPr>
          <w:rFonts w:ascii="Arial" w:cs="Arial" w:eastAsia="Arial" w:hAnsi="Arial"/>
          <w:sz w:val="18"/>
          <w:szCs w:val="18"/>
          <w:color w:val="auto"/>
        </w:rPr>
      </w:pPr>
    </w:p>
    <w:p>
      <w:pPr>
        <w:ind w:left="732" w:right="200" w:hanging="3"/>
        <w:spacing w:after="0" w:line="360" w:lineRule="auto"/>
        <w:tabs>
          <w:tab w:leader="none" w:pos="100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manufactured lot of Dow Corning® [***] encapsulant materials shall be tested and verified by Dow Corning to meet the specification of Critical-to-Quality (CTQ) material properties as listed in Table 1. Test results shall be recorded on the Dow Corning Certificate of Analysis (CoA). CoAs shall be provided with each shipment of material and indicate the specification value and the as-measured value.</w:t>
      </w:r>
    </w:p>
    <w:p>
      <w:pPr>
        <w:ind w:left="732" w:right="420"/>
        <w:spacing w:after="0" w:line="371" w:lineRule="auto"/>
        <w:rPr>
          <w:rFonts w:ascii="Arial" w:cs="Arial" w:eastAsia="Arial" w:hAnsi="Arial"/>
          <w:sz w:val="18"/>
          <w:szCs w:val="18"/>
          <w:color w:val="auto"/>
        </w:rPr>
      </w:pPr>
      <w:r>
        <w:rPr>
          <w:rFonts w:ascii="Arial" w:cs="Arial" w:eastAsia="Arial" w:hAnsi="Arial"/>
          <w:sz w:val="18"/>
          <w:szCs w:val="18"/>
          <w:color w:val="auto"/>
        </w:rPr>
        <w:t>Properties listed in Table 1 that are not listed as Critical-to-Quality are typical properties and do not require testing for each batch. Testing of these properties</w:t>
      </w:r>
    </w:p>
    <w:p>
      <w:pPr>
        <w:spacing w:after="0" w:line="152" w:lineRule="exact"/>
        <w:rPr>
          <w:rFonts w:ascii="Arial" w:cs="Arial" w:eastAsia="Arial" w:hAnsi="Arial"/>
          <w:sz w:val="18"/>
          <w:szCs w:val="18"/>
          <w:color w:val="auto"/>
        </w:rPr>
      </w:pPr>
    </w:p>
    <w:p>
      <w:pPr>
        <w:ind w:left="-8" w:right="160" w:firstLine="8"/>
        <w:spacing w:after="0" w:line="282" w:lineRule="auto"/>
        <w:tabs>
          <w:tab w:leader="none" w:pos="42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12"/>
          </w:cols>
          <w:pgMar w:left="248" w:top="1027" w:right="239" w:bottom="1440" w:gutter="0" w:footer="0" w:header="0"/>
        </w:sectPr>
      </w:pPr>
    </w:p>
    <w:bookmarkStart w:id="61" w:name="page62"/>
    <w:bookmarkEnd w:id="61"/>
    <w:p>
      <w:pPr>
        <w:ind w:left="732" w:right="160"/>
        <w:spacing w:after="0" w:line="365" w:lineRule="auto"/>
        <w:rPr>
          <w:sz w:val="20"/>
          <w:szCs w:val="20"/>
          <w:color w:val="auto"/>
        </w:rPr>
      </w:pPr>
      <w:r>
        <w:rPr>
          <w:rFonts w:ascii="Arial" w:cs="Arial" w:eastAsia="Arial" w:hAnsi="Arial"/>
          <w:sz w:val="18"/>
          <w:szCs w:val="18"/>
          <w:color w:val="auto"/>
        </w:rPr>
        <w:t>shall be performed by Dow Corning and test data shall be furnished to Enphase Energy for design verification purposes. After Enphase Energy releases the material for production for manufacturing of Enphase Energy products (i.e., completion of PPAP), only the Critical-to-Quality properties are tested on a lot-to-lot basis.</w:t>
      </w:r>
    </w:p>
    <w:p>
      <w:pPr>
        <w:spacing w:after="0" w:line="204" w:lineRule="exact"/>
        <w:rPr>
          <w:sz w:val="20"/>
          <w:szCs w:val="20"/>
          <w:color w:val="auto"/>
        </w:rPr>
      </w:pPr>
    </w:p>
    <w:p>
      <w:pPr>
        <w:ind w:left="732"/>
        <w:spacing w:after="0" w:line="363" w:lineRule="auto"/>
        <w:rPr>
          <w:sz w:val="20"/>
          <w:szCs w:val="20"/>
          <w:color w:val="auto"/>
        </w:rPr>
      </w:pPr>
      <w:r>
        <w:rPr>
          <w:rFonts w:ascii="Arial" w:cs="Arial" w:eastAsia="Arial" w:hAnsi="Arial"/>
          <w:sz w:val="18"/>
          <w:szCs w:val="18"/>
          <w:color w:val="auto"/>
        </w:rPr>
        <w:t>(3)Material properties of cured material shall be tested using material specimens cured at 50 ºC. Full cure shall be defined as the point when the material develops 90% of its shear modulus (G') and loss shear modulus (G'') as measured using Dynamic Mechanical Analysis (DMA) methods (per ASTM D4065). In lieu of DMA (i.e., rheometry), material may be deemed fully cured with a Type 000 durometer measurement of 37 (minimum) and verification of no wet or softer surfaces on the material compared to the oven exposed surface of the material by cross sectional cutting and visual examination.</w:t>
      </w:r>
    </w:p>
    <w:p>
      <w:pPr>
        <w:spacing w:after="0" w:line="204" w:lineRule="exact"/>
        <w:rPr>
          <w:sz w:val="20"/>
          <w:szCs w:val="20"/>
          <w:color w:val="auto"/>
        </w:rPr>
      </w:pPr>
    </w:p>
    <w:p>
      <w:pPr>
        <w:ind w:left="752"/>
        <w:spacing w:after="0" w:line="362" w:lineRule="auto"/>
        <w:rPr>
          <w:sz w:val="20"/>
          <w:szCs w:val="20"/>
          <w:color w:val="auto"/>
        </w:rPr>
      </w:pPr>
      <w:r>
        <w:rPr>
          <w:rFonts w:ascii="Arial" w:cs="Arial" w:eastAsia="Arial" w:hAnsi="Arial"/>
          <w:sz w:val="18"/>
          <w:szCs w:val="18"/>
          <w:color w:val="auto"/>
        </w:rPr>
        <w:t>(4)The specification of a Lower Control Limit (LCL), Target or Nominal, and Upper Control Limit (UCL) has been established to accommodate production variation between batches based on limited production runs of the material. After Enphase Energy releases the material for production for manufacturing of Enphase Energy products (i.e., completion of PPAP), Dow Corning shall test no fewer than 10 unique production batches to establish the final LCL and UCL based on a Statistical Process Control methodology. Dow Corning shall furnish this data to Enphase Energy by June 30, 2014 or, within 6 weeks of the 10th unique production batch, whichever occurs first.</w:t>
      </w:r>
    </w:p>
    <w:p>
      <w:pPr>
        <w:spacing w:after="0" w:line="234" w:lineRule="exact"/>
        <w:rPr>
          <w:sz w:val="20"/>
          <w:szCs w:val="20"/>
          <w:color w:val="auto"/>
        </w:rPr>
      </w:pPr>
    </w:p>
    <w:p>
      <w:pPr>
        <w:ind w:left="752" w:right="600" w:firstLine="4"/>
        <w:spacing w:after="0" w:line="360" w:lineRule="auto"/>
        <w:tabs>
          <w:tab w:leader="none" w:pos="10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of Analysis (CoA) from Dow Corning filler Supplier’s (3rd party) indicating maximum filler particle size shall be furnished to Enphase Energy by Dow Corning upon request if deemed necessary by Enphase Energy (e.g., Quality audit, troubleshooting for root cause failure analysis, etc.). Redacted versions of the Certificate of Analysis (CoA) may be provided to Enphase Energy by Dow Corning in</w:t>
      </w:r>
    </w:p>
    <w:p>
      <w:pPr>
        <w:ind w:left="752" w:right="60"/>
        <w:spacing w:after="0" w:line="371" w:lineRule="auto"/>
        <w:rPr>
          <w:rFonts w:ascii="Arial" w:cs="Arial" w:eastAsia="Arial" w:hAnsi="Arial"/>
          <w:sz w:val="18"/>
          <w:szCs w:val="18"/>
          <w:color w:val="auto"/>
        </w:rPr>
      </w:pPr>
      <w:r>
        <w:rPr>
          <w:rFonts w:ascii="Arial" w:cs="Arial" w:eastAsia="Arial" w:hAnsi="Arial"/>
          <w:sz w:val="18"/>
          <w:szCs w:val="18"/>
          <w:color w:val="auto"/>
        </w:rPr>
        <w:t>order to remove sensitive or proprietary information that is not directly related to maximum filler particle size data or root cause failure analysis of Enphase Energy products.</w:t>
      </w:r>
    </w:p>
    <w:p>
      <w:pPr>
        <w:spacing w:after="0" w:line="14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(6)Recommended instrument: HBDV-III ultra, Spindle No. 3, 100 rpm</w:t>
      </w:r>
    </w:p>
    <w:p>
      <w:pPr>
        <w:spacing w:after="0" w:line="279" w:lineRule="exact"/>
        <w:rPr>
          <w:sz w:val="20"/>
          <w:szCs w:val="20"/>
          <w:color w:val="auto"/>
        </w:rPr>
      </w:pPr>
    </w:p>
    <w:p>
      <w:pPr>
        <w:ind w:left="752"/>
        <w:spacing w:after="0"/>
        <w:rPr>
          <w:sz w:val="20"/>
          <w:szCs w:val="20"/>
          <w:color w:val="auto"/>
        </w:rPr>
      </w:pPr>
      <w:r>
        <w:rPr>
          <w:rFonts w:ascii="Arial" w:cs="Arial" w:eastAsia="Arial" w:hAnsi="Arial"/>
          <w:sz w:val="18"/>
          <w:szCs w:val="18"/>
          <w:color w:val="auto"/>
        </w:rPr>
        <w:t>(7)Recommended instrument: Techne FGT6 Gelation Timer, using F0985 22mm</w:t>
      </w:r>
    </w:p>
    <w:p>
      <w:pPr>
        <w:spacing w:after="0" w:line="275" w:lineRule="exact"/>
        <w:rPr>
          <w:sz w:val="20"/>
          <w:szCs w:val="20"/>
          <w:color w:val="auto"/>
        </w:rPr>
      </w:pPr>
    </w:p>
    <w:p>
      <w:pPr>
        <w:ind w:left="-8" w:right="140" w:firstLine="8"/>
        <w:spacing w:after="0" w:line="282" w:lineRule="auto"/>
        <w:tabs>
          <w:tab w:leader="none" w:pos="42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92"/>
          </w:cols>
          <w:pgMar w:left="248" w:top="436" w:right="259" w:bottom="1440" w:gutter="0" w:footer="0" w:header="0"/>
        </w:sectPr>
      </w:pPr>
    </w:p>
    <w:bookmarkStart w:id="62" w:name="page63"/>
    <w:bookmarkEnd w:id="62"/>
    <w:p>
      <w:pPr>
        <w:ind w:left="752"/>
        <w:spacing w:after="0"/>
        <w:rPr>
          <w:sz w:val="20"/>
          <w:szCs w:val="20"/>
          <w:color w:val="auto"/>
        </w:rPr>
      </w:pPr>
      <w:r>
        <w:rPr>
          <w:rFonts w:ascii="Arial" w:cs="Arial" w:eastAsia="Arial" w:hAnsi="Arial"/>
          <w:sz w:val="18"/>
          <w:szCs w:val="18"/>
          <w:color w:val="auto"/>
        </w:rPr>
        <w:t>stainless steel plunger and F7846 sample cups</w:t>
      </w:r>
    </w:p>
    <w:p>
      <w:pPr>
        <w:spacing w:after="0" w:line="266" w:lineRule="exact"/>
        <w:rPr>
          <w:sz w:val="20"/>
          <w:szCs w:val="20"/>
          <w:color w:val="auto"/>
        </w:rPr>
      </w:pPr>
    </w:p>
    <w:p>
      <w:pPr>
        <w:ind w:left="752"/>
        <w:spacing w:after="0"/>
        <w:rPr>
          <w:sz w:val="20"/>
          <w:szCs w:val="20"/>
          <w:color w:val="auto"/>
        </w:rPr>
      </w:pPr>
      <w:r>
        <w:rPr>
          <w:rFonts w:ascii="Arial" w:cs="Arial" w:eastAsia="Arial" w:hAnsi="Arial"/>
          <w:sz w:val="18"/>
          <w:szCs w:val="18"/>
          <w:color w:val="auto"/>
        </w:rPr>
        <w:t>(8)Recommended instrument: Parallel Plate Rheometer, 10rad/sec, 1% strain</w:t>
      </w:r>
    </w:p>
    <w:p>
      <w:pPr>
        <w:spacing w:after="0" w:line="279" w:lineRule="exact"/>
        <w:rPr>
          <w:sz w:val="20"/>
          <w:szCs w:val="20"/>
          <w:color w:val="auto"/>
        </w:rPr>
      </w:pPr>
    </w:p>
    <w:p>
      <w:pPr>
        <w:jc w:val="both"/>
        <w:ind w:left="752" w:right="100"/>
        <w:spacing w:after="0" w:line="365" w:lineRule="auto"/>
        <w:rPr>
          <w:sz w:val="20"/>
          <w:szCs w:val="20"/>
          <w:color w:val="auto"/>
        </w:rPr>
      </w:pPr>
      <w:r>
        <w:rPr>
          <w:rFonts w:ascii="Arial" w:cs="Arial" w:eastAsia="Arial" w:hAnsi="Arial"/>
          <w:sz w:val="18"/>
          <w:szCs w:val="18"/>
          <w:color w:val="auto"/>
        </w:rPr>
        <w:t>(9)Type 00 durometer is not intended as a long term specification for this material. The specification of a Type 00 durometer shall be used as a benchmark during the material development process and as a Critical-to-Quality property for production batches until such time when the specification of Type 000 durometer LCL and UCL have been finalized. See note 4 above.</w:t>
      </w:r>
    </w:p>
    <w:p>
      <w:pPr>
        <w:spacing w:after="0" w:line="204" w:lineRule="exact"/>
        <w:rPr>
          <w:sz w:val="20"/>
          <w:szCs w:val="20"/>
          <w:color w:val="auto"/>
        </w:rPr>
      </w:pPr>
    </w:p>
    <w:p>
      <w:pPr>
        <w:ind w:left="752"/>
        <w:spacing w:after="0" w:line="371" w:lineRule="auto"/>
        <w:rPr>
          <w:sz w:val="20"/>
          <w:szCs w:val="20"/>
          <w:color w:val="auto"/>
        </w:rPr>
      </w:pPr>
      <w:r>
        <w:rPr>
          <w:rFonts w:ascii="Arial" w:cs="Arial" w:eastAsia="Arial" w:hAnsi="Arial"/>
          <w:sz w:val="18"/>
          <w:szCs w:val="18"/>
          <w:color w:val="auto"/>
        </w:rPr>
        <w:t>(10)Recommended instrument: PTC 412 Classic Style Durometer Type 000, 470 deadweight test stand, Fisher Scientific, Q8-732-104 aluminum dish, sample thickness should be 10 +/- 1mm</w:t>
      </w:r>
    </w:p>
    <w:p>
      <w:pPr>
        <w:spacing w:after="0" w:line="197" w:lineRule="exact"/>
        <w:rPr>
          <w:sz w:val="20"/>
          <w:szCs w:val="20"/>
          <w:color w:val="auto"/>
        </w:rPr>
      </w:pPr>
    </w:p>
    <w:p>
      <w:pPr>
        <w:ind w:left="752" w:right="20"/>
        <w:spacing w:after="0" w:line="363" w:lineRule="auto"/>
        <w:rPr>
          <w:sz w:val="20"/>
          <w:szCs w:val="20"/>
          <w:color w:val="auto"/>
        </w:rPr>
      </w:pPr>
      <w:r>
        <w:rPr>
          <w:rFonts w:ascii="Arial" w:cs="Arial" w:eastAsia="Arial" w:hAnsi="Arial"/>
          <w:sz w:val="18"/>
          <w:szCs w:val="18"/>
          <w:color w:val="auto"/>
        </w:rPr>
        <w:t>(11)The determination of Young’s modulus and Chord modulus (per ASTM E111) using tensile testing methods (per ASTM D412, standard dumbbell Type D412 C specimens, 0.5mm thick) shall be used as a benchmark during the material development process. In addition, Dow Corning shall furnish test data to Enphase Energy indicating elastic modulus (E'), loss modulus (E''), shear modulus (G'), and loss shear modulus (G'') of the material over the temperature range of -40 deg C to 115 deg C as measured using Dynamic Mechanical Analysis (DMA) methods (per ASTM D4065).</w:t>
      </w:r>
    </w:p>
    <w:p>
      <w:pPr>
        <w:spacing w:after="0" w:line="204" w:lineRule="exact"/>
        <w:rPr>
          <w:sz w:val="20"/>
          <w:szCs w:val="20"/>
          <w:color w:val="auto"/>
        </w:rPr>
      </w:pPr>
    </w:p>
    <w:p>
      <w:pPr>
        <w:ind w:left="752" w:right="360"/>
        <w:spacing w:after="0" w:line="371" w:lineRule="auto"/>
        <w:rPr>
          <w:sz w:val="20"/>
          <w:szCs w:val="20"/>
          <w:color w:val="auto"/>
        </w:rPr>
      </w:pPr>
      <w:r>
        <w:rPr>
          <w:rFonts w:ascii="Arial" w:cs="Arial" w:eastAsia="Arial" w:hAnsi="Arial"/>
          <w:sz w:val="18"/>
          <w:szCs w:val="18"/>
          <w:color w:val="auto"/>
        </w:rPr>
        <w:t>(12)Material property values listed as TBD shall be tested by Dow Corning and test data shall be furnished to Enphase Energy by June 30, 2014.</w:t>
      </w:r>
    </w:p>
    <w:p>
      <w:pPr>
        <w:spacing w:after="0" w:line="369" w:lineRule="exact"/>
        <w:rPr>
          <w:sz w:val="20"/>
          <w:szCs w:val="20"/>
          <w:color w:val="auto"/>
        </w:rPr>
      </w:pPr>
    </w:p>
    <w:p>
      <w:pPr>
        <w:ind w:left="-8" w:right="140" w:firstLine="8"/>
        <w:spacing w:after="0" w:line="282" w:lineRule="auto"/>
        <w:tabs>
          <w:tab w:leader="none" w:pos="42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92"/>
          </w:cols>
          <w:pgMar w:left="248" w:top="436" w:right="259" w:bottom="1440" w:gutter="0" w:footer="0" w:header="0"/>
        </w:sectPr>
      </w:pPr>
    </w:p>
    <w:bookmarkStart w:id="63" w:name="page64"/>
    <w:bookmarkEnd w:id="63"/>
    <w:p>
      <w:pPr>
        <w:ind w:right="260" w:firstLine="8"/>
        <w:spacing w:after="0" w:line="316" w:lineRule="auto"/>
        <w:tabs>
          <w:tab w:leader="none" w:pos="39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the</w:t>
      </w: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Dow Corning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3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First Amendment to the Supply Agreement (the “Amendment”), effective as of August 1, 2014 is made by and between Dow Corning Corporation, with its principal offices located at 2200 W. Salzburg Road, Midland, MI 48686 ("Dow Corning") and Enphase Energy, Inc. with its principal offices located at 1420 N. McDowell Blvd., Petaluma, CA 94954 (“Buyer”) and amends that certain Supply Agreement (Dow Corning Accession Number CW248785), made as of April 22, 2014 by and between Dow Corning and Buyer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promises contained in this First Amendment, the parties agree as follows:</w:t>
      </w:r>
    </w:p>
    <w:p>
      <w:pPr>
        <w:spacing w:after="0" w:line="22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full container load description has been amended. Section 6.1 will be replaced by the following:</w:t>
      </w:r>
    </w:p>
    <w:p>
      <w:pPr>
        <w:spacing w:after="0" w:line="229" w:lineRule="exact"/>
        <w:rPr>
          <w:rFonts w:ascii="Arial" w:cs="Arial" w:eastAsia="Arial" w:hAnsi="Arial"/>
          <w:sz w:val="20"/>
          <w:szCs w:val="20"/>
          <w:color w:val="auto"/>
        </w:rPr>
      </w:pPr>
    </w:p>
    <w:p>
      <w:pPr>
        <w:jc w:val="both"/>
        <w:ind w:left="660"/>
        <w:spacing w:after="0" w:line="274" w:lineRule="auto"/>
        <w:rPr>
          <w:rFonts w:ascii="Arial" w:cs="Arial" w:eastAsia="Arial" w:hAnsi="Arial"/>
          <w:sz w:val="20"/>
          <w:szCs w:val="20"/>
          <w:color w:val="auto"/>
        </w:rPr>
      </w:pPr>
      <w:r>
        <w:rPr>
          <w:rFonts w:ascii="Arial" w:cs="Arial" w:eastAsia="Arial" w:hAnsi="Arial"/>
          <w:sz w:val="18"/>
          <w:szCs w:val="18"/>
          <w:color w:val="auto"/>
        </w:rPr>
        <w:t>Freight terms are INCOTERMS 2010 [***] to Flextronics Electronics Technology(Shenzhen) Co., LTD # 89 Yong Fu Road, Tong Fu Yu Industrial Park, Fu Yong Town, Bao An District, Shenzhen, 518103 P.R. China or any other location agreed to by Buyer and Dow Corning. Title and risk of loss with respect to all Products shall pass to Buyer upon delivery pursuant to [***] terms. Except as set forth in Section 6.4, Dow Corning will deliver the Product(s) in full container loads (78 drums/39 kits, double stacked) from Dow Corning’s bonded warehouse in Hong Kong. Upon notification from Dow Corning for shipment release against a purchase order placed by Buyer to Dow Corning, Buyer or its designated agent must complete Import Customs Clearance and provide confirmation thereof to Dow Corning prior to completion of the shipment to Flextronics warehouse in Shenzhen, China.</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as specifically modified or amended hereby, the Agreement shall remain in full force and effect and, as modified or amended, is hereby ratified, confirmed and approved.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caused this First Amendment to be executed by their duly authorized officers.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340" w:type="dxa"/>
            <w:vAlign w:val="bottom"/>
            <w:gridSpan w:val="2"/>
          </w:tcPr>
          <w:p>
            <w:pPr>
              <w:spacing w:after="0"/>
              <w:rPr>
                <w:sz w:val="20"/>
                <w:szCs w:val="20"/>
                <w:color w:val="auto"/>
              </w:rPr>
            </w:pPr>
            <w:r>
              <w:rPr>
                <w:rFonts w:ascii="Arial" w:cs="Arial" w:eastAsia="Arial" w:hAnsi="Arial"/>
                <w:sz w:val="20"/>
                <w:szCs w:val="20"/>
                <w:b w:val="1"/>
                <w:bCs w:val="1"/>
                <w:color w:val="auto"/>
              </w:rPr>
              <w:t>DOW CORNING CORPORATION</w:t>
            </w:r>
          </w:p>
        </w:tc>
        <w:tc>
          <w:tcPr>
            <w:tcW w:w="6040" w:type="dxa"/>
            <w:vAlign w:val="bottom"/>
            <w:gridSpan w:val="2"/>
          </w:tcPr>
          <w:p>
            <w:pPr>
              <w:ind w:left="360"/>
              <w:spacing w:after="0"/>
              <w:rPr>
                <w:sz w:val="20"/>
                <w:szCs w:val="20"/>
                <w:color w:val="auto"/>
              </w:rPr>
            </w:pPr>
            <w:r>
              <w:rPr>
                <w:rFonts w:ascii="Arial" w:cs="Arial" w:eastAsia="Arial" w:hAnsi="Arial"/>
                <w:sz w:val="20"/>
                <w:szCs w:val="20"/>
                <w:b w:val="1"/>
                <w:bCs w:val="1"/>
                <w:color w:val="auto"/>
              </w:rPr>
              <w:t>ENPHASE ENERGY, INC.</w:t>
            </w:r>
          </w:p>
        </w:tc>
        <w:tc>
          <w:tcPr>
            <w:tcW w:w="0" w:type="dxa"/>
            <w:vAlign w:val="bottom"/>
          </w:tcPr>
          <w:p>
            <w:pPr>
              <w:spacing w:after="0"/>
              <w:rPr>
                <w:sz w:val="1"/>
                <w:szCs w:val="1"/>
                <w:color w:val="auto"/>
              </w:rPr>
            </w:pPr>
          </w:p>
        </w:tc>
      </w:tr>
      <w:tr>
        <w:trPr>
          <w:trHeight w:val="662"/>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0"/>
              <w:spacing w:after="0"/>
              <w:rPr>
                <w:sz w:val="20"/>
                <w:szCs w:val="20"/>
                <w:color w:val="auto"/>
              </w:rPr>
            </w:pPr>
            <w:r>
              <w:rPr>
                <w:rFonts w:ascii="Arial" w:cs="Arial" w:eastAsia="Arial" w:hAnsi="Arial"/>
                <w:sz w:val="22"/>
                <w:szCs w:val="22"/>
                <w:color w:val="auto"/>
              </w:rPr>
              <w:t>/s/ John E. Church</w:t>
            </w:r>
          </w:p>
        </w:tc>
        <w:tc>
          <w:tcPr>
            <w:tcW w:w="1480" w:type="dxa"/>
            <w:vAlign w:val="bottom"/>
          </w:tcPr>
          <w:p>
            <w:pPr>
              <w:ind w:left="360"/>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2"/>
                <w:szCs w:val="22"/>
                <w:color w:val="auto"/>
              </w:rPr>
              <w:t>/s/ Paul Nahi</w:t>
            </w: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1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220" w:type="dxa"/>
            <w:vAlign w:val="bottom"/>
            <w:vMerge w:val="restart"/>
          </w:tcPr>
          <w:p>
            <w:pPr>
              <w:ind w:left="20"/>
              <w:spacing w:after="0"/>
              <w:rPr>
                <w:sz w:val="20"/>
                <w:szCs w:val="20"/>
                <w:color w:val="auto"/>
              </w:rPr>
            </w:pPr>
            <w:r>
              <w:rPr>
                <w:rFonts w:ascii="Arial" w:cs="Arial" w:eastAsia="Arial" w:hAnsi="Arial"/>
                <w:sz w:val="22"/>
                <w:szCs w:val="22"/>
                <w:color w:val="auto"/>
              </w:rPr>
              <w:t>John E. Church</w:t>
            </w:r>
          </w:p>
        </w:tc>
        <w:tc>
          <w:tcPr>
            <w:tcW w:w="1480" w:type="dxa"/>
            <w:vAlign w:val="bottom"/>
            <w:vMerge w:val="restart"/>
          </w:tcPr>
          <w:p>
            <w:pPr>
              <w:ind w:left="360"/>
              <w:spacing w:after="0"/>
              <w:rPr>
                <w:sz w:val="20"/>
                <w:szCs w:val="20"/>
                <w:color w:val="auto"/>
              </w:rPr>
            </w:pPr>
            <w:r>
              <w:rPr>
                <w:rFonts w:ascii="Arial" w:cs="Arial" w:eastAsia="Arial" w:hAnsi="Arial"/>
                <w:sz w:val="20"/>
                <w:szCs w:val="20"/>
                <w:color w:val="auto"/>
              </w:rPr>
              <w:t>Name:</w:t>
            </w:r>
          </w:p>
        </w:tc>
        <w:tc>
          <w:tcPr>
            <w:tcW w:w="4560" w:type="dxa"/>
            <w:vAlign w:val="bottom"/>
          </w:tcPr>
          <w:p>
            <w:pPr>
              <w:ind w:left="20"/>
              <w:spacing w:after="0"/>
              <w:rPr>
                <w:sz w:val="20"/>
                <w:szCs w:val="20"/>
                <w:color w:val="auto"/>
              </w:rPr>
            </w:pPr>
            <w:r>
              <w:rPr>
                <w:rFonts w:ascii="Arial" w:cs="Arial" w:eastAsia="Arial" w:hAnsi="Arial"/>
                <w:sz w:val="22"/>
                <w:szCs w:val="22"/>
                <w:color w:val="auto"/>
              </w:rPr>
              <w:t>Paul Nahi</w:t>
            </w:r>
          </w:p>
        </w:tc>
        <w:tc>
          <w:tcPr>
            <w:tcW w:w="0" w:type="dxa"/>
            <w:vAlign w:val="bottom"/>
          </w:tcPr>
          <w:p>
            <w:pPr>
              <w:spacing w:after="0"/>
              <w:rPr>
                <w:sz w:val="1"/>
                <w:szCs w:val="1"/>
                <w:color w:val="auto"/>
              </w:rPr>
            </w:pPr>
          </w:p>
        </w:tc>
      </w:tr>
      <w:tr>
        <w:trPr>
          <w:trHeight w:val="92"/>
        </w:trPr>
        <w:tc>
          <w:tcPr>
            <w:tcW w:w="1120" w:type="dxa"/>
            <w:vAlign w:val="bottom"/>
            <w:vMerge w:val="continue"/>
          </w:tcPr>
          <w:p>
            <w:pPr>
              <w:spacing w:after="0"/>
              <w:rPr>
                <w:sz w:val="7"/>
                <w:szCs w:val="7"/>
                <w:color w:val="auto"/>
              </w:rPr>
            </w:pPr>
          </w:p>
        </w:tc>
        <w:tc>
          <w:tcPr>
            <w:tcW w:w="422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11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4220" w:type="dxa"/>
            <w:vAlign w:val="bottom"/>
            <w:vMerge w:val="restart"/>
          </w:tcPr>
          <w:p>
            <w:pPr>
              <w:ind w:left="20"/>
              <w:spacing w:after="0"/>
              <w:rPr>
                <w:sz w:val="20"/>
                <w:szCs w:val="20"/>
                <w:color w:val="auto"/>
              </w:rPr>
            </w:pPr>
            <w:r>
              <w:rPr>
                <w:rFonts w:ascii="Arial" w:cs="Arial" w:eastAsia="Arial" w:hAnsi="Arial"/>
                <w:sz w:val="22"/>
                <w:szCs w:val="22"/>
                <w:color w:val="auto"/>
              </w:rPr>
              <w:t>Sales Director</w:t>
            </w:r>
          </w:p>
        </w:tc>
        <w:tc>
          <w:tcPr>
            <w:tcW w:w="1480" w:type="dxa"/>
            <w:vAlign w:val="bottom"/>
            <w:vMerge w:val="restart"/>
          </w:tcPr>
          <w:p>
            <w:pPr>
              <w:ind w:left="360"/>
              <w:spacing w:after="0"/>
              <w:rPr>
                <w:sz w:val="20"/>
                <w:szCs w:val="20"/>
                <w:color w:val="auto"/>
              </w:rPr>
            </w:pPr>
            <w:r>
              <w:rPr>
                <w:rFonts w:ascii="Arial" w:cs="Arial" w:eastAsia="Arial" w:hAnsi="Arial"/>
                <w:sz w:val="20"/>
                <w:szCs w:val="20"/>
                <w:color w:val="auto"/>
              </w:rPr>
              <w:t>Title:</w:t>
            </w:r>
          </w:p>
        </w:tc>
        <w:tc>
          <w:tcPr>
            <w:tcW w:w="4560" w:type="dxa"/>
            <w:vAlign w:val="bottom"/>
          </w:tcPr>
          <w:p>
            <w:pPr>
              <w:ind w:left="20"/>
              <w:spacing w:after="0"/>
              <w:rPr>
                <w:sz w:val="20"/>
                <w:szCs w:val="20"/>
                <w:color w:val="auto"/>
              </w:rPr>
            </w:pPr>
            <w:r>
              <w:rPr>
                <w:rFonts w:ascii="Arial" w:cs="Arial" w:eastAsia="Arial" w:hAnsi="Arial"/>
                <w:sz w:val="22"/>
                <w:szCs w:val="22"/>
                <w:color w:val="auto"/>
              </w:rPr>
              <w:t>President &amp; CEO</w:t>
            </w:r>
          </w:p>
        </w:tc>
        <w:tc>
          <w:tcPr>
            <w:tcW w:w="0" w:type="dxa"/>
            <w:vAlign w:val="bottom"/>
          </w:tcPr>
          <w:p>
            <w:pPr>
              <w:spacing w:after="0"/>
              <w:rPr>
                <w:sz w:val="1"/>
                <w:szCs w:val="1"/>
                <w:color w:val="auto"/>
              </w:rPr>
            </w:pPr>
          </w:p>
        </w:tc>
      </w:tr>
      <w:tr>
        <w:trPr>
          <w:trHeight w:val="92"/>
        </w:trPr>
        <w:tc>
          <w:tcPr>
            <w:tcW w:w="1120" w:type="dxa"/>
            <w:vAlign w:val="bottom"/>
            <w:vMerge w:val="continue"/>
          </w:tcPr>
          <w:p>
            <w:pPr>
              <w:spacing w:after="0"/>
              <w:rPr>
                <w:sz w:val="7"/>
                <w:szCs w:val="7"/>
                <w:color w:val="auto"/>
              </w:rPr>
            </w:pPr>
          </w:p>
        </w:tc>
        <w:tc>
          <w:tcPr>
            <w:tcW w:w="422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20"/>
                <w:szCs w:val="20"/>
                <w:color w:val="auto"/>
              </w:rPr>
              <w:t>Date:</w:t>
            </w:r>
          </w:p>
        </w:tc>
        <w:tc>
          <w:tcPr>
            <w:tcW w:w="4220" w:type="dxa"/>
            <w:vAlign w:val="bottom"/>
          </w:tcPr>
          <w:p>
            <w:pPr>
              <w:ind w:left="20"/>
              <w:spacing w:after="0"/>
              <w:rPr>
                <w:sz w:val="20"/>
                <w:szCs w:val="20"/>
                <w:color w:val="auto"/>
              </w:rPr>
            </w:pPr>
            <w:r>
              <w:rPr>
                <w:rFonts w:ascii="Arial" w:cs="Arial" w:eastAsia="Arial" w:hAnsi="Arial"/>
                <w:sz w:val="22"/>
                <w:szCs w:val="22"/>
                <w:color w:val="auto"/>
              </w:rPr>
              <w:t>July 30, 2014</w:t>
            </w:r>
          </w:p>
        </w:tc>
        <w:tc>
          <w:tcPr>
            <w:tcW w:w="1480" w:type="dxa"/>
            <w:vAlign w:val="bottom"/>
          </w:tcPr>
          <w:p>
            <w:pPr>
              <w:ind w:left="360"/>
              <w:spacing w:after="0"/>
              <w:rPr>
                <w:sz w:val="20"/>
                <w:szCs w:val="20"/>
                <w:color w:val="auto"/>
              </w:rPr>
            </w:pPr>
            <w:r>
              <w:rPr>
                <w:rFonts w:ascii="Arial" w:cs="Arial" w:eastAsia="Arial" w:hAnsi="Arial"/>
                <w:sz w:val="20"/>
                <w:szCs w:val="20"/>
                <w:color w:val="auto"/>
              </w:rPr>
              <w:t>Date:</w:t>
            </w:r>
          </w:p>
        </w:tc>
        <w:tc>
          <w:tcPr>
            <w:tcW w:w="4560" w:type="dxa"/>
            <w:vAlign w:val="bottom"/>
          </w:tcPr>
          <w:p>
            <w:pPr>
              <w:ind w:left="20"/>
              <w:spacing w:after="0"/>
              <w:rPr>
                <w:sz w:val="20"/>
                <w:szCs w:val="20"/>
                <w:color w:val="auto"/>
              </w:rPr>
            </w:pPr>
            <w:r>
              <w:rPr>
                <w:rFonts w:ascii="Arial" w:cs="Arial" w:eastAsia="Arial" w:hAnsi="Arial"/>
                <w:sz w:val="22"/>
                <w:szCs w:val="22"/>
                <w:color w:val="auto"/>
              </w:rPr>
              <w:t>July 23, 2014</w:t>
            </w: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 w:right="239" w:bottom="1440" w:gutter="0" w:footer="0" w:header="0"/>
        </w:sectPr>
      </w:pPr>
    </w:p>
    <w:bookmarkStart w:id="64" w:name="page65"/>
    <w:bookmarkEnd w:id="64"/>
    <w:p>
      <w:pPr>
        <w:ind w:left="10480"/>
        <w:spacing w:after="0"/>
        <w:rPr>
          <w:sz w:val="20"/>
          <w:szCs w:val="20"/>
          <w:color w:val="auto"/>
        </w:rPr>
      </w:pPr>
      <w:r>
        <w:rPr>
          <w:rFonts w:ascii="Arial" w:cs="Arial" w:eastAsia="Arial" w:hAnsi="Arial"/>
          <w:sz w:val="16"/>
          <w:szCs w:val="16"/>
          <w:b w:val="1"/>
          <w:bCs w:val="1"/>
          <w:color w:val="auto"/>
        </w:rPr>
        <w:t>Exhibit 10.4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Dow Corning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3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Second Amendment to the Supply Agreement (the “Second Amendment”), effective as of June 30, 2015 is made by and between Dow Corning Corporation, with its principal offices located at 2200 W. Salzburg Road, Midland, MI 48686 ("Dow Corning") and Enphase Energy, Inc. with its principal offices located at 1420 N. McDowell Blvd., Petaluma, CA 94954 (“Buyer”) and amends that certain Supply Agreement (Dow Corning Accession Number CW248785), made as of April 22, 2014 by and between Dow Corning and Buyer (as amended as of August 1, 2014,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promises contained in this Second Amendment, the parties agree as follows:</w:t>
      </w:r>
    </w:p>
    <w:p>
      <w:pPr>
        <w:spacing w:after="0" w:line="229" w:lineRule="exact"/>
        <w:rPr>
          <w:sz w:val="20"/>
          <w:szCs w:val="20"/>
          <w:color w:val="auto"/>
        </w:rPr>
      </w:pPr>
    </w:p>
    <w:p>
      <w:pPr>
        <w:ind w:left="340" w:hanging="332"/>
        <w:spacing w:after="0" w:line="260" w:lineRule="auto"/>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Pursuant to Section 1.1 of the Agreement, the Agreement is hereby extended for a three-year Renewal Term, from January 1, 2016 through December 31, 2018.</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Exhibit A to the Agreement is hereby deleted in its entirety and replaced by Exhibit A to this Second Amendment.</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Section 3.1 is hereby deleted in its entirety and replaced by the following:</w:t>
      </w:r>
    </w:p>
    <w:p>
      <w:pPr>
        <w:spacing w:after="0" w:line="223" w:lineRule="exact"/>
        <w:rPr>
          <w:sz w:val="20"/>
          <w:szCs w:val="20"/>
          <w:color w:val="auto"/>
        </w:rPr>
      </w:pPr>
    </w:p>
    <w:p>
      <w:pPr>
        <w:jc w:val="both"/>
        <w:ind w:left="1140" w:hanging="485"/>
        <w:spacing w:after="0" w:line="260" w:lineRule="auto"/>
        <w:tabs>
          <w:tab w:leader="none" w:pos="11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The Product(s) will meet the Dow Corning Product Specifications (the “</w:t>
      </w:r>
      <w:r>
        <w:rPr>
          <w:rFonts w:ascii="Arial" w:cs="Arial" w:eastAsia="Arial" w:hAnsi="Arial"/>
          <w:sz w:val="19"/>
          <w:szCs w:val="19"/>
          <w:b w:val="1"/>
          <w:bCs w:val="1"/>
          <w:color w:val="auto"/>
        </w:rPr>
        <w:t>Product Specifications</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No changes to the Product Specifications will be implemented without agreement by both Parties. The “</w:t>
      </w:r>
      <w:r>
        <w:rPr>
          <w:rFonts w:ascii="Arial" w:cs="Arial" w:eastAsia="Arial" w:hAnsi="Arial"/>
          <w:sz w:val="19"/>
          <w:szCs w:val="19"/>
          <w:b w:val="1"/>
          <w:bCs w:val="1"/>
          <w:color w:val="auto"/>
        </w:rPr>
        <w:t>Minimum Shelf-Life</w:t>
      </w:r>
      <w:r>
        <w:rPr>
          <w:rFonts w:ascii="Arial" w:cs="Arial" w:eastAsia="Arial" w:hAnsi="Arial"/>
          <w:sz w:val="19"/>
          <w:szCs w:val="19"/>
          <w:color w:val="auto"/>
        </w:rPr>
        <w:t>” for the Product(s) will be at least twelve (12) months from the date of shipment of the Product(s) to Buyer.” In the case that shipping delays, changes in forecast, or other actions result in Dow Corning having stock of material that does not meet the Minimum Shelf-Life, Dow Corning will submit a waiver to Enphase for all shipments that do not meet the Minimum Shelf-Life, and Buyer and Dow Corning will work together in good faith to facilitate Buyer’s acceptance of the Product.</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Section 5.2 is hereby deleted in its entirety and replaced by the following:</w:t>
      </w:r>
    </w:p>
    <w:p>
      <w:pPr>
        <w:spacing w:after="0" w:line="229" w:lineRule="exact"/>
        <w:rPr>
          <w:sz w:val="20"/>
          <w:szCs w:val="20"/>
          <w:color w:val="auto"/>
        </w:rPr>
      </w:pPr>
    </w:p>
    <w:p>
      <w:pPr>
        <w:jc w:val="both"/>
        <w:ind w:left="1140" w:hanging="485"/>
        <w:spacing w:after="0" w:line="263" w:lineRule="auto"/>
        <w:tabs>
          <w:tab w:leader="none" w:pos="11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This Agreement is a take or pay agreement. Buyer is absolutely and irrevocably required to purchase, cumulatively, [***] kg of Product (the “Minimum Volume Commitment”) between January 1, 2015 and December 31, 2018. If Buyer fails to purchase the Minimum Volume Commitment before December 31, 2018, then Dow Corning will issue an invoice to Buyer in an amount equal to $[***]/kg for each kilogram of Product that Buyer has failed to purchase (the price per kilogram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1" w:lineRule="exact"/>
        <w:rPr>
          <w:sz w:val="20"/>
          <w:szCs w:val="20"/>
          <w:color w:val="auto"/>
        </w:rPr>
      </w:pPr>
    </w:p>
    <w:p>
      <w:pPr>
        <w:ind w:right="160" w:firstLine="8"/>
        <w:spacing w:after="0" w:line="282" w:lineRule="auto"/>
        <w:tabs>
          <w:tab w:leader="none" w:pos="43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350" w:right="239" w:bottom="1440" w:gutter="0" w:footer="0" w:header="0"/>
        </w:sectPr>
      </w:pPr>
    </w:p>
    <w:bookmarkStart w:id="65" w:name="page66"/>
    <w:bookmarkEnd w:id="65"/>
    <w:p>
      <w:pPr>
        <w:ind w:left="1140"/>
        <w:spacing w:after="0" w:line="281" w:lineRule="auto"/>
        <w:rPr>
          <w:sz w:val="20"/>
          <w:szCs w:val="20"/>
          <w:color w:val="auto"/>
        </w:rPr>
      </w:pPr>
      <w:r>
        <w:rPr>
          <w:rFonts w:ascii="Arial" w:cs="Arial" w:eastAsia="Arial" w:hAnsi="Arial"/>
          <w:sz w:val="19"/>
          <w:szCs w:val="19"/>
          <w:color w:val="auto"/>
        </w:rPr>
        <w:t>Product in [***]), and Buyer shall pay such invoice in accordance with this Agreement. Buyer may not count any volume in excess of [***] kg of Product toward the Minimum Volume Commitment in [***], and may not count any volume in excess of</w:t>
      </w:r>
    </w:p>
    <w:p>
      <w:pPr>
        <w:spacing w:after="0" w:line="2" w:lineRule="exact"/>
        <w:rPr>
          <w:sz w:val="20"/>
          <w:szCs w:val="20"/>
          <w:color w:val="auto"/>
        </w:rPr>
      </w:pPr>
    </w:p>
    <w:p>
      <w:pPr>
        <w:ind w:left="1620" w:hanging="478"/>
        <w:spacing w:after="0"/>
        <w:tabs>
          <w:tab w:leader="none" w:pos="16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kg of Product toward the Minimum Volume Commitment in [***].</w:t>
      </w:r>
    </w:p>
    <w:p>
      <w:pPr>
        <w:spacing w:after="0" w:line="242" w:lineRule="exact"/>
        <w:rPr>
          <w:rFonts w:ascii="Arial" w:cs="Arial" w:eastAsia="Arial" w:hAnsi="Arial"/>
          <w:sz w:val="20"/>
          <w:szCs w:val="20"/>
          <w:color w:val="auto"/>
        </w:rPr>
      </w:pPr>
    </w:p>
    <w:p>
      <w:pPr>
        <w:ind w:left="340" w:hanging="332"/>
        <w:spacing w:after="0"/>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Section 5.5 is hereby added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1" w:lineRule="exact"/>
        <w:rPr>
          <w:sz w:val="20"/>
          <w:szCs w:val="20"/>
          <w:color w:val="auto"/>
        </w:rPr>
      </w:pPr>
    </w:p>
    <w:p>
      <w:pPr>
        <w:ind w:right="160" w:firstLine="8"/>
        <w:spacing w:after="0" w:line="282" w:lineRule="auto"/>
        <w:tabs>
          <w:tab w:leader="none" w:pos="43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365" w:right="239" w:bottom="1440" w:gutter="0" w:footer="0" w:header="0"/>
        </w:sectPr>
      </w:pPr>
    </w:p>
    <w:bookmarkStart w:id="66" w:name="page67"/>
    <w:bookmarkEnd w:id="66"/>
    <w:p>
      <w:pPr>
        <w:ind w:left="1140" w:right="20" w:hanging="485"/>
        <w:spacing w:after="0" w:line="316" w:lineRule="auto"/>
        <w:tabs>
          <w:tab w:leader="none" w:pos="11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In addition to the other volume commitments specified herein, Buyer shall purchase all of its requirements for silicon potting materials used to fill or encapsulate microinverter products exclusively from Dow Corning through December 31, 2018.</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Section 6 is hereby deleted in its entirety and replaced by the following:</w:t>
      </w:r>
    </w:p>
    <w:p>
      <w:pPr>
        <w:spacing w:after="0" w:line="229"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Freight terms are INCOTERMS 2010 [***] to, at Buyer’s option pursuant to notice in Buyer’s purchase order issued pursuant to</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7, any of the following locations:</w:t>
      </w:r>
    </w:p>
    <w:p>
      <w:pPr>
        <w:spacing w:after="0" w:line="38" w:lineRule="exact"/>
        <w:rPr>
          <w:sz w:val="20"/>
          <w:szCs w:val="20"/>
          <w:color w:val="auto"/>
        </w:rPr>
      </w:pPr>
    </w:p>
    <w:p>
      <w:pPr>
        <w:ind w:left="1460" w:hanging="318"/>
        <w:spacing w:after="0"/>
        <w:tabs>
          <w:tab w:leader="none" w:pos="14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Flextronics Electronics Technology (Shenzhen) Co., Ltd.</w:t>
      </w:r>
    </w:p>
    <w:p>
      <w:pPr>
        <w:spacing w:after="0" w:line="15" w:lineRule="exact"/>
        <w:rPr>
          <w:rFonts w:ascii="Arial" w:cs="Arial" w:eastAsia="Arial" w:hAnsi="Arial"/>
          <w:sz w:val="20"/>
          <w:szCs w:val="20"/>
          <w:color w:val="auto"/>
        </w:rPr>
      </w:pPr>
    </w:p>
    <w:p>
      <w:pPr>
        <w:ind w:left="1460" w:right="4840"/>
        <w:spacing w:after="0" w:line="244" w:lineRule="auto"/>
        <w:rPr>
          <w:rFonts w:ascii="Arial" w:cs="Arial" w:eastAsia="Arial" w:hAnsi="Arial"/>
          <w:sz w:val="20"/>
          <w:szCs w:val="20"/>
          <w:color w:val="auto"/>
        </w:rPr>
      </w:pPr>
      <w:r>
        <w:rPr>
          <w:rFonts w:ascii="Arial" w:cs="Arial" w:eastAsia="Arial" w:hAnsi="Arial"/>
          <w:sz w:val="20"/>
          <w:szCs w:val="20"/>
          <w:color w:val="auto"/>
        </w:rPr>
        <w:t># 89 Yong Fu Road, Tong Fu Yu Industrial Park, Fu Yong Town, Bao An District, Shenzhen, 518103 P.R. China</w:t>
      </w:r>
    </w:p>
    <w:p>
      <w:pPr>
        <w:spacing w:after="0" w:line="29" w:lineRule="exact"/>
        <w:rPr>
          <w:rFonts w:ascii="Arial" w:cs="Arial" w:eastAsia="Arial" w:hAnsi="Arial"/>
          <w:sz w:val="20"/>
          <w:szCs w:val="20"/>
          <w:color w:val="auto"/>
        </w:rPr>
      </w:pPr>
    </w:p>
    <w:p>
      <w:pPr>
        <w:ind w:left="1460" w:hanging="318"/>
        <w:spacing w:after="0"/>
        <w:tabs>
          <w:tab w:leader="none" w:pos="14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Flextronics International</w:t>
      </w:r>
    </w:p>
    <w:p>
      <w:pPr>
        <w:spacing w:after="0" w:line="15" w:lineRule="exact"/>
        <w:rPr>
          <w:rFonts w:ascii="Arial" w:cs="Arial" w:eastAsia="Arial" w:hAnsi="Arial"/>
          <w:sz w:val="20"/>
          <w:szCs w:val="20"/>
          <w:color w:val="auto"/>
        </w:rPr>
      </w:pPr>
    </w:p>
    <w:p>
      <w:pPr>
        <w:ind w:left="1460"/>
        <w:spacing w:after="0"/>
        <w:rPr>
          <w:rFonts w:ascii="Arial" w:cs="Arial" w:eastAsia="Arial" w:hAnsi="Arial"/>
          <w:sz w:val="20"/>
          <w:szCs w:val="20"/>
          <w:color w:val="auto"/>
        </w:rPr>
      </w:pPr>
      <w:r>
        <w:rPr>
          <w:rFonts w:ascii="Arial" w:cs="Arial" w:eastAsia="Arial" w:hAnsi="Arial"/>
          <w:sz w:val="20"/>
          <w:szCs w:val="20"/>
          <w:color w:val="auto"/>
        </w:rPr>
        <w:t>260 South Milpitas Blvd, Bldg 15, Doc 12, Milpitas CA 95035</w:t>
      </w:r>
    </w:p>
    <w:p>
      <w:pPr>
        <w:spacing w:after="0" w:line="37" w:lineRule="exact"/>
        <w:rPr>
          <w:rFonts w:ascii="Arial" w:cs="Arial" w:eastAsia="Arial" w:hAnsi="Arial"/>
          <w:sz w:val="20"/>
          <w:szCs w:val="20"/>
          <w:color w:val="auto"/>
        </w:rPr>
      </w:pPr>
    </w:p>
    <w:p>
      <w:pPr>
        <w:ind w:left="1460" w:right="6040" w:hanging="318"/>
        <w:spacing w:after="0" w:line="291" w:lineRule="auto"/>
        <w:tabs>
          <w:tab w:leader="none" w:pos="14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Flextronics Technologies Mexico S de RL de CV Prol. Av. López Mateos Sur 2915 m. 6.5 Tlajomulco de Zúñiga, Jalisco, México 45640</w:t>
      </w:r>
    </w:p>
    <w:p>
      <w:pPr>
        <w:spacing w:after="0" w:line="2" w:lineRule="exact"/>
        <w:rPr>
          <w:rFonts w:ascii="Arial" w:cs="Arial" w:eastAsia="Arial" w:hAnsi="Arial"/>
          <w:sz w:val="19"/>
          <w:szCs w:val="19"/>
          <w:color w:val="auto"/>
        </w:rPr>
      </w:pPr>
    </w:p>
    <w:p>
      <w:pPr>
        <w:ind w:left="1460" w:hanging="318"/>
        <w:spacing w:after="0"/>
        <w:tabs>
          <w:tab w:leader="none" w:pos="14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or any other location agreed to by Buyer and Dow Corning.</w:t>
      </w:r>
    </w:p>
    <w:p>
      <w:pPr>
        <w:spacing w:after="0" w:line="229" w:lineRule="exact"/>
        <w:rPr>
          <w:sz w:val="20"/>
          <w:szCs w:val="20"/>
          <w:color w:val="auto"/>
        </w:rPr>
      </w:pPr>
    </w:p>
    <w:p>
      <w:pPr>
        <w:ind w:left="1140" w:right="80"/>
        <w:spacing w:after="0" w:line="259" w:lineRule="auto"/>
        <w:rPr>
          <w:sz w:val="20"/>
          <w:szCs w:val="20"/>
          <w:color w:val="auto"/>
        </w:rPr>
      </w:pPr>
      <w:r>
        <w:rPr>
          <w:rFonts w:ascii="Arial" w:cs="Arial" w:eastAsia="Arial" w:hAnsi="Arial"/>
          <w:sz w:val="19"/>
          <w:szCs w:val="19"/>
          <w:color w:val="auto"/>
        </w:rPr>
        <w:t>Title and risk of loss with respect to all Products shall pass to Buyer upon delivery pursuant to [***] terms. Except as set forth in Section 6.4, Dow Corning will deliver the Product(s) in full container loads (which shall be (a) for deliveries to Shenzhen and Guadalajara, 78 drums/39 kits, double stacked, and (b) for deliveries to Milpitas, 39 drums). For shipments to Shenzhen, upon notification from Dow Corning for shipment release against a purchase order placed by Buyer to Dow Corning, Buyer or its designated agent must complete Import Customs Clearance and provide confirmation thereof to Dow Corning prior to completion of the shipment to Flextronics warehouse in Shenzhen, China.</w:t>
      </w:r>
    </w:p>
    <w:p>
      <w:pPr>
        <w:spacing w:after="0" w:line="192" w:lineRule="exact"/>
        <w:rPr>
          <w:sz w:val="20"/>
          <w:szCs w:val="20"/>
          <w:color w:val="auto"/>
        </w:rPr>
      </w:pPr>
    </w:p>
    <w:p>
      <w:pPr>
        <w:jc w:val="both"/>
        <w:ind w:left="1140" w:hanging="485"/>
        <w:spacing w:after="0" w:line="250" w:lineRule="auto"/>
        <w:tabs>
          <w:tab w:leader="none" w:pos="1120" w:val="left"/>
        </w:tabs>
        <w:rPr>
          <w:sz w:val="20"/>
          <w:szCs w:val="20"/>
          <w:color w:val="auto"/>
        </w:rPr>
      </w:pPr>
      <w:r>
        <w:rPr>
          <w:rFonts w:ascii="Arial" w:cs="Arial" w:eastAsia="Arial" w:hAnsi="Arial"/>
          <w:sz w:val="20"/>
          <w:szCs w:val="20"/>
          <w:color w:val="auto"/>
        </w:rPr>
        <w:t>6.2</w:t>
        <w:tab/>
        <w:t>For rush orders (with requested shipping date less than fifteen (15) business days prior to order, per Section 7 below), freight terms are INCOTERMS 2010 FCA Dow Corning’s warehouse in either Hong Kong, Mexico City or Carrolton, KY (at Dow Corning’s discretion and based upon stock and availability at such time).</w:t>
      </w:r>
    </w:p>
    <w:p>
      <w:pPr>
        <w:spacing w:after="0" w:line="2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Dow Corning will select the carrier and the routing.</w:t>
      </w:r>
    </w:p>
    <w:p>
      <w:pPr>
        <w:spacing w:after="0" w:line="229" w:lineRule="exact"/>
        <w:rPr>
          <w:sz w:val="20"/>
          <w:szCs w:val="20"/>
          <w:color w:val="auto"/>
        </w:rPr>
      </w:pPr>
    </w:p>
    <w:p>
      <w:pPr>
        <w:jc w:val="both"/>
        <w:ind w:left="1140" w:hanging="485"/>
        <w:spacing w:after="0" w:line="250" w:lineRule="auto"/>
        <w:tabs>
          <w:tab w:leader="none" w:pos="1120" w:val="left"/>
        </w:tabs>
        <w:rPr>
          <w:sz w:val="20"/>
          <w:szCs w:val="20"/>
          <w:color w:val="auto"/>
        </w:rPr>
      </w:pPr>
      <w:r>
        <w:rPr>
          <w:rFonts w:ascii="Arial" w:cs="Arial" w:eastAsia="Arial" w:hAnsi="Arial"/>
          <w:sz w:val="20"/>
          <w:szCs w:val="20"/>
          <w:color w:val="auto"/>
        </w:rPr>
        <w:t>6.4</w:t>
        <w:tab/>
        <w:t>In the event Buyer requests shipments in increments smaller than full container loads, freight terms are INCOTERMS 2010 FCA Dow Corning’s warehouse in either Hong Kong, Mexico City or Carrolton, KY (at Dow Corning’s discretion and based upon stock and availability at such time).</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Section 8 of the Agreement is hereby deleted in its entirety and replaced with the following:</w:t>
      </w:r>
    </w:p>
    <w:p>
      <w:pPr>
        <w:spacing w:after="0" w:line="229"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On the first (1</w:t>
      </w:r>
      <w:r>
        <w:rPr>
          <w:rFonts w:ascii="Arial" w:cs="Arial" w:eastAsia="Arial" w:hAnsi="Arial"/>
          <w:sz w:val="23"/>
          <w:szCs w:val="23"/>
          <w:color w:val="auto"/>
          <w:vertAlign w:val="superscript"/>
        </w:rPr>
        <w:t>st</w:t>
      </w:r>
      <w:r>
        <w:rPr>
          <w:rFonts w:ascii="Arial" w:cs="Arial" w:eastAsia="Arial" w:hAnsi="Arial"/>
          <w:sz w:val="18"/>
          <w:szCs w:val="18"/>
          <w:color w:val="auto"/>
        </w:rPr>
        <w:t>) business day of each month, Buyer will provide Dow Corning a six-month rolling forecast of purchases for each Product for each shipping destination. Only the first month of each six-month forecast will be considered a binding commitment on the part of Buyer to purchase and of Dow Corning to supply the corresponding volume of Product(s) subject to the Quantity provisions set forth in this Agreement; the balance of such six-month forecast is for planning purposes only.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1" w:lineRule="exact"/>
        <w:rPr>
          <w:sz w:val="20"/>
          <w:szCs w:val="20"/>
          <w:color w:val="auto"/>
        </w:rPr>
      </w:pPr>
    </w:p>
    <w:p>
      <w:pPr>
        <w:ind w:right="160" w:firstLine="8"/>
        <w:spacing w:after="0" w:line="282" w:lineRule="auto"/>
        <w:tabs>
          <w:tab w:leader="none" w:pos="43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366" w:right="239" w:bottom="1440" w:gutter="0" w:footer="0" w:header="0"/>
        </w:sectPr>
      </w:pPr>
    </w:p>
    <w:bookmarkStart w:id="67" w:name="page68"/>
    <w:bookmarkEnd w:id="67"/>
    <w:p>
      <w:pPr>
        <w:jc w:val="both"/>
        <w:ind w:left="1140" w:hanging="485"/>
        <w:spacing w:after="0" w:line="250" w:lineRule="auto"/>
        <w:tabs>
          <w:tab w:leader="none" w:pos="1120" w:val="left"/>
        </w:tabs>
        <w:rPr>
          <w:sz w:val="20"/>
          <w:szCs w:val="20"/>
          <w:color w:val="auto"/>
        </w:rPr>
      </w:pPr>
      <w:r>
        <w:rPr>
          <w:rFonts w:ascii="Arial" w:cs="Arial" w:eastAsia="Arial" w:hAnsi="Arial"/>
          <w:sz w:val="20"/>
          <w:szCs w:val="20"/>
          <w:color w:val="auto"/>
        </w:rPr>
        <w:t>8.2</w:t>
        <w:tab/>
        <w:t>If Buyer desires to purchase more than (a) [***] kg of Product in any calendar month of the Term, or (b) [***] kg of Product in any calendar year of the Term, Buyer shall provide notice to Dow Corning at least 180 days prior to its volume requirements exceeding such amount.</w:t>
      </w:r>
    </w:p>
    <w:p>
      <w:pPr>
        <w:spacing w:after="0" w:line="200" w:lineRule="exact"/>
        <w:rPr>
          <w:sz w:val="20"/>
          <w:szCs w:val="20"/>
          <w:color w:val="auto"/>
        </w:rPr>
      </w:pP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as specifically modified or amended hereby, the Agreement shall remain in full force and effect and, as modified or amended, is hereby ratified, confirmed and approved.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caused this Second Amendment to be executed by their duly authorized officers.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340" w:type="dxa"/>
            <w:vAlign w:val="bottom"/>
            <w:gridSpan w:val="2"/>
          </w:tcPr>
          <w:p>
            <w:pPr>
              <w:spacing w:after="0"/>
              <w:rPr>
                <w:sz w:val="20"/>
                <w:szCs w:val="20"/>
                <w:color w:val="auto"/>
              </w:rPr>
            </w:pPr>
            <w:r>
              <w:rPr>
                <w:rFonts w:ascii="Arial" w:cs="Arial" w:eastAsia="Arial" w:hAnsi="Arial"/>
                <w:sz w:val="20"/>
                <w:szCs w:val="20"/>
                <w:b w:val="1"/>
                <w:bCs w:val="1"/>
                <w:color w:val="auto"/>
              </w:rPr>
              <w:t>DOW CORNING CORPORATION</w:t>
            </w:r>
          </w:p>
        </w:tc>
        <w:tc>
          <w:tcPr>
            <w:tcW w:w="6040" w:type="dxa"/>
            <w:vAlign w:val="bottom"/>
            <w:gridSpan w:val="2"/>
          </w:tcPr>
          <w:p>
            <w:pPr>
              <w:ind w:left="360"/>
              <w:spacing w:after="0"/>
              <w:rPr>
                <w:sz w:val="20"/>
                <w:szCs w:val="20"/>
                <w:color w:val="auto"/>
              </w:rPr>
            </w:pPr>
            <w:r>
              <w:rPr>
                <w:rFonts w:ascii="Arial" w:cs="Arial" w:eastAsia="Arial" w:hAnsi="Arial"/>
                <w:sz w:val="20"/>
                <w:szCs w:val="20"/>
                <w:b w:val="1"/>
                <w:bCs w:val="1"/>
                <w:color w:val="auto"/>
              </w:rPr>
              <w:t>ENPHASE ENERGY, INC.</w:t>
            </w:r>
          </w:p>
        </w:tc>
      </w:tr>
      <w:tr>
        <w:trPr>
          <w:trHeight w:val="678"/>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 Church</w:t>
            </w:r>
          </w:p>
        </w:tc>
        <w:tc>
          <w:tcPr>
            <w:tcW w:w="1480" w:type="dxa"/>
            <w:vAlign w:val="bottom"/>
          </w:tcPr>
          <w:p>
            <w:pPr>
              <w:ind w:left="36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Paul Nahi</w:t>
            </w:r>
          </w:p>
        </w:tc>
      </w:tr>
      <w:tr>
        <w:trPr>
          <w:trHeight w:val="372"/>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John E. Church</w:t>
            </w:r>
          </w:p>
        </w:tc>
        <w:tc>
          <w:tcPr>
            <w:tcW w:w="1480" w:type="dxa"/>
            <w:vAlign w:val="bottom"/>
          </w:tcPr>
          <w:p>
            <w:pPr>
              <w:ind w:left="360"/>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Paul Nahi</w:t>
            </w:r>
          </w:p>
        </w:tc>
      </w:tr>
      <w:tr>
        <w:trPr>
          <w:trHeight w:val="372"/>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North America - Sales Director</w:t>
            </w:r>
          </w:p>
        </w:tc>
        <w:tc>
          <w:tcPr>
            <w:tcW w:w="1480" w:type="dxa"/>
            <w:vAlign w:val="bottom"/>
          </w:tcPr>
          <w:p>
            <w:pPr>
              <w:ind w:left="360"/>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&amp; CEO</w:t>
            </w:r>
          </w:p>
        </w:tc>
      </w:tr>
      <w:tr>
        <w:trPr>
          <w:trHeight w:val="345"/>
        </w:trPr>
        <w:tc>
          <w:tcPr>
            <w:tcW w:w="1120" w:type="dxa"/>
            <w:vAlign w:val="bottom"/>
          </w:tcPr>
          <w:p>
            <w:pPr>
              <w:spacing w:after="0"/>
              <w:rPr>
                <w:sz w:val="20"/>
                <w:szCs w:val="20"/>
                <w:color w:val="auto"/>
              </w:rPr>
            </w:pPr>
            <w:r>
              <w:rPr>
                <w:rFonts w:ascii="Arial" w:cs="Arial" w:eastAsia="Arial" w:hAnsi="Arial"/>
                <w:sz w:val="20"/>
                <w:szCs w:val="20"/>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28, 2015</w:t>
            </w:r>
          </w:p>
        </w:tc>
        <w:tc>
          <w:tcPr>
            <w:tcW w:w="1480" w:type="dxa"/>
            <w:vAlign w:val="bottom"/>
          </w:tcPr>
          <w:p>
            <w:pPr>
              <w:ind w:left="360"/>
              <w:spacing w:after="0"/>
              <w:rPr>
                <w:sz w:val="20"/>
                <w:szCs w:val="20"/>
                <w:color w:val="auto"/>
              </w:rPr>
            </w:pPr>
            <w:r>
              <w:rPr>
                <w:rFonts w:ascii="Arial" w:cs="Arial" w:eastAsia="Arial" w:hAnsi="Arial"/>
                <w:sz w:val="20"/>
                <w:szCs w:val="20"/>
                <w:color w:val="auto"/>
              </w:rPr>
              <w:t>Date:</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23,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1" w:lineRule="exact"/>
        <w:rPr>
          <w:sz w:val="20"/>
          <w:szCs w:val="20"/>
          <w:color w:val="auto"/>
        </w:rPr>
      </w:pPr>
    </w:p>
    <w:p>
      <w:pPr>
        <w:ind w:right="160" w:firstLine="8"/>
        <w:spacing w:after="0" w:line="282" w:lineRule="auto"/>
        <w:tabs>
          <w:tab w:leader="none" w:pos="43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595" w:right="239" w:bottom="1440" w:gutter="0" w:footer="0" w:header="0"/>
        </w:sectPr>
      </w:pPr>
    </w:p>
    <w:bookmarkStart w:id="68" w:name="page69"/>
    <w:bookmarkEnd w:id="68"/>
    <w:p>
      <w:pPr>
        <w:jc w:val="center"/>
        <w:ind w:right="6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PRODUCT(S), CONTAINERS AND PRICES</w:t>
      </w: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26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Product</w:t>
            </w:r>
          </w:p>
        </w:tc>
        <w:tc>
          <w:tcPr>
            <w:tcW w:w="3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Container</w:t>
            </w:r>
          </w:p>
        </w:tc>
        <w:tc>
          <w:tcPr>
            <w:tcW w:w="2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Period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Price/ KG</w:t>
            </w:r>
          </w:p>
        </w:tc>
        <w:tc>
          <w:tcPr>
            <w:tcW w:w="0" w:type="dxa"/>
            <w:vAlign w:val="bottom"/>
          </w:tcPr>
          <w:p>
            <w:pPr>
              <w:spacing w:after="0"/>
              <w:rPr>
                <w:sz w:val="1"/>
                <w:szCs w:val="1"/>
                <w:color w:val="auto"/>
              </w:rPr>
            </w:pPr>
          </w:p>
        </w:tc>
      </w:tr>
      <w:tr>
        <w:trPr>
          <w:trHeight w:val="23"/>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Dow Corning® EE-[***]</w:t>
            </w:r>
          </w:p>
        </w:tc>
        <w:tc>
          <w:tcPr>
            <w:tcW w:w="3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Product is sold in two parts (Part A and</w:t>
            </w: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July 1, 2015 – December 31,</w:t>
            </w:r>
          </w:p>
        </w:tc>
        <w:tc>
          <w:tcPr>
            <w:tcW w:w="26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US $[***] / KG</w:t>
            </w:r>
          </w:p>
        </w:tc>
        <w:tc>
          <w:tcPr>
            <w:tcW w:w="0" w:type="dxa"/>
            <w:vAlign w:val="bottom"/>
          </w:tcPr>
          <w:p>
            <w:pPr>
              <w:spacing w:after="0"/>
              <w:rPr>
                <w:sz w:val="1"/>
                <w:szCs w:val="1"/>
                <w:color w:val="auto"/>
              </w:rPr>
            </w:pPr>
          </w:p>
        </w:tc>
      </w:tr>
      <w:tr>
        <w:trPr>
          <w:trHeight w:val="142"/>
        </w:trPr>
        <w:tc>
          <w:tcPr>
            <w:tcW w:w="26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Encapsulant</w:t>
            </w:r>
          </w:p>
        </w:tc>
        <w:tc>
          <w:tcPr>
            <w:tcW w:w="3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w w:val="97"/>
              </w:rPr>
              <w:t>Part B), each of which will be packed in</w:t>
            </w:r>
          </w:p>
        </w:tc>
        <w:tc>
          <w:tcPr>
            <w:tcW w:w="27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2015</w:t>
            </w:r>
          </w:p>
        </w:tc>
        <w:tc>
          <w:tcPr>
            <w:tcW w:w="26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00000A"/>
              <w:right w:val="single" w:sz="8" w:color="00000A"/>
            </w:tcBorders>
            <w:vMerge w:val="continue"/>
          </w:tcPr>
          <w:p>
            <w:pPr>
              <w:spacing w:after="0"/>
              <w:rPr>
                <w:sz w:val="7"/>
                <w:szCs w:val="7"/>
                <w:color w:val="auto"/>
              </w:rPr>
            </w:pPr>
          </w:p>
        </w:tc>
        <w:tc>
          <w:tcPr>
            <w:tcW w:w="3440" w:type="dxa"/>
            <w:vAlign w:val="bottom"/>
            <w:tcBorders>
              <w:right w:val="single" w:sz="8" w:color="00000A"/>
            </w:tcBorders>
            <w:vMerge w:val="continue"/>
          </w:tcPr>
          <w:p>
            <w:pPr>
              <w:spacing w:after="0"/>
              <w:rPr>
                <w:sz w:val="7"/>
                <w:szCs w:val="7"/>
                <w:color w:val="auto"/>
              </w:rPr>
            </w:pPr>
          </w:p>
        </w:tc>
        <w:tc>
          <w:tcPr>
            <w:tcW w:w="2720" w:type="dxa"/>
            <w:vAlign w:val="bottom"/>
            <w:tcBorders>
              <w:right w:val="single" w:sz="8" w:color="00000A"/>
            </w:tcBorders>
            <w:vMerge w:val="continue"/>
          </w:tcPr>
          <w:p>
            <w:pPr>
              <w:spacing w:after="0"/>
              <w:rPr>
                <w:sz w:val="7"/>
                <w:szCs w:val="7"/>
                <w:color w:val="auto"/>
              </w:rPr>
            </w:pPr>
          </w:p>
        </w:tc>
        <w:tc>
          <w:tcPr>
            <w:tcW w:w="262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6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Enphase Item Numbers:</w:t>
            </w:r>
          </w:p>
        </w:tc>
        <w:tc>
          <w:tcPr>
            <w:tcW w:w="3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225kg drums.</w:t>
            </w:r>
          </w:p>
        </w:tc>
        <w:tc>
          <w:tcPr>
            <w:tcW w:w="2720" w:type="dxa"/>
            <w:vAlign w:val="bottom"/>
            <w:tcBorders>
              <w:bottom w:val="single" w:sz="8" w:color="00000A"/>
              <w:right w:val="single" w:sz="8" w:color="00000A"/>
            </w:tcBorders>
          </w:tcPr>
          <w:p>
            <w:pPr>
              <w:spacing w:after="0"/>
              <w:rPr>
                <w:sz w:val="3"/>
                <w:szCs w:val="3"/>
                <w:color w:val="auto"/>
              </w:rPr>
            </w:pPr>
          </w:p>
        </w:tc>
        <w:tc>
          <w:tcPr>
            <w:tcW w:w="262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60" w:type="dxa"/>
            <w:vAlign w:val="bottom"/>
            <w:tcBorders>
              <w:left w:val="single" w:sz="8" w:color="00000A"/>
              <w:right w:val="single" w:sz="8" w:color="00000A"/>
            </w:tcBorders>
            <w:vMerge w:val="continue"/>
          </w:tcPr>
          <w:p>
            <w:pPr>
              <w:spacing w:after="0"/>
              <w:rPr>
                <w:sz w:val="16"/>
                <w:szCs w:val="16"/>
                <w:color w:val="auto"/>
              </w:rPr>
            </w:pPr>
          </w:p>
        </w:tc>
        <w:tc>
          <w:tcPr>
            <w:tcW w:w="3440" w:type="dxa"/>
            <w:vAlign w:val="bottom"/>
            <w:tcBorders>
              <w:right w:val="single" w:sz="8" w:color="00000A"/>
            </w:tcBorders>
            <w:vMerge w:val="continue"/>
          </w:tcPr>
          <w:p>
            <w:pPr>
              <w:spacing w:after="0"/>
              <w:rPr>
                <w:sz w:val="16"/>
                <w:szCs w:val="16"/>
                <w:color w:val="auto"/>
              </w:rPr>
            </w:pPr>
          </w:p>
        </w:tc>
        <w:tc>
          <w:tcPr>
            <w:tcW w:w="27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w w:val="87"/>
              </w:rPr>
              <w:t>Jan 1, 2016 – December 31, 2016</w:t>
            </w:r>
          </w:p>
        </w:tc>
        <w:tc>
          <w:tcPr>
            <w:tcW w:w="26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US $[***] / KG</w:t>
            </w:r>
          </w:p>
        </w:tc>
        <w:tc>
          <w:tcPr>
            <w:tcW w:w="0" w:type="dxa"/>
            <w:vAlign w:val="bottom"/>
          </w:tcPr>
          <w:p>
            <w:pPr>
              <w:spacing w:after="0"/>
              <w:rPr>
                <w:sz w:val="1"/>
                <w:szCs w:val="1"/>
                <w:color w:val="auto"/>
              </w:rPr>
            </w:pPr>
          </w:p>
        </w:tc>
      </w:tr>
      <w:tr>
        <w:trPr>
          <w:trHeight w:val="230"/>
        </w:trPr>
        <w:tc>
          <w:tcPr>
            <w:tcW w:w="2660" w:type="dxa"/>
            <w:vAlign w:val="bottom"/>
            <w:tcBorders>
              <w:left w:val="single" w:sz="8" w:color="00000A"/>
              <w:right w:val="single" w:sz="8" w:color="00000A"/>
            </w:tcBorders>
            <w:vMerge w:val="continue"/>
          </w:tcPr>
          <w:p>
            <w:pPr>
              <w:spacing w:after="0"/>
              <w:rPr>
                <w:sz w:val="19"/>
                <w:szCs w:val="19"/>
                <w:color w:val="auto"/>
              </w:rPr>
            </w:pPr>
          </w:p>
        </w:tc>
        <w:tc>
          <w:tcPr>
            <w:tcW w:w="344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vMerge w:val="continue"/>
          </w:tcPr>
          <w:p>
            <w:pPr>
              <w:spacing w:after="0"/>
              <w:rPr>
                <w:sz w:val="19"/>
                <w:szCs w:val="19"/>
                <w:color w:val="auto"/>
              </w:rPr>
            </w:pPr>
          </w:p>
        </w:tc>
        <w:tc>
          <w:tcPr>
            <w:tcW w:w="2620" w:type="dxa"/>
            <w:vAlign w:val="bottom"/>
            <w:tcBorders>
              <w:right w:val="single" w:sz="8" w:color="00000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6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751-00127-01</w:t>
            </w:r>
          </w:p>
        </w:tc>
        <w:tc>
          <w:tcPr>
            <w:tcW w:w="3440" w:type="dxa"/>
            <w:vAlign w:val="bottom"/>
            <w:tcBorders>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2660" w:type="dxa"/>
            <w:vAlign w:val="bottom"/>
            <w:tcBorders>
              <w:left w:val="single" w:sz="8" w:color="00000A"/>
              <w:right w:val="single" w:sz="8" w:color="00000A"/>
            </w:tcBorders>
            <w:vMerge w:val="continue"/>
          </w:tcPr>
          <w:p>
            <w:pPr>
              <w:spacing w:after="0"/>
              <w:rPr>
                <w:sz w:val="24"/>
                <w:szCs w:val="24"/>
                <w:color w:val="auto"/>
              </w:rPr>
            </w:pPr>
          </w:p>
        </w:tc>
        <w:tc>
          <w:tcPr>
            <w:tcW w:w="3440" w:type="dxa"/>
            <w:vAlign w:val="bottom"/>
            <w:tcBorders>
              <w:right w:val="single" w:sz="8" w:color="00000A"/>
            </w:tcBorders>
          </w:tcPr>
          <w:p>
            <w:pPr>
              <w:spacing w:after="0"/>
              <w:rPr>
                <w:sz w:val="24"/>
                <w:szCs w:val="24"/>
                <w:color w:val="auto"/>
              </w:rPr>
            </w:pPr>
          </w:p>
        </w:tc>
        <w:tc>
          <w:tcPr>
            <w:tcW w:w="27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w w:val="91"/>
              </w:rPr>
              <w:t>January 1, 2017 – December 31,</w:t>
            </w:r>
          </w:p>
        </w:tc>
        <w:tc>
          <w:tcPr>
            <w:tcW w:w="26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US $[***] / KG</w:t>
            </w:r>
          </w:p>
        </w:tc>
        <w:tc>
          <w:tcPr>
            <w:tcW w:w="0" w:type="dxa"/>
            <w:vAlign w:val="bottom"/>
          </w:tcPr>
          <w:p>
            <w:pPr>
              <w:spacing w:after="0"/>
              <w:rPr>
                <w:sz w:val="1"/>
                <w:szCs w:val="1"/>
                <w:color w:val="auto"/>
              </w:rPr>
            </w:pPr>
          </w:p>
        </w:tc>
      </w:tr>
      <w:tr>
        <w:trPr>
          <w:trHeight w:val="145"/>
        </w:trPr>
        <w:tc>
          <w:tcPr>
            <w:tcW w:w="2660" w:type="dxa"/>
            <w:vAlign w:val="bottom"/>
            <w:tcBorders>
              <w:left w:val="single" w:sz="8" w:color="00000A"/>
              <w:right w:val="single" w:sz="8" w:color="00000A"/>
            </w:tcBorders>
          </w:tcPr>
          <w:p>
            <w:pPr>
              <w:spacing w:after="0"/>
              <w:rPr>
                <w:sz w:val="12"/>
                <w:szCs w:val="12"/>
                <w:color w:val="auto"/>
              </w:rPr>
            </w:pPr>
          </w:p>
        </w:tc>
        <w:tc>
          <w:tcPr>
            <w:tcW w:w="3440" w:type="dxa"/>
            <w:vAlign w:val="bottom"/>
            <w:tcBorders>
              <w:right w:val="single" w:sz="8" w:color="00000A"/>
            </w:tcBorders>
          </w:tcPr>
          <w:p>
            <w:pPr>
              <w:spacing w:after="0"/>
              <w:rPr>
                <w:sz w:val="12"/>
                <w:szCs w:val="12"/>
                <w:color w:val="auto"/>
              </w:rPr>
            </w:pPr>
          </w:p>
        </w:tc>
        <w:tc>
          <w:tcPr>
            <w:tcW w:w="2720" w:type="dxa"/>
            <w:vAlign w:val="bottom"/>
            <w:tcBorders>
              <w:right w:val="single" w:sz="8" w:color="00000A"/>
            </w:tcBorders>
            <w:vMerge w:val="continue"/>
          </w:tcPr>
          <w:p>
            <w:pPr>
              <w:spacing w:after="0"/>
              <w:rPr>
                <w:sz w:val="12"/>
                <w:szCs w:val="12"/>
                <w:color w:val="auto"/>
              </w:rPr>
            </w:pPr>
          </w:p>
        </w:tc>
        <w:tc>
          <w:tcPr>
            <w:tcW w:w="26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60" w:type="dxa"/>
            <w:vAlign w:val="bottom"/>
            <w:tcBorders>
              <w:left w:val="single" w:sz="8" w:color="00000A"/>
              <w:right w:val="single" w:sz="8" w:color="00000A"/>
            </w:tcBorders>
          </w:tcPr>
          <w:p>
            <w:pPr>
              <w:ind w:left="40"/>
              <w:spacing w:after="0" w:line="203" w:lineRule="exact"/>
              <w:rPr>
                <w:sz w:val="20"/>
                <w:szCs w:val="20"/>
                <w:color w:val="auto"/>
              </w:rPr>
            </w:pPr>
            <w:r>
              <w:rPr>
                <w:rFonts w:ascii="Arial" w:cs="Arial" w:eastAsia="Arial" w:hAnsi="Arial"/>
                <w:sz w:val="20"/>
                <w:szCs w:val="20"/>
                <w:color w:val="auto"/>
              </w:rPr>
              <w:t>751-00128-01</w:t>
            </w:r>
          </w:p>
        </w:tc>
        <w:tc>
          <w:tcPr>
            <w:tcW w:w="3440" w:type="dxa"/>
            <w:vAlign w:val="bottom"/>
            <w:tcBorders>
              <w:right w:val="single" w:sz="8" w:color="00000A"/>
            </w:tcBorders>
          </w:tcPr>
          <w:p>
            <w:pPr>
              <w:spacing w:after="0"/>
              <w:rPr>
                <w:sz w:val="17"/>
                <w:szCs w:val="17"/>
                <w:color w:val="auto"/>
              </w:rPr>
            </w:pPr>
          </w:p>
        </w:tc>
        <w:tc>
          <w:tcPr>
            <w:tcW w:w="2720" w:type="dxa"/>
            <w:vAlign w:val="bottom"/>
            <w:tcBorders>
              <w:bottom w:val="single" w:sz="8" w:color="00000A"/>
              <w:right w:val="single" w:sz="8" w:color="00000A"/>
            </w:tcBorders>
          </w:tcPr>
          <w:p>
            <w:pPr>
              <w:ind w:left="20"/>
              <w:spacing w:after="0" w:line="189" w:lineRule="exact"/>
              <w:rPr>
                <w:sz w:val="20"/>
                <w:szCs w:val="20"/>
                <w:color w:val="auto"/>
              </w:rPr>
            </w:pPr>
            <w:r>
              <w:rPr>
                <w:rFonts w:ascii="Arial" w:cs="Arial" w:eastAsia="Arial" w:hAnsi="Arial"/>
                <w:sz w:val="20"/>
                <w:szCs w:val="20"/>
                <w:color w:val="auto"/>
              </w:rPr>
              <w:t>2017</w:t>
            </w:r>
          </w:p>
        </w:tc>
        <w:tc>
          <w:tcPr>
            <w:tcW w:w="262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660" w:type="dxa"/>
            <w:vAlign w:val="bottom"/>
            <w:tcBorders>
              <w:left w:val="single" w:sz="8" w:color="00000A"/>
              <w:right w:val="single" w:sz="8" w:color="00000A"/>
            </w:tcBorders>
          </w:tcPr>
          <w:p>
            <w:pPr>
              <w:spacing w:after="0"/>
              <w:rPr>
                <w:sz w:val="24"/>
                <w:szCs w:val="24"/>
                <w:color w:val="auto"/>
              </w:rPr>
            </w:pPr>
          </w:p>
        </w:tc>
        <w:tc>
          <w:tcPr>
            <w:tcW w:w="3440" w:type="dxa"/>
            <w:vAlign w:val="bottom"/>
            <w:tcBorders>
              <w:right w:val="single" w:sz="8" w:color="00000A"/>
            </w:tcBorders>
          </w:tcPr>
          <w:p>
            <w:pPr>
              <w:spacing w:after="0"/>
              <w:rPr>
                <w:sz w:val="24"/>
                <w:szCs w:val="24"/>
                <w:color w:val="auto"/>
              </w:rPr>
            </w:pPr>
          </w:p>
        </w:tc>
        <w:tc>
          <w:tcPr>
            <w:tcW w:w="2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January 1, 2018 – December 31,</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US $[***] / KG</w:t>
            </w:r>
          </w:p>
        </w:tc>
        <w:tc>
          <w:tcPr>
            <w:tcW w:w="0" w:type="dxa"/>
            <w:vAlign w:val="bottom"/>
          </w:tcPr>
          <w:p>
            <w:pPr>
              <w:spacing w:after="0"/>
              <w:rPr>
                <w:sz w:val="1"/>
                <w:szCs w:val="1"/>
                <w:color w:val="auto"/>
              </w:rPr>
            </w:pPr>
          </w:p>
        </w:tc>
      </w:tr>
      <w:tr>
        <w:trPr>
          <w:trHeight w:val="189"/>
        </w:trPr>
        <w:tc>
          <w:tcPr>
            <w:tcW w:w="2660" w:type="dxa"/>
            <w:vAlign w:val="bottom"/>
            <w:tcBorders>
              <w:left w:val="single" w:sz="8" w:color="00000A"/>
              <w:bottom w:val="single" w:sz="8" w:color="00000A"/>
              <w:right w:val="single" w:sz="8" w:color="00000A"/>
            </w:tcBorders>
          </w:tcPr>
          <w:p>
            <w:pPr>
              <w:spacing w:after="0"/>
              <w:rPr>
                <w:sz w:val="16"/>
                <w:szCs w:val="16"/>
                <w:color w:val="auto"/>
              </w:rPr>
            </w:pPr>
          </w:p>
        </w:tc>
        <w:tc>
          <w:tcPr>
            <w:tcW w:w="3440" w:type="dxa"/>
            <w:vAlign w:val="bottom"/>
            <w:tcBorders>
              <w:bottom w:val="single" w:sz="8" w:color="00000A"/>
              <w:right w:val="single" w:sz="8" w:color="00000A"/>
            </w:tcBorders>
          </w:tcPr>
          <w:p>
            <w:pPr>
              <w:spacing w:after="0"/>
              <w:rPr>
                <w:sz w:val="16"/>
                <w:szCs w:val="16"/>
                <w:color w:val="auto"/>
              </w:rPr>
            </w:pPr>
          </w:p>
        </w:tc>
        <w:tc>
          <w:tcPr>
            <w:tcW w:w="2720" w:type="dxa"/>
            <w:vAlign w:val="bottom"/>
            <w:tcBorders>
              <w:bottom w:val="single" w:sz="8" w:color="00000A"/>
              <w:right w:val="single" w:sz="8" w:color="00000A"/>
            </w:tcBorders>
          </w:tcPr>
          <w:p>
            <w:pPr>
              <w:ind w:left="20"/>
              <w:spacing w:after="0" w:line="189" w:lineRule="exact"/>
              <w:rPr>
                <w:sz w:val="20"/>
                <w:szCs w:val="20"/>
                <w:color w:val="auto"/>
              </w:rPr>
            </w:pPr>
            <w:r>
              <w:rPr>
                <w:rFonts w:ascii="Arial" w:cs="Arial" w:eastAsia="Arial" w:hAnsi="Arial"/>
                <w:sz w:val="20"/>
                <w:szCs w:val="20"/>
                <w:color w:val="auto"/>
              </w:rPr>
              <w:t>2018</w:t>
            </w:r>
          </w:p>
        </w:tc>
        <w:tc>
          <w:tcPr>
            <w:tcW w:w="262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firstLine="8"/>
        <w:spacing w:after="0" w:line="282" w:lineRule="auto"/>
        <w:tabs>
          <w:tab w:leader="none" w:pos="43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0"/>
          </w:cols>
          <w:pgMar w:left="240" w:top="522"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322"/>
        <w:spacing w:after="0" w:line="334" w:lineRule="auto"/>
        <w:tabs>
          <w:tab w:leader="none" w:pos="11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322"/>
        <w:spacing w:after="0" w:line="334" w:lineRule="auto"/>
        <w:tabs>
          <w:tab w:leader="none" w:pos="11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220" w:firstLine="8"/>
        <w:spacing w:after="0" w:line="277" w:lineRule="auto"/>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2015,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5th day of August,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2"/>
    </w:lvl>
  </w:abstractNum>
  <w:abstractNum w:abstractNumId="24">
    <w:nsid w:val="3DC240FB"/>
    <w:multiLevelType w:val="hybridMultilevel"/>
    <w:lvl w:ilvl="0">
      <w:lvlJc w:val="left"/>
      <w:lvlText w:val="%1."/>
      <w:numFmt w:val="decimal"/>
      <w:start w:val="3"/>
    </w:lvl>
  </w:abstractNum>
  <w:abstractNum w:abstractNumId="25">
    <w:nsid w:val="1BA026FA"/>
    <w:multiLevelType w:val="hybridMultilevel"/>
    <w:lvl w:ilvl="0">
      <w:lvlJc w:val="left"/>
      <w:lvlText w:val="(%1)"/>
      <w:numFmt w:val="lowerRoman"/>
      <w:start w:val="2"/>
    </w:lvl>
  </w:abstractNum>
  <w:abstractNum w:abstractNumId="26">
    <w:nsid w:val="79A1DEAA"/>
    <w:multiLevelType w:val="hybridMultilevel"/>
    <w:lvl w:ilvl="0">
      <w:lvlJc w:val="left"/>
      <w:lvlText w:val="%1."/>
      <w:numFmt w:val="decimal"/>
      <w:start w:val="4"/>
    </w:lvl>
  </w:abstractNum>
  <w:abstractNum w:abstractNumId="27">
    <w:nsid w:val="75C6C33A"/>
    <w:multiLevelType w:val="hybridMultilevel"/>
    <w:lvl w:ilvl="0">
      <w:lvlJc w:val="left"/>
      <w:lvlText w:val="%1."/>
      <w:numFmt w:val="decimal"/>
      <w:start w:val="5"/>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decimal"/>
      <w:start w:val="6"/>
    </w:lvl>
  </w:abstractNum>
  <w:abstractNum w:abstractNumId="30">
    <w:nsid w:val="520EEDD1"/>
    <w:multiLevelType w:val="hybridMultilevel"/>
    <w:lvl w:ilvl="0">
      <w:lvlJc w:val="left"/>
      <w:lvlText w:val="%1."/>
      <w:numFmt w:val="decimal"/>
      <w:start w:val="7"/>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0"/>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decimal"/>
      <w:start w:val="1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4"/>
    </w:lvl>
  </w:abstractNum>
  <w:abstractNum w:abstractNumId="38">
    <w:nsid w:val="180115BE"/>
    <w:multiLevelType w:val="hybridMultilevel"/>
    <w:lvl w:ilvl="0">
      <w:lvlJc w:val="left"/>
      <w:lvlText w:val="%1."/>
      <w:numFmt w:val="decimal"/>
      <w:start w:val="16"/>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17"/>
    </w:lvl>
  </w:abstractNum>
  <w:abstractNum w:abstractNumId="41">
    <w:nsid w:val="354FE9F9"/>
    <w:multiLevelType w:val="hybridMultilevel"/>
    <w:lvl w:ilvl="0">
      <w:lvlJc w:val="left"/>
      <w:lvlText w:val="%1."/>
      <w:numFmt w:val="decimal"/>
      <w:start w:val="18"/>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9"/>
    </w:lvl>
  </w:abstractNum>
  <w:abstractNum w:abstractNumId="44">
    <w:nsid w:val="D34B6A8"/>
    <w:multiLevelType w:val="hybridMultilevel"/>
    <w:lvl w:ilvl="0">
      <w:lvlJc w:val="left"/>
      <w:lvlText w:val="%1."/>
      <w:numFmt w:val="decimal"/>
      <w:start w:val="20"/>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22"/>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24"/>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27"/>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9">
    <w:nsid w:val="5DB70AE5"/>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60">
    <w:nsid w:val="100F8FCA"/>
    <w:multiLevelType w:val="hybridMultilevel"/>
    <w:lvl w:ilvl="0">
      <w:lvlJc w:val="left"/>
      <w:lvlText w:val="(%1)"/>
      <w:numFmt w:val="decimal"/>
      <w:start w:val="5"/>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4"/>
    </w:lvl>
    <w:lvl w:ilvl="1">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2019-12-29T16:27:16Z</dcterms:created>
  <dcterms:modified xsi:type="dcterms:W3CDTF">2019-12-29T16:27:16Z</dcterms:modified>
</cp:coreProperties>
</file>