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7" w:lineRule="exact"/>
        <w:rPr>
          <w:sz w:val="24"/>
          <w:szCs w:val="24"/>
          <w:color w:val="auto"/>
        </w:rPr>
      </w:pPr>
    </w:p>
    <w:p>
      <w:pPr>
        <w:ind w:left="3047"/>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________________________________________________</w:t>
      </w:r>
    </w:p>
    <w:p>
      <w:pPr>
        <w:spacing w:after="0" w:line="135"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4" w:lineRule="exact"/>
        <w:rPr>
          <w:sz w:val="24"/>
          <w:szCs w:val="24"/>
          <w:color w:val="auto"/>
        </w:rPr>
      </w:pPr>
    </w:p>
    <w:p>
      <w:pPr>
        <w:ind w:left="3047"/>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________________________________________________</w:t>
      </w:r>
    </w:p>
    <w:p>
      <w:pPr>
        <w:spacing w:after="0" w:line="232"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19"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28, 2026</w:t>
      </w:r>
    </w:p>
    <w:p>
      <w:pPr>
        <w:spacing w:after="0" w:line="32" w:lineRule="exact"/>
        <w:rPr>
          <w:sz w:val="24"/>
          <w:szCs w:val="24"/>
          <w:color w:val="auto"/>
        </w:rPr>
      </w:pPr>
    </w:p>
    <w:p>
      <w:pPr>
        <w:ind w:left="3047"/>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2468880</wp:posOffset>
            </wp:positionH>
            <wp:positionV relativeFrom="paragraph">
              <wp:posOffset>98425</wp:posOffset>
            </wp:positionV>
            <wp:extent cx="2228850" cy="386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28850"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32"/>
          <w:szCs w:val="32"/>
          <w:b w:val="1"/>
          <w:bCs w:val="1"/>
          <w:color w:val="auto"/>
        </w:rPr>
        <w:t>ENPHASE ENERGY, INC.</w:t>
      </w:r>
    </w:p>
    <w:p>
      <w:pPr>
        <w:spacing w:after="0" w:line="50"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1" w:lineRule="exact"/>
        <w:rPr>
          <w:sz w:val="24"/>
          <w:szCs w:val="24"/>
          <w:color w:val="auto"/>
        </w:rPr>
      </w:pPr>
    </w:p>
    <w:p>
      <w:pPr>
        <w:ind w:left="3047"/>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tbl>
      <w:tblPr>
        <w:tblLayout w:type="fixed"/>
        <w:tblInd w:w="7" w:type="dxa"/>
        <w:tblCellMar>
          <w:top w:w="0" w:type="dxa"/>
          <w:left w:w="0" w:type="dxa"/>
          <w:bottom w:w="0" w:type="dxa"/>
          <w:right w:w="0" w:type="dxa"/>
        </w:tblCellMar>
      </w:tblPr>
      <w:tr>
        <w:trPr>
          <w:trHeight w:val="238"/>
        </w:trPr>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980" w:type="dxa"/>
            <w:vAlign w:val="bottom"/>
            <w:gridSpan w:val="2"/>
          </w:tcPr>
          <w:p>
            <w:pPr>
              <w:jc w:val="right"/>
              <w:ind w:right="1168"/>
              <w:spacing w:after="0"/>
              <w:rPr>
                <w:sz w:val="20"/>
                <w:szCs w:val="20"/>
                <w:color w:val="auto"/>
              </w:rPr>
            </w:pPr>
            <w:r>
              <w:rPr>
                <w:rFonts w:ascii="Times New Roman" w:cs="Times New Roman" w:eastAsia="Times New Roman" w:hAnsi="Times New Roman"/>
                <w:sz w:val="18"/>
                <w:szCs w:val="18"/>
                <w:b w:val="1"/>
                <w:bCs w:val="1"/>
                <w:color w:val="auto"/>
              </w:rPr>
              <w:t>001-35480</w:t>
            </w:r>
          </w:p>
        </w:tc>
        <w:tc>
          <w:tcPr>
            <w:tcW w:w="4000" w:type="dxa"/>
            <w:vAlign w:val="bottom"/>
            <w:gridSpan w:val="2"/>
          </w:tcPr>
          <w:p>
            <w:pPr>
              <w:jc w:val="right"/>
              <w:ind w:right="1128"/>
              <w:spacing w:after="0"/>
              <w:rPr>
                <w:sz w:val="20"/>
                <w:szCs w:val="20"/>
                <w:color w:val="auto"/>
              </w:rPr>
            </w:pPr>
            <w:r>
              <w:rPr>
                <w:rFonts w:ascii="Times New Roman" w:cs="Times New Roman" w:eastAsia="Times New Roman" w:hAnsi="Times New Roman"/>
                <w:sz w:val="18"/>
                <w:szCs w:val="18"/>
                <w:b w:val="1"/>
                <w:bCs w:val="1"/>
                <w:color w:val="auto"/>
              </w:rPr>
              <w:t>20-4645388</w:t>
            </w:r>
          </w:p>
        </w:tc>
      </w:tr>
      <w:tr>
        <w:trPr>
          <w:trHeight w:val="182"/>
        </w:trPr>
        <w:tc>
          <w:tcPr>
            <w:tcW w:w="3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c>
          <w:tcPr>
            <w:tcW w:w="700" w:type="dxa"/>
            <w:vAlign w:val="bottom"/>
          </w:tcPr>
          <w:p>
            <w:pPr>
              <w:spacing w:after="0"/>
              <w:rPr>
                <w:sz w:val="15"/>
                <w:szCs w:val="15"/>
                <w:color w:val="auto"/>
              </w:rPr>
            </w:pPr>
          </w:p>
        </w:tc>
        <w:tc>
          <w:tcPr>
            <w:tcW w:w="3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(Commission File Number)</w:t>
            </w:r>
          </w:p>
        </w:tc>
        <w:tc>
          <w:tcPr>
            <w:tcW w:w="720" w:type="dxa"/>
            <w:vAlign w:val="bottom"/>
          </w:tcPr>
          <w:p>
            <w:pPr>
              <w:spacing w:after="0"/>
              <w:rPr>
                <w:sz w:val="15"/>
                <w:szCs w:val="15"/>
                <w:color w:val="auto"/>
              </w:rPr>
            </w:pPr>
          </w:p>
        </w:tc>
        <w:tc>
          <w:tcPr>
            <w:tcW w:w="3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(IRS Employer Identification No.)</w:t>
            </w:r>
          </w:p>
        </w:tc>
      </w:tr>
    </w:tbl>
    <w:p>
      <w:pPr>
        <w:spacing w:after="0" w:line="316"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47281 Bayside Parkway</w:t>
      </w:r>
    </w:p>
    <w:p>
      <w:pPr>
        <w:spacing w:after="0" w:line="31"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Fremont, CA 94538</w:t>
      </w:r>
    </w:p>
    <w:p>
      <w:pPr>
        <w:spacing w:after="0" w:line="2"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spacing w:after="0" w:line="53"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(707) 774-7000</w:t>
      </w:r>
    </w:p>
    <w:p>
      <w:pPr>
        <w:spacing w:after="0" w:line="49"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69"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Not Applicable</w:t>
      </w:r>
    </w:p>
    <w:p>
      <w:pPr>
        <w:spacing w:after="0" w:line="49"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4"/>
          <w:szCs w:val="14"/>
          <w:color w:val="231F20"/>
        </w:rPr>
        <w:t>(Former name or former address, if changed since last report.)</w:t>
      </w:r>
    </w:p>
    <w:p>
      <w:pPr>
        <w:spacing w:after="0" w:line="266" w:lineRule="exact"/>
        <w:rPr>
          <w:sz w:val="24"/>
          <w:szCs w:val="24"/>
          <w:color w:val="auto"/>
        </w:rPr>
      </w:pPr>
    </w:p>
    <w:p>
      <w:pPr>
        <w:ind w:left="7"/>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59" w:lineRule="exact"/>
        <w:rPr>
          <w:sz w:val="24"/>
          <w:szCs w:val="24"/>
          <w:color w:val="auto"/>
        </w:rPr>
      </w:pPr>
    </w:p>
    <w:p>
      <w:pPr>
        <w:ind w:left="187" w:hanging="187"/>
        <w:spacing w:after="0"/>
        <w:tabs>
          <w:tab w:leader="none" w:pos="187"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72" w:lineRule="exact"/>
        <w:rPr>
          <w:rFonts w:ascii="MS PGothic" w:cs="MS PGothic" w:eastAsia="MS PGothic" w:hAnsi="MS PGothic"/>
          <w:sz w:val="16"/>
          <w:szCs w:val="16"/>
          <w:color w:val="auto"/>
        </w:rPr>
      </w:pPr>
    </w:p>
    <w:p>
      <w:pPr>
        <w:ind w:left="187" w:hanging="187"/>
        <w:spacing w:after="0"/>
        <w:tabs>
          <w:tab w:leader="none" w:pos="187"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187" w:hanging="187"/>
        <w:spacing w:after="0"/>
        <w:tabs>
          <w:tab w:leader="none" w:pos="187"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72" w:lineRule="exact"/>
        <w:rPr>
          <w:rFonts w:ascii="MS PGothic" w:cs="MS PGothic" w:eastAsia="MS PGothic" w:hAnsi="MS PGothic"/>
          <w:sz w:val="16"/>
          <w:szCs w:val="16"/>
          <w:color w:val="auto"/>
        </w:rPr>
      </w:pPr>
    </w:p>
    <w:p>
      <w:pPr>
        <w:ind w:left="187" w:hanging="187"/>
        <w:spacing w:after="0"/>
        <w:tabs>
          <w:tab w:leader="none" w:pos="187"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302" w:lineRule="exact"/>
        <w:rPr>
          <w:sz w:val="24"/>
          <w:szCs w:val="24"/>
          <w:color w:val="auto"/>
        </w:rPr>
      </w:pPr>
    </w:p>
    <w:p>
      <w:pPr>
        <w:ind w:left="7"/>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37" w:lineRule="exact"/>
        <w:rPr>
          <w:sz w:val="24"/>
          <w:szCs w:val="24"/>
          <w:color w:val="auto"/>
        </w:rPr>
      </w:pPr>
    </w:p>
    <w:tbl>
      <w:tblPr>
        <w:tblLayout w:type="fixed"/>
        <w:tblInd w:w="7" w:type="dxa"/>
        <w:tblCellMar>
          <w:top w:w="0" w:type="dxa"/>
          <w:left w:w="0" w:type="dxa"/>
          <w:bottom w:w="0" w:type="dxa"/>
          <w:right w:w="0" w:type="dxa"/>
        </w:tblCellMar>
      </w:tblPr>
      <w:tr>
        <w:trPr>
          <w:trHeight w:val="186"/>
        </w:trPr>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Title of each class</w:t>
            </w:r>
          </w:p>
        </w:tc>
        <w:tc>
          <w:tcPr>
            <w:tcW w:w="100" w:type="dxa"/>
            <w:vAlign w:val="bottom"/>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Trading Symbol(s)</w:t>
            </w:r>
          </w:p>
        </w:tc>
        <w:tc>
          <w:tcPr>
            <w:tcW w:w="120" w:type="dxa"/>
            <w:vAlign w:val="bottom"/>
          </w:tcPr>
          <w:p>
            <w:pPr>
              <w:spacing w:after="0"/>
              <w:rPr>
                <w:sz w:val="16"/>
                <w:szCs w:val="16"/>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Name of each exchange on which registered</w:t>
            </w:r>
          </w:p>
        </w:tc>
      </w:tr>
      <w:tr>
        <w:trPr>
          <w:trHeight w:val="190"/>
        </w:trPr>
        <w:tc>
          <w:tcPr>
            <w:tcW w:w="4420" w:type="dxa"/>
            <w:vAlign w:val="bottom"/>
          </w:tcPr>
          <w:p>
            <w:pPr>
              <w:jc w:val="center"/>
              <w:spacing w:after="0"/>
              <w:rPr>
                <w:sz w:val="20"/>
                <w:szCs w:val="20"/>
                <w:color w:val="auto"/>
              </w:rPr>
            </w:pPr>
            <w:r>
              <w:rPr>
                <w:rFonts w:ascii="Arial" w:cs="Arial" w:eastAsia="Arial" w:hAnsi="Arial"/>
                <w:sz w:val="13"/>
                <w:szCs w:val="13"/>
                <w:b w:val="1"/>
                <w:bCs w:val="1"/>
                <w:color w:val="auto"/>
              </w:rPr>
              <w:t>Common Stock, $0.00001 par value per share</w:t>
            </w:r>
          </w:p>
        </w:tc>
        <w:tc>
          <w:tcPr>
            <w:tcW w:w="100" w:type="dxa"/>
            <w:vAlign w:val="bottom"/>
          </w:tcPr>
          <w:p>
            <w:pPr>
              <w:spacing w:after="0"/>
              <w:rPr>
                <w:sz w:val="16"/>
                <w:szCs w:val="16"/>
                <w:color w:val="auto"/>
              </w:rPr>
            </w:pPr>
          </w:p>
        </w:tc>
        <w:tc>
          <w:tcPr>
            <w:tcW w:w="2200" w:type="dxa"/>
            <w:vAlign w:val="bottom"/>
          </w:tcPr>
          <w:p>
            <w:pPr>
              <w:jc w:val="center"/>
              <w:spacing w:after="0"/>
              <w:rPr>
                <w:sz w:val="20"/>
                <w:szCs w:val="20"/>
                <w:color w:val="auto"/>
              </w:rPr>
            </w:pPr>
            <w:r>
              <w:rPr>
                <w:rFonts w:ascii="Arial" w:cs="Arial" w:eastAsia="Arial" w:hAnsi="Arial"/>
                <w:sz w:val="13"/>
                <w:szCs w:val="13"/>
                <w:b w:val="1"/>
                <w:bCs w:val="1"/>
                <w:color w:val="auto"/>
              </w:rPr>
              <w:t>ENPH</w:t>
            </w:r>
          </w:p>
        </w:tc>
        <w:tc>
          <w:tcPr>
            <w:tcW w:w="120" w:type="dxa"/>
            <w:vAlign w:val="bottom"/>
          </w:tcPr>
          <w:p>
            <w:pPr>
              <w:spacing w:after="0"/>
              <w:rPr>
                <w:sz w:val="16"/>
                <w:szCs w:val="16"/>
                <w:color w:val="auto"/>
              </w:rPr>
            </w:pPr>
          </w:p>
        </w:tc>
        <w:tc>
          <w:tcPr>
            <w:tcW w:w="4420" w:type="dxa"/>
            <w:vAlign w:val="bottom"/>
          </w:tcPr>
          <w:p>
            <w:pPr>
              <w:jc w:val="center"/>
              <w:spacing w:after="0"/>
              <w:rPr>
                <w:sz w:val="20"/>
                <w:szCs w:val="20"/>
                <w:color w:val="auto"/>
              </w:rPr>
            </w:pPr>
            <w:r>
              <w:rPr>
                <w:rFonts w:ascii="Arial" w:cs="Arial" w:eastAsia="Arial" w:hAnsi="Arial"/>
                <w:sz w:val="13"/>
                <w:szCs w:val="13"/>
                <w:b w:val="1"/>
                <w:bCs w:val="1"/>
                <w:color w:val="auto"/>
              </w:rPr>
              <w:t>Nasdaq Global Market</w:t>
            </w:r>
          </w:p>
        </w:tc>
      </w:tr>
    </w:tbl>
    <w:p>
      <w:pPr>
        <w:spacing w:after="0" w:line="200" w:lineRule="exact"/>
        <w:rPr>
          <w:sz w:val="24"/>
          <w:szCs w:val="24"/>
          <w:color w:val="auto"/>
        </w:rPr>
      </w:pPr>
    </w:p>
    <w:p>
      <w:pPr>
        <w:spacing w:after="0" w:line="230" w:lineRule="exact"/>
        <w:rPr>
          <w:sz w:val="24"/>
          <w:szCs w:val="24"/>
          <w:color w:val="auto"/>
        </w:rPr>
      </w:pPr>
    </w:p>
    <w:p>
      <w:pPr>
        <w:ind w:left="7" w:right="120"/>
        <w:spacing w:after="0" w:line="267"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ind w:left="7"/>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95" w:lineRule="exact"/>
        <w:rPr>
          <w:sz w:val="24"/>
          <w:szCs w:val="24"/>
          <w:color w:val="auto"/>
        </w:rPr>
      </w:pPr>
    </w:p>
    <w:p>
      <w:pPr>
        <w:ind w:left="7" w:right="2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695325</wp:posOffset>
            </wp:positionV>
            <wp:extent cx="71831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095" w:right="318"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October 28, 2026 (the “Effective Date”), Enphase Energy, Inc. (the “Company”) entered into a Tax Credit Transfer Agreement (the “Agreement”) with a leading corporation (the “Purchaser”).</w:t>
      </w:r>
    </w:p>
    <w:p>
      <w:pPr>
        <w:spacing w:after="0" w:line="5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Pursuant to the Agreement, the Company agreed to sell to the Purchaser up to $100,000,000 of advanced manufacturing production tax credits (“Tax Credits”) generated by the production of certain eligible components in the United States and the sale of such components to third parties during calendar year 2026 (the “Eligible Transactions”) pursuant to Section 45X of the Internal Revenue Code of 1986, as amended. Pursuant to the Agreement, the purchase price for such Tax Credits shall not exceed $92,000,000, payable in two installments during calendar years 2026 and 2027. Each payment date is subject to customary conditions precedent, including absence of default and the accuracy of representations and warranties of the Company. The Agreement contains customary covenants, indemnification, and termination provisions for comparable Tax Credit sale agreements.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This Form 8-K contains forward-looking statements, including, but not limited to, statements related to its expectations about its ability to generate tax credits in the future and to receive payments related to such credits. These forward-looking statements are based on the Company’s current expectations and inherently involve significant risks and uncertainties. The Company’s actual results and the timing of events could differ materially from those anticipated in such forward-looking statements as a result of these risks and uncertainties, in addition to other risks described in more detail in its most recently filed Annual Report on Form 10-K, Quarterly Report on Form 10-Q, and other documents on file with the SEC from time to time and available on the SEC’s website at www.sec.gov. The Company undertakes no duty or obligation to update any forward-looking statements contained in this Form 8-K as a result of new information, future events or changes in its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607060</wp:posOffset>
            </wp:positionV>
            <wp:extent cx="71831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990" w:right="318" w:bottom="1440" w:gutter="0" w:footer="0" w:header="0"/>
        </w:sectPr>
      </w:pPr>
    </w:p>
    <w:bookmarkStart w:id="2" w:name="page3"/>
    <w:bookmarkEnd w:id="2"/>
    <w:p>
      <w:pPr>
        <w:jc w:val="center"/>
        <w:ind w:right="-5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51"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24" w:lineRule="exact"/>
        <w:rPr>
          <w:sz w:val="20"/>
          <w:szCs w:val="20"/>
          <w:color w:val="auto"/>
        </w:rPr>
      </w:pPr>
    </w:p>
    <w:p>
      <w:pPr>
        <w:ind w:left="20"/>
        <w:spacing w:after="0"/>
        <w:tabs>
          <w:tab w:leader="none" w:pos="5500" w:val="left"/>
        </w:tabs>
        <w:rPr>
          <w:sz w:val="20"/>
          <w:szCs w:val="20"/>
          <w:color w:val="auto"/>
        </w:rPr>
      </w:pPr>
      <w:r>
        <w:rPr>
          <w:rFonts w:ascii="Times New Roman" w:cs="Times New Roman" w:eastAsia="Times New Roman" w:hAnsi="Times New Roman"/>
          <w:sz w:val="18"/>
          <w:szCs w:val="18"/>
          <w:color w:val="auto"/>
        </w:rPr>
        <w:t>By: October 29, 2026</w:t>
      </w:r>
      <w:r>
        <w:rPr>
          <w:sz w:val="20"/>
          <w:szCs w:val="20"/>
          <w:color w:val="auto"/>
        </w:rPr>
        <w:tab/>
      </w:r>
      <w:r>
        <w:rPr>
          <w:rFonts w:ascii="Times New Roman" w:cs="Times New Roman" w:eastAsia="Times New Roman" w:hAnsi="Times New Roman"/>
          <w:sz w:val="17"/>
          <w:szCs w:val="17"/>
          <w:color w:val="auto"/>
        </w:rPr>
        <w:t>ENPHASE ENERGY, INC.</w:t>
      </w:r>
    </w:p>
    <w:p>
      <w:pPr>
        <w:spacing w:after="0" w:line="27" w:lineRule="exact"/>
        <w:rPr>
          <w:sz w:val="20"/>
          <w:szCs w:val="20"/>
          <w:color w:val="auto"/>
        </w:rPr>
      </w:pPr>
    </w:p>
    <w:p>
      <w:pPr>
        <w:ind w:left="5520"/>
        <w:spacing w:after="0"/>
        <w:tabs>
          <w:tab w:leader="none" w:pos="5980" w:val="left"/>
        </w:tabs>
        <w:rPr>
          <w:sz w:val="20"/>
          <w:szCs w:val="20"/>
          <w:color w:val="auto"/>
        </w:rPr>
      </w:pPr>
      <w:r>
        <w:rPr>
          <w:rFonts w:ascii="Times New Roman" w:cs="Times New Roman" w:eastAsia="Times New Roman" w:hAnsi="Times New Roman"/>
          <w:sz w:val="18"/>
          <w:szCs w:val="18"/>
          <w:color w:val="auto"/>
        </w:rPr>
        <w:t>By:</w:t>
        <w:tab/>
        <w:t>/s/ Mandy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3801745</wp:posOffset>
            </wp:positionH>
            <wp:positionV relativeFrom="paragraph">
              <wp:posOffset>22860</wp:posOffset>
            </wp:positionV>
            <wp:extent cx="25120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12060" cy="8255"/>
                    </a:xfrm>
                    <a:prstGeom prst="rect">
                      <a:avLst/>
                    </a:prstGeom>
                    <a:noFill/>
                  </pic:spPr>
                </pic:pic>
              </a:graphicData>
            </a:graphic>
          </wp:anchor>
        </w:drawing>
      </w:r>
    </w:p>
    <w:p>
      <w:pPr>
        <w:spacing w:after="0" w:line="2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Mandy Yang</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sectPr>
      <w:pgSz w:w="11920" w:h="16838" w:orient="portrait"/>
      <w:cols w:equalWidth="0" w:num="1">
        <w:col w:w="10740"/>
      </w:cols>
      <w:pgMar w:left="340" w:top="1404" w:right="838"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2026-10-29T15:45:33Z</dcterms:created>
  <dcterms:modified xsi:type="dcterms:W3CDTF">2026-10-29T15:45:33Z</dcterms:modified>
</cp:coreProperties>
</file>