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As filed with the Securities and Exchange Commission on July 28, 2026</w:t>
      </w: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 xml:space="preserve">Registration No. 333- </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S-8</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REGISTRATION STATEMENT</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 xml:space="preserve">UNDER </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THE SECURITIES ACT OF 1933</w:t>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drawing>
          <wp:inline distT="0" distB="0" distL="0" distR="0">
            <wp:extent cx="24765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428625"/>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ENPHASE ENERGY, INC.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734" w:type="dxa"/>
        <w:jc w:val="center"/>
        <w:tblInd w:w="0" w:type="dxa"/>
        <w:tblLayout w:type="fixed"/>
        <w:tblCellMar>
          <w:top w:w="28" w:type="dxa"/>
          <w:left w:w="28" w:type="dxa"/>
          <w:bottom w:w="28" w:type="dxa"/>
          <w:right w:w="28" w:type="dxa"/>
        </w:tblCellMar>
      </w:tblPr>
      <w:tblGrid>
        <w:gridCol w:w="738"/>
        <w:gridCol w:w="648"/>
        <w:gridCol w:w="654"/>
        <w:gridCol w:w="109"/>
        <w:gridCol w:w="109"/>
        <w:gridCol w:w="109"/>
        <w:gridCol w:w="879"/>
        <w:gridCol w:w="879"/>
        <w:gridCol w:w="882"/>
        <w:gridCol w:w="109"/>
        <w:gridCol w:w="109"/>
        <w:gridCol w:w="109"/>
        <w:gridCol w:w="701"/>
        <w:gridCol w:w="701"/>
        <w:gridCol w:w="998"/>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47281 Bayside Pkwy</w:t>
              <w:br/>
              <w:t>Fremont, CA 94538</w:t>
              <w:br/>
              <w:t>(707) 774-7000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20-4645388</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(Address of principal executive offices,</w:t>
              <w:br/>
              <w:t>including zip code)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(I.R.S. Employer Identification No.)</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Amended and Restated 2021 Equity Incentive Plan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2011 Employee Stock Purchase Plan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(Full titles of the plans)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Badrinarayanan Kothandaraman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President and Chief Executive Officer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 Enphase Energy, Inc.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47281 Bayside Pkwy</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Fremont, CA 94538</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(707) 774-7000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 xml:space="preserve">(Name, address, including zip code, and telephone number, including area code, of agent for service) </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i/>
          <w:color w:val="000000"/>
          <w:sz w:val="18"/>
        </w:rPr>
        <w:t>Copies to:</w:t>
      </w: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John H. Sellers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Cooley LLP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3175 Hanover Street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Palo Alto, California 94304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(650) 843-5000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Facsimile: (650) 849-7400 </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val="false"/>
          <w:color w:val="000000"/>
          <w:sz w:val="20"/>
        </w:rPr>
        <w:t>I</w:t>
      </w:r>
      <w:r>
        <w:rPr>
          <w:rFonts w:ascii="Arial;sans-serif" w:hAnsi="Arial;sans-serif"/>
          <w:b w:val="false"/>
          <w:color w:val="000000"/>
          <w:sz w:val="18"/>
        </w:rPr>
        <w:t>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5939" w:type="dxa"/>
        <w:jc w:val="center"/>
        <w:tblInd w:w="0" w:type="dxa"/>
        <w:tblLayout w:type="fixed"/>
        <w:tblCellMar>
          <w:top w:w="28" w:type="dxa"/>
          <w:left w:w="28" w:type="dxa"/>
          <w:bottom w:w="28" w:type="dxa"/>
          <w:right w:w="28" w:type="dxa"/>
        </w:tblCellMar>
      </w:tblPr>
      <w:tblGrid>
        <w:gridCol w:w="705"/>
        <w:gridCol w:w="620"/>
        <w:gridCol w:w="624"/>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160" w:after="160"/>
        <w:jc w:val="center"/>
        <w:rPr>
          <w:rFonts w:ascii="Arial;sans-serif" w:hAnsi="Arial;sans-serif"/>
          <w:b/>
          <w:color w:val="000000"/>
          <w:sz w:val="20"/>
        </w:rPr>
      </w:pPr>
      <w:r>
        <w:rPr>
          <w:rFonts w:ascii="Arial;sans-serif" w:hAnsi="Arial;sans-serif"/>
          <w:b/>
          <w:color w:val="000000"/>
          <w:sz w:val="20"/>
        </w:rPr>
        <w:t>INTRODUCTION</w:t>
      </w:r>
    </w:p>
    <w:p>
      <w:pPr>
        <w:pStyle w:val="TextBody"/>
        <w:bidi w:val="0"/>
        <w:spacing w:lineRule="auto" w:line="268" w:before="160" w:after="160"/>
        <w:ind w:left="0" w:right="0" w:firstLine="540"/>
        <w:jc w:val="both"/>
        <w:rPr>
          <w:rFonts w:ascii="Arial;sans-serif" w:hAnsi="Arial;sans-serif"/>
          <w:b w:val="false"/>
          <w:color w:val="000000"/>
          <w:sz w:val="20"/>
        </w:rPr>
      </w:pPr>
      <w:r>
        <w:rPr>
          <w:rFonts w:ascii="Arial;sans-serif" w:hAnsi="Arial;sans-serif"/>
          <w:b w:val="false"/>
          <w:color w:val="000000"/>
          <w:sz w:val="20"/>
        </w:rPr>
        <w:t>This Registration Statement on Form S-8 is being filed by Enphase Energy, Inc. (the “Registrant”) to register an additional (i) 2,000,000 shares of common stock, par value $0.00001 per share (“Common Stock”), to be issued pursuant to the Registrant’s Amended and Restated 2021 Equity Incentive Plan (the “2021 Plan”) and (ii) 700,000 shares of Common Stock to be issued to employees of the Registrant and certain of its subsidiaries under the 2011 Employee Stock Purchase Plan (the “2011 ESPP”).</w:t>
      </w:r>
    </w:p>
    <w:p>
      <w:pPr>
        <w:pStyle w:val="TextBody"/>
        <w:bidi w:val="0"/>
        <w:spacing w:lineRule="auto" w:line="268" w:before="160" w:after="160"/>
        <w:ind w:left="0" w:right="0" w:firstLine="540"/>
        <w:jc w:val="both"/>
        <w:rPr/>
      </w:pPr>
      <w:r>
        <w:rPr>
          <w:rFonts w:ascii="Arial;sans-serif" w:hAnsi="Arial;sans-serif"/>
          <w:b w:val="false"/>
          <w:color w:val="000000"/>
          <w:sz w:val="20"/>
        </w:rPr>
        <w:t xml:space="preserve">Pursuant to General Instruction E of Form S-8, the contents of the Registration Statements on Form S-8 previously filed with the Securities and Exchange Commission (the “Commission”) May 14, 2012 (File No. </w:t>
      </w:r>
      <w:hyperlink r:id="rId3">
        <w:r>
          <w:rPr>
            <w:rStyle w:val="InternetLink"/>
            <w:rFonts w:ascii="Arial;sans-serif" w:hAnsi="Arial;sans-serif"/>
            <w:b w:val="false"/>
            <w:color w:val="0000FF"/>
            <w:sz w:val="20"/>
            <w:u w:val="single"/>
          </w:rPr>
          <w:t>333-181382</w:t>
        </w:r>
      </w:hyperlink>
      <w:r>
        <w:rPr>
          <w:rFonts w:ascii="Arial;sans-serif" w:hAnsi="Arial;sans-serif"/>
          <w:b w:val="false"/>
          <w:color w:val="000000"/>
          <w:sz w:val="20"/>
        </w:rPr>
        <w:t xml:space="preserve">), March 6, 2013 (File No. </w:t>
      </w:r>
      <w:hyperlink r:id="rId4">
        <w:r>
          <w:rPr>
            <w:rStyle w:val="InternetLink"/>
            <w:rFonts w:ascii="Arial;sans-serif" w:hAnsi="Arial;sans-serif"/>
            <w:b w:val="false"/>
            <w:color w:val="0000FF"/>
            <w:sz w:val="20"/>
            <w:u w:val="single"/>
          </w:rPr>
          <w:t>333-187057</w:t>
        </w:r>
      </w:hyperlink>
      <w:r>
        <w:rPr>
          <w:rFonts w:ascii="Arial;sans-serif" w:hAnsi="Arial;sans-serif"/>
          <w:b w:val="false"/>
          <w:color w:val="000000"/>
          <w:sz w:val="20"/>
        </w:rPr>
        <w:t xml:space="preserve">), March 24, 2014 (File No. </w:t>
      </w:r>
      <w:hyperlink r:id="rId5">
        <w:r>
          <w:rPr>
            <w:rStyle w:val="InternetLink"/>
            <w:rFonts w:ascii="Arial;sans-serif" w:hAnsi="Arial;sans-serif"/>
            <w:b w:val="false"/>
            <w:color w:val="0000FF"/>
            <w:sz w:val="20"/>
            <w:u w:val="single"/>
          </w:rPr>
          <w:t>333-194749</w:t>
        </w:r>
      </w:hyperlink>
      <w:r>
        <w:rPr>
          <w:rFonts w:ascii="Arial;sans-serif" w:hAnsi="Arial;sans-serif"/>
          <w:b w:val="false"/>
          <w:color w:val="000000"/>
          <w:sz w:val="20"/>
        </w:rPr>
        <w:t xml:space="preserve">), March 10, 2015 (File No. </w:t>
      </w:r>
      <w:hyperlink r:id="rId6">
        <w:r>
          <w:rPr>
            <w:rStyle w:val="InternetLink"/>
            <w:rFonts w:ascii="Arial;sans-serif" w:hAnsi="Arial;sans-serif"/>
            <w:b w:val="false"/>
            <w:color w:val="0000FF"/>
            <w:sz w:val="20"/>
            <w:u w:val="single"/>
          </w:rPr>
          <w:t>333-202630</w:t>
        </w:r>
      </w:hyperlink>
      <w:r>
        <w:rPr>
          <w:rFonts w:ascii="Arial;sans-serif" w:hAnsi="Arial;sans-serif"/>
          <w:b w:val="false"/>
          <w:color w:val="000000"/>
          <w:sz w:val="20"/>
        </w:rPr>
        <w:t xml:space="preserve">), March 9, 2016 (File No. </w:t>
      </w:r>
      <w:hyperlink r:id="rId7">
        <w:r>
          <w:rPr>
            <w:rStyle w:val="InternetLink"/>
            <w:rFonts w:ascii="Arial;sans-serif" w:hAnsi="Arial;sans-serif"/>
            <w:b w:val="false"/>
            <w:color w:val="0000FF"/>
            <w:sz w:val="20"/>
            <w:u w:val="single"/>
          </w:rPr>
          <w:t>333-210037</w:t>
        </w:r>
      </w:hyperlink>
      <w:r>
        <w:rPr>
          <w:rFonts w:ascii="Arial;sans-serif" w:hAnsi="Arial;sans-serif"/>
          <w:b w:val="false"/>
          <w:color w:val="000000"/>
          <w:sz w:val="20"/>
        </w:rPr>
        <w:t xml:space="preserve">), March 28, 2017 (File No. </w:t>
      </w:r>
      <w:hyperlink r:id="rId8">
        <w:r>
          <w:rPr>
            <w:rStyle w:val="InternetLink"/>
            <w:rFonts w:ascii="Arial;sans-serif" w:hAnsi="Arial;sans-serif"/>
            <w:b w:val="false"/>
            <w:color w:val="0000FF"/>
            <w:sz w:val="20"/>
            <w:u w:val="single"/>
          </w:rPr>
          <w:t>333-216986</w:t>
        </w:r>
      </w:hyperlink>
      <w:r>
        <w:rPr>
          <w:rFonts w:ascii="Arial;sans-serif" w:hAnsi="Arial;sans-serif"/>
          <w:b w:val="false"/>
          <w:color w:val="000000"/>
          <w:sz w:val="20"/>
        </w:rPr>
        <w:t xml:space="preserve">), April 2, 2018 (File No. </w:t>
      </w:r>
      <w:hyperlink r:id="rId9">
        <w:r>
          <w:rPr>
            <w:rStyle w:val="InternetLink"/>
            <w:rFonts w:ascii="Arial;sans-serif" w:hAnsi="Arial;sans-serif"/>
            <w:b w:val="false"/>
            <w:color w:val="0000FF"/>
            <w:sz w:val="20"/>
            <w:u w:val="single"/>
          </w:rPr>
          <w:t>333-224103</w:t>
        </w:r>
      </w:hyperlink>
      <w:r>
        <w:rPr>
          <w:rFonts w:ascii="Arial;sans-serif" w:hAnsi="Arial;sans-serif"/>
          <w:b w:val="false"/>
          <w:color w:val="000000"/>
          <w:sz w:val="20"/>
        </w:rPr>
        <w:t xml:space="preserve">), March 15, 2019 (File No. </w:t>
      </w:r>
      <w:hyperlink r:id="rId10">
        <w:r>
          <w:rPr>
            <w:rStyle w:val="InternetLink"/>
            <w:rFonts w:ascii="Arial;sans-serif" w:hAnsi="Arial;sans-serif"/>
            <w:b w:val="false"/>
            <w:color w:val="0000FF"/>
            <w:sz w:val="20"/>
            <w:u w:val="single"/>
          </w:rPr>
          <w:t>333-230314</w:t>
        </w:r>
      </w:hyperlink>
      <w:r>
        <w:rPr>
          <w:rFonts w:ascii="Arial;sans-serif" w:hAnsi="Arial;sans-serif"/>
          <w:b w:val="false"/>
          <w:color w:val="000000"/>
          <w:sz w:val="20"/>
        </w:rPr>
        <w:t xml:space="preserve">), June 8, 2020 (File No. </w:t>
      </w:r>
      <w:hyperlink r:id="rId11">
        <w:r>
          <w:rPr>
            <w:rStyle w:val="InternetLink"/>
            <w:rFonts w:ascii="Arial;sans-serif" w:hAnsi="Arial;sans-serif"/>
            <w:b w:val="false"/>
            <w:color w:val="0000FF"/>
            <w:sz w:val="20"/>
            <w:u w:val="single"/>
          </w:rPr>
          <w:t>333-238997</w:t>
        </w:r>
      </w:hyperlink>
      <w:r>
        <w:rPr>
          <w:rFonts w:ascii="Arial;sans-serif" w:hAnsi="Arial;sans-serif"/>
          <w:b w:val="false"/>
          <w:color w:val="000000"/>
          <w:sz w:val="20"/>
        </w:rPr>
        <w:t xml:space="preserve">), February 18, 2021 (File No. </w:t>
      </w:r>
      <w:hyperlink r:id="rId12">
        <w:r>
          <w:rPr>
            <w:rStyle w:val="InternetLink"/>
            <w:rFonts w:ascii="Arial;sans-serif" w:hAnsi="Arial;sans-serif"/>
            <w:b w:val="false"/>
            <w:color w:val="0000FF"/>
            <w:sz w:val="20"/>
            <w:u w:val="single"/>
          </w:rPr>
          <w:t>333-253228</w:t>
        </w:r>
      </w:hyperlink>
      <w:r>
        <w:rPr>
          <w:rFonts w:ascii="Arial;sans-serif" w:hAnsi="Arial;sans-serif"/>
          <w:b w:val="false"/>
          <w:color w:val="000000"/>
          <w:sz w:val="20"/>
        </w:rPr>
        <w:t xml:space="preserve">), May 19, 2021 (File No. </w:t>
      </w:r>
      <w:hyperlink r:id="rId13">
        <w:r>
          <w:rPr>
            <w:rStyle w:val="InternetLink"/>
            <w:rFonts w:ascii="Arial;sans-serif" w:hAnsi="Arial;sans-serif"/>
            <w:b w:val="false"/>
            <w:color w:val="0000FF"/>
            <w:sz w:val="20"/>
            <w:u w:val="single"/>
          </w:rPr>
          <w:t>333-256290</w:t>
        </w:r>
      </w:hyperlink>
      <w:r>
        <w:rPr>
          <w:rFonts w:ascii="Arial;sans-serif" w:hAnsi="Arial;sans-serif"/>
          <w:b w:val="false"/>
          <w:color w:val="000000"/>
          <w:sz w:val="20"/>
        </w:rPr>
        <w:t xml:space="preserve">) and July 22, 2025 (File No. </w:t>
      </w:r>
      <w:hyperlink r:id="rId14">
        <w:r>
          <w:rPr>
            <w:rStyle w:val="InternetLink"/>
            <w:rFonts w:ascii="Arial;sans-serif" w:hAnsi="Arial;sans-serif"/>
            <w:b w:val="false"/>
            <w:color w:val="0000FF"/>
            <w:sz w:val="20"/>
            <w:u w:val="single"/>
          </w:rPr>
          <w:t>333-288871</w:t>
        </w:r>
      </w:hyperlink>
      <w:r>
        <w:rPr>
          <w:rFonts w:ascii="Arial;sans-serif" w:hAnsi="Arial;sans-serif"/>
          <w:b w:val="false"/>
          <w:color w:val="000000"/>
          <w:sz w:val="20"/>
        </w:rPr>
        <w:t>), which relate to the 2021 Plan and the 2011 ESPP, are incorporated herein by reference and made a part hereof, except for those items being updated by this Registration Statement.</w:t>
      </w:r>
    </w:p>
    <w:p>
      <w:pPr>
        <w:pStyle w:val="TextBody"/>
        <w:bidi w:val="0"/>
        <w:spacing w:lineRule="auto" w:line="268" w:before="120" w:after="120"/>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68" w:before="160" w:after="160"/>
        <w:jc w:val="center"/>
        <w:rPr>
          <w:rFonts w:ascii="Arial;sans-serif" w:hAnsi="Arial;sans-serif"/>
          <w:b/>
          <w:color w:val="000000"/>
          <w:sz w:val="20"/>
        </w:rPr>
      </w:pPr>
      <w:r>
        <w:rPr>
          <w:rFonts w:ascii="Arial;sans-serif" w:hAnsi="Arial;sans-serif"/>
          <w:b/>
          <w:color w:val="000000"/>
          <w:sz w:val="20"/>
        </w:rPr>
        <w:t>INFORMATION REQUIRED IN THE SECTION 10(a) PROSPECTUS</w:t>
      </w:r>
    </w:p>
    <w:p>
      <w:pPr>
        <w:pStyle w:val="TextBody"/>
        <w:bidi w:val="0"/>
        <w:spacing w:lineRule="auto" w:line="268" w:before="160" w:after="160"/>
        <w:ind w:left="0" w:right="0" w:firstLine="540"/>
        <w:jc w:val="both"/>
        <w:rPr>
          <w:rFonts w:ascii="Arial;sans-serif" w:hAnsi="Arial;sans-serif"/>
          <w:b w:val="false"/>
          <w:color w:val="000000"/>
          <w:sz w:val="20"/>
        </w:rPr>
      </w:pPr>
      <w:r>
        <w:rPr>
          <w:rFonts w:ascii="Arial;sans-serif" w:hAnsi="Arial;sans-serif"/>
          <w:b w:val="false"/>
          <w:color w:val="000000"/>
          <w:sz w:val="20"/>
        </w:rPr>
        <w:t>The information specified in Item 1 and Item 2 of Part I of Form S-8 is omitted from this Registration Statement on Form S-8 (this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 covered by this Registration Statement as specified by Rule 428(b)(1) under the Securities Act.</w:t>
      </w:r>
    </w:p>
    <w:p>
      <w:pPr>
        <w:pStyle w:val="TextBody"/>
        <w:bidi w:val="0"/>
        <w:spacing w:lineRule="auto" w:line="268" w:before="120" w:after="120"/>
        <w:ind w:left="0" w:right="0" w:firstLine="540"/>
        <w:jc w:val="center"/>
        <w:rPr>
          <w:rFonts w:ascii="Arial;sans-serif" w:hAnsi="Arial;sans-serif"/>
          <w:b/>
          <w:color w:val="000000"/>
          <w:sz w:val="20"/>
        </w:rPr>
      </w:pPr>
      <w:r>
        <w:rPr>
          <w:rFonts w:ascii="Arial;sans-serif" w:hAnsi="Arial;sans-serif"/>
          <w:b/>
          <w:color w:val="000000"/>
          <w:sz w:val="20"/>
        </w:rPr>
        <w:t>PART II</w:t>
      </w:r>
    </w:p>
    <w:p>
      <w:pPr>
        <w:pStyle w:val="TextBody"/>
        <w:bidi w:val="0"/>
        <w:spacing w:lineRule="auto" w:line="268" w:before="120" w:after="120"/>
        <w:jc w:val="center"/>
        <w:rPr>
          <w:rFonts w:ascii="Arial;sans-serif" w:hAnsi="Arial;sans-serif"/>
          <w:b/>
          <w:color w:val="000000"/>
          <w:sz w:val="20"/>
        </w:rPr>
      </w:pPr>
      <w:r>
        <w:rPr>
          <w:rFonts w:ascii="Arial;sans-serif" w:hAnsi="Arial;sans-serif"/>
          <w:b/>
          <w:color w:val="000000"/>
          <w:sz w:val="20"/>
        </w:rPr>
        <w:t>INFORMATION REQUIRED IN THE REGISTRATION STATEMENT</w:t>
      </w:r>
    </w:p>
    <w:p>
      <w:pPr>
        <w:pStyle w:val="TextBody"/>
        <w:bidi w:val="0"/>
        <w:spacing w:lineRule="auto" w:line="345" w:before="160" w:after="120"/>
        <w:jc w:val="left"/>
        <w:rPr>
          <w:rFonts w:ascii="Arial;sans-serif" w:hAnsi="Arial;sans-serif"/>
          <w:b/>
          <w:color w:val="000000"/>
          <w:sz w:val="20"/>
        </w:rPr>
      </w:pPr>
      <w:r>
        <w:rPr>
          <w:rFonts w:ascii="Arial;sans-serif" w:hAnsi="Arial;sans-serif"/>
          <w:b/>
          <w:color w:val="000000"/>
          <w:sz w:val="20"/>
        </w:rPr>
        <w:t>ITEM 3. INCORPORATION OF CERTAIN DOCUMENTS BY REFERENCE</w:t>
      </w:r>
    </w:p>
    <w:p>
      <w:pPr>
        <w:pStyle w:val="TextBody"/>
        <w:bidi w:val="0"/>
        <w:spacing w:lineRule="auto" w:line="268" w:before="160" w:after="160"/>
        <w:ind w:left="0" w:right="0" w:firstLine="540"/>
        <w:jc w:val="both"/>
        <w:rPr>
          <w:rFonts w:ascii="Arial;sans-serif" w:hAnsi="Arial;sans-serif"/>
          <w:b w:val="false"/>
          <w:color w:val="000000"/>
          <w:sz w:val="20"/>
        </w:rPr>
      </w:pPr>
      <w:r>
        <w:rPr>
          <w:rFonts w:ascii="Arial;sans-serif" w:hAnsi="Arial;sans-serif"/>
          <w:b w:val="false"/>
          <w:color w:val="000000"/>
          <w:sz w:val="20"/>
        </w:rPr>
        <w:t>The following documents filed by the Registrant with the Commission are incorporated by reference into this Registration Statement:</w:t>
      </w:r>
    </w:p>
    <w:p>
      <w:pPr>
        <w:pStyle w:val="TextBody"/>
        <w:bidi w:val="0"/>
        <w:spacing w:lineRule="auto" w:line="268" w:before="0" w:after="160"/>
        <w:ind w:left="0" w:right="0" w:firstLine="1080"/>
        <w:jc w:val="both"/>
        <w:rPr/>
      </w:pPr>
      <w:r>
        <w:rPr>
          <w:rFonts w:ascii="Arial;sans-serif" w:hAnsi="Arial;sans-serif"/>
          <w:b/>
          <w:color w:val="000000"/>
          <w:sz w:val="20"/>
        </w:rPr>
        <w:t xml:space="preserve">(a) </w:t>
      </w:r>
      <w:r>
        <w:rPr>
          <w:rFonts w:ascii="Arial;sans-serif" w:hAnsi="Arial;sans-serif"/>
          <w:b w:val="false"/>
          <w:color w:val="000000"/>
          <w:sz w:val="20"/>
        </w:rPr>
        <w:t xml:space="preserve">The Registrant’s Annual Report on </w:t>
      </w:r>
      <w:hyperlink r:id="rId15">
        <w:r>
          <w:rPr>
            <w:rStyle w:val="InternetLink"/>
            <w:rFonts w:ascii="Arial;sans-serif" w:hAnsi="Arial;sans-serif"/>
            <w:b w:val="false"/>
            <w:color w:val="0000FF"/>
            <w:sz w:val="20"/>
            <w:u w:val="single"/>
          </w:rPr>
          <w:t>Form 10-K</w:t>
        </w:r>
      </w:hyperlink>
      <w:r>
        <w:rPr>
          <w:color w:val="000000"/>
        </w:rPr>
        <w:t xml:space="preserve"> </w:t>
      </w:r>
      <w:r>
        <w:rPr>
          <w:rFonts w:ascii="Arial;sans-serif" w:hAnsi="Arial;sans-serif"/>
          <w:b w:val="false"/>
          <w:color w:val="000000"/>
          <w:sz w:val="20"/>
        </w:rPr>
        <w:t>(the “Form 10-K”) for the fiscal year ended December 31, 2025, filed with the Commission on February 17, 2026.</w:t>
      </w:r>
    </w:p>
    <w:p>
      <w:pPr>
        <w:pStyle w:val="TextBody"/>
        <w:bidi w:val="0"/>
        <w:spacing w:lineRule="auto" w:line="268" w:before="0" w:after="160"/>
        <w:ind w:left="0" w:right="0" w:firstLine="1080"/>
        <w:jc w:val="both"/>
        <w:rPr/>
      </w:pPr>
      <w:r>
        <w:rPr>
          <w:rFonts w:ascii="Arial;sans-serif" w:hAnsi="Arial;sans-serif"/>
          <w:b/>
          <w:color w:val="000000"/>
          <w:sz w:val="20"/>
        </w:rPr>
        <w:t xml:space="preserve">(b) </w:t>
      </w:r>
      <w:r>
        <w:rPr>
          <w:rFonts w:ascii="Arial;sans-serif" w:hAnsi="Arial;sans-serif"/>
          <w:b w:val="false"/>
          <w:color w:val="000000"/>
          <w:sz w:val="20"/>
          <w:shd w:fill="FFFFFF" w:val="clear"/>
        </w:rPr>
        <w:t xml:space="preserve">The information specifically incorporated by reference in the Form 10-K from the Registrant’s </w:t>
      </w:r>
      <w:hyperlink r:id="rId16">
        <w:r>
          <w:rPr>
            <w:rStyle w:val="InternetLink"/>
            <w:rFonts w:ascii="Arial;sans-serif" w:hAnsi="Arial;sans-serif"/>
            <w:b w:val="false"/>
            <w:color w:val="0000FF"/>
            <w:sz w:val="20"/>
            <w:u w:val="single"/>
            <w:shd w:fill="FFFFFF" w:val="clear"/>
          </w:rPr>
          <w:t>Definitive Proxy Statement</w:t>
        </w:r>
      </w:hyperlink>
      <w:r>
        <w:rPr>
          <w:color w:val="000000"/>
          <w:shd w:fill="FFFFFF" w:val="clear"/>
        </w:rPr>
        <w:t xml:space="preserve"> </w:t>
      </w:r>
      <w:r>
        <w:rPr>
          <w:rFonts w:ascii="Arial;sans-serif" w:hAnsi="Arial;sans-serif"/>
          <w:b w:val="false"/>
          <w:color w:val="000000"/>
          <w:sz w:val="20"/>
          <w:shd w:fill="FFFFFF" w:val="clear"/>
        </w:rPr>
        <w:t>on Schedule 14A relating to the Registrant’s 2026 annual meeting of stockholders, filed with the Commission on April 1, 2026.</w:t>
      </w:r>
    </w:p>
    <w:p>
      <w:pPr>
        <w:pStyle w:val="TextBody"/>
        <w:bidi w:val="0"/>
        <w:spacing w:lineRule="auto" w:line="268" w:before="0" w:after="160"/>
        <w:ind w:left="0" w:right="0" w:firstLine="1080"/>
        <w:jc w:val="both"/>
        <w:rPr/>
      </w:pPr>
      <w:r>
        <w:rPr>
          <w:rFonts w:ascii="Arial;sans-serif" w:hAnsi="Arial;sans-serif"/>
          <w:b/>
          <w:color w:val="000000"/>
          <w:sz w:val="20"/>
        </w:rPr>
        <w:t xml:space="preserve">(c) </w:t>
      </w:r>
      <w:r>
        <w:rPr>
          <w:rFonts w:ascii="Arial;sans-serif" w:hAnsi="Arial;sans-serif"/>
          <w:b w:val="false"/>
          <w:color w:val="000000"/>
          <w:sz w:val="20"/>
          <w:shd w:fill="FFFFFF" w:val="clear"/>
        </w:rPr>
        <w:t xml:space="preserve">The Registrant’s Quarterly Reports on Form 10-Q for the fiscal quarter ended </w:t>
      </w:r>
      <w:hyperlink r:id="rId17">
        <w:r>
          <w:rPr>
            <w:rStyle w:val="InternetLink"/>
            <w:rFonts w:ascii="Arial;sans-serif" w:hAnsi="Arial;sans-serif"/>
            <w:b w:val="false"/>
            <w:color w:val="0000FF"/>
            <w:sz w:val="20"/>
            <w:u w:val="single"/>
            <w:shd w:fill="FFFFFF" w:val="clear"/>
          </w:rPr>
          <w:t>March 31, 2026</w:t>
        </w:r>
      </w:hyperlink>
      <w:r>
        <w:rPr>
          <w:color w:val="000000"/>
          <w:shd w:fill="FFFFFF" w:val="clear"/>
        </w:rPr>
        <w:t xml:space="preserve"> </w:t>
      </w:r>
      <w:r>
        <w:rPr>
          <w:rFonts w:ascii="Arial;sans-serif" w:hAnsi="Arial;sans-serif"/>
          <w:b w:val="false"/>
          <w:color w:val="000000"/>
          <w:sz w:val="20"/>
          <w:shd w:fill="FFFFFF" w:val="clear"/>
        </w:rPr>
        <w:t xml:space="preserve">filed with the Commission on April 28, 2026 and for the fiscal quarter ended </w:t>
      </w:r>
      <w:hyperlink r:id="rId18">
        <w:r>
          <w:rPr>
            <w:rStyle w:val="InternetLink"/>
            <w:rFonts w:ascii="Arial;sans-serif" w:hAnsi="Arial;sans-serif"/>
            <w:b w:val="false"/>
            <w:color w:val="0000FF"/>
            <w:sz w:val="20"/>
            <w:u w:val="single"/>
            <w:shd w:fill="FFFFFF" w:val="clear"/>
          </w:rPr>
          <w:t>June 30, 2026</w:t>
        </w:r>
      </w:hyperlink>
      <w:r>
        <w:rPr>
          <w:color w:val="000000"/>
          <w:shd w:fill="FFFFFF" w:val="clear"/>
        </w:rPr>
        <w:t xml:space="preserve"> </w:t>
      </w:r>
      <w:r>
        <w:rPr>
          <w:rFonts w:ascii="Arial;sans-serif" w:hAnsi="Arial;sans-serif"/>
          <w:b w:val="false"/>
          <w:color w:val="000000"/>
          <w:sz w:val="20"/>
          <w:shd w:fill="FFFFFF" w:val="clear"/>
        </w:rPr>
        <w:t>filed with the Commission on July 28, 2026.</w:t>
      </w:r>
    </w:p>
    <w:p>
      <w:pPr>
        <w:pStyle w:val="TextBody"/>
        <w:bidi w:val="0"/>
        <w:spacing w:lineRule="auto" w:line="268" w:before="0" w:after="160"/>
        <w:ind w:left="0" w:right="0" w:firstLine="1080"/>
        <w:jc w:val="both"/>
        <w:rPr/>
      </w:pPr>
      <w:r>
        <w:rPr>
          <w:rFonts w:ascii="Arial;sans-serif" w:hAnsi="Arial;sans-serif"/>
          <w:b/>
          <w:color w:val="000000"/>
          <w:sz w:val="20"/>
        </w:rPr>
        <w:t>(d)</w:t>
      </w:r>
      <w:r>
        <w:rPr>
          <w:color w:val="000000"/>
        </w:rPr>
        <w:t xml:space="preserve"> </w:t>
      </w:r>
      <w:r>
        <w:rPr>
          <w:rFonts w:ascii="Arial;sans-serif" w:hAnsi="Arial;sans-serif"/>
          <w:b w:val="false"/>
          <w:color w:val="000000"/>
          <w:sz w:val="20"/>
        </w:rPr>
        <w:t xml:space="preserve">The Registrant’s Current Reports on Form 8-K filed with the Commission on </w:t>
      </w:r>
      <w:hyperlink r:id="rId19">
        <w:r>
          <w:rPr>
            <w:rStyle w:val="InternetLink"/>
            <w:rFonts w:ascii="Arial;sans-serif" w:hAnsi="Arial;sans-serif"/>
            <w:b w:val="false"/>
            <w:color w:val="0000FF"/>
            <w:sz w:val="20"/>
            <w:u w:val="single"/>
          </w:rPr>
          <w:t>April 6, 2026</w:t>
        </w:r>
      </w:hyperlink>
      <w:r>
        <w:rPr>
          <w:color w:val="000000"/>
        </w:rPr>
        <w:t xml:space="preserve"> </w:t>
      </w:r>
      <w:r>
        <w:rPr>
          <w:rFonts w:ascii="Arial;sans-serif" w:hAnsi="Arial;sans-serif"/>
          <w:b w:val="false"/>
          <w:color w:val="000000"/>
          <w:sz w:val="20"/>
        </w:rPr>
        <w:t xml:space="preserve">(only with respect to Item 8.01), </w:t>
      </w:r>
      <w:hyperlink r:id="rId20">
        <w:r>
          <w:rPr>
            <w:rStyle w:val="InternetLink"/>
            <w:rFonts w:ascii="Arial;sans-serif" w:hAnsi="Arial;sans-serif"/>
            <w:b w:val="false"/>
            <w:color w:val="0000FF"/>
            <w:sz w:val="20"/>
            <w:u w:val="single"/>
          </w:rPr>
          <w:t>May 15, 2026</w:t>
        </w:r>
      </w:hyperlink>
      <w:r>
        <w:rPr>
          <w:rFonts w:ascii="Arial;sans-serif" w:hAnsi="Arial;sans-serif"/>
          <w:b w:val="false"/>
          <w:color w:val="000000"/>
          <w:sz w:val="20"/>
        </w:rPr>
        <w:t xml:space="preserve">, </w:t>
      </w:r>
      <w:hyperlink r:id="rId21">
        <w:r>
          <w:rPr>
            <w:rStyle w:val="InternetLink"/>
            <w:rFonts w:ascii="Arial;sans-serif" w:hAnsi="Arial;sans-serif"/>
            <w:b w:val="false"/>
            <w:color w:val="0000FF"/>
            <w:sz w:val="20"/>
            <w:u w:val="single"/>
          </w:rPr>
          <w:t>June 15, 2026</w:t>
        </w:r>
      </w:hyperlink>
      <w:r>
        <w:rPr>
          <w:color w:val="000000"/>
        </w:rPr>
        <w:t xml:space="preserve"> </w:t>
      </w:r>
      <w:r>
        <w:rPr>
          <w:rFonts w:ascii="Arial;sans-serif" w:hAnsi="Arial;sans-serif"/>
          <w:b w:val="false"/>
          <w:color w:val="000000"/>
          <w:sz w:val="20"/>
        </w:rPr>
        <w:t xml:space="preserve">and </w:t>
      </w:r>
      <w:hyperlink r:id="rId22">
        <w:r>
          <w:rPr>
            <w:rStyle w:val="InternetLink"/>
            <w:rFonts w:ascii="Arial;sans-serif" w:hAnsi="Arial;sans-serif"/>
            <w:b w:val="false"/>
            <w:color w:val="0000FF"/>
            <w:sz w:val="20"/>
            <w:u w:val="single"/>
          </w:rPr>
          <w:t>June 18, 2026</w:t>
        </w:r>
      </w:hyperlink>
      <w:r>
        <w:rPr>
          <w:rFonts w:ascii="Arial;sans-serif" w:hAnsi="Arial;sans-serif"/>
          <w:b w:val="false"/>
          <w:color w:val="000000"/>
          <w:sz w:val="20"/>
        </w:rPr>
        <w:t>.</w:t>
      </w:r>
    </w:p>
    <w:p>
      <w:pPr>
        <w:pStyle w:val="TextBody"/>
        <w:bidi w:val="0"/>
        <w:spacing w:lineRule="auto" w:line="268" w:before="0" w:after="160"/>
        <w:ind w:left="0" w:right="0" w:firstLine="1080"/>
        <w:jc w:val="both"/>
        <w:rPr/>
      </w:pPr>
      <w:r>
        <w:rPr>
          <w:rFonts w:ascii="Arial;sans-serif" w:hAnsi="Arial;sans-serif"/>
          <w:b/>
          <w:color w:val="000000"/>
          <w:sz w:val="20"/>
        </w:rPr>
        <w:t>(e)</w:t>
      </w:r>
      <w:r>
        <w:rPr>
          <w:color w:val="000000"/>
        </w:rPr>
        <w:t xml:space="preserve"> </w:t>
      </w:r>
      <w:r>
        <w:rPr>
          <w:rFonts w:ascii="Arial;sans-serif" w:hAnsi="Arial;sans-serif"/>
          <w:b w:val="false"/>
          <w:color w:val="000000"/>
          <w:sz w:val="20"/>
        </w:rPr>
        <w:t xml:space="preserve">The description of the Registrant’s common stock which is contained in the registration statement on </w:t>
      </w:r>
      <w:hyperlink r:id="rId23">
        <w:r>
          <w:rPr>
            <w:rStyle w:val="InternetLink"/>
            <w:rFonts w:ascii="Arial;sans-serif" w:hAnsi="Arial;sans-serif"/>
            <w:b w:val="false"/>
            <w:color w:val="0000FF"/>
            <w:sz w:val="20"/>
            <w:u w:val="single"/>
          </w:rPr>
          <w:t>Form 8-A</w:t>
        </w:r>
      </w:hyperlink>
      <w:r>
        <w:rPr>
          <w:color w:val="000000"/>
        </w:rPr>
        <w:t xml:space="preserve"> </w:t>
      </w:r>
      <w:r>
        <w:rPr>
          <w:rFonts w:ascii="Arial;sans-serif" w:hAnsi="Arial;sans-serif"/>
          <w:b w:val="false"/>
          <w:color w:val="000000"/>
          <w:sz w:val="20"/>
        </w:rPr>
        <w:t>filed on March 28, 2012, (File No. 001-35480) under the Exchange Act of 1934, as amended (the “Exchange Act”), including any amendment or report filed for the purpose of updating such description.</w:t>
      </w:r>
    </w:p>
    <w:p>
      <w:pPr>
        <w:pStyle w:val="TextBody"/>
        <w:bidi w:val="0"/>
        <w:spacing w:lineRule="auto" w:line="268" w:before="0" w:after="160"/>
        <w:ind w:left="0" w:right="0" w:firstLine="540"/>
        <w:jc w:val="both"/>
        <w:rPr/>
      </w:pPr>
      <w:r>
        <w:rPr>
          <w:rFonts w:ascii="Arial;sans-serif" w:hAnsi="Arial;sans-serif"/>
          <w:b w:val="false"/>
          <w:color w:val="000000"/>
          <w:sz w:val="20"/>
          <w:shd w:fill="FFFFFF" w:val="clear"/>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sans-serif" w:hAnsi="Arial;sans-serif"/>
          <w:b w:val="false"/>
          <w:i/>
          <w:color w:val="000000"/>
          <w:sz w:val="20"/>
        </w:rPr>
        <w:t>provided</w:t>
      </w:r>
      <w:r>
        <w:rPr>
          <w:rFonts w:ascii="Arial;sans-serif" w:hAnsi="Arial;sans-serif"/>
          <w:b w:val="false"/>
          <w:color w:val="000000"/>
          <w:sz w:val="20"/>
          <w:shd w:fill="FFFFFF" w:val="clear"/>
        </w:rPr>
        <w:t xml:space="preserve">, </w:t>
      </w:r>
      <w:r>
        <w:rPr>
          <w:rFonts w:ascii="Arial;sans-serif" w:hAnsi="Arial;sans-serif"/>
          <w:b w:val="false"/>
          <w:i/>
          <w:color w:val="000000"/>
          <w:sz w:val="20"/>
        </w:rPr>
        <w:t>however</w:t>
      </w:r>
      <w:r>
        <w:rPr>
          <w:rFonts w:ascii="Arial;sans-serif" w:hAnsi="Arial;sans-serif"/>
          <w:b w:val="false"/>
          <w:color w:val="000000"/>
          <w:sz w:val="20"/>
          <w:shd w:fill="FFFFFF" w:val="clear"/>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8.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7"/>
        <w:gridCol w:w="280"/>
        <w:gridCol w:w="281"/>
        <w:gridCol w:w="109"/>
        <w:gridCol w:w="109"/>
        <w:gridCol w:w="109"/>
        <w:gridCol w:w="1112"/>
        <w:gridCol w:w="1019"/>
        <w:gridCol w:w="1023"/>
        <w:gridCol w:w="109"/>
        <w:gridCol w:w="109"/>
        <w:gridCol w:w="109"/>
        <w:gridCol w:w="195"/>
        <w:gridCol w:w="195"/>
        <w:gridCol w:w="196"/>
        <w:gridCol w:w="109"/>
        <w:gridCol w:w="109"/>
        <w:gridCol w:w="109"/>
        <w:gridCol w:w="344"/>
        <w:gridCol w:w="216"/>
        <w:gridCol w:w="203"/>
        <w:gridCol w:w="109"/>
        <w:gridCol w:w="109"/>
        <w:gridCol w:w="109"/>
        <w:gridCol w:w="273"/>
        <w:gridCol w:w="273"/>
        <w:gridCol w:w="278"/>
        <w:gridCol w:w="109"/>
        <w:gridCol w:w="109"/>
        <w:gridCol w:w="109"/>
        <w:gridCol w:w="214"/>
        <w:gridCol w:w="214"/>
        <w:gridCol w:w="215"/>
        <w:gridCol w:w="109"/>
        <w:gridCol w:w="109"/>
        <w:gridCol w:w="109"/>
        <w:gridCol w:w="300"/>
        <w:gridCol w:w="300"/>
        <w:gridCol w:w="302"/>
        <w:gridCol w:w="109"/>
        <w:gridCol w:w="109"/>
        <w:gridCol w:w="109"/>
        <w:gridCol w:w="166"/>
      </w:tblGrid>
      <w:tr>
        <w:trPr/>
        <w:tc>
          <w:tcPr>
            <w:tcW w:w="31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Herewith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center"/>
              <w:rPr/>
            </w:pPr>
            <w:hyperlink r:id="rId24">
              <w:r>
                <w:rPr>
                  <w:rStyle w:val="InternetLink"/>
                  <w:rFonts w:ascii="Arial;sans-serif" w:hAnsi="Arial;sans-serif"/>
                  <w:b w:val="false"/>
                  <w:color w:val="0000FF"/>
                  <w:sz w:val="16"/>
                </w:rPr>
                <w:t>4.1</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0"/>
              <w:jc w:val="both"/>
              <w:rPr/>
            </w:pPr>
            <w:hyperlink r:id="rId25">
              <w:r>
                <w:rPr>
                  <w:rStyle w:val="InternetLink"/>
                  <w:rFonts w:ascii="Arial;sans-serif" w:hAnsi="Arial;sans-serif"/>
                  <w:b w:val="false"/>
                  <w:color w:val="0000FF"/>
                  <w:sz w:val="16"/>
                </w:rPr>
                <w:t>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4/6/2012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26">
              <w:r>
                <w:rPr>
                  <w:rStyle w:val="InternetLink"/>
                  <w:rFonts w:ascii="Arial;sans-serif" w:hAnsi="Arial;sans-serif"/>
                  <w:b w:val="false"/>
                  <w:color w:val="0000FF"/>
                  <w:sz w:val="16"/>
                </w:rPr>
                <w:t>4.2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7">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8/9/2017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28">
              <w:r>
                <w:rPr>
                  <w:rStyle w:val="InternetLink"/>
                  <w:rFonts w:ascii="Arial;sans-serif" w:hAnsi="Arial;sans-serif"/>
                  <w:b w:val="false"/>
                  <w:color w:val="0000FF"/>
                  <w:sz w:val="16"/>
                </w:rPr>
                <w:t>4.3</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29">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8/6/2018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30">
              <w:r>
                <w:rPr>
                  <w:rStyle w:val="InternetLink"/>
                  <w:rFonts w:ascii="Arial;sans-serif" w:hAnsi="Arial;sans-serif"/>
                  <w:b w:val="false"/>
                  <w:color w:val="0000FF"/>
                  <w:sz w:val="16"/>
                </w:rPr>
                <w:t>4.4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1">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5/27/2020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32">
              <w:r>
                <w:rPr>
                  <w:rStyle w:val="InternetLink"/>
                  <w:rFonts w:ascii="Arial;sans-serif" w:hAnsi="Arial;sans-serif"/>
                  <w:b w:val="false"/>
                  <w:color w:val="0000FF"/>
                  <w:sz w:val="16"/>
                </w:rPr>
                <w:t>4.5</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33">
              <w:r>
                <w:rPr>
                  <w:rStyle w:val="InternetLink"/>
                  <w:rFonts w:ascii="Arial;sans-serif" w:hAnsi="Arial;sans-serif"/>
                  <w:b w:val="false"/>
                  <w:color w:val="0000FF"/>
                  <w:sz w:val="16"/>
                </w:rPr>
                <w:t>Certificate of Amendment of the Amended and Restated Certificate of Incorporation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333-256290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5/19/2021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34">
              <w:r>
                <w:rPr>
                  <w:rStyle w:val="InternetLink"/>
                  <w:rFonts w:ascii="Arial;sans-serif" w:hAnsi="Arial;sans-serif"/>
                  <w:b w:val="false"/>
                  <w:color w:val="0000FF"/>
                  <w:sz w:val="16"/>
                </w:rPr>
                <w:t>4.6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5">
              <w:r>
                <w:rPr>
                  <w:rStyle w:val="InternetLink"/>
                  <w:rFonts w:ascii="Arial;sans-serif" w:hAnsi="Arial;sans-serif"/>
                  <w:b w:val="false"/>
                  <w:color w:val="0000FF"/>
                  <w:sz w:val="16"/>
                </w:rPr>
                <w:t>Amended and Restated Bylaws of Enphase Energy, Inc.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4/8/2022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36">
              <w:r>
                <w:rPr>
                  <w:rStyle w:val="InternetLink"/>
                  <w:rFonts w:ascii="Arial;sans-serif" w:hAnsi="Arial;sans-serif"/>
                  <w:b w:val="false"/>
                  <w:color w:val="0000FF"/>
                  <w:sz w:val="16"/>
                </w:rPr>
                <w:t>4.7</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37">
              <w:r>
                <w:rPr>
                  <w:rStyle w:val="InternetLink"/>
                  <w:rFonts w:ascii="Arial;sans-serif" w:hAnsi="Arial;sans-serif"/>
                  <w:b w:val="false"/>
                  <w:color w:val="0000FF"/>
                  <w:sz w:val="16"/>
                </w:rPr>
                <w:t>Specimen Common Stock Certificate of Enphase Energy, Inc.</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2/10/2025</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38">
              <w:r>
                <w:rPr>
                  <w:rStyle w:val="InternetLink"/>
                  <w:rFonts w:ascii="Arial;sans-serif" w:hAnsi="Arial;sans-serif"/>
                  <w:b w:val="false"/>
                  <w:color w:val="0000FF"/>
                  <w:sz w:val="16"/>
                </w:rPr>
                <w:t>4.8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39">
              <w:r>
                <w:rPr>
                  <w:rStyle w:val="InternetLink"/>
                  <w:rFonts w:ascii="Arial;sans-serif" w:hAnsi="Arial;sans-serif"/>
                  <w:b w:val="false"/>
                  <w:color w:val="0000FF"/>
                  <w:sz w:val="16"/>
                </w:rPr>
                <w:t>Indenture, dated March 1, 2021, between Enphase Energy, Inc. and U.S. Bank National Association.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center"/>
              <w:rPr/>
            </w:pPr>
            <w:hyperlink r:id="rId40">
              <w:r>
                <w:rPr>
                  <w:rStyle w:val="InternetLink"/>
                  <w:rFonts w:ascii="Arial;sans-serif" w:hAnsi="Arial;sans-serif"/>
                  <w:b w:val="false"/>
                  <w:color w:val="0000FF"/>
                  <w:sz w:val="16"/>
                </w:rPr>
                <w:t>4.9</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BFE4FF" w:val="clear"/>
            <w:tcMar>
              <w:top w:w="0" w:type="dxa"/>
              <w:left w:w="0" w:type="dxa"/>
              <w:bottom w:w="0" w:type="dxa"/>
              <w:right w:w="0" w:type="dxa"/>
            </w:tcMar>
            <w:vAlign w:val="center"/>
          </w:tcPr>
          <w:p>
            <w:pPr>
              <w:pStyle w:val="TableContents"/>
              <w:bidi w:val="0"/>
              <w:spacing w:lineRule="auto" w:line="288" w:before="0" w:after="0"/>
              <w:jc w:val="both"/>
              <w:rPr/>
            </w:pPr>
            <w:hyperlink r:id="rId41">
              <w:r>
                <w:rPr>
                  <w:rStyle w:val="InternetLink"/>
                  <w:rFonts w:ascii="Arial;sans-serif" w:hAnsi="Arial;sans-serif"/>
                  <w:b w:val="false"/>
                  <w:color w:val="0000FF"/>
                  <w:sz w:val="16"/>
                </w:rPr>
                <w:t>Indenture, dated March 1, 2021, between Enphase Energy, Inc. and U.S. Bank National Association.</w:t>
              </w:r>
            </w:hyperlink>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BFE4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3/1/2021</w:t>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enphs-82026ex51xconsentcoo.htm">
              <w:r>
                <w:rPr>
                  <w:rStyle w:val="InternetLink"/>
                  <w:rFonts w:ascii="Arial;sans-serif" w:hAnsi="Arial;sans-serif"/>
                  <w:b w:val="false"/>
                  <w:color w:val="0000FF"/>
                  <w:sz w:val="16"/>
                </w:rPr>
                <w:t>5.1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nphs-82026ex51xconsentcoo.htm">
              <w:r>
                <w:rPr>
                  <w:rStyle w:val="InternetLink"/>
                  <w:rFonts w:ascii="Arial;sans-serif" w:hAnsi="Arial;sans-serif"/>
                  <w:b w:val="false"/>
                  <w:color w:val="0000FF"/>
                  <w:sz w:val="16"/>
                </w:rPr>
                <w:t>Opinion of Cooley LLP.</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r:id="rId42">
              <w:r>
                <w:rPr>
                  <w:rStyle w:val="InternetLink"/>
                  <w:rFonts w:ascii="Arial;sans-serif" w:hAnsi="Arial;sans-serif"/>
                  <w:b w:val="false"/>
                  <w:color w:val="0000FF"/>
                  <w:sz w:val="16"/>
                </w:rPr>
                <w:t>99.1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43">
              <w:r>
                <w:rPr>
                  <w:rStyle w:val="InternetLink"/>
                  <w:rFonts w:ascii="Arial;sans-serif" w:hAnsi="Arial;sans-serif"/>
                  <w:b w:val="false"/>
                  <w:color w:val="0000FF"/>
                  <w:sz w:val="16"/>
                </w:rPr>
                <w:t>Amended and Restated 2021 Equity Incentive Plan and forms of agreement thereunder.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r:id="rId44">
              <w:r>
                <w:rPr>
                  <w:rStyle w:val="InternetLink"/>
                  <w:rFonts w:ascii="Arial;sans-serif" w:hAnsi="Arial;sans-serif"/>
                  <w:b w:val="false"/>
                  <w:color w:val="0000FF"/>
                  <w:sz w:val="16"/>
                </w:rPr>
                <w:t>99.2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5">
              <w:r>
                <w:rPr>
                  <w:rStyle w:val="InternetLink"/>
                  <w:rFonts w:ascii="Arial;sans-serif" w:hAnsi="Arial;sans-serif"/>
                  <w:b w:val="false"/>
                  <w:color w:val="0000FF"/>
                  <w:sz w:val="16"/>
                </w:rPr>
                <w:t>2011 Employee Stock Purchase Plan, as amended.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DEF 14A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001-35480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Appendix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3/31/2017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enphs-82026ex51xconsentcoo.htm">
              <w:r>
                <w:rPr>
                  <w:rStyle w:val="InternetLink"/>
                  <w:rFonts w:ascii="Arial;sans-serif" w:hAnsi="Arial;sans-serif"/>
                  <w:b w:val="false"/>
                  <w:color w:val="0000FF"/>
                  <w:sz w:val="16"/>
                </w:rPr>
                <w:t>23.1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enphs-82026ex51xconsentcoo.htm">
              <w:r>
                <w:rPr>
                  <w:rStyle w:val="InternetLink"/>
                  <w:rFonts w:ascii="Arial;sans-serif" w:hAnsi="Arial;sans-serif"/>
                  <w:b w:val="false"/>
                  <w:color w:val="0000FF"/>
                  <w:sz w:val="16"/>
                </w:rPr>
                <w:t>Consent of Cooley LLP (included in Exhibit 5.1).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enphs-82026ex232xconsentde.htm">
              <w:r>
                <w:rPr>
                  <w:rStyle w:val="InternetLink"/>
                  <w:rFonts w:ascii="Arial;sans-serif" w:hAnsi="Arial;sans-serif"/>
                  <w:b w:val="false"/>
                  <w:color w:val="0000FF"/>
                  <w:sz w:val="16"/>
                </w:rPr>
                <w:t>23.2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nphs-82026ex232xconsentde.htm">
              <w:r>
                <w:rPr>
                  <w:rStyle w:val="InternetLink"/>
                  <w:rFonts w:ascii="Arial;sans-serif" w:hAnsi="Arial;sans-serif"/>
                  <w:b w:val="false"/>
                  <w:color w:val="0000FF"/>
                  <w:sz w:val="16"/>
                </w:rPr>
                <w:t>Consent of Deloitte &amp; Touche LLP, Independent Registered Public Accounting Firm.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f45a5a11c0fe4d67b72eb32470e7e2ec_16">
              <w:r>
                <w:rPr>
                  <w:rStyle w:val="InternetLink"/>
                  <w:rFonts w:ascii="Arial;sans-serif" w:hAnsi="Arial;sans-serif"/>
                  <w:b w:val="false"/>
                  <w:color w:val="0000FF"/>
                  <w:sz w:val="16"/>
                </w:rPr>
                <w:t>24.1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f45a5a11c0fe4d67b72eb32470e7e2ec_16">
              <w:r>
                <w:rPr>
                  <w:rStyle w:val="InternetLink"/>
                  <w:rFonts w:ascii="Arial;sans-serif" w:hAnsi="Arial;sans-serif"/>
                  <w:b w:val="false"/>
                  <w:color w:val="0000FF"/>
                  <w:sz w:val="16"/>
                </w:rPr>
                <w:t>Power of Attorney (including in signature page of this Registration Statement).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exfilingfees.htm">
              <w:r>
                <w:rPr>
                  <w:rStyle w:val="InternetLink"/>
                  <w:rFonts w:ascii="Arial;sans-serif" w:hAnsi="Arial;sans-serif"/>
                  <w:b w:val="false"/>
                  <w:color w:val="0000FF"/>
                  <w:sz w:val="16"/>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exfilingfees.htm">
              <w:r>
                <w:rPr>
                  <w:rStyle w:val="InternetLink"/>
                  <w:rFonts w:ascii="Arial;sans-serif" w:hAnsi="Arial;sans-serif"/>
                  <w:b w:val="false"/>
                  <w:color w:val="0000FF"/>
                  <w:sz w:val="16"/>
                </w:rPr>
                <w:t>Calculation of Filing Fee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SIGNATURES </w:t>
      </w:r>
    </w:p>
    <w:p>
      <w:pPr>
        <w:pStyle w:val="TextBody"/>
        <w:bidi w:val="0"/>
        <w:spacing w:lineRule="auto" w:line="268" w:before="0" w:after="0"/>
        <w:ind w:left="0" w:right="0" w:firstLine="540"/>
        <w:jc w:val="both"/>
        <w:rPr/>
      </w:pPr>
      <w:r>
        <w:rPr>
          <w:rFonts w:ascii="Arial;sans-serif" w:hAnsi="Arial;sans-serif"/>
          <w:b w:val="false"/>
          <w:color w:val="000000"/>
          <w:sz w:val="20"/>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Fremont, State of California, on this 28</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day of July,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ENPHASE ENERGY, INC.</w:t>
      </w:r>
    </w:p>
    <w:tbl>
      <w:tblPr>
        <w:tblW w:w="4841" w:type="dxa"/>
        <w:jc w:val="right"/>
        <w:tblInd w:w="0" w:type="dxa"/>
        <w:tblLayout w:type="fixed"/>
        <w:tblCellMar>
          <w:top w:w="28" w:type="dxa"/>
          <w:left w:w="28" w:type="dxa"/>
          <w:bottom w:w="28" w:type="dxa"/>
          <w:right w:w="28" w:type="dxa"/>
        </w:tblCellMar>
      </w:tblPr>
      <w:tblGrid>
        <w:gridCol w:w="151"/>
        <w:gridCol w:w="134"/>
        <w:gridCol w:w="135"/>
        <w:gridCol w:w="109"/>
        <w:gridCol w:w="109"/>
        <w:gridCol w:w="109"/>
        <w:gridCol w:w="1199"/>
        <w:gridCol w:w="1199"/>
        <w:gridCol w:w="1696"/>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BADRINARAYANAN KOTHANDARAMAN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Badrinarayanan Kothandaraman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before="0" w:after="0"/>
        <w:jc w:val="center"/>
        <w:rPr/>
      </w:pPr>
      <w:r>
        <w:rPr/>
      </w:r>
    </w:p>
    <w:p>
      <w:pPr>
        <w:pStyle w:val="TextBody"/>
        <w:bidi w:val="0"/>
        <w:spacing w:lineRule="auto" w:line="268" w:before="0" w:after="0"/>
        <w:ind w:left="0" w:right="0" w:firstLine="540"/>
        <w:jc w:val="both"/>
        <w:rPr/>
      </w:pPr>
      <w:r>
        <w:rPr>
          <w:rFonts w:ascii="Arial;sans-serif" w:hAnsi="Arial;sans-serif"/>
          <w:b/>
          <w:color w:val="000000"/>
          <w:sz w:val="20"/>
        </w:rPr>
        <w:t>KNOW ALL PERSONS BY THESE PRESENTS,</w:t>
      </w:r>
      <w:r>
        <w:rPr>
          <w:color w:val="000000"/>
        </w:rPr>
        <w:t xml:space="preserve"> </w:t>
      </w:r>
      <w:r>
        <w:rPr>
          <w:rFonts w:ascii="Arial;sans-serif" w:hAnsi="Arial;sans-serif"/>
          <w:b w:val="false"/>
          <w:color w:val="000000"/>
          <w:sz w:val="20"/>
        </w:rPr>
        <w:t>that each person whose signature appears below constitutes and appoints</w:t>
      </w:r>
      <w:r>
        <w:rPr>
          <w:color w:val="000000"/>
        </w:rPr>
        <w:t xml:space="preserve"> </w:t>
      </w:r>
      <w:r>
        <w:rPr>
          <w:rFonts w:ascii="Arial;sans-serif" w:hAnsi="Arial;sans-serif"/>
          <w:b w:val="false"/>
          <w:color w:val="000000"/>
          <w:sz w:val="20"/>
        </w:rPr>
        <w:t>Badrinarayanan Kothandaraman and Mandy Yang, jointly and severally, as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or her substitutes or substitute, may lawfully do or cause to be done by virtue hereof.</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Act of 1933, as amended, this Registration Statement has been signed by the following persons in the capacities and on the dates indicated.</w:t>
      </w:r>
    </w:p>
    <w:tbl>
      <w:tblPr>
        <w:tblW w:w="9981" w:type="dxa"/>
        <w:jc w:val="left"/>
        <w:tblInd w:w="0" w:type="dxa"/>
        <w:tblLayout w:type="fixed"/>
        <w:tblCellMar>
          <w:top w:w="28" w:type="dxa"/>
          <w:left w:w="28" w:type="dxa"/>
          <w:bottom w:w="28" w:type="dxa"/>
          <w:right w:w="28" w:type="dxa"/>
        </w:tblCellMar>
      </w:tblPr>
      <w:tblGrid>
        <w:gridCol w:w="1356"/>
        <w:gridCol w:w="1192"/>
        <w:gridCol w:w="1201"/>
        <w:gridCol w:w="109"/>
        <w:gridCol w:w="109"/>
        <w:gridCol w:w="109"/>
        <w:gridCol w:w="1438"/>
        <w:gridCol w:w="1438"/>
        <w:gridCol w:w="1458"/>
        <w:gridCol w:w="109"/>
        <w:gridCol w:w="109"/>
        <w:gridCol w:w="109"/>
        <w:gridCol w:w="362"/>
        <w:gridCol w:w="362"/>
        <w:gridCol w:w="520"/>
      </w:tblGrid>
      <w:tr>
        <w:trPr/>
        <w:tc>
          <w:tcPr>
            <w:tcW w:w="135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w:t>
            </w:r>
          </w:p>
        </w:tc>
      </w:tr>
      <w:tr>
        <w:trPr/>
        <w:tc>
          <w:tcPr>
            <w:tcW w:w="3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BADRINARAYANAN KOTHANDARAMAN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President and Chief Executive Officer</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Badrinarayanan Kothandaraman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MANDY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Executive Vice President and Chief Financial Officer</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Mandy Yang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MARY ERGINSOY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Vice President and Chief Accounting Officer</w:t>
              <w:b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Mary Erginsoy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STEVEN J. GOMO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Steven J. Gomo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JAMIE HAENGGI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Jamie Haenggi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BENJAMIN KORTLANG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Benjamin Kortlang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JOSEPH MALCHOW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Joseph Malchow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RICHARD 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Richard Mora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THURMAN JOHN RODGERS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Thurman John Rodgers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SHANKER TRIVEDI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July 28, 2026</w:t>
            </w:r>
          </w:p>
        </w:tc>
      </w:tr>
      <w:tr>
        <w:trPr/>
        <w:tc>
          <w:tcPr>
            <w:tcW w:w="3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Shanker Trivedi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ind w:left="0" w:right="0" w:firstLine="720"/>
        <w:jc w:val="right"/>
        <w:rPr>
          <w:rFonts w:ascii="Arial;sans-serif" w:hAnsi="Arial;sans-serif"/>
          <w:b/>
          <w:color w:val="000000"/>
          <w:sz w:val="18"/>
        </w:rPr>
      </w:pPr>
      <w:r>
        <w:rPr>
          <w:rFonts w:ascii="Arial;sans-serif" w:hAnsi="Arial;sans-serif"/>
          <w:b/>
          <w:color w:val="000000"/>
          <w:sz w:val="18"/>
        </w:rPr>
        <w:t>Exhibit 107</w:t>
      </w:r>
    </w:p>
    <w:p>
      <w:pPr>
        <w:pStyle w:val="TextBody"/>
        <w:bidi w:val="0"/>
        <w:spacing w:lineRule="auto" w:line="333" w:before="120" w:after="120"/>
        <w:jc w:val="center"/>
        <w:rPr>
          <w:rFonts w:ascii="Arial;sans-serif" w:hAnsi="Arial;sans-serif"/>
          <w:b/>
          <w:color w:val="000000"/>
          <w:sz w:val="18"/>
        </w:rPr>
      </w:pPr>
      <w:r>
        <w:rPr>
          <w:rFonts w:ascii="Arial;sans-serif" w:hAnsi="Arial;sans-serif"/>
          <w:b/>
          <w:color w:val="000000"/>
          <w:sz w:val="18"/>
        </w:rPr>
        <w:t>CALCULATION OF FILING FEE TABLE</w:t>
      </w:r>
    </w:p>
    <w:p>
      <w:pPr>
        <w:pStyle w:val="TextBody"/>
        <w:bidi w:val="0"/>
        <w:spacing w:lineRule="auto" w:line="333" w:before="120" w:after="120"/>
        <w:jc w:val="center"/>
        <w:rPr>
          <w:rFonts w:ascii="Arial;sans-serif" w:hAnsi="Arial;sans-serif"/>
          <w:b/>
          <w:color w:val="000000"/>
          <w:sz w:val="18"/>
        </w:rPr>
      </w:pPr>
      <w:r>
        <w:rPr>
          <w:rFonts w:ascii="Arial;sans-serif" w:hAnsi="Arial;sans-serif"/>
          <w:b/>
          <w:color w:val="000000"/>
          <w:sz w:val="18"/>
        </w:rPr>
        <w:t>Form S-8</w:t>
      </w:r>
    </w:p>
    <w:p>
      <w:pPr>
        <w:pStyle w:val="TextBody"/>
        <w:bidi w:val="0"/>
        <w:spacing w:lineRule="auto" w:line="333" w:before="120" w:after="120"/>
        <w:jc w:val="center"/>
        <w:rPr>
          <w:rFonts w:ascii="Arial;sans-serif" w:hAnsi="Arial;sans-serif"/>
          <w:b/>
          <w:color w:val="000000"/>
          <w:sz w:val="18"/>
        </w:rPr>
      </w:pPr>
      <w:r>
        <w:rPr>
          <w:rFonts w:ascii="Arial;sans-serif" w:hAnsi="Arial;sans-serif"/>
          <w:b/>
          <w:color w:val="000000"/>
          <w:sz w:val="18"/>
        </w:rPr>
        <w:t>Enphase Energy, Inc.</w:t>
      </w:r>
    </w:p>
    <w:p>
      <w:pPr>
        <w:pStyle w:val="TextBody"/>
        <w:bidi w:val="0"/>
        <w:spacing w:lineRule="auto" w:line="333" w:before="120" w:after="120"/>
        <w:jc w:val="center"/>
        <w:rPr>
          <w:rFonts w:ascii="Arial;sans-serif" w:hAnsi="Arial;sans-serif"/>
          <w:b/>
          <w:color w:val="000000"/>
          <w:sz w:val="18"/>
        </w:rPr>
      </w:pPr>
      <w:r>
        <w:rPr>
          <w:rFonts w:ascii="Arial;sans-serif" w:hAnsi="Arial;sans-serif"/>
          <w:b/>
          <w:color w:val="000000"/>
          <w:sz w:val="18"/>
        </w:rPr>
        <w:t>Table 1 - Newly Registered Securities</w:t>
      </w:r>
    </w:p>
    <w:tbl>
      <w:tblPr>
        <w:tblW w:w="11430" w:type="dxa"/>
        <w:jc w:val="left"/>
        <w:tblInd w:w="0" w:type="dxa"/>
        <w:tblLayout w:type="fixed"/>
        <w:tblCellMar>
          <w:top w:w="28" w:type="dxa"/>
          <w:left w:w="28" w:type="dxa"/>
          <w:bottom w:w="28" w:type="dxa"/>
          <w:right w:w="28" w:type="dxa"/>
        </w:tblCellMar>
      </w:tblPr>
      <w:tblGrid>
        <w:gridCol w:w="304"/>
        <w:gridCol w:w="268"/>
        <w:gridCol w:w="269"/>
        <w:gridCol w:w="350"/>
        <w:gridCol w:w="350"/>
        <w:gridCol w:w="351"/>
        <w:gridCol w:w="355"/>
        <w:gridCol w:w="355"/>
        <w:gridCol w:w="356"/>
        <w:gridCol w:w="506"/>
        <w:gridCol w:w="365"/>
        <w:gridCol w:w="366"/>
        <w:gridCol w:w="215"/>
        <w:gridCol w:w="610"/>
        <w:gridCol w:w="121"/>
        <w:gridCol w:w="196"/>
        <w:gridCol w:w="1186"/>
        <w:gridCol w:w="109"/>
        <w:gridCol w:w="319"/>
        <w:gridCol w:w="319"/>
        <w:gridCol w:w="323"/>
        <w:gridCol w:w="196"/>
        <w:gridCol w:w="8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Security Type</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Securities to be Registered</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Fee Calculation Rate</w:t>
            </w:r>
          </w:p>
        </w:tc>
        <w:tc>
          <w:tcPr>
            <w:tcW w:w="123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33" w:after="30"/>
              <w:jc w:val="center"/>
              <w:rPr/>
            </w:pPr>
            <w:r>
              <w:rPr>
                <w:rFonts w:ascii="Arial;sans-serif" w:hAnsi="Arial;sans-serif"/>
                <w:b/>
                <w:color w:val="000000"/>
                <w:sz w:val="18"/>
              </w:rPr>
              <w:t>Amount to be Registered</w:t>
            </w:r>
            <w:r>
              <w:rPr>
                <w:rFonts w:ascii="Arial;sans-serif" w:hAnsi="Arial;sans-serif"/>
                <w:b/>
                <w:color w:val="000000"/>
                <w:sz w:val="12"/>
              </w:rPr>
              <w:t>(1)</w:t>
            </w:r>
          </w:p>
        </w:tc>
        <w:tc>
          <w:tcPr>
            <w:tcW w:w="94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Proposed Maximum Offer Price Per Share</w:t>
            </w:r>
          </w:p>
        </w:tc>
        <w:tc>
          <w:tcPr>
            <w:tcW w:w="14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Maximum Aggregate Offering Price</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Fee Rate</w:t>
            </w:r>
          </w:p>
        </w:tc>
        <w:tc>
          <w:tcPr>
            <w:tcW w:w="11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 of Registration Fee</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Equity</w:t>
            </w:r>
          </w:p>
        </w:tc>
        <w:tc>
          <w:tcPr>
            <w:tcW w:w="10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 xml:space="preserve">Common stock, par value $0.00001 per share - to be issued under the Enphase Energy, Inc. Amended and Restated 2021 Equity Incentive Plan (the 2021 Plan) </w:t>
            </w:r>
          </w:p>
        </w:tc>
        <w:tc>
          <w:tcPr>
            <w:tcW w:w="10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33" w:after="30"/>
              <w:jc w:val="center"/>
              <w:rPr/>
            </w:pPr>
            <w:r>
              <w:rPr>
                <w:rFonts w:ascii="Arial;sans-serif" w:hAnsi="Arial;sans-serif"/>
                <w:b w:val="false"/>
                <w:color w:val="000000"/>
                <w:sz w:val="16"/>
              </w:rPr>
              <w:t>Other</w:t>
            </w:r>
            <w:r>
              <w:rPr>
                <w:rFonts w:ascii="Arial;sans-serif" w:hAnsi="Arial;sans-serif"/>
                <w:b w:val="false"/>
                <w:color w:val="000000"/>
                <w:sz w:val="10"/>
              </w:rPr>
              <w:t>(2)</w:t>
            </w:r>
          </w:p>
        </w:tc>
        <w:tc>
          <w:tcPr>
            <w:tcW w:w="87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2,000,000 </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75,480,000.00 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$0.0001381</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10,423.79 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Equity</w:t>
            </w:r>
          </w:p>
        </w:tc>
        <w:tc>
          <w:tcPr>
            <w:tcW w:w="10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both"/>
              <w:rPr/>
            </w:pPr>
            <w:r>
              <w:rPr>
                <w:rFonts w:ascii="Arial;sans-serif" w:hAnsi="Arial;sans-serif"/>
                <w:b w:val="false"/>
                <w:color w:val="000000"/>
                <w:sz w:val="16"/>
              </w:rPr>
              <w:t>Common stock, par value $0.00001 per share - to be issued under the Enphase Energy, Inc. 2011 Employee Stock Purchase Plan (the 2011 ESPP)</w:t>
            </w:r>
            <w:r>
              <w:rPr>
                <w:color w:val="000000"/>
              </w:rPr>
              <w:t xml:space="preserve"> </w:t>
            </w:r>
            <w:r>
              <w:rPr>
                <w:rFonts w:ascii="Arial;sans-serif" w:hAnsi="Arial;sans-serif"/>
                <w:b w:val="false"/>
                <w:color w:val="000000"/>
                <w:sz w:val="10"/>
              </w:rPr>
              <w:t>(3)</w:t>
            </w:r>
          </w:p>
        </w:tc>
        <w:tc>
          <w:tcPr>
            <w:tcW w:w="106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33" w:after="30"/>
              <w:jc w:val="center"/>
              <w:rPr/>
            </w:pPr>
            <w:r>
              <w:rPr>
                <w:rFonts w:ascii="Arial;sans-serif" w:hAnsi="Arial;sans-serif"/>
                <w:b w:val="false"/>
                <w:color w:val="000000"/>
                <w:sz w:val="16"/>
              </w:rPr>
              <w:t>Other</w:t>
            </w:r>
            <w:r>
              <w:rPr>
                <w:rFonts w:ascii="Arial;sans-serif" w:hAnsi="Arial;sans-serif"/>
                <w:b w:val="false"/>
                <w:color w:val="000000"/>
                <w:sz w:val="10"/>
              </w:rPr>
              <w:t>(4)</w:t>
            </w:r>
          </w:p>
        </w:tc>
        <w:tc>
          <w:tcPr>
            <w:tcW w:w="871" w:type="dxa"/>
            <w:gridSpan w:val="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700,000 </w:t>
            </w:r>
          </w:p>
        </w:tc>
        <w:tc>
          <w:tcPr>
            <w:tcW w:w="3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32.08 </w:t>
            </w:r>
          </w:p>
        </w:tc>
        <w:tc>
          <w:tcPr>
            <w:tcW w:w="1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22,456,000.00 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$0.0001381</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3,101.17 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1" w:type="dxa"/>
            <w:gridSpan w:val="15"/>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Offering Amounts</w:t>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97,936,000.00 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13,524.96 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1"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Fee Offsets</w:t>
            </w:r>
          </w:p>
        </w:tc>
        <w:tc>
          <w:tcPr>
            <w:tcW w:w="14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1" w:type="dxa"/>
            <w:gridSpan w:val="15"/>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Fee Due</w:t>
            </w:r>
          </w:p>
        </w:tc>
        <w:tc>
          <w:tcPr>
            <w:tcW w:w="149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13,524.96 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ind w:left="0" w:right="0" w:hanging="360"/>
        <w:jc w:val="both"/>
        <w:rPr>
          <w:rFonts w:ascii="Arial;sans-serif" w:hAnsi="Arial;sans-serif"/>
          <w:b w:val="false"/>
          <w:color w:val="000000"/>
          <w:sz w:val="16"/>
        </w:rPr>
      </w:pPr>
      <w:r>
        <w:rPr>
          <w:rFonts w:ascii="Arial;sans-serif" w:hAnsi="Arial;sans-serif"/>
          <w:b w:val="false"/>
          <w:color w:val="000000"/>
          <w:sz w:val="16"/>
        </w:rPr>
        <w:t>(1)Pursuant to Rule 416(a) of the Securities Act of 1933, as amended (the “Securities Act”), this Registration Statement also covers shares issued pursuant to certain anti-dilution provisions as set forth in the 2021 Plan and 2011 ESPP, including, without limitation, shares issued as a result of any stock split, stock dividend, recapitalization or any other similar transaction effected without the Registrant’s receipt of consideration that results in an increase in the number of the Registrant’s outstanding Common Stock.</w:t>
      </w:r>
    </w:p>
    <w:p>
      <w:pPr>
        <w:pStyle w:val="TextBody"/>
        <w:bidi w:val="0"/>
        <w:spacing w:before="0" w:after="0"/>
        <w:jc w:val="both"/>
        <w:rPr/>
      </w:pPr>
      <w:r>
        <w:rPr/>
      </w:r>
    </w:p>
    <w:p>
      <w:pPr>
        <w:pStyle w:val="TextBody"/>
        <w:bidi w:val="0"/>
        <w:spacing w:lineRule="auto" w:line="312" w:before="0" w:after="0"/>
        <w:ind w:left="0" w:right="0" w:hanging="360"/>
        <w:jc w:val="both"/>
        <w:rPr>
          <w:rFonts w:ascii="Arial;sans-serif" w:hAnsi="Arial;sans-serif"/>
          <w:b w:val="false"/>
          <w:color w:val="000000"/>
          <w:sz w:val="16"/>
        </w:rPr>
      </w:pPr>
      <w:r>
        <w:rPr>
          <w:rFonts w:ascii="Arial;sans-serif" w:hAnsi="Arial;sans-serif"/>
          <w:b w:val="false"/>
          <w:color w:val="000000"/>
          <w:sz w:val="16"/>
        </w:rPr>
        <w:t>(2)Estimated in accordance with Rules 457(c) and 457(h) of the Securities Act solely for the purpose of calculating the registration fee on the basis of $37.74 per share, which is the average of the high and low prices of Common Stock as reported on The Nasdaq Global Market on July 24, 2026.</w:t>
      </w:r>
    </w:p>
    <w:p>
      <w:pPr>
        <w:pStyle w:val="TextBody"/>
        <w:bidi w:val="0"/>
        <w:spacing w:before="0" w:after="0"/>
        <w:jc w:val="both"/>
        <w:rPr/>
      </w:pPr>
      <w:r>
        <w:rPr/>
      </w:r>
    </w:p>
    <w:p>
      <w:pPr>
        <w:pStyle w:val="TextBody"/>
        <w:bidi w:val="0"/>
        <w:spacing w:lineRule="auto" w:line="312" w:before="0" w:after="0"/>
        <w:ind w:left="0" w:right="0" w:hanging="360"/>
        <w:jc w:val="both"/>
        <w:rPr>
          <w:rFonts w:ascii="Arial;sans-serif" w:hAnsi="Arial;sans-serif"/>
          <w:b w:val="false"/>
          <w:color w:val="000000"/>
          <w:sz w:val="16"/>
        </w:rPr>
      </w:pPr>
      <w:r>
        <w:rPr>
          <w:rFonts w:ascii="Arial;sans-serif" w:hAnsi="Arial;sans-serif"/>
          <w:b w:val="false"/>
          <w:color w:val="000000"/>
          <w:sz w:val="16"/>
        </w:rPr>
        <w:t>(3)The number of shares available for issuance under the 2011 ESPP is subject to an automatic annual increase on January 1 of each calendar year, in an amount equal to the lesser of (i) one percent (1%) of the total number of shares of Common Stock outstanding on December 31st of the preceding calendar year, or (ii) seven hundred thousand (700,000) shares of Common Stock; provided, that the Registrant’s Board of Directors may act prior to the first day of any calendar year, to provide that there shall be no increase in the share reserve for such calendar year or that the increase in the share reserve for such calendar year shall be a lesser number of shares of Common Stock than would otherwise occur (the “ESPP Evergreen Provision”).</w:t>
      </w:r>
    </w:p>
    <w:p>
      <w:pPr>
        <w:pStyle w:val="TextBody"/>
        <w:bidi w:val="0"/>
        <w:spacing w:before="0" w:after="0"/>
        <w:jc w:val="both"/>
        <w:rPr/>
      </w:pPr>
      <w:r>
        <w:rPr/>
      </w:r>
    </w:p>
    <w:p>
      <w:pPr>
        <w:pStyle w:val="TextBody"/>
        <w:bidi w:val="0"/>
        <w:spacing w:lineRule="auto" w:line="312"/>
        <w:ind w:left="0" w:right="0" w:hanging="360"/>
        <w:jc w:val="both"/>
        <w:rPr>
          <w:rFonts w:ascii="Arial;sans-serif" w:hAnsi="Arial;sans-serif"/>
          <w:b w:val="false"/>
          <w:color w:val="000000"/>
          <w:sz w:val="16"/>
        </w:rPr>
      </w:pPr>
      <w:r>
        <w:rPr>
          <w:rFonts w:ascii="Arial;sans-serif" w:hAnsi="Arial;sans-serif"/>
          <w:b w:val="false"/>
          <w:color w:val="000000"/>
          <w:sz w:val="16"/>
        </w:rPr>
        <w:t>(4)Estimated in accordance with Rules 457(c) and (h) of the Securities Act solely for the purpose of calculating the registration fee on the basis of $32.08 per share, which represents 85% of the average of the high and low prices of the Registrant’s Common Stock as reported on the Nasdaq Global Market on July 24,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5.1</w:t>
      </w:r>
    </w:p>
    <w:p>
      <w:pPr>
        <w:pStyle w:val="TextBody"/>
        <w:bidi w:val="0"/>
        <w:spacing w:before="0" w:after="0"/>
        <w:jc w:val="left"/>
        <w:rPr/>
      </w:pPr>
      <w:r>
        <w:rPr/>
      </w:r>
    </w:p>
    <w:p>
      <w:pPr>
        <w:pStyle w:val="TextBody"/>
        <w:bidi w:val="0"/>
        <w:spacing w:before="0" w:after="0"/>
        <w:jc w:val="left"/>
        <w:rPr/>
      </w:pPr>
      <w:r>
        <w:rPr/>
        <w:drawing>
          <wp:inline distT="0" distB="0" distL="0" distR="0">
            <wp:extent cx="1228725" cy="40005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46"/>
                    <a:stretch>
                      <a:fillRect/>
                    </a:stretch>
                  </pic:blipFill>
                  <pic:spPr bwMode="auto">
                    <a:xfrm>
                      <a:off x="0" y="0"/>
                      <a:ext cx="1228725" cy="40005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John H. Sellers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 +1 650 843-5070</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jsellers@cooley.com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July 28, 2026</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Enphase Energy,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47281 Bayside Pkwy </w:t>
      </w:r>
    </w:p>
    <w:p>
      <w:pPr>
        <w:pStyle w:val="TextBody"/>
        <w:bidi w:val="0"/>
        <w:spacing w:lineRule="auto" w:line="288" w:before="0" w:after="160"/>
        <w:jc w:val="left"/>
        <w:rPr>
          <w:rFonts w:ascii="Arial;sans-serif" w:hAnsi="Arial;sans-serif"/>
          <w:b w:val="false"/>
          <w:color w:val="000000"/>
          <w:sz w:val="20"/>
        </w:rPr>
      </w:pPr>
      <w:r>
        <w:rPr>
          <w:rFonts w:ascii="Arial;sans-serif" w:hAnsi="Arial;sans-serif"/>
          <w:b w:val="false"/>
          <w:color w:val="000000"/>
          <w:sz w:val="20"/>
        </w:rPr>
        <w:t>Fremont, CA 94538</w:t>
      </w:r>
    </w:p>
    <w:p>
      <w:pPr>
        <w:pStyle w:val="TextBody"/>
        <w:bidi w:val="0"/>
        <w:spacing w:lineRule="auto" w:line="276" w:before="120" w:after="160"/>
        <w:jc w:val="left"/>
        <w:rPr>
          <w:rFonts w:ascii="Arial;sans-serif" w:hAnsi="Arial;sans-serif"/>
          <w:b w:val="false"/>
          <w:color w:val="000000"/>
          <w:sz w:val="20"/>
        </w:rPr>
      </w:pPr>
      <w:r>
        <w:rPr>
          <w:rFonts w:ascii="Arial;sans-serif" w:hAnsi="Arial;sans-serif"/>
          <w:b w:val="false"/>
          <w:color w:val="000000"/>
          <w:sz w:val="20"/>
        </w:rPr>
        <w:t>Ladies and Gentlemen:</w:t>
      </w:r>
    </w:p>
    <w:p>
      <w:pPr>
        <w:pStyle w:val="TextBody"/>
        <w:bidi w:val="0"/>
        <w:spacing w:lineRule="auto" w:line="288" w:before="120" w:after="160"/>
        <w:jc w:val="left"/>
        <w:rPr/>
      </w:pPr>
      <w:r>
        <w:rPr>
          <w:rFonts w:ascii="Arial;sans-serif" w:hAnsi="Arial;sans-serif"/>
          <w:b w:val="false"/>
          <w:color w:val="000000"/>
          <w:sz w:val="20"/>
        </w:rPr>
        <w:t>We have acted as counsel to Enphase Energy, Inc., a Delaware corporation (the “</w:t>
      </w:r>
      <w:r>
        <w:rPr>
          <w:rFonts w:ascii="Arial;sans-serif" w:hAnsi="Arial;sans-serif"/>
          <w:b/>
          <w:i/>
          <w:color w:val="000000"/>
          <w:sz w:val="20"/>
        </w:rPr>
        <w:t>Company</w:t>
      </w:r>
      <w:r>
        <w:rPr>
          <w:color w:val="000000"/>
        </w:rPr>
        <w:t>”</w:t>
      </w:r>
      <w:r>
        <w:rPr>
          <w:rFonts w:ascii="Arial;sans-serif" w:hAnsi="Arial;sans-serif"/>
          <w:b w:val="false"/>
          <w:color w:val="000000"/>
          <w:sz w:val="20"/>
        </w:rPr>
        <w:t>), in connection with the filing of a registration statement on Form S-8 (the “</w:t>
      </w:r>
      <w:r>
        <w:rPr>
          <w:rFonts w:ascii="Arial;sans-serif" w:hAnsi="Arial;sans-serif"/>
          <w:b/>
          <w:i/>
          <w:color w:val="000000"/>
          <w:sz w:val="20"/>
        </w:rPr>
        <w:t>Registration Statement</w:t>
      </w:r>
      <w:r>
        <w:rPr>
          <w:color w:val="000000"/>
        </w:rPr>
        <w:t>”</w:t>
      </w:r>
      <w:r>
        <w:rPr>
          <w:rFonts w:ascii="Arial;sans-serif" w:hAnsi="Arial;sans-serif"/>
          <w:b w:val="false"/>
          <w:color w:val="000000"/>
          <w:sz w:val="20"/>
        </w:rPr>
        <w:t>) with the Securities and Exchange Commission covering the offering by the Company of up to 2,700,000 shares (the “</w:t>
      </w:r>
      <w:r>
        <w:rPr>
          <w:rFonts w:ascii="Arial;sans-serif" w:hAnsi="Arial;sans-serif"/>
          <w:b/>
          <w:i/>
          <w:color w:val="000000"/>
          <w:sz w:val="20"/>
        </w:rPr>
        <w:t>Shares</w:t>
      </w:r>
      <w:r>
        <w:rPr>
          <w:color w:val="000000"/>
        </w:rPr>
        <w:t>”</w:t>
      </w:r>
      <w:r>
        <w:rPr>
          <w:rFonts w:ascii="Arial;sans-serif" w:hAnsi="Arial;sans-serif"/>
          <w:b w:val="false"/>
          <w:color w:val="000000"/>
          <w:sz w:val="20"/>
        </w:rPr>
        <w:t>) of its Common Stock, par value $0.00001 per share, consisting of (i) 2,000,000 shares issuable pursuant to the Company’s Amended and Restated 2021 Equity Incentive Plan (the “</w:t>
      </w:r>
      <w:r>
        <w:rPr>
          <w:rFonts w:ascii="Arial;sans-serif" w:hAnsi="Arial;sans-serif"/>
          <w:b/>
          <w:i/>
          <w:color w:val="000000"/>
          <w:sz w:val="20"/>
        </w:rPr>
        <w:t>2021</w:t>
      </w:r>
      <w:r>
        <w:rPr>
          <w:color w:val="000000"/>
        </w:rPr>
        <w:t xml:space="preserve"> </w:t>
      </w:r>
      <w:r>
        <w:rPr>
          <w:rFonts w:ascii="Arial;sans-serif" w:hAnsi="Arial;sans-serif"/>
          <w:b/>
          <w:i/>
          <w:color w:val="000000"/>
          <w:sz w:val="20"/>
        </w:rPr>
        <w:t>EIP</w:t>
      </w:r>
      <w:r>
        <w:rPr>
          <w:color w:val="000000"/>
        </w:rPr>
        <w:t>”</w:t>
      </w:r>
      <w:r>
        <w:rPr>
          <w:rFonts w:ascii="Arial;sans-serif" w:hAnsi="Arial;sans-serif"/>
          <w:b w:val="false"/>
          <w:color w:val="000000"/>
          <w:sz w:val="20"/>
        </w:rPr>
        <w:t>), and (ii) 700,000 shares issuable pursuant to the Company’s 2011 Employee Stock Purchase Plan, as amended (together with the 2021 EIP, the ”</w:t>
      </w:r>
      <w:r>
        <w:rPr>
          <w:rFonts w:ascii="Arial;sans-serif" w:hAnsi="Arial;sans-serif"/>
          <w:b/>
          <w:i/>
          <w:color w:val="000000"/>
          <w:sz w:val="20"/>
        </w:rPr>
        <w:t>Plans</w:t>
      </w:r>
      <w:r>
        <w:rPr>
          <w:color w:val="000000"/>
        </w:rPr>
        <w:t>”</w:t>
      </w:r>
      <w:r>
        <w:rPr>
          <w:rFonts w:ascii="Arial;sans-serif" w:hAnsi="Arial;sans-serif"/>
          <w:b w:val="false"/>
          <w:color w:val="000000"/>
          <w:sz w:val="20"/>
        </w:rPr>
        <w:t xml:space="preserve">). </w:t>
      </w:r>
    </w:p>
    <w:p>
      <w:pPr>
        <w:pStyle w:val="TextBody"/>
        <w:bidi w:val="0"/>
        <w:spacing w:lineRule="auto" w:line="268" w:before="160" w:after="160"/>
        <w:jc w:val="both"/>
        <w:rPr>
          <w:rFonts w:ascii="Arial;sans-serif" w:hAnsi="Arial;sans-serif"/>
          <w:b w:val="false"/>
          <w:color w:val="000000"/>
          <w:sz w:val="20"/>
        </w:rPr>
      </w:pPr>
      <w:r>
        <w:rPr>
          <w:rFonts w:ascii="Arial;sans-serif" w:hAnsi="Arial;sans-serif"/>
          <w:b w:val="false"/>
          <w:color w:val="000000"/>
          <w:sz w:val="20"/>
        </w:rPr>
        <w:t xml:space="preserve">In connection with this opinion, we have examined and relied upon (a) the Registration Statement and related prospectuses, (b) the Plans, (c) the Company’s Amended and Restated Certificate of Incorporation and Amended and Restated Bylaws, each as currently in effect, and (d) such other documents, records,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by the Company. As to certain factual matters, we have relied upon a certificate of an officer of the Company and have not independently verified such matters. </w:t>
      </w:r>
    </w:p>
    <w:p>
      <w:pPr>
        <w:pStyle w:val="TextBody"/>
        <w:bidi w:val="0"/>
        <w:spacing w:lineRule="auto" w:line="268" w:before="160" w:after="160"/>
        <w:jc w:val="both"/>
        <w:rPr>
          <w:rFonts w:ascii="Arial;sans-serif" w:hAnsi="Arial;sans-serif"/>
          <w:b w:val="false"/>
          <w:color w:val="000000"/>
          <w:sz w:val="20"/>
        </w:rPr>
      </w:pPr>
      <w:r>
        <w:rPr>
          <w:rFonts w:ascii="Arial;sans-serif" w:hAnsi="Arial;sans-serif"/>
          <w:b w:val="false"/>
          <w:color w:val="000000"/>
          <w:sz w:val="20"/>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pStyle w:val="TextBody"/>
        <w:bidi w:val="0"/>
        <w:spacing w:lineRule="auto" w:line="268" w:before="160" w:after="160"/>
        <w:jc w:val="both"/>
        <w:rPr>
          <w:rFonts w:ascii="Arial;sans-serif" w:hAnsi="Arial;sans-serif"/>
          <w:b w:val="false"/>
          <w:color w:val="000000"/>
          <w:sz w:val="20"/>
        </w:rPr>
      </w:pPr>
      <w:r>
        <w:rPr>
          <w:rFonts w:ascii="Arial;sans-serif" w:hAnsi="Arial;sans-serif"/>
          <w:b w:val="false"/>
          <w:color w:val="000000"/>
          <w:sz w:val="20"/>
        </w:rPr>
        <w:t>On the basis of the foregoing, and in reliance thereon, we are of the opinion that the Shares, when sold and issued in accordance with the Plans, and the Registration Statement and related prospectuses, will be validly issued, fully paid, and nonassessable (except as to Shares issued pursuant to deferred payment arrangements, which will be fully paid and nonassessable when such deferred payments are made in full).</w:t>
      </w:r>
    </w:p>
    <w:p>
      <w:pPr>
        <w:pStyle w:val="TextBody"/>
        <w:bidi w:val="0"/>
        <w:spacing w:lineRule="auto" w:line="268" w:before="160" w:after="160"/>
        <w:jc w:val="both"/>
        <w:rPr>
          <w:rFonts w:ascii="Arial;sans-serif" w:hAnsi="Arial;sans-serif"/>
          <w:b w:val="false"/>
          <w:color w:val="000000"/>
          <w:sz w:val="20"/>
        </w:rPr>
      </w:pPr>
      <w:r>
        <w:rPr>
          <w:rFonts w:ascii="Arial;sans-serif" w:hAnsi="Arial;sans-serif"/>
          <w:b w:val="false"/>
          <w:color w:val="000000"/>
          <w:sz w:val="20"/>
        </w:rPr>
        <w:t>This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pStyle w:val="TextBody"/>
        <w:bidi w:val="0"/>
        <w:spacing w:before="120" w:after="120"/>
        <w:jc w:val="both"/>
        <w:rPr/>
      </w:pPr>
      <w:r>
        <w:rPr/>
      </w:r>
    </w:p>
    <w:p>
      <w:pPr>
        <w:pStyle w:val="TextBody"/>
        <w:bidi w:val="0"/>
        <w:spacing w:lineRule="auto" w:line="268" w:before="120" w:after="120"/>
        <w:jc w:val="center"/>
        <w:rPr>
          <w:rFonts w:ascii="Arial;sans-serif" w:hAnsi="Arial;sans-serif"/>
          <w:b w:val="false"/>
          <w:color w:val="000000"/>
          <w:sz w:val="20"/>
        </w:rPr>
      </w:pPr>
      <w:r>
        <w:rPr>
          <w:rFonts w:ascii="Arial;sans-serif" w:hAnsi="Arial;sans-serif"/>
          <w:b w:val="false"/>
          <w:color w:val="000000"/>
          <w:sz w:val="20"/>
        </w:rPr>
        <w:t>[Signature Page Follows]</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096010"/>
                <wp:effectExtent l="0" t="0" r="0" b="0"/>
                <wp:wrapNone/>
                <wp:docPr id="8" name="Frame6"/>
                <a:graphic xmlns:a="http://schemas.openxmlformats.org/drawingml/2006/main">
                  <a:graphicData uri="http://schemas.microsoft.com/office/word/2010/wordprocessingShape">
                    <wps:wsp>
                      <wps:cNvSpPr txBox="1"/>
                      <wps:spPr>
                        <a:xfrm>
                          <a:off x="0" y="0"/>
                          <a:ext cx="6480175" cy="10960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+1 650 843 5000 f: +1 650 849 7400 cooley.com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+1 650 843 5000 f: +1 650 849 7400 cooley.com</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228725" cy="4000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7"/>
                    <a:stretch>
                      <a:fillRect/>
                    </a:stretch>
                  </pic:blipFill>
                  <pic:spPr bwMode="auto">
                    <a:xfrm>
                      <a:off x="0" y="0"/>
                      <a:ext cx="1228725" cy="400050"/>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Enphase Energy,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July 28, 2026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Page Two</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consent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Securities and Exchange Commission thereunder.</w:t>
      </w:r>
    </w:p>
    <w:p>
      <w:pPr>
        <w:pStyle w:val="TextBody"/>
        <w:bidi w:val="0"/>
        <w:spacing w:before="0" w:after="0"/>
        <w:jc w:val="both"/>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Sincerely,</w:t>
      </w:r>
    </w:p>
    <w:tbl>
      <w:tblPr>
        <w:tblW w:w="2885" w:type="dxa"/>
        <w:jc w:val="center"/>
        <w:tblInd w:w="0" w:type="dxa"/>
        <w:tblLayout w:type="fixed"/>
        <w:tblCellMar>
          <w:top w:w="28" w:type="dxa"/>
          <w:left w:w="28" w:type="dxa"/>
          <w:bottom w:w="28" w:type="dxa"/>
          <w:right w:w="28" w:type="dxa"/>
        </w:tblCellMar>
      </w:tblPr>
      <w:tblGrid>
        <w:gridCol w:w="152"/>
        <w:gridCol w:w="134"/>
        <w:gridCol w:w="134"/>
        <w:gridCol w:w="123"/>
        <w:gridCol w:w="123"/>
        <w:gridCol w:w="123"/>
        <w:gridCol w:w="574"/>
        <w:gridCol w:w="574"/>
        <w:gridCol w:w="576"/>
        <w:gridCol w:w="109"/>
        <w:gridCol w:w="109"/>
        <w:gridCol w:w="154"/>
      </w:tblGrid>
      <w:tr>
        <w:trPr/>
        <w:tc>
          <w:tcPr>
            <w:tcW w:w="15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Cooley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John H. Sellers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John Sellers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096010"/>
                <wp:effectExtent l="0" t="0" r="0" b="0"/>
                <wp:wrapNone/>
                <wp:docPr id="10" name="Frame7"/>
                <a:graphic xmlns:a="http://schemas.openxmlformats.org/drawingml/2006/main">
                  <a:graphicData uri="http://schemas.microsoft.com/office/word/2010/wordprocessingShape">
                    <wps:wsp>
                      <wps:cNvSpPr txBox="1"/>
                      <wps:spPr>
                        <a:xfrm>
                          <a:off x="0" y="0"/>
                          <a:ext cx="6480175" cy="10960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+1 650 843 5000 f: +1 650 849 7400 cooley.com</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Cooley LLP 3175 Hanover Street Palo Alto, CA 94304-1130</w:t>
                      </w:r>
                    </w:p>
                    <w:p>
                      <w:pPr>
                        <w:pStyle w:val="TextBody"/>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t: +1 650 843 5000 f: +1 650 849 7400 cooley.com</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23.2</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We consent to the incorporation by reference in this Registration Statement on Form S-8 of our report dated February 13, 2026, relating to the consolidated financial statements of Enphase Energy, Inc. (the “Company”) and the effectiveness of the Company's internal control over financial reporting, appearing in the Annual Report on Form 10-K of the Company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Jose, California</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July 28, 2026 </w:t>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63101/000119312512230720/d339933ds8.htm" TargetMode="External"/><Relationship Id="rId4" Type="http://schemas.openxmlformats.org/officeDocument/2006/relationships/hyperlink" Target="https://www.sec.gov/Archives/edgar/data/1463101/000119312513092134/d496034ds8.htm" TargetMode="External"/><Relationship Id="rId5" Type="http://schemas.openxmlformats.org/officeDocument/2006/relationships/hyperlink" Target="https://www.sec.gov/Archives/edgar/data/1463101/000119312514110854/d697146ds8.htm" TargetMode="External"/><Relationship Id="rId6" Type="http://schemas.openxmlformats.org/officeDocument/2006/relationships/hyperlink" Target="https://www.sec.gov/Archives/edgar/data/1463101/000119312515083748/d885468ds8.htm" TargetMode="External"/><Relationship Id="rId7" Type="http://schemas.openxmlformats.org/officeDocument/2006/relationships/hyperlink" Target="https://www.sec.gov/Archives/edgar/data/1463101/000119312516498402/d152014ds8.htm" TargetMode="External"/><Relationship Id="rId8" Type="http://schemas.openxmlformats.org/officeDocument/2006/relationships/hyperlink" Target="https://www.sec.gov/Archives/edgar/data/1463101/000146310117000034/s-8.htm" TargetMode="External"/><Relationship Id="rId9" Type="http://schemas.openxmlformats.org/officeDocument/2006/relationships/hyperlink" Target="https://www.sec.gov/Archives/edgar/data/1463101/000119312518105041/d560684ds8.htm" TargetMode="External"/><Relationship Id="rId10" Type="http://schemas.openxmlformats.org/officeDocument/2006/relationships/hyperlink" Target="https://www.sec.gov/Archives/edgar/data/1463101/000146310119000034/s-8_2011equityplans.htm" TargetMode="External"/><Relationship Id="rId11" Type="http://schemas.openxmlformats.org/officeDocument/2006/relationships/hyperlink" Target="https://www.sec.gov/Archives/edgar/data/1463101/000146310120000086/s-82011equityplans.htm" TargetMode="External"/><Relationship Id="rId12" Type="http://schemas.openxmlformats.org/officeDocument/2006/relationships/hyperlink" Target="https://www.sec.gov/Archives/edgar/data/1463101/000146310121000024/enphs-82021x022011equitypl.htm" TargetMode="External"/><Relationship Id="rId13" Type="http://schemas.openxmlformats.org/officeDocument/2006/relationships/hyperlink" Target="https://www.sec.gov/Archives/edgar/data/1463101/000146310121000078/enphs-82021x052021equitypl.htm" TargetMode="External"/><Relationship Id="rId14" Type="http://schemas.openxmlformats.org/officeDocument/2006/relationships/hyperlink" Target="https://www.sec.gov/Archives/edgar/data/1463101/000146310125000104/enphs-82025equityplandoc.htm" TargetMode="External"/><Relationship Id="rId15" Type="http://schemas.openxmlformats.org/officeDocument/2006/relationships/hyperlink" Target="https://www.sec.gov/ix?doc=/Archives/edgar/data/1463101/000146310126000013/enph-20251231.htm" TargetMode="External"/><Relationship Id="rId16" Type="http://schemas.openxmlformats.org/officeDocument/2006/relationships/hyperlink" Target="https://www.sec.gov/ix?doc=/Archives/edgar/data/1463101/000146310126000026/enph-20260401.htm" TargetMode="External"/><Relationship Id="rId17" Type="http://schemas.openxmlformats.org/officeDocument/2006/relationships/hyperlink" Target="https://www.sec.gov/ix?doc=/Archives/edgar/data/1463101/000146310126000047/enph-20260331.htm" TargetMode="External"/><Relationship Id="rId18" Type="http://schemas.openxmlformats.org/officeDocument/2006/relationships/hyperlink" Target="https://www.sec.gov/ix?doc=/Archives/edgar/data/1463101/000146310126000081/enph-20260630.htm" TargetMode="External"/><Relationship Id="rId19" Type="http://schemas.openxmlformats.org/officeDocument/2006/relationships/hyperlink" Target="https://www.sec.gov/ix?doc=/Archives/edgar/data/1463101/000146310126000037/enph-20260331.htm" TargetMode="External"/><Relationship Id="rId20" Type="http://schemas.openxmlformats.org/officeDocument/2006/relationships/hyperlink" Target="https://www.sec.gov/ix?doc=/Archives/edgar/data/1463101/000146310126000049/enph-20260513.htm" TargetMode="External"/><Relationship Id="rId21" Type="http://schemas.openxmlformats.org/officeDocument/2006/relationships/hyperlink" Target="https://www.sec.gov/ix?doc=/Archives/edgar/data/1463101/000146310126000055/enph-20260611.htm" TargetMode="External"/><Relationship Id="rId22" Type="http://schemas.openxmlformats.org/officeDocument/2006/relationships/hyperlink" Target="https://www.sec.gov/ix?doc=/Archives/edgar/data/1463101/000146310126000061/enph-20260615.htm" TargetMode="External"/><Relationship Id="rId23" Type="http://schemas.openxmlformats.org/officeDocument/2006/relationships/hyperlink" Target="https://www.sec.gov/Archives/edgar/data/1463101/000119312512136969/d323712d8a12b.htm" TargetMode="External"/><Relationship Id="rId24" Type="http://schemas.openxmlformats.org/officeDocument/2006/relationships/hyperlink" Target="https://www.sec.gov/Archives/edgar/data/1463101/000119312512153425/d330683dex31.htm" TargetMode="External"/><Relationship Id="rId25" Type="http://schemas.openxmlformats.org/officeDocument/2006/relationships/hyperlink" Target="https://www.sec.gov/Archives/edgar/data/1463101/000119312512153425/d330683dex31.htm" TargetMode="External"/><Relationship Id="rId26" Type="http://schemas.openxmlformats.org/officeDocument/2006/relationships/hyperlink" Target="https://www.sec.gov/Archives/edgar/data/1463101/000146310117000091/a2017q210-qexx31certificat.htm" TargetMode="External"/><Relationship Id="rId27" Type="http://schemas.openxmlformats.org/officeDocument/2006/relationships/hyperlink" Target="https://www.sec.gov/Archives/edgar/data/1463101/000146310117000091/a2017q210-qexx31certificat.htm" TargetMode="External"/><Relationship Id="rId28" Type="http://schemas.openxmlformats.org/officeDocument/2006/relationships/hyperlink" Target="https://www.sec.gov/Archives/edgar/data/1463101/000146310118000075/a2018q210-qexx33.htm" TargetMode="External"/><Relationship Id="rId29" Type="http://schemas.openxmlformats.org/officeDocument/2006/relationships/hyperlink" Target="https://www.sec.gov/Archives/edgar/data/1463101/000146310118000075/a2018q210-qexx33.htm" TargetMode="External"/><Relationship Id="rId30" Type="http://schemas.openxmlformats.org/officeDocument/2006/relationships/hyperlink" Target="https://www.sec.gov/Archives/edgar/data/1463101/000146310120000075/a20208-kexx31.htm" TargetMode="External"/><Relationship Id="rId31" Type="http://schemas.openxmlformats.org/officeDocument/2006/relationships/hyperlink" Target="https://www.sec.gov/Archives/edgar/data/1463101/000146310120000075/a20208-kexx31.htm" TargetMode="External"/><Relationship Id="rId32" Type="http://schemas.openxmlformats.org/officeDocument/2006/relationships/hyperlink" Target="https://www.sec.gov/Archives/edgar/data/1463101/000146310121000078/ex-45certificateofamendment.htm" TargetMode="External"/><Relationship Id="rId33" Type="http://schemas.openxmlformats.org/officeDocument/2006/relationships/hyperlink" Target="https://www.sec.gov/Archives/edgar/data/1463101/000146310121000078/ex-45certificateofamendment.htm" TargetMode="External"/><Relationship Id="rId34" Type="http://schemas.openxmlformats.org/officeDocument/2006/relationships/hyperlink" Target="https://www.sec.gov/Archives/edgar/data/1463101/000146310122000037/enphaseamendedandrestatedb.htm" TargetMode="External"/><Relationship Id="rId35" Type="http://schemas.openxmlformats.org/officeDocument/2006/relationships/hyperlink" Target="https://www.sec.gov/Archives/edgar/data/1463101/000146310122000037/enphaseamendedandrestatedb.htm" TargetMode="External"/><Relationship Id="rId36" Type="http://schemas.openxmlformats.org/officeDocument/2006/relationships/hyperlink" Target="https://www.sec.gov/Archives/edgar/data/1463101/000146310125000024/ex41_formofspecimenstock.htm" TargetMode="External"/><Relationship Id="rId37" Type="http://schemas.openxmlformats.org/officeDocument/2006/relationships/hyperlink" Target="https://www.sec.gov/Archives/edgar/data/1463101/000146310125000024/ex41_formofspecimenstock.htm" TargetMode="External"/><Relationship Id="rId38" Type="http://schemas.openxmlformats.org/officeDocument/2006/relationships/hyperlink" Target="https://www.sec.gov/Archives/edgar/data/1463101/000110465921030148/tm214853d3_ex4-1.htm" TargetMode="External"/><Relationship Id="rId39" Type="http://schemas.openxmlformats.org/officeDocument/2006/relationships/hyperlink" Target="https://www.sec.gov/Archives/edgar/data/1463101/000110465921030148/tm214853d3_ex4-1.htm" TargetMode="External"/><Relationship Id="rId40" Type="http://schemas.openxmlformats.org/officeDocument/2006/relationships/hyperlink" Target="https://www.sec.gov/Archives/edgar/data/1463101/000110465921030148/tm214853d3_ex4-2.htm" TargetMode="External"/><Relationship Id="rId41" Type="http://schemas.openxmlformats.org/officeDocument/2006/relationships/hyperlink" Target="https://www.sec.gov/Archives/edgar/data/1463101/000110465921030148/tm214853d3_ex4-2.htm" TargetMode="External"/><Relationship Id="rId42" Type="http://schemas.openxmlformats.org/officeDocument/2006/relationships/hyperlink" Target="https://www.sec.gov/Archives/edgar/data/1463101/000146310126000049/a2021equityincentiveplanex.htm" TargetMode="External"/><Relationship Id="rId43" Type="http://schemas.openxmlformats.org/officeDocument/2006/relationships/hyperlink" Target="https://www.sec.gov/Archives/edgar/data/1463101/000146310126000049/a2021equityincentiveplanex.htm" TargetMode="External"/><Relationship Id="rId44" Type="http://schemas.openxmlformats.org/officeDocument/2006/relationships/hyperlink" Target="https://www.sec.gov/Archives/edgar/data/1463101/000146310117000036/enphase2017definitiveproxy.htm" TargetMode="External"/><Relationship Id="rId45" Type="http://schemas.openxmlformats.org/officeDocument/2006/relationships/hyperlink" Target="https://www.sec.gov/Archives/edgar/data/1463101/000146310117000036/enphase2017definitiveproxy.htm" TargetMode="External"/><Relationship Id="rId46" Type="http://schemas.openxmlformats.org/officeDocument/2006/relationships/image" Target="media/image2.gif"/><Relationship Id="rId47" Type="http://schemas.openxmlformats.org/officeDocument/2006/relationships/image" Target="media/image2.gif"/><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2791</Words>
  <Characters>14841</Characters>
  <CharactersWithSpaces>17405</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