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7"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27, 2026</w:t>
      </w:r>
    </w:p>
    <w:p>
      <w:pPr>
        <w:spacing w:after="0" w:line="32"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98425</wp:posOffset>
            </wp:positionV>
            <wp:extent cx="2228850"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885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ENPHASE ENERGY,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720" w:type="dxa"/>
            <w:vAlign w:val="bottom"/>
          </w:tcPr>
          <w:p>
            <w:pPr>
              <w:spacing w:after="0"/>
              <w:rPr>
                <w:sz w:val="20"/>
                <w:szCs w:val="20"/>
                <w:color w:val="auto"/>
              </w:rPr>
            </w:pPr>
          </w:p>
        </w:tc>
        <w:tc>
          <w:tcPr>
            <w:tcW w:w="328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8"/>
                <w:szCs w:val="18"/>
                <w:b w:val="1"/>
                <w:bCs w:val="1"/>
                <w:color w:val="auto"/>
              </w:rPr>
              <w:t>001-35480</w:t>
            </w:r>
          </w:p>
        </w:tc>
        <w:tc>
          <w:tcPr>
            <w:tcW w:w="700" w:type="dxa"/>
            <w:vAlign w:val="bottom"/>
          </w:tcPr>
          <w:p>
            <w:pPr>
              <w:spacing w:after="0"/>
              <w:rPr>
                <w:sz w:val="20"/>
                <w:szCs w:val="20"/>
                <w:color w:val="auto"/>
              </w:rPr>
            </w:pPr>
          </w:p>
        </w:tc>
        <w:tc>
          <w:tcPr>
            <w:tcW w:w="3300" w:type="dxa"/>
            <w:vAlign w:val="bottom"/>
            <w:tcBorders>
              <w:bottom w:val="single" w:sz="8" w:color="auto"/>
            </w:tcBorders>
          </w:tcPr>
          <w:p>
            <w:pPr>
              <w:jc w:val="right"/>
              <w:ind w:right="1139"/>
              <w:spacing w:after="0"/>
              <w:rPr>
                <w:sz w:val="20"/>
                <w:szCs w:val="20"/>
                <w:color w:val="auto"/>
              </w:rPr>
            </w:pPr>
            <w:r>
              <w:rPr>
                <w:rFonts w:ascii="Times New Roman" w:cs="Times New Roman" w:eastAsia="Times New Roman" w:hAnsi="Times New Roman"/>
                <w:sz w:val="18"/>
                <w:szCs w:val="18"/>
                <w:b w:val="1"/>
                <w:bCs w:val="1"/>
                <w:color w:val="auto"/>
              </w:rPr>
              <w:t>20-4645388</w:t>
            </w:r>
          </w:p>
        </w:tc>
      </w:tr>
      <w:tr>
        <w:trPr>
          <w:trHeight w:val="186"/>
        </w:trPr>
        <w:tc>
          <w:tcPr>
            <w:tcW w:w="39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98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(Commission File No.)</w:t>
            </w:r>
          </w:p>
        </w:tc>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(IRS Employer Identification No.)</w:t>
            </w:r>
          </w:p>
        </w:tc>
      </w:tr>
    </w:tbl>
    <w:p>
      <w:pPr>
        <w:spacing w:after="0" w:line="3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47281 Bayside Parkway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Fremont, CA 94538</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(707) 774-7000</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 Applicable</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231F20"/>
        </w:rPr>
        <w:t>(Former name or former address, if changed since last report.)</w:t>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73"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72"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Title of each class</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Trading Symbol(s)</w:t>
            </w: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4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17"/>
        </w:trPr>
        <w:tc>
          <w:tcPr>
            <w:tcW w:w="4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 $0.00001 par value per share</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ENPH</w:t>
            </w:r>
          </w:p>
        </w:tc>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Market</w:t>
            </w:r>
          </w:p>
        </w:tc>
      </w:tr>
    </w:tbl>
    <w:p>
      <w:pPr>
        <w:spacing w:after="0" w:line="181" w:lineRule="exact"/>
        <w:rPr>
          <w:sz w:val="24"/>
          <w:szCs w:val="24"/>
          <w:color w:val="auto"/>
        </w:rPr>
      </w:pPr>
    </w:p>
    <w:p>
      <w:pPr>
        <w:jc w:val="both"/>
        <w:ind w:right="6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3"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1072515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1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On October 27, 2026, Enphase Energy, Inc. (the “Company”) issued a press release announcing the Company’s financial results for the third quarter ended September 30, 2026. A copy of the press release is furnished as Exhibit 99.1 to this report. Information on the Company’s website is not, and will not be deemed, a part of this report or incorporated into this or any other filings that the Company makes with the Securities and Exchange Commission.</w:t>
      </w:r>
    </w:p>
    <w:p>
      <w:pPr>
        <w:spacing w:after="0" w:line="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information in Item 2.02 of this Form 8-K and Exhibit 99.1 attached hereto shall not be deemed “filed” for purposes of Section 18 of the Securities Exchange Act of 1934, as amended (the “Exchange Act”), or subject to the liabilities of that Section or Sections 11 and 12(a)(2) of the Securities Act of 1933, as amended (the “Securities Act”), and shall not be incorporated by reference in any registration statement or other document filed under the Securities Act or the Exchange Act, whether made before or after the date hereof, regardless of any general incorporation language in such filings, except as shall be expressly set forth by specific reference in such a filing.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121" w:lineRule="exact"/>
        <w:rPr>
          <w:sz w:val="20"/>
          <w:szCs w:val="20"/>
          <w:color w:val="auto"/>
        </w:rPr>
      </w:pPr>
    </w:p>
    <w:p>
      <w:pPr>
        <w:ind w:left="560" w:hanging="309"/>
        <w:spacing w:after="0"/>
        <w:tabs>
          <w:tab w:leader="none" w:pos="5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Exhibits.</w:t>
      </w:r>
    </w:p>
    <w:p>
      <w:pPr>
        <w:spacing w:after="0" w:line="6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Exhibit</w:t>
      </w:r>
    </w:p>
    <w:p>
      <w:pPr>
        <w:ind w:left="800"/>
        <w:spacing w:after="0"/>
        <w:tabs>
          <w:tab w:leader="none" w:pos="1820" w:val="left"/>
        </w:tabs>
        <w:rPr>
          <w:sz w:val="20"/>
          <w:szCs w:val="20"/>
          <w:color w:val="auto"/>
        </w:rPr>
      </w:pPr>
      <w:r>
        <w:rPr>
          <w:rFonts w:ascii="Times New Roman" w:cs="Times New Roman" w:eastAsia="Times New Roman" w:hAnsi="Times New Roman"/>
          <w:sz w:val="16"/>
          <w:szCs w:val="16"/>
          <w:b w:val="1"/>
          <w:bCs w:val="1"/>
          <w:color w:val="auto"/>
        </w:rPr>
        <w:t>Number</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8890</wp:posOffset>
            </wp:positionV>
            <wp:extent cx="67551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55130" cy="8890"/>
                    </a:xfrm>
                    <a:prstGeom prst="rect">
                      <a:avLst/>
                    </a:prstGeom>
                    <a:noFill/>
                  </pic:spPr>
                </pic:pic>
              </a:graphicData>
            </a:graphic>
          </wp:anchor>
        </w:drawing>
      </w:r>
    </w:p>
    <w:p>
      <w:pPr>
        <w:spacing w:after="0" w:line="17" w:lineRule="exact"/>
        <w:rPr>
          <w:sz w:val="20"/>
          <w:szCs w:val="20"/>
          <w:color w:val="auto"/>
        </w:rPr>
      </w:pPr>
    </w:p>
    <w:p>
      <w:pPr>
        <w:ind w:left="940"/>
        <w:spacing w:after="0"/>
        <w:tabs>
          <w:tab w:leader="none" w:pos="1700" w:val="left"/>
        </w:tabs>
        <w:rPr>
          <w:sz w:val="20"/>
          <w:szCs w:val="20"/>
          <w:color w:val="auto"/>
        </w:rPr>
      </w:pPr>
      <w:r>
        <w:rPr>
          <w:rFonts w:ascii="Times New Roman" w:cs="Times New Roman" w:eastAsia="Times New Roman" w:hAnsi="Times New Roman"/>
          <w:sz w:val="18"/>
          <w:szCs w:val="18"/>
          <w:color w:val="0000FF"/>
        </w:rPr>
        <w:t>99.1</w:t>
      </w:r>
      <w:r>
        <w:rPr>
          <w:sz w:val="20"/>
          <w:szCs w:val="20"/>
          <w:color w:val="auto"/>
        </w:rPr>
        <w:tab/>
      </w:r>
      <w:r>
        <w:rPr>
          <w:rFonts w:ascii="Times New Roman" w:cs="Times New Roman" w:eastAsia="Times New Roman" w:hAnsi="Times New Roman"/>
          <w:sz w:val="18"/>
          <w:szCs w:val="18"/>
          <w:color w:val="0000FF"/>
        </w:rPr>
        <w:t>Press release dated October 27, 2026, entitled “Enphase Energy Reports Financial Results for the Third Quarter of 2026"</w:t>
      </w:r>
    </w:p>
    <w:p>
      <w:pPr>
        <w:spacing w:after="0" w:line="36" w:lineRule="exact"/>
        <w:rPr>
          <w:sz w:val="20"/>
          <w:szCs w:val="20"/>
          <w:color w:val="auto"/>
        </w:rPr>
      </w:pPr>
    </w:p>
    <w:p>
      <w:pPr>
        <w:ind w:left="960"/>
        <w:spacing w:after="0"/>
        <w:tabs>
          <w:tab w:leader="none" w:pos="17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4" w:lineRule="exact"/>
        <w:rPr>
          <w:sz w:val="20"/>
          <w:szCs w:val="20"/>
          <w:color w:val="auto"/>
        </w:rPr>
      </w:pPr>
    </w:p>
    <w:p>
      <w:pPr>
        <w:ind w:left="200"/>
        <w:spacing w:after="0"/>
        <w:tabs>
          <w:tab w:leader="none" w:pos="4780" w:val="left"/>
        </w:tabs>
        <w:rPr>
          <w:sz w:val="20"/>
          <w:szCs w:val="20"/>
          <w:color w:val="auto"/>
        </w:rPr>
      </w:pPr>
      <w:r>
        <w:rPr>
          <w:rFonts w:ascii="Times New Roman" w:cs="Times New Roman" w:eastAsia="Times New Roman" w:hAnsi="Times New Roman"/>
          <w:sz w:val="18"/>
          <w:szCs w:val="18"/>
          <w:color w:val="auto"/>
        </w:rPr>
        <w:t>Date: October 27, 2026</w:t>
      </w:r>
      <w:r>
        <w:rPr>
          <w:sz w:val="20"/>
          <w:szCs w:val="20"/>
          <w:color w:val="auto"/>
        </w:rPr>
        <w:tab/>
      </w:r>
      <w:r>
        <w:rPr>
          <w:rFonts w:ascii="Times New Roman" w:cs="Times New Roman" w:eastAsia="Times New Roman" w:hAnsi="Times New Roman"/>
          <w:sz w:val="17"/>
          <w:szCs w:val="17"/>
          <w:color w:val="auto"/>
        </w:rPr>
        <w:t>ENPHASE ENERGY, INC.</w:t>
      </w:r>
    </w:p>
    <w:p>
      <w:pPr>
        <w:spacing w:after="0" w:line="36" w:lineRule="exact"/>
        <w:rPr>
          <w:sz w:val="20"/>
          <w:szCs w:val="20"/>
          <w:color w:val="auto"/>
        </w:rPr>
      </w:pPr>
    </w:p>
    <w:p>
      <w:pPr>
        <w:ind w:left="480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Mandy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300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Mandy Yang</w:t>
      </w:r>
    </w:p>
    <w:p>
      <w:pPr>
        <w:spacing w:after="0" w:line="2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ind w:left="53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0920"/>
          </w:cols>
          <w:pgMar w:left="320" w:top="887"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1388745" cy="24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874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Enphase Energy Reports Financial Results for the Third Quarter of 2026</w:t>
      </w:r>
    </w:p>
    <w:p>
      <w:pPr>
        <w:spacing w:after="0" w:line="10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FREMONT, Calif., Oct 27, 2026 </w:t>
      </w:r>
      <w:r>
        <w:rPr>
          <w:rFonts w:ascii="Times New Roman" w:cs="Times New Roman" w:eastAsia="Times New Roman" w:hAnsi="Times New Roman"/>
          <w:sz w:val="20"/>
          <w:szCs w:val="20"/>
          <w:color w:val="auto"/>
        </w:rPr>
        <w:t>- Enphase Energy, Inc. (NASDAQ: ENPH), a global energy technology company, announced today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results for the third quarter of 2026, which included the summary below from its President and CEO, Badri Kothandaraman.</w:t>
      </w:r>
    </w:p>
    <w:p>
      <w:pPr>
        <w:spacing w:after="0" w:line="3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We reported quarterly revenue of $293.3 million in the third quarter of 2026 and shipped approximately 1.42 million 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Microinverters, or 655.2 megawatts DC, and 129.9 megawatt hours (MWh) of 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Batteries.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Highlights for the third quarter of 2026 are listed below:</w:t>
      </w:r>
    </w:p>
    <w:p>
      <w:pPr>
        <w:spacing w:after="0" w:line="31"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demonstrated 13.8 kV AC to 800 VDC conversion using our 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SST technology</w:t>
      </w: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Developing IQ SST solutions for the AI data center needs of two global technology leaders</w:t>
      </w:r>
    </w:p>
    <w:p>
      <w:pPr>
        <w:spacing w:after="0" w:line="3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of $293.3 million</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gross margin of 43.3%; non-GAAP gross margin of 45.0%</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operating income of $6.5 million; non-GAAP operating income of $53.6 million</w:t>
      </w:r>
    </w:p>
    <w:p>
      <w:pPr>
        <w:spacing w:after="0" w:line="5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net income of $23.4 million; non-GAAP net income of $54.0 million</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diluted earnings per share (EPS) of $0.17; non-GAAP diluted EPS of $0.41</w:t>
      </w:r>
    </w:p>
    <w:p>
      <w:pPr>
        <w:spacing w:after="0" w:line="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and non-GAAP diluted EPS reduced by $0.15 and $0.14, due to impairment in investments</w:t>
      </w:r>
    </w:p>
    <w:p>
      <w:pPr>
        <w:spacing w:after="0" w:line="4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cash equivalents and marketable securities of $931.8 million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revenue and earnings for the third quarter of 2026 are provided below, compared with the prior quarter: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thousands, except per share and percentage data)</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GAAP</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37"/>
        </w:trPr>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Q3 2026</w:t>
            </w:r>
          </w:p>
        </w:tc>
        <w:tc>
          <w:tcPr>
            <w:tcW w:w="20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Q2 2026</w:t>
            </w:r>
          </w:p>
        </w:tc>
        <w:tc>
          <w:tcPr>
            <w:tcW w:w="20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20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Q3 2026</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Q2 2026</w:t>
            </w:r>
          </w:p>
        </w:tc>
        <w:tc>
          <w:tcPr>
            <w:tcW w:w="22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Q3 2025</w:t>
            </w:r>
          </w:p>
        </w:tc>
      </w:tr>
      <w:tr>
        <w:trPr>
          <w:trHeight w:val="237"/>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293,329</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291,854</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410,427</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293,329</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291,854</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410,427</w:t>
            </w: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49.2 %</w:t>
            </w:r>
          </w:p>
        </w:tc>
      </w:tr>
      <w:tr>
        <w:trPr>
          <w:trHeight w:val="24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120,652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123,495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130,080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78,437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79,820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78,538</w:t>
            </w: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6,466</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51,519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66,159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53,575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56,697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123,402</w:t>
            </w:r>
          </w:p>
        </w:tc>
      </w:tr>
      <w:tr>
        <w:trPr>
          <w:trHeight w:val="24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23,387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36,079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66,638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61,515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117,300</w:t>
            </w: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0.90</w:t>
            </w:r>
          </w:p>
        </w:tc>
      </w:tr>
      <w:tr>
        <w:trPr>
          <w:trHeight w:val="24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0.90</w:t>
            </w:r>
          </w:p>
        </w:tc>
      </w:tr>
    </w:tbl>
    <w:p>
      <w:pPr>
        <w:spacing w:after="0" w:line="200" w:lineRule="exact"/>
        <w:rPr>
          <w:sz w:val="20"/>
          <w:szCs w:val="20"/>
          <w:color w:val="auto"/>
        </w:rPr>
      </w:pPr>
    </w:p>
    <w:p>
      <w:pPr>
        <w:spacing w:after="0" w:line="3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Total revenue for the third quarter of 2026 was $293.3 million, compared to $291.9 million in the second quarter. Third-quarter revenue included $85.0 million of safe harbor revenue, compared to $84.3 million in the second quarter. Revenue in the United States increased approximately 3%, a smaller than anticipated increase due to soft residential solar demand. Revenue in Europe decreased approximately 11%, due to summer seasonality and continued weakness in certain solar markets.</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Global sell-through increased approximately 1% sequentially in the third quarter of 2026, below our expectation of 10% growth, contributing to revenue at the low end of our guidance range. U.S. sell-through increased 5% sequentially, but declined 35% year-over-year, broadly in line with third-party reports of U.S. residential solar market trends. European sell-through declined 12% sequentially in the third quarter, reflecting seasonality and softer demand, particularly in France.</w:t>
      </w:r>
    </w:p>
    <w:p>
      <w:pPr>
        <w:spacing w:after="0" w:line="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Non-GAAP gross margin was 45.0% in the third quarter, compared to 46.8% in the second quarter. The decrease in gross margin was driven by product mix. Reciprocal tariffs reduced gross margin by approximately 1.3 percentage points, down from approximately 2.0 percentage points in the second quarter.</w:t>
      </w:r>
    </w:p>
    <w:p>
      <w:pPr>
        <w:spacing w:after="0" w:line="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Non-GAAP operating expenses were $78.4 million in the third quarter, compared to $79.8 million in the second quarter. Non-GAAP operating income decreased to $53.6 million, compared to $56.7 million in the second quarter.</w:t>
      </w:r>
    </w:p>
    <w:p>
      <w:pPr>
        <w:sectPr>
          <w:pgSz w:w="11900" w:h="16838" w:orient="portrait"/>
          <w:cols w:equalWidth="0" w:num="1">
            <w:col w:w="11240"/>
          </w:cols>
          <w:pgMar w:left="320" w:top="9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995" w:right="339" w:bottom="1440" w:gutter="0" w:footer="0" w:header="0"/>
          <w:type w:val="continuous"/>
        </w:sectPr>
      </w:pPr>
    </w:p>
    <w:bookmarkStart w:id="4" w:name="page5"/>
    <w:bookmarkEnd w:id="4"/>
    <w:p>
      <w:pPr>
        <w:jc w:val="both"/>
        <w:spacing w:after="0" w:line="283" w:lineRule="auto"/>
        <w:rPr>
          <w:sz w:val="20"/>
          <w:szCs w:val="20"/>
          <w:color w:val="auto"/>
        </w:rPr>
      </w:pPr>
      <w:r>
        <w:rPr>
          <w:rFonts w:ascii="Times New Roman" w:cs="Times New Roman" w:eastAsia="Times New Roman" w:hAnsi="Times New Roman"/>
          <w:sz w:val="20"/>
          <w:szCs w:val="20"/>
          <w:color w:val="auto"/>
        </w:rPr>
        <w:t>We exited the third quarter of 2026 with $931.8 million in cash, cash equivalents and marketable securities, and generated approximately $0.1 million in cash flow from operations. Capital expenditures were $11.5 million, compared to $14.4 million in the second quarter.</w:t>
      </w:r>
    </w:p>
    <w:p>
      <w:pPr>
        <w:spacing w:after="0" w:line="3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shipped 129.9 MWh of IQ Batteries in the third quarter, compared to 113.8 MWh in the second quarter. More than 26,000 installers worldwide are now certified to install IQ Batteries, up from more than 25,000 in the second quarter.</w:t>
      </w:r>
    </w:p>
    <w:p>
      <w:pPr>
        <w:spacing w:after="0" w:line="3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0"/>
          <w:szCs w:val="20"/>
          <w:color w:val="auto"/>
        </w:rPr>
        <w:t>We announced a major milestone in the development of the 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Solid-State Transformer (IQ SST), successfully demonstrating 13.8 kV AC to 800 VDC conversion at our R&amp;D lab in Austin, Texas. The demonstration brought together 132 power modules, with 44 connected in series on each of three phases, operating as a single integrated system. Importantly, IQ SST maintained a stable 800 VDC output during rapid load changes that simulate the dynamic power demands of AI compute racks.</w:t>
      </w:r>
    </w:p>
    <w:p>
      <w:pPr>
        <w:spacing w:after="0" w:line="8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By converting medium-voltage AC directly to 800 VDC, IQ SST is designed to eliminate multiple stages of conventional power conversion, reduce energy losses, and deliver more usable power to AI compute. Our next milestones are to validate operation at 34.5 kV and demonstrate a megawatt-scale system by the end of 2026.</w:t>
      </w:r>
    </w:p>
    <w:p>
      <w:pPr>
        <w:spacing w:after="0" w:line="5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During the third quarter of 2026, we more than doubled our IQ SST customer and partner pipeline to over 50. We are actively engaged with a leading hyperscaler and a global AI computing leader, whose technical requirements are helping shape our product architecture and roadmap. These engagements reinforce our confidence in the market opportunity. We remain on track for customer pilots in 2027, with commercial shipments expected to begin in 2028.</w:t>
      </w:r>
    </w:p>
    <w:p>
      <w:pPr>
        <w:spacing w:after="0" w:line="8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0"/>
          <w:szCs w:val="20"/>
          <w:color w:val="auto"/>
        </w:rPr>
        <w:t>Our core U.S. residential solar market continues to face headwinds from higher interest rates and the expiration of the Section 25D federal tax credit. We are addressing these near-term challenges while positioning Enphase for a new phase of growth, driven by five key growth drivers heading into 2027: our fifth-generation 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Battery G5 for global residential storage markets; the Propel prepaid lease program to drive U.S. residential solar and battery adoption; commercial solar with our IQ9</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Commercial Microinverters and our upcoming 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Battery C80 in the United States; unidirectional and bidirectional EV chargers for global markets; and IQ SST for next-generation AI data centers. Together, we believe these opportunities expand our addressable market, leverage our power electronics expertise, and position Enphase for sustainable long-term growth.</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HIGHLIGHTS</w:t>
      </w:r>
    </w:p>
    <w:p>
      <w:pPr>
        <w:spacing w:after="0" w:line="98" w:lineRule="exact"/>
        <w:rPr>
          <w:sz w:val="20"/>
          <w:szCs w:val="20"/>
          <w:color w:val="auto"/>
        </w:rPr>
      </w:pPr>
    </w:p>
    <w:p>
      <w:pPr>
        <w:ind w:left="660" w:right="100" w:hanging="328"/>
        <w:spacing w:after="0" w:line="243"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Oct. 27, 2026, Enphase Energy announced that it successfully demonstrated 13.8 kV AC to 800 VDC conversion with IQ SST at its Austin, Texas R&amp;D lab.</w:t>
      </w:r>
    </w:p>
    <w:p>
      <w:pPr>
        <w:spacing w:after="0" w:line="1" w:lineRule="exact"/>
        <w:rPr>
          <w:rFonts w:ascii="Times New Roman" w:cs="Times New Roman" w:eastAsia="Times New Roman" w:hAnsi="Times New Roman"/>
          <w:sz w:val="20"/>
          <w:szCs w:val="20"/>
          <w:color w:val="auto"/>
        </w:rPr>
      </w:pPr>
    </w:p>
    <w:p>
      <w:pPr>
        <w:ind w:left="660" w:hanging="328"/>
        <w:spacing w:after="0" w:line="243"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Oct. 26, 2026, Enphase Energy announced with Infineon Technologies that Enphase will deploy the world’s first 900 V GaN monolithic bidirectional switch devices in its IQ SST power modules.</w:t>
      </w:r>
    </w:p>
    <w:p>
      <w:pPr>
        <w:ind w:left="660" w:hanging="328"/>
        <w:spacing w:after="0" w:line="222"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Oct. 21, 2026, Enphase Energy announced ISO 15118-20 support for its 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EV Charger 2 starting in 2027, in compliance with the EU's Alternative Fuels Infrastructure Regulation (AFIR).</w:t>
      </w:r>
    </w:p>
    <w:p>
      <w:pPr>
        <w:ind w:left="660" w:hanging="328"/>
        <w:spacing w:after="0" w:line="246"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Oct. 14, 2026, Enphase Energy highlighted commercial and industrial (C&amp;I) repowering projects across the United States that use Enphase IQ9 Commercial Microinverters.</w:t>
      </w:r>
    </w:p>
    <w:p>
      <w:pPr>
        <w:spacing w:after="0" w:line="1" w:lineRule="exact"/>
        <w:rPr>
          <w:rFonts w:ascii="Times New Roman" w:cs="Times New Roman" w:eastAsia="Times New Roman" w:hAnsi="Times New Roman"/>
          <w:sz w:val="20"/>
          <w:szCs w:val="20"/>
          <w:color w:val="auto"/>
        </w:rPr>
      </w:pPr>
    </w:p>
    <w:p>
      <w:pPr>
        <w:ind w:left="640" w:hanging="308"/>
        <w:spacing w:after="0" w:line="202" w:lineRule="auto"/>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Oct. 8, 2026, Enphase Energy announced that it began production shipments of its new 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Gateway Fusion in India.</w:t>
      </w:r>
    </w:p>
    <w:p>
      <w:pPr>
        <w:spacing w:after="0" w:line="1" w:lineRule="exact"/>
        <w:rPr>
          <w:rFonts w:ascii="Times New Roman" w:cs="Times New Roman" w:eastAsia="Times New Roman" w:hAnsi="Times New Roman"/>
          <w:sz w:val="20"/>
          <w:szCs w:val="20"/>
          <w:color w:val="auto"/>
        </w:rPr>
      </w:pPr>
    </w:p>
    <w:p>
      <w:pPr>
        <w:ind w:left="660" w:hanging="328"/>
        <w:spacing w:after="0" w:line="219"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Sept. 21, 2026, Enphase Energy announced that the Enphase 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Meter Collar is now approved for behind-the-meter installation by 80 utilities across the United States and Canada.</w:t>
      </w:r>
    </w:p>
    <w:p>
      <w:pPr>
        <w:ind w:left="660" w:right="20" w:hanging="328"/>
        <w:spacing w:after="0" w:line="246"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Sept. 14, 2026, Enphase Energy announced its participation in AI Infra Summit 2026, showcasing its approach to next-generation AI data center power infrastructure, including IQ SST.</w:t>
      </w:r>
    </w:p>
    <w:p>
      <w:pPr>
        <w:spacing w:after="0" w:line="1" w:lineRule="exact"/>
        <w:rPr>
          <w:rFonts w:ascii="Times New Roman" w:cs="Times New Roman" w:eastAsia="Times New Roman" w:hAnsi="Times New Roman"/>
          <w:sz w:val="20"/>
          <w:szCs w:val="20"/>
          <w:color w:val="auto"/>
        </w:rPr>
      </w:pPr>
    </w:p>
    <w:p>
      <w:pPr>
        <w:ind w:left="660" w:hanging="328"/>
        <w:spacing w:after="0" w:line="250"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Sept. 8, 2026, Enphase Energy announced that power modules for its IQ SST are now being built in the United States to assemble and validate full-scale IQ SST racks.</w:t>
      </w:r>
    </w:p>
    <w:p>
      <w:pPr>
        <w:ind w:left="660" w:hanging="328"/>
        <w:spacing w:after="0" w:line="219"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Sept. 3, 2026, Enphase Energy announced expanded metering compatibility for the Enphase 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EV Charger 2 across several European markets.</w:t>
      </w:r>
    </w:p>
    <w:p>
      <w:pPr>
        <w:ind w:left="660" w:right="20" w:hanging="328"/>
        <w:spacing w:after="0" w:line="219"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Sept. 1, 2026, Enphase Energy announced that more than 7,500 homeowners across the United States have enrolled in Enphase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Care, the company’s premium support offering for Enphase solar and battery systems.</w:t>
      </w:r>
    </w:p>
    <w:p>
      <w:pPr>
        <w:ind w:left="660" w:hanging="328"/>
        <w:spacing w:after="0" w:line="250"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Aug. 25, 2026, Enphase Energy announced an expanded homeowner outreach effort in the Netherlands to help solar-only customers prepare for the end of net metering on Jan. 1, 2027.</w:t>
      </w: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Aug. 20, 2026, Enphase Energy announced the availability of the Enphase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AI Assistant in the Enphase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App for homeowners.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02" w:right="339" w:bottom="1440" w:gutter="0" w:footer="0" w:header="0"/>
        </w:sectPr>
      </w:pPr>
    </w:p>
    <w:bookmarkStart w:id="5" w:name="page6"/>
    <w:bookmarkEnd w:id="5"/>
    <w:p>
      <w:pPr>
        <w:ind w:left="660" w:hanging="328"/>
        <w:spacing w:after="0" w:line="258"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Aug. 18, 2026, Enphase Energy announced that it opened U.S. pre-orders for the IQ Battery C80, its first commercial battery storage system.</w:t>
      </w:r>
    </w:p>
    <w:p>
      <w:pPr>
        <w:ind w:left="660" w:hanging="328"/>
        <w:spacing w:after="0" w:line="246"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Aug. 13, 2026, Enphase Energy announced that Italian homeowners can now build a complete home energy system with Enphase, combining solar, storage, backup, and EV charging on a single platform.</w:t>
      </w:r>
    </w:p>
    <w:p>
      <w:pPr>
        <w:spacing w:after="0" w:line="1" w:lineRule="exact"/>
        <w:rPr>
          <w:rFonts w:ascii="Times New Roman" w:cs="Times New Roman" w:eastAsia="Times New Roman" w:hAnsi="Times New Roman"/>
          <w:sz w:val="20"/>
          <w:szCs w:val="20"/>
          <w:color w:val="auto"/>
        </w:rPr>
      </w:pPr>
    </w:p>
    <w:p>
      <w:pPr>
        <w:ind w:left="660" w:hanging="328"/>
        <w:spacing w:after="0" w:line="263"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Aug. 10, 2026, Enphase Energy announced expanded support in the United States and Canada that allows homeowners with existing non-Enphase solar systems to add the 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Battery 10C and whole-home backup.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2026 FINANCIAL OUTLOOK</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fourth quarter of 2026, Enphase Energy estimates both GAAP and non-GAAP financial results as follows:</w:t>
      </w:r>
    </w:p>
    <w:p>
      <w:pPr>
        <w:spacing w:after="0" w:line="121" w:lineRule="exact"/>
        <w:rPr>
          <w:sz w:val="20"/>
          <w:szCs w:val="20"/>
          <w:color w:val="auto"/>
        </w:rPr>
      </w:pPr>
    </w:p>
    <w:p>
      <w:pPr>
        <w:jc w:val="both"/>
        <w:ind w:left="660" w:hanging="328"/>
        <w:spacing w:after="0" w:line="261"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to be within a range of $225.0 million to $255.0 million, which includes shipments of 100 to 120 MWh of IQ Batteries. This outlook includes approximately $51.2 million of safe harbor revenue and assumes sell-through will be down 10%, compared with the third quarter of 2026.</w:t>
      </w:r>
    </w:p>
    <w:p>
      <w:pPr>
        <w:spacing w:after="0" w:line="73"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gross margin to be within a range of 38.0% to 41.0%, including approximately 2.0 percentage points of reciprocal tariff impact.</w:t>
      </w:r>
    </w:p>
    <w:p>
      <w:pPr>
        <w:spacing w:after="0" w:line="64"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Non-GAAP gross margin to be within a range of 40.0% to 43.0%, including approximately 2.0 percentage points of reciprocal tariff impact. Non-GAAP gross margin excludes stock-based compensation expense and acquisition related amortization.</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operating expenses to be within a range of $119.0 million to $123.0 million.</w:t>
      </w:r>
    </w:p>
    <w:p>
      <w:pPr>
        <w:spacing w:after="0" w:line="121"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Non-GAAP operating expenses to be within a range of $76.0 million to $80.0 million, excluding $43.0 million estimated for stock-based compensation expense and acquisition related amortization.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Follow Enphase Online</w:t>
      </w:r>
    </w:p>
    <w:p>
      <w:pPr>
        <w:spacing w:after="0" w:line="112"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Read the Enphase </w:t>
      </w:r>
      <w:r>
        <w:rPr>
          <w:rFonts w:ascii="Times New Roman" w:cs="Times New Roman" w:eastAsia="Times New Roman" w:hAnsi="Times New Roman"/>
          <w:sz w:val="20"/>
          <w:szCs w:val="20"/>
          <w:u w:val="single" w:color="auto"/>
          <w:color w:val="00497F"/>
        </w:rPr>
        <w:t>blog</w:t>
      </w:r>
      <w:r>
        <w:rPr>
          <w:rFonts w:ascii="Times New Roman" w:cs="Times New Roman" w:eastAsia="Times New Roman" w:hAnsi="Times New Roman"/>
          <w:sz w:val="20"/>
          <w:szCs w:val="20"/>
          <w:color w:val="auto"/>
        </w:rPr>
        <w:t>.</w:t>
      </w:r>
    </w:p>
    <w:p>
      <w:pPr>
        <w:spacing w:after="0" w:line="121"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Follow @Enphase on </w:t>
      </w:r>
      <w:r>
        <w:rPr>
          <w:rFonts w:ascii="Times New Roman" w:cs="Times New Roman" w:eastAsia="Times New Roman" w:hAnsi="Times New Roman"/>
          <w:sz w:val="20"/>
          <w:szCs w:val="20"/>
          <w:u w:val="single" w:color="auto"/>
          <w:color w:val="00497F"/>
        </w:rPr>
        <w:t>X</w:t>
      </w:r>
      <w:r>
        <w:rPr>
          <w:rFonts w:ascii="Times New Roman" w:cs="Times New Roman" w:eastAsia="Times New Roman" w:hAnsi="Times New Roman"/>
          <w:sz w:val="20"/>
          <w:szCs w:val="20"/>
          <w:color w:val="auto"/>
        </w:rPr>
        <w:t>.</w:t>
      </w:r>
    </w:p>
    <w:p>
      <w:pPr>
        <w:spacing w:after="0" w:line="107"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Visit us on </w:t>
      </w:r>
      <w:r>
        <w:rPr>
          <w:rFonts w:ascii="Times New Roman" w:cs="Times New Roman" w:eastAsia="Times New Roman" w:hAnsi="Times New Roman"/>
          <w:sz w:val="20"/>
          <w:szCs w:val="20"/>
          <w:u w:val="single" w:color="auto"/>
          <w:color w:val="00497F"/>
        </w:rPr>
        <w:t>Facebook</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00497F"/>
        </w:rPr>
        <w:t>LinkedIn</w:t>
      </w:r>
      <w:r>
        <w:rPr>
          <w:rFonts w:ascii="Times New Roman" w:cs="Times New Roman" w:eastAsia="Times New Roman" w:hAnsi="Times New Roman"/>
          <w:sz w:val="20"/>
          <w:szCs w:val="20"/>
          <w:color w:val="auto"/>
        </w:rPr>
        <w:t>.</w:t>
      </w:r>
    </w:p>
    <w:p>
      <w:pPr>
        <w:spacing w:after="0" w:line="121"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Watch Enphase videos on </w:t>
      </w:r>
      <w:r>
        <w:rPr>
          <w:rFonts w:ascii="Times New Roman" w:cs="Times New Roman" w:eastAsia="Times New Roman" w:hAnsi="Times New Roman"/>
          <w:sz w:val="20"/>
          <w:szCs w:val="20"/>
          <w:u w:val="single" w:color="auto"/>
          <w:color w:val="00497F"/>
        </w:rPr>
        <w:t>YouTube</w:t>
      </w:r>
      <w:r>
        <w:rPr>
          <w:rFonts w:ascii="Times New Roman" w:cs="Times New Roman" w:eastAsia="Times New Roman" w:hAnsi="Times New Roman"/>
          <w:sz w:val="20"/>
          <w:szCs w:val="20"/>
          <w:color w:val="auto"/>
        </w:rPr>
        <w:t>.</w:t>
      </w:r>
    </w:p>
    <w:p>
      <w:pPr>
        <w:spacing w:after="0" w:line="117"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Use of non-GAAP Financial Measures</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Enphase Energy has presented certain non-GAAP financial measures in this press release. Generally, a non-GAAP financial measure is a numerical measure of a company’s performance, financial position, or cash flows that either exclude or include amounts that are not normally excluded or included in the most directly comparable measure calculated and presented in accordance with generally accepted accounting principles in the United States (GAAP). Reconciliation of each non-GAAP financial measure to the most directly comparable GAAP financial measure can be found in the accompanying tables to this press release. Non-GAAP financial measures presented by Enphase Energy include non-GAAP gross profit, gross margin, operating expenses, income from operations, net income, net income per share (basic and diluted), and free cash flow.</w:t>
      </w:r>
    </w:p>
    <w:p>
      <w:pPr>
        <w:spacing w:after="0" w:line="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These non-GAAP financial measures do not reflect a comprehensive system of accounting, differ from GAAP measures with the same captions and may differ from non-GAAP financial measures with the same or similar captions that are used by other companies. In addition, these non-GAAP measures have limitations in that they do not reflect all of the amounts associated with Enphase Energy’s results of operations as determined in accordance with GAAP. As such, these non-GAAP measures should be considered as a supplement to, and not as a substitute for, or superior to, financial measures calculated in accordance with GAAP. Enphase Energy uses these non-GAAP financial measures to analyze its operating performance and future prospects, develop internal budgets and financial goals, and to facilitate period-to-period comparisons. Enphase Energy believes that these non-GAAP financial measures reflect an additional way of viewing aspects of its operations that, when viewed with its GAAP results, provide a more complete understanding of factors and trends affecting its business.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02"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20"/>
          <w:szCs w:val="20"/>
          <w:color w:val="auto"/>
        </w:rPr>
        <w:t>As presented in the “Reconciliation of Non-GAAP Financial Measures” tables below, each of the non-GAAP financial measures excludes one or more of the following items for purposes of calculating non-GAAP financial measures to facilitate an evaluation of Enphase Energy’s current operating performance and a comparison to its past operating performance:</w:t>
      </w:r>
    </w:p>
    <w:p>
      <w:pPr>
        <w:spacing w:after="0" w:line="69"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20"/>
          <w:szCs w:val="20"/>
          <w:i w:val="1"/>
          <w:iCs w:val="1"/>
          <w:color w:val="auto"/>
        </w:rPr>
        <w:t xml:space="preserve">Tariff refunds. </w:t>
      </w:r>
      <w:r>
        <w:rPr>
          <w:rFonts w:ascii="Times New Roman" w:cs="Times New Roman" w:eastAsia="Times New Roman" w:hAnsi="Times New Roman"/>
          <w:sz w:val="20"/>
          <w:szCs w:val="20"/>
          <w:color w:val="auto"/>
        </w:rPr>
        <w:t>This item represents refunds received for tariffs previously imposed under the International Emergency Economic Powers Act,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which were invalidated following the United States Supreme Court ruling in </w:t>
      </w:r>
      <w:r>
        <w:rPr>
          <w:rFonts w:ascii="Times New Roman" w:cs="Times New Roman" w:eastAsia="Times New Roman" w:hAnsi="Times New Roman"/>
          <w:sz w:val="20"/>
          <w:szCs w:val="20"/>
          <w:i w:val="1"/>
          <w:iCs w:val="1"/>
          <w:color w:val="auto"/>
        </w:rPr>
        <w:t>Learning Resources, Inc. v. Trump</w:t>
      </w:r>
      <w:r>
        <w:rPr>
          <w:rFonts w:ascii="Times New Roman" w:cs="Times New Roman" w:eastAsia="Times New Roman" w:hAnsi="Times New Roman"/>
          <w:sz w:val="20"/>
          <w:szCs w:val="20"/>
          <w:color w:val="auto"/>
        </w:rPr>
        <w:t>. Enphase Energy received refunds and associated interest of approximately $52.0 million during the nine months ended September 30, 2026 from U.S. Customs and Border Protection related to tariffs paid during fiscal 2025 and the first quarter of fiscal 2026, of which approximately $1.6 million and $47.0 million was recognized as a reduction to cost of revenues during the three and nine months ended September 30, 2026, respectively; approximately $0.1 million and $1.7 million was recognized as interest income in the three and nine months ended September 30, 2026, respectively; and approximately $3.3 million was capitalized as a cost of inventory as of September 30, 2026. Of the $47.0 million refunds recognized as a reduction to cost of revenues, $43.3 million of the tariff costs incurred were previously recorded as a cost of revenues in prior periods and are excluded from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GAAP measures, along with the associated $1.7 million interest earned from those payments, as they are related to prior periods and not reflective of Enphase Energy’s ongoing financial performance.</w:t>
      </w:r>
    </w:p>
    <w:p>
      <w:pPr>
        <w:spacing w:after="0" w:line="7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AMPTC adjustment. </w:t>
      </w:r>
      <w:r>
        <w:rPr>
          <w:rFonts w:ascii="Times New Roman" w:cs="Times New Roman" w:eastAsia="Times New Roman" w:hAnsi="Times New Roman"/>
          <w:sz w:val="20"/>
          <w:szCs w:val="20"/>
          <w:color w:val="auto"/>
        </w:rPr>
        <w:t>In the first quarter of 2026, Enphase Energy decided to sell its Advanced Manufacturing Production Tax Credit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(AMPTC) generated in 2025 and going forward in the tax credit transfer market. Enphase Energy sold $235.0 million of AMPTC generated in 2025 at 93% of face value, resulting in a discount of approximately $16.5 million. Enphase Energy also incurred approximately $2.5 million in transaction-related fees. Because these amounts relate to AMPTC generated in the prior fiscal year and do not reflect Enphase Energy’s ongoing operating performance, Enphase Energy excluded them from its non-GAAP financial measures for the first quarter of 2026.</w:t>
      </w:r>
    </w:p>
    <w:p>
      <w:pPr>
        <w:spacing w:after="0" w:line="7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Stock-based compensation expense. </w:t>
      </w:r>
      <w:r>
        <w:rPr>
          <w:rFonts w:ascii="Times New Roman" w:cs="Times New Roman" w:eastAsia="Times New Roman" w:hAnsi="Times New Roman"/>
          <w:sz w:val="20"/>
          <w:szCs w:val="20"/>
          <w:color w:val="auto"/>
        </w:rPr>
        <w:t>Enphase Energy excludes stock-based compensation expense from its non-GAAP measures primarily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because they are non-cash in nature. Moreover, the impact of this expense is significantly affected by Enphase Energy’s stock price at the time of an award over which management has limited to no control.</w:t>
      </w:r>
    </w:p>
    <w:p>
      <w:pPr>
        <w:spacing w:after="0" w:line="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Acquisition related expenses and amortization. </w:t>
      </w:r>
      <w:r>
        <w:rPr>
          <w:rFonts w:ascii="Times New Roman" w:cs="Times New Roman" w:eastAsia="Times New Roman" w:hAnsi="Times New Roman"/>
          <w:sz w:val="20"/>
          <w:szCs w:val="20"/>
          <w:color w:val="auto"/>
        </w:rPr>
        <w:t>This item represents costs incurred in connection with acquisition-related activities, which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 indicative of normal, recurring operating expenses, and amortization of acquired intangible assets, which is a non-cash expense. Acquisition related expenses and amortization of acquired intangible assets are not reflective of Enphase Energy’s ongoing financial performance.</w:t>
      </w:r>
    </w:p>
    <w:p>
      <w:pPr>
        <w:spacing w:after="0" w:line="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Restructuring and asset impairment</w:t>
      </w:r>
      <w:r>
        <w:rPr>
          <w:rFonts w:ascii="Times New Roman" w:cs="Times New Roman" w:eastAsia="Times New Roman" w:hAnsi="Times New Roman"/>
          <w:sz w:val="20"/>
          <w:szCs w:val="20"/>
          <w:color w:val="auto"/>
        </w:rPr>
        <w:t>. Enphase Energy excludes restructuring and asset impairment due to the nature of the expenses being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unusual and arising outside the ordinary course of continuing operations. These costs primarily consist of fees paid for cash-based severance costs, accelerated stock-based compensation expense and asset write-downs of property and equipment and acquired intangible assets, and other contract termination costs resulting from restructuring initiatives.</w:t>
      </w:r>
    </w:p>
    <w:p>
      <w:pPr>
        <w:spacing w:after="0" w:line="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Non-cash interest expense. </w:t>
      </w:r>
      <w:r>
        <w:rPr>
          <w:rFonts w:ascii="Times New Roman" w:cs="Times New Roman" w:eastAsia="Times New Roman" w:hAnsi="Times New Roman"/>
          <w:sz w:val="20"/>
          <w:szCs w:val="20"/>
          <w:color w:val="auto"/>
        </w:rPr>
        <w:t>This item consists primarily of amortization of debt issuance costs and accretion of debt discount because these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expenses do not represent a cash outflow for Enphase Energy except in the period the financing was secured and such amortization expense is not reflective of Enphase Energy’s ongoing financial performance.</w:t>
      </w:r>
    </w:p>
    <w:p>
      <w:pPr>
        <w:spacing w:after="0" w:line="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i w:val="1"/>
          <w:iCs w:val="1"/>
          <w:color w:val="auto"/>
        </w:rPr>
        <w:t>Non-GAAP income tax adjustment</w:t>
      </w:r>
      <w:r>
        <w:rPr>
          <w:rFonts w:ascii="Times New Roman" w:cs="Times New Roman" w:eastAsia="Times New Roman" w:hAnsi="Times New Roman"/>
          <w:sz w:val="20"/>
          <w:szCs w:val="20"/>
          <w:color w:val="auto"/>
        </w:rPr>
        <w:t>. This item represents the amount adjusted to Enphase Energy’s GAAP tax provision or benefit to exclude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income tax effects of GAAP adjustments such as stock-based compensation, amortization of purchased intangibles, and other non-recurring items that are not reflective of Enphase Energy’s ongoing financial performance.</w:t>
      </w:r>
    </w:p>
    <w:p>
      <w:pPr>
        <w:spacing w:after="0" w:line="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Non-GAAP net income per share, diluted. </w:t>
      </w:r>
      <w:r>
        <w:rPr>
          <w:rFonts w:ascii="Times New Roman" w:cs="Times New Roman" w:eastAsia="Times New Roman" w:hAnsi="Times New Roman"/>
          <w:sz w:val="20"/>
          <w:szCs w:val="20"/>
          <w:color w:val="auto"/>
        </w:rPr>
        <w:t>Enphase Energy excludes the dilutive effect of in-the-money portion of convertible senior notes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they are covered by convertible note hedge transactions that reduce potential dilution to our common stock upon conversion of the Notes due 2028, and includes the dilutive effect of employee’s stock-based awards and the dilutive effect of warrants. Enphase Energy believes these adjustments provide useful supplemental information to the ongoing financial performance.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02" w:right="339" w:bottom="1440" w:gutter="0" w:footer="0" w:header="0"/>
        </w:sectPr>
      </w:pPr>
    </w:p>
    <w:bookmarkStart w:id="7" w:name="page8"/>
    <w:bookmarkEnd w:id="7"/>
    <w:p>
      <w:pPr>
        <w:ind w:right="1800"/>
        <w:spacing w:after="0" w:line="389" w:lineRule="auto"/>
        <w:rPr>
          <w:sz w:val="20"/>
          <w:szCs w:val="20"/>
          <w:color w:val="auto"/>
        </w:rPr>
      </w:pPr>
      <w:r>
        <w:rPr>
          <w:rFonts w:ascii="Times New Roman" w:cs="Times New Roman" w:eastAsia="Times New Roman" w:hAnsi="Times New Roman"/>
          <w:sz w:val="20"/>
          <w:szCs w:val="20"/>
          <w:i w:val="1"/>
          <w:iCs w:val="1"/>
          <w:color w:val="auto"/>
        </w:rPr>
        <w:t>Free cash flow</w:t>
      </w:r>
      <w:r>
        <w:rPr>
          <w:rFonts w:ascii="Times New Roman" w:cs="Times New Roman" w:eastAsia="Times New Roman" w:hAnsi="Times New Roman"/>
          <w:sz w:val="20"/>
          <w:szCs w:val="20"/>
          <w:color w:val="auto"/>
        </w:rPr>
        <w:t>. This item represents net cash flows from operating activities less purchases of property and equipment.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b w:val="1"/>
          <w:bCs w:val="1"/>
          <w:color w:val="auto"/>
        </w:rPr>
        <w:t>Conference Call Information</w:t>
      </w:r>
    </w:p>
    <w:p>
      <w:pPr>
        <w:spacing w:after="0" w:line="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 xml:space="preserve">Enphase Energy will host a conference call for analysts and investors to discuss its third quarter 2026 results and fourth quarter 2026 business outlook today at 4:30 p.m. Eastern Time (1:30 p.m. Pacific Time). The call is open to the public by dialing (833) 634-5018. A live webcast of the conference call will also be accessible from the “Investor Relations” section of Enphase Energy’s website at </w:t>
      </w:r>
      <w:r>
        <w:rPr>
          <w:rFonts w:ascii="Times New Roman" w:cs="Times New Roman" w:eastAsia="Times New Roman" w:hAnsi="Times New Roman"/>
          <w:sz w:val="19"/>
          <w:szCs w:val="19"/>
          <w:u w:val="single" w:color="auto"/>
          <w:color w:val="0000CC"/>
        </w:rPr>
        <w:t>https://investor.enphase.com</w:t>
      </w:r>
      <w:r>
        <w:rPr>
          <w:rFonts w:ascii="Times New Roman" w:cs="Times New Roman" w:eastAsia="Times New Roman" w:hAnsi="Times New Roman"/>
          <w:sz w:val="19"/>
          <w:szCs w:val="19"/>
          <w:color w:val="auto"/>
        </w:rPr>
        <w:t>. Following the webcast, an archived version will be available on the website for approximately one year. In addition, an audio replay of the conference call will be available by calling (855) 669-9658; replay access code 5536681, beginning approximately one hour after the call.</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25"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20"/>
          <w:szCs w:val="20"/>
          <w:color w:val="auto"/>
        </w:rPr>
        <w:t>This press release contains forward-looking statements, including statements related to Enphase Energy’s expectations as to its fourth quarter of 2026 financial performance and outlook, including revenue, shipments of IQ Batteries by MWh, gross margin, operating expenses, safe harbor revenue, reciprocal tariff impacts, and anticipated sell-through; anticipated demand for Enphase Energy’s microinverter, battery, energy management, and commercial products; the timing and availability of shipments of the IQ Battery C80; the capabilities, benefits, features, and performance of Enphase Energy’s technology and products, including the IQ Battery C80, IQ SST, and 900 V GaN monolithic BDS devices; the integration and production qualification of 900 V GaN monolithic BDS devices; Enphase Energy’s expectations regarding the development of its IQ SST, including the timing of future demonstrations, development milestones, customer pilot programs, and commercial shipments; Enphase Energy’s customer and partner engagements related to IQ SST and the potential market opportunity for IQ SST; and the expected benefits, market opportunities, and growth associated with Enphase Energy’s IQ Battery G5, Propel prepaid lease program, commercial solar and storage products, EV chargers, and IQ SST. These forward-looking statements are based on Enphase Energy’s current expectations and assumptions and inherently involve significant risks and uncertainties. Actual results may differ materially from those expressed or implied by these forward</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looking statements. Such risks include, but are not limited to, fluctuations in market demand; changes in installer and customer purchasing behavior; changes in tax credits, tariffs, incentive programs, and regulatory policies, including the expiration of existing tariffs and potential imposition of replacement tariffs; energy pricing volatility; supply chain and manufacturing constraints; product performance and reliability; technological development, testing, validation, and qualification risks; the ability to convert customer and partner engagements into commercial opportunities; the ability to successfully expand into data center, commercial solar and international markets; and other factors discussed in Enphase Energy’s filings with the Securities and Exchange Commission, including those risks described in more detail in Enphase Energy’s most recently filed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K and Quarterly Report on Form 10-Q and other documents on file with the SEC from time to time and available on the SEC’s website at </w:t>
      </w:r>
      <w:r>
        <w:rPr>
          <w:rFonts w:ascii="Times New Roman" w:cs="Times New Roman" w:eastAsia="Times New Roman" w:hAnsi="Times New Roman"/>
          <w:sz w:val="20"/>
          <w:szCs w:val="20"/>
          <w:u w:val="single" w:color="auto"/>
          <w:color w:val="0000CC"/>
        </w:rPr>
        <w:t>www.sec.gov</w:t>
      </w:r>
      <w:r>
        <w:rPr>
          <w:rFonts w:ascii="Times New Roman" w:cs="Times New Roman" w:eastAsia="Times New Roman" w:hAnsi="Times New Roman"/>
          <w:sz w:val="20"/>
          <w:szCs w:val="20"/>
          <w:color w:val="auto"/>
        </w:rPr>
        <w:t>. Enphase Energy undertakes no duty or obligation to update any forward-looking statements contained in this release as a result of new information, future events or changes in its expectations, except as required by law.</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 copy of this press release can be found on the investor relations page of Enphase Energy’s website at </w:t>
      </w:r>
      <w:r>
        <w:rPr>
          <w:rFonts w:ascii="Times New Roman" w:cs="Times New Roman" w:eastAsia="Times New Roman" w:hAnsi="Times New Roman"/>
          <w:sz w:val="20"/>
          <w:szCs w:val="20"/>
          <w:u w:val="single" w:color="auto"/>
          <w:color w:val="0000CC"/>
        </w:rPr>
        <w:t>https://investor.enphase.com</w:t>
      </w:r>
      <w:r>
        <w:rPr>
          <w:rFonts w:ascii="Times New Roman" w:cs="Times New Roman" w:eastAsia="Times New Roman" w:hAnsi="Times New Roman"/>
          <w:sz w:val="20"/>
          <w:szCs w:val="20"/>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Enphase Energy, Inc.</w:t>
      </w:r>
    </w:p>
    <w:p>
      <w:pPr>
        <w:spacing w:after="0" w:line="12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 xml:space="preserve">Enphase Energy is a global energy technology company advancing intelligent power systems for homes, businesses, and next-generation AI data centers. The company designs semiconductor-based energy technologies spanning solar, batteries, EV charging, energy management, and virtual power plants, and is developing solid-state transformer technology to address the rapidly growing power demands of AI data centers. Based in Fremont, California, Enphase is the world’s leading supplier of microinverter-based solar and battery systems. The company revolutionized the solar industry with its microinverter technology and has shipped approximately 90.8 million microinverters, with over 5.3 million Enphase-based systems deployed in more than 165 countries. Enphase products enable people to harness the sun to make, use, save, and sell their own power, all controlled through the Enphase App. For more information, visit </w:t>
      </w:r>
      <w:r>
        <w:rPr>
          <w:rFonts w:ascii="Times New Roman" w:cs="Times New Roman" w:eastAsia="Times New Roman" w:hAnsi="Times New Roman"/>
          <w:sz w:val="20"/>
          <w:szCs w:val="20"/>
          <w:u w:val="single" w:color="auto"/>
          <w:color w:val="0000CC"/>
        </w:rPr>
        <w:t>https://enphase.com</w:t>
      </w:r>
      <w:r>
        <w:rPr>
          <w:rFonts w:ascii="Times New Roman" w:cs="Times New Roman" w:eastAsia="Times New Roman" w:hAnsi="Times New Roman"/>
          <w:sz w:val="20"/>
          <w:szCs w:val="20"/>
          <w:color w:val="auto"/>
        </w:rPr>
        <w:t>.</w:t>
      </w:r>
    </w:p>
    <w:p>
      <w:pPr>
        <w:spacing w:after="0" w:line="84" w:lineRule="exact"/>
        <w:rPr>
          <w:sz w:val="20"/>
          <w:szCs w:val="20"/>
          <w:color w:val="auto"/>
        </w:rPr>
      </w:pPr>
    </w:p>
    <w:p>
      <w:pPr>
        <w:jc w:val="both"/>
        <w:ind w:right="20" w:firstLine="8"/>
        <w:spacing w:after="0" w:line="261" w:lineRule="auto"/>
        <w:tabs>
          <w:tab w:leader="none" w:pos="262"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2026 Enphase Energy, Inc. All rights reserved. Enphase Energy, Enphase, the “e” logo, IQ, and certain other marks listed at </w:t>
      </w:r>
      <w:r>
        <w:rPr>
          <w:rFonts w:ascii="Times New Roman" w:cs="Times New Roman" w:eastAsia="Times New Roman" w:hAnsi="Times New Roman"/>
          <w:sz w:val="20"/>
          <w:szCs w:val="20"/>
          <w:u w:val="single" w:color="auto"/>
          <w:color w:val="0000CC"/>
        </w:rPr>
        <w:t>https://enphase.com/trademark-usage-guidelines</w:t>
      </w:r>
      <w:r>
        <w:rPr>
          <w:rFonts w:ascii="Times New Roman" w:cs="Times New Roman" w:eastAsia="Times New Roman" w:hAnsi="Times New Roman"/>
          <w:sz w:val="20"/>
          <w:szCs w:val="20"/>
          <w:color w:val="0000CC"/>
        </w:rPr>
        <w:t xml:space="preserve"> </w:t>
      </w:r>
      <w:r>
        <w:rPr>
          <w:rFonts w:ascii="Times New Roman" w:cs="Times New Roman" w:eastAsia="Times New Roman" w:hAnsi="Times New Roman"/>
          <w:sz w:val="20"/>
          <w:szCs w:val="20"/>
          <w:color w:val="000000"/>
        </w:rPr>
        <w:t>are trademarks or service marks of Enphase Energy, Inc. Other names are for informational</w:t>
      </w:r>
      <w:r>
        <w:rPr>
          <w:rFonts w:ascii="Times New Roman" w:cs="Times New Roman" w:eastAsia="Times New Roman" w:hAnsi="Times New Roman"/>
          <w:sz w:val="20"/>
          <w:szCs w:val="20"/>
          <w:color w:val="0000CC"/>
        </w:rPr>
        <w:t xml:space="preserve"> </w:t>
      </w:r>
      <w:r>
        <w:rPr>
          <w:rFonts w:ascii="Times New Roman" w:cs="Times New Roman" w:eastAsia="Times New Roman" w:hAnsi="Times New Roman"/>
          <w:sz w:val="20"/>
          <w:szCs w:val="20"/>
          <w:color w:val="000000"/>
        </w:rPr>
        <w:t>purposes and may be trademarks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98" w:right="339" w:bottom="1440" w:gutter="0" w:footer="0" w:header="0"/>
        </w:sectPr>
      </w:pPr>
    </w:p>
    <w:bookmarkStart w:id="8" w:name="page9"/>
    <w:bookmarkEnd w:id="8"/>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Zach Freedman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Enphase Energy,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ir@enphaseenergy.com</w:t>
      </w:r>
    </w:p>
    <w:p>
      <w:pPr>
        <w:spacing w:after="0" w:line="200" w:lineRule="exact"/>
        <w:rPr>
          <w:sz w:val="20"/>
          <w:szCs w:val="20"/>
          <w:color w:val="auto"/>
        </w:rPr>
      </w:pPr>
    </w:p>
    <w:p>
      <w:pPr>
        <w:spacing w:after="0" w:line="349"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139"/>
          </w:cols>
          <w:pgMar w:left="320" w:top="1440" w:right="1440" w:bottom="1440" w:gutter="0" w:footer="0" w:header="0"/>
        </w:sectPr>
      </w:pPr>
    </w:p>
    <w:bookmarkStart w:id="9" w:name="page10"/>
    <w:bookmarkEnd w:id="9"/>
    <w:p>
      <w:pPr>
        <w:ind w:left="4560"/>
        <w:spacing w:after="0"/>
        <w:rPr>
          <w:sz w:val="20"/>
          <w:szCs w:val="20"/>
          <w:color w:val="auto"/>
        </w:rPr>
      </w:pPr>
      <w:r>
        <w:rPr>
          <w:rFonts w:ascii="Times New Roman" w:cs="Times New Roman" w:eastAsia="Times New Roman" w:hAnsi="Times New Roman"/>
          <w:sz w:val="18"/>
          <w:szCs w:val="18"/>
          <w:b w:val="1"/>
          <w:bCs w:val="1"/>
          <w:color w:val="auto"/>
        </w:rPr>
        <w:t>ENPHASE ENERGY, INC.</w:t>
      </w:r>
    </w:p>
    <w:p>
      <w:pPr>
        <w:spacing w:after="0" w:line="6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2"/>
                <w:szCs w:val="12"/>
                <w:color w:val="auto"/>
              </w:rPr>
            </w:pPr>
          </w:p>
        </w:tc>
        <w:tc>
          <w:tcPr>
            <w:tcW w:w="116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2"/>
                <w:szCs w:val="12"/>
                <w:color w:val="auto"/>
              </w:rPr>
            </w:pPr>
          </w:p>
        </w:tc>
        <w:tc>
          <w:tcPr>
            <w:tcW w:w="130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2"/>
                <w:szCs w:val="12"/>
                <w:color w:val="auto"/>
              </w:rPr>
            </w:pPr>
          </w:p>
        </w:tc>
        <w:tc>
          <w:tcPr>
            <w:tcW w:w="132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2"/>
                <w:szCs w:val="12"/>
                <w:color w:val="auto"/>
              </w:rPr>
            </w:pPr>
          </w:p>
        </w:tc>
        <w:tc>
          <w:tcPr>
            <w:tcW w:w="1240" w:type="dxa"/>
            <w:vAlign w:val="bottom"/>
          </w:tcPr>
          <w:p>
            <w:pPr>
              <w:jc w:val="right"/>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293,329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291,854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410,427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868,083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1,129,664</w:t>
            </w:r>
          </w:p>
        </w:tc>
        <w:tc>
          <w:tcPr>
            <w:tcW w:w="0" w:type="dxa"/>
            <w:vAlign w:val="bottom"/>
          </w:tcPr>
          <w:p>
            <w:pPr>
              <w:spacing w:after="0"/>
              <w:rPr>
                <w:sz w:val="1"/>
                <w:szCs w:val="1"/>
                <w:color w:val="auto"/>
              </w:rPr>
            </w:pPr>
          </w:p>
        </w:tc>
      </w:tr>
      <w:tr>
        <w:trPr>
          <w:trHeight w:val="227"/>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166,211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214,188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465,558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594,691</w:t>
            </w:r>
          </w:p>
        </w:tc>
        <w:tc>
          <w:tcPr>
            <w:tcW w:w="0" w:type="dxa"/>
            <w:vAlign w:val="bottom"/>
          </w:tcPr>
          <w:p>
            <w:pPr>
              <w:spacing w:after="0"/>
              <w:rPr>
                <w:sz w:val="1"/>
                <w:szCs w:val="1"/>
                <w:color w:val="auto"/>
              </w:rPr>
            </w:pPr>
          </w:p>
        </w:tc>
      </w:tr>
      <w:tr>
        <w:trPr>
          <w:trHeight w:val="22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127,118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402,525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534,973</w:t>
            </w:r>
          </w:p>
        </w:tc>
        <w:tc>
          <w:tcPr>
            <w:tcW w:w="0" w:type="dxa"/>
            <w:vAlign w:val="bottom"/>
          </w:tcPr>
          <w:p>
            <w:pPr>
              <w:spacing w:after="0"/>
              <w:rPr>
                <w:sz w:val="1"/>
                <w:szCs w:val="1"/>
                <w:color w:val="auto"/>
              </w:rPr>
            </w:pPr>
          </w:p>
        </w:tc>
      </w:tr>
      <w:tr>
        <w:trPr>
          <w:trHeight w:val="207"/>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45,199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45,658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47,266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135,724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142,861</w:t>
            </w:r>
          </w:p>
        </w:tc>
        <w:tc>
          <w:tcPr>
            <w:tcW w:w="0" w:type="dxa"/>
            <w:vAlign w:val="bottom"/>
          </w:tcPr>
          <w:p>
            <w:pPr>
              <w:spacing w:after="0"/>
              <w:rPr>
                <w:sz w:val="1"/>
                <w:szCs w:val="1"/>
                <w:color w:val="auto"/>
              </w:rPr>
            </w:pPr>
          </w:p>
        </w:tc>
      </w:tr>
      <w:tr>
        <w:trPr>
          <w:trHeight w:val="227"/>
        </w:trPr>
        <w:tc>
          <w:tcPr>
            <w:tcW w:w="3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Sales and marketing</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45,110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148,085</w:t>
            </w:r>
          </w:p>
        </w:tc>
        <w:tc>
          <w:tcPr>
            <w:tcW w:w="0" w:type="dxa"/>
            <w:vAlign w:val="bottom"/>
          </w:tcPr>
          <w:p>
            <w:pPr>
              <w:spacing w:after="0"/>
              <w:rPr>
                <w:sz w:val="1"/>
                <w:szCs w:val="1"/>
                <w:color w:val="auto"/>
              </w:rPr>
            </w:pPr>
          </w:p>
        </w:tc>
      </w:tr>
      <w:tr>
        <w:trPr>
          <w:trHeight w:val="233"/>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30,395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31,334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94,984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101,168</w:t>
            </w:r>
          </w:p>
        </w:tc>
        <w:tc>
          <w:tcPr>
            <w:tcW w:w="0" w:type="dxa"/>
            <w:vAlign w:val="bottom"/>
          </w:tcPr>
          <w:p>
            <w:pPr>
              <w:spacing w:after="0"/>
              <w:rPr>
                <w:sz w:val="1"/>
                <w:szCs w:val="1"/>
                <w:color w:val="auto"/>
              </w:rPr>
            </w:pPr>
          </w:p>
        </w:tc>
      </w:tr>
      <w:tr>
        <w:trPr>
          <w:trHeight w:val="226"/>
        </w:trPr>
        <w:tc>
          <w:tcPr>
            <w:tcW w:w="3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Restructuring and asset impairment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7,771</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120,652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374,183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399,885</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135,088</w:t>
            </w:r>
          </w:p>
        </w:tc>
        <w:tc>
          <w:tcPr>
            <w:tcW w:w="0" w:type="dxa"/>
            <w:vAlign w:val="bottom"/>
          </w:tcPr>
          <w:p>
            <w:pPr>
              <w:spacing w:after="0"/>
              <w:rPr>
                <w:sz w:val="1"/>
                <w:szCs w:val="1"/>
                <w:color w:val="auto"/>
              </w:rPr>
            </w:pPr>
          </w:p>
        </w:tc>
      </w:tr>
      <w:tr>
        <w:trPr>
          <w:trHeight w:val="23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41,691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47,372</w:t>
            </w:r>
          </w:p>
        </w:tc>
        <w:tc>
          <w:tcPr>
            <w:tcW w:w="0" w:type="dxa"/>
            <w:vAlign w:val="bottom"/>
          </w:tcPr>
          <w:p>
            <w:pPr>
              <w:spacing w:after="0"/>
              <w:rPr>
                <w:sz w:val="1"/>
                <w:szCs w:val="1"/>
                <w:color w:val="auto"/>
              </w:rPr>
            </w:pPr>
          </w:p>
        </w:tc>
      </w:tr>
      <w:tr>
        <w:trPr>
          <w:trHeight w:val="233"/>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(3,692)</w:t>
            </w:r>
          </w:p>
        </w:tc>
        <w:tc>
          <w:tcPr>
            <w:tcW w:w="0" w:type="dxa"/>
            <w:vAlign w:val="bottom"/>
          </w:tcPr>
          <w:p>
            <w:pPr>
              <w:spacing w:after="0"/>
              <w:rPr>
                <w:sz w:val="1"/>
                <w:szCs w:val="1"/>
                <w:color w:val="auto"/>
              </w:rPr>
            </w:pPr>
          </w:p>
        </w:tc>
      </w:tr>
      <w:tr>
        <w:trPr>
          <w:trHeight w:val="227"/>
        </w:trPr>
        <w:tc>
          <w:tcPr>
            <w:tcW w:w="3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expense, net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(26,622)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(24,278)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(12,651)</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31,029</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166,117</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(32,697)</w:t>
            </w:r>
          </w:p>
        </w:tc>
        <w:tc>
          <w:tcPr>
            <w:tcW w:w="0" w:type="dxa"/>
            <w:vAlign w:val="bottom"/>
          </w:tcPr>
          <w:p>
            <w:pPr>
              <w:spacing w:after="0"/>
              <w:rPr>
                <w:sz w:val="1"/>
                <w:szCs w:val="1"/>
                <w:color w:val="auto"/>
              </w:rPr>
            </w:pPr>
          </w:p>
        </w:tc>
      </w:tr>
      <w:tr>
        <w:trPr>
          <w:trHeight w:val="22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23,387</w:t>
            </w:r>
          </w:p>
        </w:tc>
        <w:tc>
          <w:tcPr>
            <w:tcW w:w="8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36,079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66,638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52,060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133,420</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share:</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8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used in per share calculation: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3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132,222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131,844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131,228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135,198</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135,122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132,995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135,001</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133,439</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03" w:right="339" w:bottom="1440" w:gutter="0" w:footer="0" w:header="0"/>
        </w:sectPr>
      </w:pPr>
    </w:p>
    <w:bookmarkStart w:id="10" w:name="page11"/>
    <w:bookmarkEnd w:id="10"/>
    <w:p>
      <w:pPr>
        <w:ind w:left="4540"/>
        <w:spacing w:after="0"/>
        <w:rPr>
          <w:sz w:val="20"/>
          <w:szCs w:val="20"/>
          <w:color w:val="auto"/>
        </w:rPr>
      </w:pPr>
      <w:r>
        <w:rPr>
          <w:rFonts w:ascii="Times New Roman" w:cs="Times New Roman" w:eastAsia="Times New Roman" w:hAnsi="Times New Roman"/>
          <w:sz w:val="18"/>
          <w:szCs w:val="18"/>
          <w:b w:val="1"/>
          <w:bCs w:val="1"/>
          <w:color w:val="auto"/>
        </w:rPr>
        <w:t>ENPHASE ENERGY, INC.</w:t>
      </w:r>
    </w:p>
    <w:p>
      <w:pPr>
        <w:spacing w:after="0" w:line="6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240" w:type="dxa"/>
            <w:vAlign w:val="bottom"/>
            <w:shd w:val="clear" w:color="auto" w:fill="CCEEFF"/>
          </w:tcPr>
          <w:p>
            <w:pPr>
              <w:ind w:left="38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380,398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474,318</w:t>
            </w:r>
          </w:p>
        </w:tc>
      </w:tr>
      <w:tr>
        <w:trPr>
          <w:trHeight w:val="226"/>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Marketable securities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551,448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1,038,536</w:t>
            </w:r>
          </w:p>
        </w:tc>
      </w:tr>
      <w:tr>
        <w:trPr>
          <w:trHeight w:val="23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249,939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229,881</w:t>
            </w:r>
          </w:p>
        </w:tc>
      </w:tr>
      <w:tr>
        <w:trPr>
          <w:trHeight w:val="227"/>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Inventory</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288,047</w:t>
            </w:r>
          </w:p>
        </w:tc>
      </w:tr>
      <w:tr>
        <w:trPr>
          <w:trHeight w:val="232"/>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457,335</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576,078</w:t>
            </w:r>
          </w:p>
        </w:tc>
      </w:tr>
      <w:tr>
        <w:trPr>
          <w:trHeight w:val="220"/>
        </w:trPr>
        <w:tc>
          <w:tcPr>
            <w:tcW w:w="82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1,882,827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2,606,860</w:t>
            </w:r>
          </w:p>
        </w:tc>
      </w:tr>
      <w:tr>
        <w:trPr>
          <w:trHeight w:val="23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133,717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136,804</w:t>
            </w:r>
          </w:p>
        </w:tc>
      </w:tr>
      <w:tr>
        <w:trPr>
          <w:trHeight w:val="22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22,288</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213,087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214,760</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317,185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222,677</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321,619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306,403</w:t>
            </w:r>
          </w:p>
        </w:tc>
      </w:tr>
      <w:tr>
        <w:trPr>
          <w:trHeight w:val="223"/>
        </w:trPr>
        <w:tc>
          <w:tcPr>
            <w:tcW w:w="82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2,877,038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3,509,792</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0"/>
        </w:trPr>
        <w:tc>
          <w:tcPr>
            <w:tcW w:w="824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100,613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203,039</w:t>
            </w:r>
          </w:p>
        </w:tc>
      </w:tr>
      <w:tr>
        <w:trPr>
          <w:trHeight w:val="226"/>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liabilities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217,366</w:t>
            </w:r>
          </w:p>
        </w:tc>
      </w:tr>
      <w:tr>
        <w:trPr>
          <w:trHeight w:val="23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revenues, current</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170,565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180,524</w:t>
            </w:r>
          </w:p>
        </w:tc>
      </w:tr>
      <w:tr>
        <w:trPr>
          <w:trHeight w:val="226"/>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Warranty obligations, current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29,038</w:t>
            </w:r>
          </w:p>
        </w:tc>
      </w:tr>
      <w:tr>
        <w:trPr>
          <w:trHeight w:val="23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Debt, current</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632,183</w:t>
            </w:r>
          </w:p>
        </w:tc>
      </w:tr>
      <w:tr>
        <w:trPr>
          <w:trHeight w:val="220"/>
        </w:trPr>
        <w:tc>
          <w:tcPr>
            <w:tcW w:w="82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460,099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1,262,150</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7"/>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revenues, non-current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355,141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337,923</w:t>
            </w:r>
          </w:p>
        </w:tc>
      </w:tr>
      <w:tr>
        <w:trPr>
          <w:trHeight w:val="23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Warranty obligations, non-current</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177,021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185,005</w:t>
            </w:r>
          </w:p>
        </w:tc>
      </w:tr>
      <w:tr>
        <w:trPr>
          <w:trHeight w:val="227"/>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65,497</w:t>
            </w:r>
          </w:p>
        </w:tc>
      </w:tr>
      <w:tr>
        <w:trPr>
          <w:trHeight w:val="23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Debt, non-current</w:t>
            </w: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573,163</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572,194</w:t>
            </w:r>
          </w:p>
        </w:tc>
      </w:tr>
      <w:tr>
        <w:trPr>
          <w:trHeight w:val="220"/>
        </w:trPr>
        <w:tc>
          <w:tcPr>
            <w:tcW w:w="82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1,635,002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2,422,769</w:t>
            </w:r>
          </w:p>
        </w:tc>
      </w:tr>
      <w:tr>
        <w:trPr>
          <w:trHeight w:val="223"/>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1,242,036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1,087,023</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2,877,038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3,509,792</w:t>
            </w:r>
          </w:p>
        </w:tc>
      </w:tr>
      <w:tr>
        <w:trPr>
          <w:trHeight w:val="23"/>
        </w:trPr>
        <w:tc>
          <w:tcPr>
            <w:tcW w:w="8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340" w:top="1103" w:right="359" w:bottom="1440" w:gutter="0" w:footer="0" w:header="0"/>
        </w:sectPr>
      </w:pPr>
    </w:p>
    <w:bookmarkStart w:id="11" w:name="page12"/>
    <w:bookmarkEnd w:id="11"/>
    <w:p>
      <w:pPr>
        <w:ind w:left="4560"/>
        <w:spacing w:after="0"/>
        <w:rPr>
          <w:sz w:val="20"/>
          <w:szCs w:val="20"/>
          <w:color w:val="auto"/>
        </w:rPr>
      </w:pPr>
      <w:r>
        <w:rPr>
          <w:rFonts w:ascii="Times New Roman" w:cs="Times New Roman" w:eastAsia="Times New Roman" w:hAnsi="Times New Roman"/>
          <w:sz w:val="18"/>
          <w:szCs w:val="18"/>
          <w:b w:val="1"/>
          <w:bCs w:val="1"/>
          <w:color w:val="auto"/>
        </w:rPr>
        <w:t>ENPHASE ENERGY, INC.</w:t>
      </w:r>
    </w:p>
    <w:p>
      <w:pPr>
        <w:spacing w:after="0" w:line="6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16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2"/>
                <w:szCs w:val="12"/>
                <w:color w:val="auto"/>
              </w:rPr>
            </w:pPr>
          </w:p>
        </w:tc>
        <w:tc>
          <w:tcPr>
            <w:tcW w:w="134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24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140" w:type="dxa"/>
            <w:vAlign w:val="bottom"/>
          </w:tcPr>
          <w:p>
            <w:pPr>
              <w:jc w:val="right"/>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40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5"/>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23,387</w:t>
            </w:r>
          </w:p>
        </w:tc>
        <w:tc>
          <w:tcPr>
            <w:tcW w:w="120" w:type="dxa"/>
            <w:vAlign w:val="bottom"/>
          </w:tcPr>
          <w:p>
            <w:pPr>
              <w:spacing w:after="0"/>
              <w:rPr>
                <w:sz w:val="19"/>
                <w:szCs w:val="19"/>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36,079</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66,638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52,060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133,420</w:t>
            </w:r>
          </w:p>
        </w:tc>
        <w:tc>
          <w:tcPr>
            <w:tcW w:w="0" w:type="dxa"/>
            <w:vAlign w:val="bottom"/>
          </w:tcPr>
          <w:p>
            <w:pPr>
              <w:spacing w:after="0"/>
              <w:rPr>
                <w:sz w:val="1"/>
                <w:szCs w:val="1"/>
                <w:color w:val="auto"/>
              </w:rPr>
            </w:pPr>
          </w:p>
        </w:tc>
      </w:tr>
      <w:tr>
        <w:trPr>
          <w:trHeight w:val="178"/>
        </w:trPr>
        <w:tc>
          <w:tcPr>
            <w:tcW w:w="4080" w:type="dxa"/>
            <w:vAlign w:val="bottom"/>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Adjustments to reconcile net income to net cash provided</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by operating activities: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60,218</w:t>
            </w:r>
          </w:p>
        </w:tc>
        <w:tc>
          <w:tcPr>
            <w:tcW w:w="0" w:type="dxa"/>
            <w:vAlign w:val="bottom"/>
          </w:tcPr>
          <w:p>
            <w:pPr>
              <w:spacing w:after="0"/>
              <w:rPr>
                <w:sz w:val="1"/>
                <w:szCs w:val="1"/>
                <w:color w:val="auto"/>
              </w:rPr>
            </w:pPr>
          </w:p>
        </w:tc>
      </w:tr>
      <w:tr>
        <w:trPr>
          <w:trHeight w:val="233"/>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Discount from sale of AMPTC generated</w:t>
            </w:r>
          </w:p>
        </w:tc>
        <w:tc>
          <w:tcPr>
            <w:tcW w:w="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408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Amortization (accretion) of investments purchased at a</w:t>
            </w:r>
          </w:p>
        </w:tc>
        <w:tc>
          <w:tcPr>
            <w:tcW w:w="1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0" w:type="dxa"/>
            <w:vAlign w:val="bottom"/>
          </w:tcPr>
          <w:p>
            <w:pPr>
              <w:spacing w:after="0"/>
              <w:rPr>
                <w:sz w:val="1"/>
                <w:szCs w:val="1"/>
                <w:color w:val="auto"/>
              </w:rPr>
            </w:pP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premium (discount)</w:t>
            </w:r>
          </w:p>
        </w:tc>
        <w:tc>
          <w:tcPr>
            <w:tcW w:w="1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26"/>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Asset impairment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0" w:type="dxa"/>
            <w:vAlign w:val="bottom"/>
          </w:tcPr>
          <w:p>
            <w:pPr>
              <w:spacing w:after="0"/>
              <w:rPr>
                <w:sz w:val="1"/>
                <w:szCs w:val="1"/>
                <w:color w:val="auto"/>
              </w:rPr>
            </w:pPr>
          </w:p>
        </w:tc>
      </w:tr>
      <w:tr>
        <w:trPr>
          <w:trHeight w:val="233"/>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w:t>
            </w:r>
          </w:p>
        </w:tc>
        <w:tc>
          <w:tcPr>
            <w:tcW w:w="0" w:type="dxa"/>
            <w:vAlign w:val="bottom"/>
          </w:tcPr>
          <w:p>
            <w:pPr>
              <w:spacing w:after="0"/>
              <w:rPr>
                <w:sz w:val="1"/>
                <w:szCs w:val="1"/>
                <w:color w:val="auto"/>
              </w:rPr>
            </w:pPr>
          </w:p>
        </w:tc>
      </w:tr>
      <w:tr>
        <w:trPr>
          <w:trHeight w:val="175"/>
        </w:trPr>
        <w:tc>
          <w:tcPr>
            <w:tcW w:w="408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Decrease in fair value of debt securities and tax equity</w:t>
            </w:r>
          </w:p>
        </w:tc>
        <w:tc>
          <w:tcPr>
            <w:tcW w:w="1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27,217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3,174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29,793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12,315</w:t>
            </w:r>
          </w:p>
        </w:tc>
        <w:tc>
          <w:tcPr>
            <w:tcW w:w="0" w:type="dxa"/>
            <w:vAlign w:val="bottom"/>
          </w:tcPr>
          <w:p>
            <w:pPr>
              <w:spacing w:after="0"/>
              <w:rPr>
                <w:sz w:val="1"/>
                <w:szCs w:val="1"/>
                <w:color w:val="auto"/>
              </w:rPr>
            </w:pP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fund</w:t>
            </w:r>
          </w:p>
        </w:tc>
        <w:tc>
          <w:tcPr>
            <w:tcW w:w="1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43,043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43,554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51,469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135,588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160,998</w:t>
            </w:r>
          </w:p>
        </w:tc>
        <w:tc>
          <w:tcPr>
            <w:tcW w:w="0" w:type="dxa"/>
            <w:vAlign w:val="bottom"/>
          </w:tcPr>
          <w:p>
            <w:pPr>
              <w:spacing w:after="0"/>
              <w:rPr>
                <w:sz w:val="1"/>
                <w:szCs w:val="1"/>
                <w:color w:val="auto"/>
              </w:rPr>
            </w:pPr>
          </w:p>
        </w:tc>
      </w:tr>
      <w:tr>
        <w:trPr>
          <w:trHeight w:val="226"/>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7,137</w:t>
            </w:r>
          </w:p>
        </w:tc>
        <w:tc>
          <w:tcPr>
            <w:tcW w:w="0" w:type="dxa"/>
            <w:vAlign w:val="bottom"/>
          </w:tcPr>
          <w:p>
            <w:pPr>
              <w:spacing w:after="0"/>
              <w:rPr>
                <w:sz w:val="1"/>
                <w:szCs w:val="1"/>
                <w:color w:val="auto"/>
              </w:rPr>
            </w:pPr>
          </w:p>
        </w:tc>
      </w:tr>
      <w:tr>
        <w:trPr>
          <w:trHeight w:val="233"/>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(47,539)</w:t>
            </w:r>
          </w:p>
        </w:tc>
        <w:tc>
          <w:tcPr>
            <w:tcW w:w="0" w:type="dxa"/>
            <w:vAlign w:val="bottom"/>
          </w:tcPr>
          <w:p>
            <w:pPr>
              <w:spacing w:after="0"/>
              <w:rPr>
                <w:sz w:val="1"/>
                <w:szCs w:val="1"/>
                <w:color w:val="auto"/>
              </w:rPr>
            </w:pPr>
          </w:p>
        </w:tc>
      </w:tr>
      <w:tr>
        <w:trPr>
          <w:trHeight w:val="232"/>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Inventory</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41,315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44,340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(23,648)</w:t>
            </w:r>
          </w:p>
        </w:tc>
        <w:tc>
          <w:tcPr>
            <w:tcW w:w="0" w:type="dxa"/>
            <w:vAlign w:val="bottom"/>
          </w:tcPr>
          <w:p>
            <w:pPr>
              <w:spacing w:after="0"/>
              <w:rPr>
                <w:sz w:val="1"/>
                <w:szCs w:val="1"/>
                <w:color w:val="auto"/>
              </w:rPr>
            </w:pPr>
          </w:p>
        </w:tc>
      </w:tr>
      <w:tr>
        <w:trPr>
          <w:trHeight w:val="227"/>
        </w:trPr>
        <w:tc>
          <w:tcPr>
            <w:tcW w:w="4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(218,144)</w:t>
            </w:r>
          </w:p>
        </w:tc>
        <w:tc>
          <w:tcPr>
            <w:tcW w:w="0" w:type="dxa"/>
            <w:vAlign w:val="bottom"/>
          </w:tcPr>
          <w:p>
            <w:pPr>
              <w:spacing w:after="0"/>
              <w:rPr>
                <w:sz w:val="1"/>
                <w:szCs w:val="1"/>
                <w:color w:val="auto"/>
              </w:rPr>
            </w:pPr>
          </w:p>
        </w:tc>
      </w:tr>
      <w:tr>
        <w:trPr>
          <w:trHeight w:val="233"/>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 accrued and other liabilities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(48,811)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25,494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(164,460)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116,938</w:t>
            </w:r>
          </w:p>
        </w:tc>
        <w:tc>
          <w:tcPr>
            <w:tcW w:w="0" w:type="dxa"/>
            <w:vAlign w:val="bottom"/>
          </w:tcPr>
          <w:p>
            <w:pPr>
              <w:spacing w:after="0"/>
              <w:rPr>
                <w:sz w:val="1"/>
                <w:szCs w:val="1"/>
                <w:color w:val="auto"/>
              </w:rPr>
            </w:pPr>
          </w:p>
        </w:tc>
      </w:tr>
      <w:tr>
        <w:trPr>
          <w:trHeight w:val="227"/>
        </w:trPr>
        <w:tc>
          <w:tcPr>
            <w:tcW w:w="4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Warranty obligations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17,252</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revenues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(56,106)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(136,562)</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143,284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88,961</w:t>
            </w: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(30,899)</w:t>
            </w:r>
          </w:p>
        </w:tc>
        <w:tc>
          <w:tcPr>
            <w:tcW w:w="0" w:type="dxa"/>
            <w:vAlign w:val="bottom"/>
          </w:tcPr>
          <w:p>
            <w:pPr>
              <w:spacing w:after="0"/>
              <w:rPr>
                <w:sz w:val="1"/>
                <w:szCs w:val="1"/>
                <w:color w:val="auto"/>
              </w:rPr>
            </w:pPr>
          </w:p>
        </w:tc>
      </w:tr>
      <w:tr>
        <w:trPr>
          <w:trHeight w:val="233"/>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secured revolving credit facility</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Receipts of secured revolving credit facility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loan receivable</w:t>
            </w:r>
          </w:p>
        </w:tc>
        <w:tc>
          <w:tcPr>
            <w:tcW w:w="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(48,500)</w:t>
            </w:r>
          </w:p>
        </w:tc>
        <w:tc>
          <w:tcPr>
            <w:tcW w:w="0" w:type="dxa"/>
            <w:vAlign w:val="bottom"/>
          </w:tcPr>
          <w:p>
            <w:pPr>
              <w:spacing w:after="0"/>
              <w:rPr>
                <w:sz w:val="1"/>
                <w:szCs w:val="1"/>
                <w:color w:val="auto"/>
              </w:rPr>
            </w:pPr>
          </w:p>
        </w:tc>
      </w:tr>
      <w:tr>
        <w:trPr>
          <w:trHeight w:val="227"/>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 in debt securities</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(6,300)</w:t>
            </w:r>
          </w:p>
        </w:tc>
        <w:tc>
          <w:tcPr>
            <w:tcW w:w="0" w:type="dxa"/>
            <w:vAlign w:val="bottom"/>
          </w:tcPr>
          <w:p>
            <w:pPr>
              <w:spacing w:after="0"/>
              <w:rPr>
                <w:sz w:val="1"/>
                <w:szCs w:val="1"/>
                <w:color w:val="auto"/>
              </w:rPr>
            </w:pPr>
          </w:p>
        </w:tc>
      </w:tr>
      <w:tr>
        <w:trPr>
          <w:trHeight w:val="233"/>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 in tax equity fund</w:t>
            </w:r>
          </w:p>
        </w:tc>
        <w:tc>
          <w:tcPr>
            <w:tcW w:w="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(9,752)</w:t>
            </w:r>
          </w:p>
        </w:tc>
        <w:tc>
          <w:tcPr>
            <w:tcW w:w="0" w:type="dxa"/>
            <w:vAlign w:val="bottom"/>
          </w:tcPr>
          <w:p>
            <w:pPr>
              <w:spacing w:after="0"/>
              <w:rPr>
                <w:sz w:val="1"/>
                <w:szCs w:val="1"/>
                <w:color w:val="auto"/>
              </w:rPr>
            </w:pPr>
          </w:p>
        </w:tc>
      </w:tr>
      <w:tr>
        <w:trPr>
          <w:trHeight w:val="227"/>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Receipts of loan receivables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(306,192)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(116,236)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(335,198)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(601,368)</w:t>
            </w:r>
          </w:p>
        </w:tc>
        <w:tc>
          <w:tcPr>
            <w:tcW w:w="0" w:type="dxa"/>
            <w:vAlign w:val="bottom"/>
          </w:tcPr>
          <w:p>
            <w:pPr>
              <w:spacing w:after="0"/>
              <w:rPr>
                <w:sz w:val="1"/>
                <w:szCs w:val="1"/>
                <w:color w:val="auto"/>
              </w:rPr>
            </w:pPr>
          </w:p>
        </w:tc>
      </w:tr>
      <w:tr>
        <w:trPr>
          <w:trHeight w:val="227"/>
        </w:trPr>
        <w:tc>
          <w:tcPr>
            <w:tcW w:w="4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Maturities and sales of marketable securities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160,919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201,881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810,979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780,099</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(144,629)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422,218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83,280</w:t>
            </w:r>
          </w:p>
        </w:tc>
        <w:tc>
          <w:tcPr>
            <w:tcW w:w="0" w:type="dxa"/>
            <w:vAlign w:val="bottom"/>
          </w:tcPr>
          <w:p>
            <w:pPr>
              <w:spacing w:after="0"/>
              <w:rPr>
                <w:sz w:val="1"/>
                <w:szCs w:val="1"/>
                <w:color w:val="auto"/>
              </w:rPr>
            </w:pPr>
          </w:p>
        </w:tc>
      </w:tr>
      <w:tr>
        <w:trPr>
          <w:trHeight w:val="206"/>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Settlement of Notes due 2026</w:t>
            </w:r>
          </w:p>
        </w:tc>
        <w:tc>
          <w:tcPr>
            <w:tcW w:w="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(632,500)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103"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4"/>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16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2"/>
                <w:szCs w:val="12"/>
                <w:color w:val="auto"/>
              </w:rPr>
            </w:pPr>
          </w:p>
        </w:tc>
        <w:tc>
          <w:tcPr>
            <w:tcW w:w="134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24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140" w:type="dxa"/>
            <w:vAlign w:val="bottom"/>
          </w:tcPr>
          <w:p>
            <w:pPr>
              <w:jc w:val="right"/>
              <w:ind w:right="121"/>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4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5"/>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Settlement of Notes due 2025</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(102,168)</w:t>
            </w:r>
          </w:p>
        </w:tc>
        <w:tc>
          <w:tcPr>
            <w:tcW w:w="0" w:type="dxa"/>
            <w:vAlign w:val="bottom"/>
          </w:tcPr>
          <w:p>
            <w:pPr>
              <w:spacing w:after="0"/>
              <w:rPr>
                <w:sz w:val="1"/>
                <w:szCs w:val="1"/>
                <w:color w:val="auto"/>
              </w:rPr>
            </w:pPr>
          </w:p>
        </w:tc>
      </w:tr>
      <w:tr>
        <w:trPr>
          <w:trHeight w:val="233"/>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(129,957)</w:t>
            </w:r>
          </w:p>
        </w:tc>
        <w:tc>
          <w:tcPr>
            <w:tcW w:w="0" w:type="dxa"/>
            <w:vAlign w:val="bottom"/>
          </w:tcPr>
          <w:p>
            <w:pPr>
              <w:spacing w:after="0"/>
              <w:rPr>
                <w:sz w:val="1"/>
                <w:szCs w:val="1"/>
                <w:color w:val="auto"/>
              </w:rPr>
            </w:pPr>
          </w:p>
        </w:tc>
      </w:tr>
      <w:tr>
        <w:trPr>
          <w:trHeight w:val="175"/>
        </w:trPr>
        <w:tc>
          <w:tcPr>
            <w:tcW w:w="4080" w:type="dxa"/>
            <w:vAlign w:val="bottom"/>
          </w:tcPr>
          <w:p>
            <w:pPr>
              <w:ind w:left="180"/>
              <w:spacing w:after="0" w:line="175" w:lineRule="exact"/>
              <w:rPr>
                <w:sz w:val="20"/>
                <w:szCs w:val="20"/>
                <w:color w:val="auto"/>
              </w:rPr>
            </w:pPr>
            <w:r>
              <w:rPr>
                <w:rFonts w:ascii="Times New Roman" w:cs="Times New Roman" w:eastAsia="Times New Roman" w:hAnsi="Times New Roman"/>
                <w:sz w:val="16"/>
                <w:szCs w:val="16"/>
                <w:color w:val="auto"/>
              </w:rPr>
              <w:t>Proceeds from issuances of common stock under employee</w:t>
            </w:r>
          </w:p>
        </w:tc>
        <w:tc>
          <w:tcPr>
            <w:tcW w:w="180" w:type="dxa"/>
            <w:vAlign w:val="bottom"/>
          </w:tcPr>
          <w:p>
            <w:pPr>
              <w:spacing w:after="0"/>
              <w:rPr>
                <w:sz w:val="15"/>
                <w:szCs w:val="15"/>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4,171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4,171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5,369</w:t>
            </w:r>
          </w:p>
        </w:tc>
        <w:tc>
          <w:tcPr>
            <w:tcW w:w="0" w:type="dxa"/>
            <w:vAlign w:val="bottom"/>
          </w:tcPr>
          <w:p>
            <w:pPr>
              <w:spacing w:after="0"/>
              <w:rPr>
                <w:sz w:val="1"/>
                <w:szCs w:val="1"/>
                <w:color w:val="auto"/>
              </w:rPr>
            </w:pPr>
          </w:p>
        </w:tc>
      </w:tr>
      <w:tr>
        <w:trPr>
          <w:trHeight w:val="213"/>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plans</w:t>
            </w:r>
          </w:p>
        </w:tc>
        <w:tc>
          <w:tcPr>
            <w:tcW w:w="1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080" w:type="dxa"/>
            <w:vAlign w:val="bottom"/>
            <w:shd w:val="clear" w:color="auto" w:fill="CCEEFF"/>
          </w:tcPr>
          <w:p>
            <w:pPr>
              <w:ind w:left="180"/>
              <w:spacing w:after="0" w:line="178" w:lineRule="exact"/>
              <w:rPr>
                <w:sz w:val="20"/>
                <w:szCs w:val="20"/>
                <w:color w:val="auto"/>
              </w:rPr>
            </w:pPr>
            <w:r>
              <w:rPr>
                <w:rFonts w:ascii="Times New Roman" w:cs="Times New Roman" w:eastAsia="Times New Roman" w:hAnsi="Times New Roman"/>
                <w:sz w:val="16"/>
                <w:szCs w:val="16"/>
                <w:color w:val="auto"/>
              </w:rPr>
              <w:t>Payments of withholding taxes related to net share</w:t>
            </w:r>
          </w:p>
        </w:tc>
        <w:tc>
          <w:tcPr>
            <w:tcW w:w="1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(16,653)</w:t>
            </w:r>
          </w:p>
        </w:tc>
        <w:tc>
          <w:tcPr>
            <w:tcW w:w="0" w:type="dxa"/>
            <w:vAlign w:val="bottom"/>
          </w:tcPr>
          <w:p>
            <w:pPr>
              <w:spacing w:after="0"/>
              <w:rPr>
                <w:sz w:val="1"/>
                <w:szCs w:val="1"/>
                <w:color w:val="auto"/>
              </w:rPr>
            </w:pPr>
          </w:p>
        </w:tc>
      </w:tr>
      <w:tr>
        <w:trPr>
          <w:trHeight w:val="213"/>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settlement of equity awards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(652,266)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(243,409)</w:t>
            </w:r>
          </w:p>
        </w:tc>
        <w:tc>
          <w:tcPr>
            <w:tcW w:w="0" w:type="dxa"/>
            <w:vAlign w:val="bottom"/>
          </w:tcPr>
          <w:p>
            <w:pPr>
              <w:spacing w:after="0"/>
              <w:rPr>
                <w:sz w:val="1"/>
                <w:szCs w:val="1"/>
                <w:color w:val="auto"/>
              </w:rPr>
            </w:pPr>
          </w:p>
        </w:tc>
      </w:tr>
      <w:tr>
        <w:trPr>
          <w:trHeight w:val="158"/>
        </w:trPr>
        <w:tc>
          <w:tcPr>
            <w:tcW w:w="4080" w:type="dxa"/>
            <w:vAlign w:val="bottom"/>
            <w:shd w:val="clear" w:color="auto" w:fill="CCEEFF"/>
          </w:tcPr>
          <w:p>
            <w:pPr>
              <w:ind w:left="480"/>
              <w:spacing w:after="0" w:line="158" w:lineRule="exact"/>
              <w:rPr>
                <w:sz w:val="20"/>
                <w:szCs w:val="20"/>
                <w:color w:val="auto"/>
              </w:rPr>
            </w:pPr>
            <w:r>
              <w:rPr>
                <w:rFonts w:ascii="Times New Roman" w:cs="Times New Roman" w:eastAsia="Times New Roman" w:hAnsi="Times New Roman"/>
                <w:sz w:val="16"/>
                <w:szCs w:val="16"/>
                <w:color w:val="auto"/>
              </w:rPr>
              <w:t>Effect of exchange rate changes on cash, cash</w:t>
            </w:r>
          </w:p>
        </w:tc>
        <w:tc>
          <w:tcPr>
            <w:tcW w:w="18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(7,156)</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8,932</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equivalents and restricted cash</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08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Net increase (decrease) in cash, cash equivalents and</w:t>
            </w:r>
          </w:p>
        </w:tc>
        <w:tc>
          <w:tcPr>
            <w:tcW w:w="18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(148,946)</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31,798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31,344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(93,920)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(62,236)</w:t>
            </w: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08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Cash, cash equivalents and restricted cash — Beginning of</w:t>
            </w:r>
          </w:p>
        </w:tc>
        <w:tc>
          <w:tcPr>
            <w:tcW w:w="1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529,344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497,546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370,536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474,318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464,116</w:t>
            </w:r>
          </w:p>
        </w:tc>
        <w:tc>
          <w:tcPr>
            <w:tcW w:w="0" w:type="dxa"/>
            <w:vAlign w:val="bottom"/>
          </w:tcPr>
          <w:p>
            <w:pPr>
              <w:spacing w:after="0"/>
              <w:rPr>
                <w:sz w:val="1"/>
                <w:szCs w:val="1"/>
                <w:color w:val="auto"/>
              </w:rPr>
            </w:pPr>
          </w:p>
        </w:tc>
      </w:tr>
      <w:tr>
        <w:trPr>
          <w:trHeight w:val="21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380,398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529,344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401,880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380,398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401,880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5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ENPHASE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 and percentages)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3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44"/>
        </w:trPr>
        <w:tc>
          <w:tcPr>
            <w:tcW w:w="3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2"/>
                <w:szCs w:val="12"/>
                <w:color w:val="auto"/>
              </w:rPr>
            </w:pPr>
          </w:p>
        </w:tc>
        <w:tc>
          <w:tcPr>
            <w:tcW w:w="124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2"/>
                <w:szCs w:val="12"/>
                <w:color w:val="auto"/>
              </w:rPr>
            </w:pPr>
          </w:p>
        </w:tc>
        <w:tc>
          <w:tcPr>
            <w:tcW w:w="134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28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180" w:type="dxa"/>
            <w:vAlign w:val="bottom"/>
          </w:tcPr>
          <w:p>
            <w:pPr>
              <w:jc w:val="right"/>
              <w:ind w:right="139"/>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39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 (GAAP)</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127,118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175,014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196,239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402,525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534,973</w:t>
            </w:r>
          </w:p>
        </w:tc>
      </w:tr>
      <w:tr>
        <w:trPr>
          <w:trHeight w:val="227"/>
        </w:trPr>
        <w:tc>
          <w:tcPr>
            <w:tcW w:w="3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Tariff refunds</w:t>
            </w:r>
          </w:p>
        </w:tc>
        <w:tc>
          <w:tcPr>
            <w:tcW w:w="20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(43,411)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(43,291)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AMPTC adjustment</w:t>
            </w: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18,905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3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4,105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10,897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12,655</w:t>
            </w:r>
          </w:p>
        </w:tc>
      </w:tr>
      <w:tr>
        <w:trPr>
          <w:trHeight w:val="230"/>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related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1,128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1,248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4,766</w:t>
            </w:r>
          </w:p>
        </w:tc>
      </w:tr>
      <w:tr>
        <w:trPr>
          <w:trHeight w:val="226"/>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 (Non-GAAP)</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132,012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136,517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201,940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392,754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552,394</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3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7"/>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margin (GAAP)</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47.4 %</w:t>
            </w:r>
          </w:p>
        </w:tc>
      </w:tr>
      <w:tr>
        <w:trPr>
          <w:trHeight w:val="232"/>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Tariff refunds</w:t>
            </w: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3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AMPTC adjustment</w:t>
            </w:r>
          </w:p>
        </w:tc>
        <w:tc>
          <w:tcPr>
            <w:tcW w:w="2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r>
      <w:tr>
        <w:trPr>
          <w:trHeight w:val="227"/>
        </w:trPr>
        <w:tc>
          <w:tcPr>
            <w:tcW w:w="3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Acquisition related amortization</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r>
      <w:tr>
        <w:trPr>
          <w:trHeight w:val="251"/>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margin (Non-GAAP)</w:t>
            </w: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48.9 %</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 (GAAP)</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120,652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123,495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130,080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374,183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399,885</w:t>
            </w:r>
          </w:p>
        </w:tc>
      </w:tr>
      <w:tr>
        <w:trPr>
          <w:trHeight w:val="229"/>
        </w:trPr>
        <w:tc>
          <w:tcPr>
            <w:tcW w:w="3900" w:type="dxa"/>
            <w:vAlign w:val="bottom"/>
          </w:tcPr>
          <w:p>
            <w:pPr>
              <w:ind w:left="360"/>
              <w:spacing w:after="0" w:line="230" w:lineRule="exact"/>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(39,397)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(39,714)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(47,364)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(124,539)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(147,755)</w:t>
            </w:r>
          </w:p>
        </w:tc>
      </w:tr>
      <w:tr>
        <w:trPr>
          <w:trHeight w:val="230"/>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related expenses and amortization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(2,870)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(2,891)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(9,699)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(8,617)</w:t>
            </w:r>
          </w:p>
        </w:tc>
      </w:tr>
      <w:tr>
        <w:trPr>
          <w:trHeight w:val="230"/>
        </w:trPr>
        <w:tc>
          <w:tcPr>
            <w:tcW w:w="390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6"/>
                <w:szCs w:val="16"/>
                <w:color w:val="auto"/>
              </w:rPr>
              <w:t xml:space="preserve">Restructuring and asset impairment </w:t>
            </w:r>
            <w:r>
              <w:rPr>
                <w:rFonts w:ascii="Times New Roman" w:cs="Times New Roman" w:eastAsia="Times New Roman" w:hAnsi="Times New Roman"/>
                <w:sz w:val="21"/>
                <w:szCs w:val="21"/>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(958)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(1,287)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(4,733)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(7,771)</w:t>
            </w: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 (Non-GAAP)</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78,437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79,820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78,538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235,212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235,742</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7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Includes stock-based compensation as follows:</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27"/>
        </w:trPr>
        <w:tc>
          <w:tcPr>
            <w:tcW w:w="39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17,125</w:t>
            </w:r>
          </w:p>
        </w:tc>
        <w:tc>
          <w:tcPr>
            <w:tcW w:w="100" w:type="dxa"/>
            <w:vAlign w:val="bottom"/>
          </w:tcPr>
          <w:p>
            <w:pPr>
              <w:spacing w:after="0"/>
              <w:rPr>
                <w:sz w:val="19"/>
                <w:szCs w:val="19"/>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17,569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20,488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53,528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62,616</w:t>
            </w:r>
          </w:p>
        </w:tc>
      </w:tr>
      <w:tr>
        <w:trPr>
          <w:trHeight w:val="232"/>
        </w:trPr>
        <w:tc>
          <w:tcPr>
            <w:tcW w:w="3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Sales and marketing</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12,865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12,363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14,493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39,945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47,546</w:t>
            </w:r>
          </w:p>
        </w:tc>
      </w:tr>
      <w:tr>
        <w:trPr>
          <w:trHeight w:val="227"/>
        </w:trPr>
        <w:tc>
          <w:tcPr>
            <w:tcW w:w="39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9,407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9,782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12,383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31,067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37,593</w:t>
            </w:r>
          </w:p>
        </w:tc>
      </w:tr>
      <w:tr>
        <w:trPr>
          <w:trHeight w:val="256"/>
        </w:trPr>
        <w:tc>
          <w:tcPr>
            <w:tcW w:w="3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Restructuring and asset impairment</w:t>
            </w:r>
          </w:p>
        </w:tc>
        <w:tc>
          <w:tcPr>
            <w:tcW w:w="2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588</w:t>
            </w:r>
          </w:p>
        </w:tc>
      </w:tr>
      <w:tr>
        <w:trPr>
          <w:trHeight w:val="226"/>
        </w:trPr>
        <w:tc>
          <w:tcPr>
            <w:tcW w:w="39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39,397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39,888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47,364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124,692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148,343</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3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6"/>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 (GAAP)</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6,466</w:t>
            </w:r>
          </w:p>
        </w:tc>
        <w:tc>
          <w:tcPr>
            <w:tcW w:w="100" w:type="dxa"/>
            <w:vAlign w:val="bottom"/>
          </w:tcPr>
          <w:p>
            <w:pPr>
              <w:spacing w:after="0"/>
              <w:rPr>
                <w:sz w:val="19"/>
                <w:szCs w:val="19"/>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51,519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66,159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28,342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135,088</w:t>
            </w:r>
          </w:p>
        </w:tc>
      </w:tr>
      <w:tr>
        <w:trPr>
          <w:trHeight w:val="233"/>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Tariff refunds</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(43,411)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(43,291)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3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AMPTC adjustment</w:t>
            </w:r>
          </w:p>
        </w:tc>
        <w:tc>
          <w:tcPr>
            <w:tcW w:w="2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18,905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43,043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43,380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51,469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135,436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160,410</w:t>
            </w:r>
          </w:p>
        </w:tc>
      </w:tr>
      <w:tr>
        <w:trPr>
          <w:trHeight w:val="226"/>
        </w:trPr>
        <w:tc>
          <w:tcPr>
            <w:tcW w:w="3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 related expenses and amortization</w:t>
            </w:r>
          </w:p>
        </w:tc>
        <w:tc>
          <w:tcPr>
            <w:tcW w:w="20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4,487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13,417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13,383</w:t>
            </w:r>
          </w:p>
        </w:tc>
      </w:tr>
      <w:tr>
        <w:trPr>
          <w:trHeight w:val="230"/>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 and asset impairment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1,287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7,771</w:t>
            </w:r>
          </w:p>
        </w:tc>
      </w:tr>
      <w:tr>
        <w:trPr>
          <w:trHeight w:val="226"/>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 (Non-GAAP)</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53,575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56,697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123,402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157,542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316,652</w:t>
            </w:r>
          </w:p>
        </w:tc>
      </w:tr>
      <w:tr>
        <w:trPr>
          <w:trHeight w:val="21"/>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6"/>
        </w:trPr>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(GAAP)</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23,387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36,079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66,638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52,060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133,420</w:t>
            </w:r>
          </w:p>
        </w:tc>
      </w:tr>
      <w:tr>
        <w:trPr>
          <w:trHeight w:val="226"/>
        </w:trPr>
        <w:tc>
          <w:tcPr>
            <w:tcW w:w="3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Tariff refunds</w:t>
            </w:r>
          </w:p>
        </w:tc>
        <w:tc>
          <w:tcPr>
            <w:tcW w:w="20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(45,029)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(44,986)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AMPTC adjustment</w:t>
            </w: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18,905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3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43,043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43,380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51,469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135,436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160,410</w:t>
            </w:r>
          </w:p>
        </w:tc>
      </w:tr>
      <w:tr>
        <w:trPr>
          <w:trHeight w:val="233"/>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related expenses and amortization</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3,998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4,251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4,487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13,417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13,383</w:t>
            </w:r>
          </w:p>
        </w:tc>
      </w:tr>
      <w:tr>
        <w:trPr>
          <w:trHeight w:val="226"/>
        </w:trPr>
        <w:tc>
          <w:tcPr>
            <w:tcW w:w="3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Restructuring and asset impairment</w:t>
            </w:r>
          </w:p>
        </w:tc>
        <w:tc>
          <w:tcPr>
            <w:tcW w:w="20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4,733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7,771</w:t>
            </w:r>
          </w:p>
        </w:tc>
      </w:tr>
      <w:tr>
        <w:trPr>
          <w:trHeight w:val="233"/>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Non-cash interest expense</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1,286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3,336</w:t>
            </w:r>
          </w:p>
        </w:tc>
      </w:tr>
    </w:tbl>
    <w:p>
      <w:pPr>
        <w:spacing w:after="0" w:line="200" w:lineRule="exact"/>
        <w:rPr>
          <w:sz w:val="20"/>
          <w:szCs w:val="20"/>
          <w:color w:val="auto"/>
        </w:rPr>
      </w:pP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103"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13"/>
        </w:trPr>
        <w:tc>
          <w:tcPr>
            <w:tcW w:w="4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Non-GAAP income tax adjustment</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(16,746)</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21,549</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(21,908)</w:t>
            </w:r>
          </w:p>
        </w:tc>
        <w:tc>
          <w:tcPr>
            <w:tcW w:w="0" w:type="dxa"/>
            <w:vAlign w:val="bottom"/>
          </w:tcPr>
          <w:p>
            <w:pPr>
              <w:spacing w:after="0"/>
              <w:rPr>
                <w:sz w:val="1"/>
                <w:szCs w:val="1"/>
                <w:color w:val="auto"/>
              </w:rPr>
            </w:pPr>
          </w:p>
        </w:tc>
      </w:tr>
      <w:tr>
        <w:trPr>
          <w:trHeight w:val="251"/>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(Non-GAAP)</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296,412</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 basic (GAAP)</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27"/>
        </w:trPr>
        <w:tc>
          <w:tcPr>
            <w:tcW w:w="4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Tariff refunds</w:t>
            </w:r>
          </w:p>
        </w:tc>
        <w:tc>
          <w:tcPr>
            <w:tcW w:w="4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AMPTC adjustment</w:t>
            </w: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4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33"/>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related expenses and amortization</w:t>
            </w: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27"/>
        </w:trPr>
        <w:tc>
          <w:tcPr>
            <w:tcW w:w="4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Restructuring and asset impairment</w:t>
            </w:r>
          </w:p>
        </w:tc>
        <w:tc>
          <w:tcPr>
            <w:tcW w:w="4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32"/>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Non-cash interest expense</w:t>
            </w: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27"/>
        </w:trPr>
        <w:tc>
          <w:tcPr>
            <w:tcW w:w="4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Non-GAAP income tax adjustment</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24"/>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 basic (Non-GAAP)</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220" w:type="dxa"/>
            <w:vAlign w:val="bottom"/>
            <w:shd w:val="clear" w:color="auto" w:fill="CCEEFF"/>
          </w:tcPr>
          <w:p>
            <w:pPr>
              <w:ind w:left="360"/>
              <w:spacing w:after="0" w:line="175" w:lineRule="exact"/>
              <w:rPr>
                <w:sz w:val="20"/>
                <w:szCs w:val="20"/>
                <w:color w:val="auto"/>
              </w:rPr>
            </w:pPr>
            <w:r>
              <w:rPr>
                <w:rFonts w:ascii="Times New Roman" w:cs="Times New Roman" w:eastAsia="Times New Roman" w:hAnsi="Times New Roman"/>
                <w:sz w:val="16"/>
                <w:szCs w:val="16"/>
                <w:color w:val="auto"/>
              </w:rPr>
              <w:t>Shares used in basic per share calculation GAAP and Non-</w:t>
            </w:r>
          </w:p>
        </w:tc>
        <w:tc>
          <w:tcPr>
            <w:tcW w:w="4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132,222</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131,963</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130,797</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131,844</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131,228</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GAAP</w:t>
            </w:r>
          </w:p>
        </w:tc>
        <w:tc>
          <w:tcPr>
            <w:tcW w:w="4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 diluted (GAAP)</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27"/>
        </w:trPr>
        <w:tc>
          <w:tcPr>
            <w:tcW w:w="4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Tariff refunds</w:t>
            </w:r>
          </w:p>
        </w:tc>
        <w:tc>
          <w:tcPr>
            <w:tcW w:w="4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AMPTC adjustment</w:t>
            </w: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4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33"/>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related expenses and amortization</w:t>
            </w: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27"/>
        </w:trPr>
        <w:tc>
          <w:tcPr>
            <w:tcW w:w="4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Restructuring and asset impairment</w:t>
            </w:r>
          </w:p>
        </w:tc>
        <w:tc>
          <w:tcPr>
            <w:tcW w:w="4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33"/>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Non-cash interest expense</w:t>
            </w: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26"/>
        </w:trPr>
        <w:tc>
          <w:tcPr>
            <w:tcW w:w="4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Non-GAAP income tax adjustment</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24"/>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 diluted (Non-GAAP)</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Shares used in diluted per share calculation GAAP</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135,198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133,439</w:t>
            </w:r>
          </w:p>
        </w:tc>
        <w:tc>
          <w:tcPr>
            <w:tcW w:w="0" w:type="dxa"/>
            <w:vAlign w:val="bottom"/>
          </w:tcPr>
          <w:p>
            <w:pPr>
              <w:spacing w:after="0"/>
              <w:rPr>
                <w:sz w:val="1"/>
                <w:szCs w:val="1"/>
                <w:color w:val="auto"/>
              </w:rPr>
            </w:pPr>
          </w:p>
        </w:tc>
      </w:tr>
      <w:tr>
        <w:trPr>
          <w:trHeight w:val="253"/>
        </w:trPr>
        <w:tc>
          <w:tcPr>
            <w:tcW w:w="4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Shares used in diluted per share calculation Non-GAAP</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133,180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133,104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130,977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132,983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131,421</w:t>
            </w:r>
          </w:p>
        </w:tc>
        <w:tc>
          <w:tcPr>
            <w:tcW w:w="0" w:type="dxa"/>
            <w:vAlign w:val="bottom"/>
          </w:tcPr>
          <w:p>
            <w:pPr>
              <w:spacing w:after="0"/>
              <w:rPr>
                <w:sz w:val="1"/>
                <w:szCs w:val="1"/>
                <w:color w:val="auto"/>
              </w:rPr>
            </w:pPr>
          </w:p>
        </w:tc>
      </w:tr>
      <w:tr>
        <w:trPr>
          <w:trHeight w:val="273"/>
        </w:trPr>
        <w:tc>
          <w:tcPr>
            <w:tcW w:w="42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 (GAAP)</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40,323</w:t>
            </w:r>
          </w:p>
        </w:tc>
        <w:tc>
          <w:tcPr>
            <w:tcW w:w="12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13,918</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143,284</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88,961</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(45,752)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(30,899)</w:t>
            </w:r>
          </w:p>
        </w:tc>
        <w:tc>
          <w:tcPr>
            <w:tcW w:w="0" w:type="dxa"/>
            <w:vAlign w:val="bottom"/>
          </w:tcPr>
          <w:p>
            <w:pPr>
              <w:spacing w:after="0"/>
              <w:rPr>
                <w:sz w:val="1"/>
                <w:szCs w:val="1"/>
                <w:color w:val="auto"/>
              </w:rPr>
            </w:pPr>
          </w:p>
        </w:tc>
      </w:tr>
      <w:tr>
        <w:trPr>
          <w:trHeight w:val="226"/>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Free cash flow (Non-GAAP)</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(11,370)</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25,929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97,532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58,062</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11240"/>
      </w:cols>
      <w:pgMar w:left="320" w:top="11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2026-10-27T15:10:49Z</dcterms:created>
  <dcterms:modified xsi:type="dcterms:W3CDTF">2026-10-27T15:10:49Z</dcterms:modified>
</cp:coreProperties>
</file>