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7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45" w:lineRule="exact"/>
        <w:rPr>
          <w:sz w:val="24"/>
          <w:szCs w:val="24"/>
          <w:color w:val="auto"/>
        </w:rPr>
      </w:pPr>
    </w:p>
    <w:p>
      <w:pPr>
        <w:ind w:left="720" w:right="200" w:hanging="685"/>
        <w:spacing w:after="0" w:line="254"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Times New Roman" w:cs="Times New Roman" w:eastAsia="Times New Roman" w:hAnsi="Times New Roman"/>
                <w:sz w:val="18"/>
                <w:szCs w:val="18"/>
                <w:b w:val="1"/>
                <w:bCs w:val="1"/>
                <w:color w:val="auto"/>
              </w:rPr>
              <w:t>Commission File Number: 001-35480</w:t>
            </w:r>
          </w:p>
        </w:tc>
        <w:tc>
          <w:tcPr>
            <w:tcW w:w="1300" w:type="dxa"/>
            <w:vAlign w:val="bottom"/>
          </w:tcPr>
          <w:p>
            <w:pPr>
              <w:spacing w:after="0"/>
              <w:rPr>
                <w:sz w:val="17"/>
                <w:szCs w:val="17"/>
                <w:color w:val="auto"/>
              </w:rPr>
            </w:pPr>
          </w:p>
        </w:tc>
      </w:tr>
      <w:tr>
        <w:trPr>
          <w:trHeight w:val="183"/>
        </w:trPr>
        <w:tc>
          <w:tcPr>
            <w:tcW w:w="6320" w:type="dxa"/>
            <w:vAlign w:val="bottom"/>
          </w:tcPr>
          <w:p>
            <w:pPr>
              <w:jc w:val="center"/>
              <w:ind w:left="1946"/>
              <w:spacing w:after="0" w:line="183" w:lineRule="exact"/>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15"/>
                <w:szCs w:val="15"/>
                <w:color w:val="auto"/>
              </w:rPr>
            </w:pPr>
          </w:p>
        </w:tc>
      </w:tr>
      <w:tr>
        <w:trPr>
          <w:trHeight w:val="575"/>
        </w:trPr>
        <w:tc>
          <w:tcPr>
            <w:tcW w:w="6320" w:type="dxa"/>
            <w:vAlign w:val="bottom"/>
          </w:tcPr>
          <w:p>
            <w:pPr>
              <w:jc w:val="center"/>
              <w:ind w:left="1926"/>
              <w:spacing w:after="0"/>
              <w:rPr>
                <w:sz w:val="20"/>
                <w:szCs w:val="20"/>
                <w:color w:val="auto"/>
              </w:rPr>
            </w:pPr>
            <w:r>
              <w:rPr>
                <w:rFonts w:ascii="Times New Roman" w:cs="Times New Roman" w:eastAsia="Times New Roman" w:hAnsi="Times New Roman"/>
                <w:sz w:val="43"/>
                <w:szCs w:val="43"/>
                <w:b w:val="1"/>
                <w:bCs w:val="1"/>
                <w:color w:val="auto"/>
                <w:w w:val="99"/>
              </w:rPr>
              <w:t>Enphase Energy, Inc.</w:t>
            </w:r>
          </w:p>
        </w:tc>
        <w:tc>
          <w:tcPr>
            <w:tcW w:w="1300" w:type="dxa"/>
            <w:vAlign w:val="bottom"/>
          </w:tcPr>
          <w:p>
            <w:pPr>
              <w:spacing w:after="0"/>
              <w:rPr>
                <w:sz w:val="24"/>
                <w:szCs w:val="24"/>
                <w:color w:val="auto"/>
              </w:rPr>
            </w:pPr>
          </w:p>
        </w:tc>
      </w:tr>
      <w:tr>
        <w:trPr>
          <w:trHeight w:val="268"/>
        </w:trPr>
        <w:tc>
          <w:tcPr>
            <w:tcW w:w="6320" w:type="dxa"/>
            <w:vAlign w:val="bottom"/>
          </w:tcPr>
          <w:p>
            <w:pPr>
              <w:jc w:val="center"/>
              <w:ind w:left="188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300" w:type="dxa"/>
            <w:vAlign w:val="bottom"/>
          </w:tcPr>
          <w:p>
            <w:pPr>
              <w:spacing w:after="0"/>
              <w:rPr>
                <w:sz w:val="23"/>
                <w:szCs w:val="23"/>
                <w:color w:val="auto"/>
              </w:rPr>
            </w:pPr>
          </w:p>
        </w:tc>
      </w:tr>
      <w:tr>
        <w:trPr>
          <w:trHeight w:val="234"/>
        </w:trPr>
        <w:tc>
          <w:tcPr>
            <w:tcW w:w="6320" w:type="dxa"/>
            <w:vAlign w:val="bottom"/>
          </w:tcPr>
          <w:p>
            <w:pPr>
              <w:jc w:val="center"/>
              <w:ind w:left="1946"/>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20"/>
                <w:szCs w:val="20"/>
                <w:color w:val="auto"/>
              </w:rPr>
            </w:pPr>
          </w:p>
        </w:tc>
      </w:tr>
      <w:tr>
        <w:trPr>
          <w:trHeight w:val="326"/>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1420 N. McDowell Blvd.</w:t>
            </w:r>
          </w:p>
        </w:tc>
        <w:tc>
          <w:tcPr>
            <w:tcW w:w="1300" w:type="dxa"/>
            <w:vAlign w:val="bottom"/>
          </w:tcPr>
          <w:p>
            <w:pPr>
              <w:spacing w:after="0"/>
              <w:rPr>
                <w:sz w:val="24"/>
                <w:szCs w:val="24"/>
                <w:color w:val="auto"/>
              </w:rPr>
            </w:pPr>
          </w:p>
        </w:tc>
      </w:tr>
      <w:tr>
        <w:trPr>
          <w:trHeight w:val="238"/>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8"/>
                <w:szCs w:val="18"/>
                <w:b w:val="1"/>
                <w:bCs w:val="1"/>
                <w:color w:val="auto"/>
              </w:rPr>
              <w:t>Petaluma, California</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94954</w:t>
            </w:r>
          </w:p>
        </w:tc>
      </w:tr>
      <w:tr>
        <w:trPr>
          <w:trHeight w:val="220"/>
        </w:trPr>
        <w:tc>
          <w:tcPr>
            <w:tcW w:w="6320" w:type="dxa"/>
            <w:vAlign w:val="bottom"/>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320" w:type="dxa"/>
            <w:vAlign w:val="bottom"/>
          </w:tcPr>
          <w:p>
            <w:pPr>
              <w:jc w:val="center"/>
              <w:ind w:left="1906"/>
              <w:spacing w:after="0"/>
              <w:rPr>
                <w:sz w:val="20"/>
                <w:szCs w:val="20"/>
                <w:color w:val="auto"/>
              </w:rPr>
            </w:pPr>
            <w:r>
              <w:rPr>
                <w:rFonts w:ascii="Times New Roman" w:cs="Times New Roman" w:eastAsia="Times New Roman" w:hAnsi="Times New Roman"/>
                <w:sz w:val="18"/>
                <w:szCs w:val="18"/>
                <w:b w:val="1"/>
                <w:bCs w:val="1"/>
                <w:color w:val="auto"/>
                <w:w w:val="99"/>
              </w:rPr>
              <w:t>(707) 774-7000</w:t>
            </w:r>
          </w:p>
        </w:tc>
        <w:tc>
          <w:tcPr>
            <w:tcW w:w="1300" w:type="dxa"/>
            <w:vAlign w:val="bottom"/>
          </w:tcPr>
          <w:p>
            <w:pPr>
              <w:spacing w:after="0"/>
              <w:rPr>
                <w:sz w:val="24"/>
                <w:szCs w:val="24"/>
                <w:color w:val="auto"/>
              </w:rPr>
            </w:pPr>
          </w:p>
        </w:tc>
      </w:tr>
      <w:tr>
        <w:trPr>
          <w:trHeight w:val="155"/>
        </w:trPr>
        <w:tc>
          <w:tcPr>
            <w:tcW w:w="6320" w:type="dxa"/>
            <w:vAlign w:val="bottom"/>
          </w:tcPr>
          <w:p>
            <w:pPr>
              <w:jc w:val="center"/>
              <w:ind w:left="1886"/>
              <w:spacing w:after="0" w:line="155"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00" w:type="dxa"/>
            <w:vAlign w:val="bottom"/>
          </w:tcPr>
          <w:p>
            <w:pPr>
              <w:spacing w:after="0"/>
              <w:rPr>
                <w:sz w:val="13"/>
                <w:szCs w:val="13"/>
                <w:color w:val="auto"/>
              </w:rPr>
            </w:pPr>
          </w:p>
        </w:tc>
      </w:tr>
      <w:tr>
        <w:trPr>
          <w:trHeight w:val="234"/>
        </w:trPr>
        <w:tc>
          <w:tcPr>
            <w:tcW w:w="6320" w:type="dxa"/>
            <w:vAlign w:val="bottom"/>
          </w:tcPr>
          <w:p>
            <w:pPr>
              <w:jc w:val="center"/>
              <w:ind w:left="1946"/>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c>
          <w:tcPr>
            <w:tcW w:w="1300" w:type="dxa"/>
            <w:vAlign w:val="bottom"/>
          </w:tcPr>
          <w:p>
            <w:pPr>
              <w:spacing w:after="0"/>
              <w:rPr>
                <w:sz w:val="20"/>
                <w:szCs w:val="20"/>
                <w:color w:val="auto"/>
              </w:rPr>
            </w:pPr>
          </w:p>
        </w:tc>
      </w:tr>
    </w:tbl>
    <w:p>
      <w:pPr>
        <w:spacing w:after="0" w:line="184"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6" w:lineRule="exact"/>
        <w:rPr>
          <w:sz w:val="24"/>
          <w:szCs w:val="24"/>
          <w:color w:val="auto"/>
        </w:rPr>
      </w:pPr>
    </w:p>
    <w:p>
      <w:pPr>
        <w:sectPr>
          <w:pgSz w:w="11900" w:h="16838" w:orient="portrait"/>
          <w:cols w:equalWidth="0" w:num="4">
            <w:col w:w="1960" w:space="720"/>
            <w:col w:w="4520" w:space="720"/>
            <w:col w:w="2460" w:space="720"/>
            <w:col w:w="320"/>
          </w:cols>
          <w:pgMar w:left="240" w:top="229" w:right="23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4">
            <w:col w:w="1960" w:space="720"/>
            <w:col w:w="4520" w:space="720"/>
            <w:col w:w="2460" w:space="720"/>
            <w:col w:w="320"/>
          </w:cols>
          <w:pgMar w:left="240" w:top="229"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As of April 30, 2016, there were 46,696,242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11"/>
          </w:tcPr>
          <w:p>
            <w:pPr>
              <w:jc w:val="center"/>
              <w:ind w:right="2440"/>
              <w:spacing w:after="0" w:line="189" w:lineRule="exact"/>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300" w:type="dxa"/>
            <w:vAlign w:val="bottom"/>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274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3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w:t>
              </w:r>
            </w:hyperlink>
          </w:p>
        </w:tc>
        <w:tc>
          <w:tcPr>
            <w:tcW w:w="48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4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w:t>
              </w:r>
            </w:hyperlink>
          </w:p>
        </w:tc>
        <w:tc>
          <w:tcPr>
            <w:tcW w:w="41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7"/>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15</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4"/>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300" w:type="dxa"/>
            <w:vAlign w:val="bottom"/>
            <w:tcBorders>
              <w:left w:val="single" w:sz="8" w:color="0000EE"/>
            </w:tcBorders>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372"/>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7"/>
              </w:rPr>
            </w:pPr>
            <w:hyperlink w:anchor="page22">
              <w:r>
                <w:rPr>
                  <w:rFonts w:ascii="Times New Roman" w:cs="Times New Roman" w:eastAsia="Times New Roman" w:hAnsi="Times New Roman"/>
                  <w:sz w:val="18"/>
                  <w:szCs w:val="18"/>
                  <w:b w:val="1"/>
                  <w:bCs w:val="1"/>
                  <w:color w:val="0000EE"/>
                  <w:w w:val="97"/>
                </w:rPr>
                <w:t>PART II. OTHER INFORMATION</w:t>
              </w:r>
            </w:hyperlink>
          </w:p>
        </w:tc>
        <w:tc>
          <w:tcPr>
            <w:tcW w:w="288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Risk Factors</w:t>
              </w:r>
            </w:hyperlink>
          </w:p>
        </w:tc>
        <w:tc>
          <w:tcPr>
            <w:tcW w:w="400" w:type="dxa"/>
            <w:vAlign w:val="bottom"/>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Unregistered Sales of Equity Securities and Use of Proceeds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6"/>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Defaults Upon Senior Securities</w:t>
              </w:r>
            </w:hyperlink>
          </w:p>
        </w:tc>
        <w:tc>
          <w:tcPr>
            <w:tcW w:w="2020" w:type="dxa"/>
            <w:vAlign w:val="bottom"/>
            <w:gridSpan w:val="7"/>
          </w:tcPr>
          <w:p>
            <w:pPr>
              <w:spacing w:after="0"/>
              <w:rPr>
                <w:sz w:val="21"/>
                <w:szCs w:val="21"/>
                <w:color w:val="auto"/>
              </w:rPr>
            </w:pPr>
          </w:p>
        </w:tc>
        <w:tc>
          <w:tcPr>
            <w:tcW w:w="41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620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Mine Safety Disclosures</w:t>
              </w:r>
            </w:hyperlink>
          </w:p>
        </w:tc>
        <w:tc>
          <w:tcPr>
            <w:tcW w:w="62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Information</w:t>
              </w:r>
            </w:hyperlink>
          </w:p>
        </w:tc>
        <w:tc>
          <w:tcPr>
            <w:tcW w:w="67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Exhibits</w:t>
              </w:r>
            </w:hyperlink>
          </w:p>
        </w:tc>
        <w:tc>
          <w:tcPr>
            <w:tcW w:w="700" w:type="dxa"/>
            <w:vAlign w:val="bottom"/>
            <w:gridSpan w:val="3"/>
          </w:tcPr>
          <w:p>
            <w:pPr>
              <w:spacing w:after="0"/>
              <w:rPr>
                <w:sz w:val="21"/>
                <w:szCs w:val="21"/>
                <w:color w:val="auto"/>
              </w:rPr>
            </w:pPr>
          </w:p>
        </w:tc>
        <w:tc>
          <w:tcPr>
            <w:tcW w:w="722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8520" w:type="dxa"/>
            <w:vAlign w:val="bottom"/>
            <w:gridSpan w:val="1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Signature</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ENPHASE ENERGY, INC.</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28,452</w:t>
            </w: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$2,345 and $1,808 at March 31, 2016 and December 31, 2015,</w:t>
            </w:r>
          </w:p>
        </w:tc>
        <w:tc>
          <w:tcPr>
            <w:tcW w:w="260" w:type="dxa"/>
            <w:vAlign w:val="bottom"/>
          </w:tcPr>
          <w:p>
            <w:pPr>
              <w:spacing w:after="0"/>
              <w:rPr>
                <w:sz w:val="19"/>
                <w:szCs w:val="19"/>
                <w:color w:val="auto"/>
              </w:rPr>
            </w:pP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47,056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46,099</w:t>
            </w:r>
          </w:p>
        </w:tc>
        <w:tc>
          <w:tcPr>
            <w:tcW w:w="0" w:type="dxa"/>
            <w:vAlign w:val="bottom"/>
          </w:tcPr>
          <w:p>
            <w:pPr>
              <w:spacing w:after="0"/>
              <w:rPr>
                <w:sz w:val="1"/>
                <w:szCs w:val="1"/>
                <w:color w:val="auto"/>
              </w:rPr>
            </w:pPr>
          </w:p>
        </w:tc>
      </w:tr>
      <w:tr>
        <w:trPr>
          <w:trHeight w:val="126"/>
        </w:trPr>
        <w:tc>
          <w:tcPr>
            <w:tcW w:w="8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6,417</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121,768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32,118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158,520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165,528</w:t>
            </w:r>
          </w:p>
        </w:tc>
        <w:tc>
          <w:tcPr>
            <w:tcW w:w="0" w:type="dxa"/>
            <w:vAlign w:val="bottom"/>
          </w:tcPr>
          <w:p>
            <w:pPr>
              <w:spacing w:after="0"/>
              <w:rPr>
                <w:sz w:val="1"/>
                <w:szCs w:val="1"/>
                <w:color w:val="auto"/>
              </w:rPr>
            </w:pP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19,292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Warranty obligations, current (includes $2,832 and $2,601 measured at fair value at March 31, 2016 and</w:t>
            </w:r>
          </w:p>
        </w:tc>
        <w:tc>
          <w:tcPr>
            <w:tcW w:w="260" w:type="dxa"/>
            <w:vAlign w:val="bottom"/>
          </w:tcPr>
          <w:p>
            <w:pPr>
              <w:spacing w:after="0"/>
              <w:rPr>
                <w:sz w:val="19"/>
                <w:szCs w:val="19"/>
                <w:color w:val="auto"/>
              </w:rPr>
            </w:pP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7,072</w:t>
            </w:r>
          </w:p>
        </w:tc>
        <w:tc>
          <w:tcPr>
            <w:tcW w:w="0" w:type="dxa"/>
            <w:vAlign w:val="bottom"/>
          </w:tcPr>
          <w:p>
            <w:pPr>
              <w:spacing w:after="0"/>
              <w:rPr>
                <w:sz w:val="1"/>
                <w:szCs w:val="1"/>
                <w:color w:val="auto"/>
              </w:rPr>
            </w:pPr>
          </w:p>
        </w:tc>
      </w:tr>
      <w:tr>
        <w:trPr>
          <w:trHeight w:val="126"/>
        </w:trPr>
        <w:tc>
          <w:tcPr>
            <w:tcW w:w="8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December 31, 2015, respectively)</w:t>
            </w:r>
          </w:p>
        </w:tc>
        <w:tc>
          <w:tcPr>
            <w:tcW w:w="2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Warranty obligations, noncurrent (includes $3,657 and $3,581 measured at fair value at</w:t>
            </w:r>
          </w:p>
        </w:tc>
        <w:tc>
          <w:tcPr>
            <w:tcW w:w="2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126"/>
        </w:trPr>
        <w:tc>
          <w:tcPr>
            <w:tcW w:w="83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March 31, 2016 and December 31, 2015, respectively)</w:t>
            </w:r>
          </w:p>
        </w:tc>
        <w:tc>
          <w:tcPr>
            <w:tcW w:w="26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132,960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124,079</w:t>
            </w:r>
          </w:p>
        </w:tc>
        <w:tc>
          <w:tcPr>
            <w:tcW w:w="0" w:type="dxa"/>
            <w:vAlign w:val="bottom"/>
          </w:tcPr>
          <w:p>
            <w:pPr>
              <w:spacing w:after="0"/>
              <w:rPr>
                <w:sz w:val="1"/>
                <w:szCs w:val="1"/>
                <w:color w:val="auto"/>
              </w:rPr>
            </w:pPr>
          </w:p>
        </w:tc>
      </w:tr>
      <w:tr>
        <w:trPr>
          <w:trHeight w:val="22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$0.00001 par value, 10,000 shares authorized; none issued and outstanding</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$0.00001 par value, 100,000 shares authorized; 46,365 and 45,821 shares issued and</w:t>
            </w:r>
          </w:p>
        </w:tc>
        <w:tc>
          <w:tcPr>
            <w:tcW w:w="26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83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at March 31, 2016 and December 31, 2015, respectively</w:t>
            </w:r>
          </w:p>
        </w:tc>
        <w:tc>
          <w:tcPr>
            <w:tcW w:w="260" w:type="dxa"/>
            <w:vAlign w:val="bottom"/>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4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224,732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158,520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165,528</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86,653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58,629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13,430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30,848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33,572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46,209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43,950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loss on disposal of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Revaluation of 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37"/>
        </w:trPr>
        <w:tc>
          <w:tcPr>
            <w:tcW w:w="85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r>
      <w:tr>
        <w:trPr>
          <w:trHeight w:val="237"/>
        </w:trPr>
        <w:tc>
          <w:tcPr>
            <w:tcW w:w="85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Warranty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r>
      <w:tr>
        <w:trPr>
          <w:trHeight w:val="237"/>
        </w:trPr>
        <w:tc>
          <w:tcPr>
            <w:tcW w:w="85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(11,498)</w:t>
            </w: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r>
      <w:tr>
        <w:trPr>
          <w:trHeight w:val="217"/>
        </w:trPr>
        <w:tc>
          <w:tcPr>
            <w:tcW w:w="85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borrowings under revolving credit facility</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under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plans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w:t>
            </w:r>
          </w:p>
        </w:tc>
      </w:tr>
      <w:tr>
        <w:trPr>
          <w:trHeight w:val="217"/>
        </w:trPr>
        <w:tc>
          <w:tcPr>
            <w:tcW w:w="85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42,032</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13,016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27,127</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50"/>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fixed and intangible assets included in accounts payable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00" w:firstLine="446"/>
        <w:spacing w:after="0" w:line="256" w:lineRule="auto"/>
        <w:rPr>
          <w:sz w:val="20"/>
          <w:szCs w:val="20"/>
          <w:color w:val="auto"/>
        </w:rPr>
      </w:pPr>
      <w:r>
        <w:rPr>
          <w:rFonts w:ascii="Times New Roman" w:cs="Times New Roman" w:eastAsia="Times New Roman" w:hAnsi="Times New Roman"/>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approximately 11.0 million microinverters representing over 2.8 gigawatts of solar PV generating capacity, and more than 460,000 Enphase residential and commercial systems have been deployed in over 100 countries.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the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months ended March 31, 2016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2015.</w:t>
      </w:r>
    </w:p>
    <w:p>
      <w:pPr>
        <w:spacing w:after="0" w:line="13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during the three months ended March 31, 2016, as compared to the significant accounting policies described in the Company’s Annual Report on Form 10-K for the year ended December 31, 2015. Reference is made to the disclosures therein for a summary of all of the Company’s significant accounting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accrued warranty obligations and stock bonus program. These estimates are based on information available as of the date of the financial statements; therefore, actual results could differ materially from management’s estimates using different assumptions or under different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Effective</w:t>
      </w:r>
    </w:p>
    <w:p>
      <w:pPr>
        <w:spacing w:after="0" w:line="12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The Company has not yet selected a transition method and is currently evaluating the impact of adoption on the consolidated financial statements.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this update are effective for the annual period ending after December 15, 2016 and for annual and interim periods thereafter. The Company is currently evaluating the impact of adoption on the consolidated financial statements.</w:t>
      </w:r>
    </w:p>
    <w:p>
      <w:pPr>
        <w:spacing w:after="0" w:line="8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The Company is currently evaluating the impact of adoption on the consolidated financial statements.</w:t>
      </w:r>
    </w:p>
    <w:p>
      <w:pPr>
        <w:spacing w:after="0" w:line="81" w:lineRule="exact"/>
        <w:rPr>
          <w:sz w:val="20"/>
          <w:szCs w:val="20"/>
          <w:color w:val="auto"/>
        </w:rPr>
      </w:pPr>
    </w:p>
    <w:p>
      <w:pPr>
        <w:ind w:right="40" w:firstLine="477"/>
        <w:spacing w:after="0" w:line="252"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w:t>
      </w:r>
    </w:p>
    <w:p>
      <w:pPr>
        <w:spacing w:after="0" w:line="7"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from instrument-specific credit risk in other comprehensive income. The Company is currently evaluating the impact of adoption on the consolidated financial statements.</w:t>
      </w:r>
    </w:p>
    <w:p>
      <w:pPr>
        <w:spacing w:after="0" w:line="7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Company is currently evaluating the impact of adoption on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Inventory as of March 31, 2016 and December 31, 2015 consists of the following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48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5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38,598</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5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45,576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40,800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warranty activities during the three months ended March 31, 2016 and 2015 were as follows (in thousands):</w:t>
      </w:r>
    </w:p>
    <w:p>
      <w:pPr>
        <w:spacing w:after="0" w:line="327"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obligations,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33,940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Accruals for warranties issued during period</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estimates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due to accretion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obligations,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34,163</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26,613</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of March 31, 2016, the $29.7 million in warranty obligations included $6.5 million measured at fair value (see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26"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1" w:lineRule="exact"/>
        <w:rPr>
          <w:sz w:val="20"/>
          <w:szCs w:val="20"/>
          <w:color w:val="auto"/>
        </w:rPr>
      </w:pPr>
    </w:p>
    <w:p>
      <w:pPr>
        <w:ind w:left="980" w:right="30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1"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one or more quoted prices in markets that are not active or for which all significant inputs are observable, either directly or indirectly.</w:t>
      </w:r>
    </w:p>
    <w:p>
      <w:pPr>
        <w:spacing w:after="0" w:line="2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that were measured at fair value on a recurring basis and its categorization within the fair value hierarchy at March 31, 2016 and December 31, 2015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0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obligations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6,182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Company utilizes foreign currency forward contracts from time to time to reduce the impact of foreign currency fluctuations arising from both sales and purchases denominated in Euros and the British Pound Sterling. At March 31, 2016 and December 31, 2015, the notional amounts of the Company’s foreign currency forward contracts outstanding were $1.0 million and $2.4 million, respectively. For the three months ended March 31, 2016 and 2015, gains and losses from foreign currency forward contracts recorded in other income (expense), net were insignificant.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30"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80"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0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2"/>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6,182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for warranties issued during period</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estimates</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due to accretion expense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6,489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4,783</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21"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changes in financial liabilities related to the contingent consideration liability arising from a previous acquisition measured at fair value on a recurring basis using significant unobservable inputs (Level 3) for the three months ended March 31, 2016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Balance—December 31, 2015</w:t>
            </w:r>
          </w:p>
        </w:tc>
        <w:tc>
          <w:tcPr>
            <w:tcW w:w="6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Revaluations</w:t>
            </w:r>
          </w:p>
        </w:tc>
        <w:tc>
          <w:tcPr>
            <w:tcW w:w="6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Balance—March 31, 2016</w:t>
            </w:r>
          </w:p>
        </w:tc>
        <w:tc>
          <w:tcPr>
            <w:tcW w:w="60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20" w:type="dxa"/>
            <w:vAlign w:val="bottom"/>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Information about Level 3 Fair Value Measurements</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2016, the significant unobservable inputs used in the fair value measurement of the Company’s liabilities designated as Level 3 are as follows:</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Measured at Fair Value</w:t>
      </w:r>
    </w:p>
    <w:p>
      <w:pPr>
        <w:spacing w:after="0" w:line="66" w:lineRule="exact"/>
        <w:rPr>
          <w:sz w:val="20"/>
          <w:szCs w:val="20"/>
          <w:color w:val="auto"/>
        </w:rPr>
      </w:pPr>
    </w:p>
    <w:p>
      <w:pPr>
        <w:ind w:left="200" w:hanging="80"/>
        <w:spacing w:after="0" w:line="281" w:lineRule="auto"/>
        <w:rPr>
          <w:sz w:val="20"/>
          <w:szCs w:val="20"/>
          <w:color w:val="auto"/>
        </w:rPr>
      </w:pPr>
      <w:r>
        <w:rPr>
          <w:rFonts w:ascii="Times New Roman" w:cs="Times New Roman" w:eastAsia="Times New Roman" w:hAnsi="Times New Roman"/>
          <w:sz w:val="16"/>
          <w:szCs w:val="16"/>
          <w:color w:val="auto"/>
        </w:rPr>
        <w:t>Warranty obligations for microinverters sold since January 1, 2014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Contingent consideration liability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tcPr>
          <w:p>
            <w:pPr>
              <w:spacing w:after="0"/>
              <w:rPr>
                <w:sz w:val="13"/>
                <w:szCs w:val="13"/>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Significant Unobservable Input</w:t>
            </w:r>
          </w:p>
        </w:tc>
        <w:tc>
          <w:tcPr>
            <w:tcW w:w="120" w:type="dxa"/>
            <w:vAlign w:val="bottom"/>
            <w:vMerge w:val="restart"/>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Used</w:t>
            </w:r>
          </w:p>
        </w:tc>
        <w:tc>
          <w:tcPr>
            <w:tcW w:w="0" w:type="dxa"/>
            <w:vAlign w:val="bottom"/>
          </w:tcPr>
          <w:p>
            <w:pPr>
              <w:spacing w:after="0"/>
              <w:rPr>
                <w:sz w:val="1"/>
                <w:szCs w:val="1"/>
                <w:color w:val="auto"/>
              </w:rPr>
            </w:pPr>
          </w:p>
        </w:tc>
      </w:tr>
      <w:tr>
        <w:trPr>
          <w:trHeight w:val="195"/>
        </w:trPr>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249"/>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Discounted cash flows</w:t>
            </w:r>
          </w:p>
        </w:tc>
        <w:tc>
          <w:tcPr>
            <w:tcW w:w="10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02"/>
        </w:trPr>
        <w:tc>
          <w:tcPr>
            <w:tcW w:w="2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gridSpan w:val="2"/>
            <w:vMerge w:val="continue"/>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vMerge w:val="continue"/>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Probability-weighted discounted</w:t>
            </w:r>
          </w:p>
        </w:tc>
        <w:tc>
          <w:tcPr>
            <w:tcW w:w="100" w:type="dxa"/>
            <w:vAlign w:val="bottom"/>
          </w:tcPr>
          <w:p>
            <w:pPr>
              <w:spacing w:after="0"/>
              <w:rPr>
                <w:sz w:val="6"/>
                <w:szCs w:val="6"/>
                <w:color w:val="auto"/>
              </w:rPr>
            </w:pPr>
          </w:p>
        </w:tc>
        <w:tc>
          <w:tcPr>
            <w:tcW w:w="4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02"/>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cash flows</w:t>
            </w: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-810260</wp:posOffset>
            </wp:positionV>
            <wp:extent cx="319849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98495" cy="42862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2380" w:space="160"/>
            <w:col w:w="888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Warranty Obligations</w:t>
      </w:r>
    </w:p>
    <w:p>
      <w:pPr>
        <w:spacing w:after="0" w:line="1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$0.2 million reduction of the liability. Decreasing the discount rate by 100 basis points would result in a $0.2 million increase to the liability.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7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Changes in assumed probability adjustments with respect to achievement of target metrics can materially impact the fair value measurement of contingent consideration as of the acquisition date and for each subsequent period. Assumptions about the probability and amount of payout require less subjectivity over the course of the earnout period as management refines estimates based on actual events. Due to the short duration of the remaining earnout period, increasing or decreasing the risk-adjusted discount rate by 100 basis points would not have a material impact on the fair value measurement of the contingent consideration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details of the Company’s goodwill and purchased intangible assets as of March 31, 2016 and December 31, 2015(in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indefinite-lived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with finite lives: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 and licensed technology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July 2014, the Company purchased certain patents related to system interconnection and photovoltaic AC module construction. The patents are being amortized over their legal life of 3 years. The customer relationship intangible resulted from the Company’s NPS acquisition and is being amortized on a straight-line basis over its estimated useful life of 5 years. In October 2015, the Company licensed certain technology related to ASIC development for a 3 year term, which is also its estimated useful life.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amortization expense related to intangible assets was $0.2 million. As of March 31, 2016, estimated future amortization expense related to finite-lived intangible assets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9"/>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(remaining 9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551</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10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REVOLVING CREDIT FACILITY</w:t>
      </w:r>
    </w:p>
    <w:p>
      <w:pPr>
        <w:spacing w:after="0" w:line="175" w:lineRule="exact"/>
        <w:rPr>
          <w:sz w:val="20"/>
          <w:szCs w:val="20"/>
          <w:color w:val="auto"/>
        </w:rPr>
      </w:pPr>
    </w:p>
    <w:p>
      <w:pPr>
        <w:jc w:val="both"/>
        <w:ind w:right="160" w:firstLine="432"/>
        <w:spacing w:after="0" w:line="289" w:lineRule="auto"/>
        <w:rPr>
          <w:sz w:val="20"/>
          <w:szCs w:val="20"/>
          <w:color w:val="auto"/>
        </w:rPr>
      </w:pPr>
      <w:r>
        <w:rPr>
          <w:rFonts w:ascii="Times New Roman" w:cs="Times New Roman" w:eastAsia="Times New Roman" w:hAnsi="Times New Roman"/>
          <w:sz w:val="17"/>
          <w:szCs w:val="17"/>
          <w:color w:val="auto"/>
        </w:rPr>
        <w:t>The Company maintains a $50.0 million revolving credit facility with Wells Fargo Bank, N.A. (“Wells Fargo”).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10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the Company’s option, either LIBOR or a “base rate” that is comprised of, among other things, the prime rate, plus a margin that is between 1.0% and 3.75% depending on the currency borrowed and the specific term of repayment. The Revolver requires the Company to pay a commitment fee between 0.25% and 0.375% based on the average daily unused portion of the revolving credit commitment.</w:t>
      </w:r>
    </w:p>
    <w:p>
      <w:pPr>
        <w:spacing w:after="0" w:line="13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Revolver is secured by a pledge of substantially all assets of the Company other than intellectual property and contains customary affirmative and negative covenants (including restrictions on the Company’s ability to make dividend payments) and events of default. In addition, the Revolver requires the Company to maintain at least $15.0 million of liquidity at all times, consisting of cash, cash equivalents, and availability on the Revolver. Of this $15.0 million liquidity requirement, at least $5.0 million must be undrawn availability. The Company was in compliance with such covenants as of March 31, 2016.</w:t>
      </w:r>
    </w:p>
    <w:p>
      <w:pPr>
        <w:spacing w:after="0" w:line="126"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outstanding borrowings under the Revolver were $20.0 million. After taking into account the liquidity requirement, the remaining borrowing availability was $15.9 million. The weighted-average interest rate related to the outstanding balance was 3.2%.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1" w:lineRule="exact"/>
        <w:rPr>
          <w:sz w:val="20"/>
          <w:szCs w:val="20"/>
          <w:color w:val="auto"/>
        </w:rPr>
      </w:pPr>
    </w:p>
    <w:p>
      <w:pPr>
        <w:jc w:val="both"/>
        <w:ind w:right="400" w:firstLine="44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—The Company is not currently involved in any material legal proceedings. The Company may become involved in various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5"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has adopted certain equity incentive and stock purchase plans as described in the consolidated financial statements and related notes included in the Company’s Annual Report on Form 10-K for the year ended December 31,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March 31, 2016 (in thousands, except per share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8,173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in the three months ended March 31, 2016 was $0.7 million. As of March 31, 2016, the intrinsic value of options outstanding was $3.8 million based on the closing price of the Company’s stock as of March 31, 2016.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restricted stock unit activity for the three months ended March 31, 2016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49"/>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43"/>
        </w:trPr>
        <w:tc>
          <w:tcPr>
            <w:tcW w:w="9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that vested in the three months ended March 31, 2016 was $0.4 million. As of March 31, 2016, the intrinsic value of restricted stock units outstanding was $2.4 million based on the closing price of the Company’s stock as of March 31,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Times New Roman" w:cs="Times New Roman" w:eastAsia="Times New Roman" w:hAnsi="Times New Roman"/>
          <w:sz w:val="18"/>
          <w:szCs w:val="18"/>
          <w:color w:val="010202"/>
        </w:rPr>
        <w:t>in the condensed consolidated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202"/>
        </w:rPr>
        <w:t xml:space="preserve">of operations for the periods presented (in </w:t>
      </w:r>
      <w:r>
        <w:rPr>
          <w:rFonts w:ascii="Times New Roman" w:cs="Times New Roman" w:eastAsia="Times New Roman" w:hAnsi="Times New Roman"/>
          <w:sz w:val="18"/>
          <w:szCs w:val="18"/>
          <w:color w:val="000000"/>
        </w:rPr>
        <w:t>thousands):</w:t>
      </w:r>
    </w:p>
    <w:p>
      <w:pPr>
        <w:spacing w:after="0" w:line="27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various types of stock-based compensation for the periods presented (in thousands):</w:t>
      </w:r>
    </w:p>
    <w:p>
      <w:pPr>
        <w:spacing w:after="0" w:line="3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5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5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63"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6.89</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tcPr>
          <w:p>
            <w:pPr>
              <w:spacing w:after="0"/>
              <w:rPr>
                <w:sz w:val="21"/>
                <w:szCs w:val="21"/>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71.1%</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risk-free rate of return</w:t>
            </w:r>
          </w:p>
        </w:tc>
        <w:tc>
          <w:tcPr>
            <w:tcW w:w="10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7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there was approximately $17.0 million of total unrecognized compensation cost related to unvested equity awards expected to be recognized over a weighted-average period of 2.6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has used the discrete tax approach in calculating the tax expense for the three months ended March 31, 2016 and 2015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provisions recorded were primarily related to income taxes in jurisdictions outside of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for the periods presented (in thousands, except per share data):</w:t>
      </w:r>
    </w:p>
    <w:p>
      <w:pPr>
        <w:spacing w:after="0" w:line="27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46,209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43,950</w:t>
            </w:r>
          </w:p>
        </w:tc>
      </w:tr>
      <w:tr>
        <w:trPr>
          <w:trHeight w:val="176"/>
        </w:trPr>
        <w:tc>
          <w:tcPr>
            <w:tcW w:w="8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bl>
    <w:p>
      <w:pPr>
        <w:spacing w:after="0" w:line="17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7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80" w:type="dxa"/>
            <w:vAlign w:val="bottom"/>
            <w:gridSpan w:val="2"/>
          </w:tcPr>
          <w:p>
            <w:pPr>
              <w:ind w:left="89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options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8,627</w:t>
            </w:r>
          </w:p>
        </w:tc>
        <w:tc>
          <w:tcPr>
            <w:tcW w:w="0" w:type="dxa"/>
            <w:vAlign w:val="bottom"/>
          </w:tcPr>
          <w:p>
            <w:pPr>
              <w:spacing w:after="0"/>
              <w:rPr>
                <w:sz w:val="1"/>
                <w:szCs w:val="1"/>
                <w:color w:val="auto"/>
              </w:rPr>
            </w:pPr>
          </w:p>
        </w:tc>
      </w:tr>
      <w:tr>
        <w:trPr>
          <w:trHeight w:val="243"/>
        </w:trPr>
        <w:tc>
          <w:tcPr>
            <w:tcW w:w="9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10,171</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We deliver simple, innovative and reliable energy management solutions that advance the worldwide potential of renewable energy. We were founded in March 2006 and have grown rapidly to become the market leader in the microinverter category. Our technology was designed to increase energy production, simplify design and installation, improve system uptime and reliability, reduce fire safety risk, and provide a platform for intelligent energy management. Since inception, we have shipped approximately 11.0 million microinverters representing over 2.8 gigawatts of solar PV generating capacity, and more than 460,000 Enphase residential and commercial systems have been deployed in over 100 countries.</w:t>
      </w:r>
    </w:p>
    <w:p>
      <w:pPr>
        <w:spacing w:after="0" w:line="76"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We sell our microinverter systems primarily to distributors who resell them to solar installers. We also sell directly to large installers and through original equipment manufacturers (“OEMs”) and strategic partners. Historically, revenue generated from the U.S. market have represented more than 80% of our total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Condensed Consolidated Statements of Operations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94" w:lineRule="exact"/>
        <w:rPr>
          <w:sz w:val="20"/>
          <w:szCs w:val="20"/>
          <w:color w:val="auto"/>
        </w:rPr>
      </w:pPr>
    </w:p>
    <w:p>
      <w:pPr>
        <w:ind w:right="160" w:firstLine="446"/>
        <w:spacing w:after="0" w:line="256" w:lineRule="auto"/>
        <w:rPr>
          <w:sz w:val="20"/>
          <w:szCs w:val="20"/>
          <w:color w:val="auto"/>
        </w:rPr>
      </w:pPr>
      <w:r>
        <w:rPr>
          <w:rFonts w:ascii="Times New Roman" w:cs="Times New Roman" w:eastAsia="Times New Roman" w:hAnsi="Times New Roman"/>
          <w:sz w:val="18"/>
          <w:szCs w:val="18"/>
          <w:color w:val="auto"/>
        </w:rPr>
        <w:t>We generate net revenues from sales of our microinverter systems, which include microinverter units, an Envoy communications gateway, and our Enlighten cloud-based monitoring service. Our revenue is affected by changes in the volume and average selling prices of our microinverter systems, driven by supply and demand, sales incentives, and competitive product offerings. Our revenue growth is dependent on our ability to compete effectively in the marketplace by developing and introducing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21" w:lineRule="exact"/>
        <w:rPr>
          <w:sz w:val="20"/>
          <w:szCs w:val="20"/>
          <w:color w:val="auto"/>
        </w:rPr>
      </w:pPr>
    </w:p>
    <w:p>
      <w:pPr>
        <w:ind w:right="220" w:firstLine="446"/>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72" w:lineRule="exact"/>
        <w:rPr>
          <w:sz w:val="20"/>
          <w:szCs w:val="20"/>
          <w:color w:val="auto"/>
        </w:rPr>
      </w:pPr>
    </w:p>
    <w:p>
      <w:pPr>
        <w:jc w:val="both"/>
        <w:ind w:right="480" w:firstLine="446"/>
        <w:spacing w:after="0" w:line="266" w:lineRule="auto"/>
        <w:rPr>
          <w:sz w:val="20"/>
          <w:szCs w:val="20"/>
          <w:color w:val="auto"/>
        </w:rPr>
      </w:pPr>
      <w:r>
        <w:rPr>
          <w:rFonts w:ascii="Times New Roman" w:cs="Times New Roman" w:eastAsia="Times New Roman" w:hAnsi="Times New Roman"/>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68" w:lineRule="exact"/>
        <w:rPr>
          <w:sz w:val="20"/>
          <w:szCs w:val="20"/>
          <w:color w:val="auto"/>
        </w:rPr>
      </w:pPr>
    </w:p>
    <w:p>
      <w:pPr>
        <w:ind w:right="240" w:firstLine="446"/>
        <w:spacing w:after="0" w:line="282" w:lineRule="auto"/>
        <w:rPr>
          <w:sz w:val="20"/>
          <w:szCs w:val="20"/>
          <w:color w:val="auto"/>
        </w:rPr>
      </w:pPr>
      <w:r>
        <w:rPr>
          <w:rFonts w:ascii="Times New Roman" w:cs="Times New Roman" w:eastAsia="Times New Roman" w:hAnsi="Times New Roman"/>
          <w:sz w:val="18"/>
          <w:szCs w:val="18"/>
          <w:color w:val="auto"/>
        </w:rPr>
        <w:t>In addition, third parties, including one of our contract manufacturers, serve as our logistics providers by warehousing and delivering our products in the United States, Europe and Asia.</w:t>
      </w:r>
    </w:p>
    <w:p>
      <w:pPr>
        <w:spacing w:after="0" w:line="54"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incentive compensation and stock-based compensation.</w:t>
      </w:r>
    </w:p>
    <w:p>
      <w:pPr>
        <w:spacing w:after="0" w:line="68" w:lineRule="exact"/>
        <w:rPr>
          <w:sz w:val="20"/>
          <w:szCs w:val="20"/>
          <w:color w:val="auto"/>
        </w:rPr>
      </w:pPr>
    </w:p>
    <w:p>
      <w:pPr>
        <w:ind w:right="120" w:firstLine="44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networking and software functionality, and storage. Research and development expense also includes third-party design and development costs, testing and evaluation costs, depreciation expense and other indirect costs.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in our research and development efforts because we believe they are critical to maintaining our competitive position.</w:t>
      </w:r>
    </w:p>
    <w:p>
      <w:pPr>
        <w:spacing w:after="0" w:line="81" w:lineRule="exact"/>
        <w:rPr>
          <w:sz w:val="20"/>
          <w:szCs w:val="20"/>
          <w:color w:val="auto"/>
        </w:rPr>
      </w:pPr>
    </w:p>
    <w:p>
      <w:pPr>
        <w:ind w:right="160" w:firstLine="446"/>
        <w:spacing w:after="0" w:line="255"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81" w:lineRule="exact"/>
        <w:rPr>
          <w:sz w:val="20"/>
          <w:szCs w:val="20"/>
          <w:color w:val="auto"/>
        </w:rPr>
      </w:pPr>
    </w:p>
    <w:p>
      <w:pPr>
        <w:ind w:right="360" w:firstLine="44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520" w:firstLine="446"/>
        <w:spacing w:after="0" w:line="266" w:lineRule="auto"/>
        <w:rPr>
          <w:sz w:val="20"/>
          <w:szCs w:val="20"/>
          <w:color w:val="auto"/>
        </w:rPr>
      </w:pPr>
      <w:r>
        <w:rPr>
          <w:rFonts w:ascii="Times New Roman" w:cs="Times New Roman" w:eastAsia="Times New Roman" w:hAnsi="Times New Roman"/>
          <w:sz w:val="18"/>
          <w:szCs w:val="18"/>
          <w:color w:val="auto"/>
        </w:rPr>
        <w:t>Other expense, net includes interest expense and commitment fees under our revolving credit facility and non-cash interest expense related to the amortization of deferred financing costs, as well as gains or losses upon conversion of non-U.S. dollar transactions into U.S. dollars and from foreign currency forward contracts.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March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2016 and 2015</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3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64,121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86,653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(22,532)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Net revenues decreased by 26% for the three months ended March 31, 2016, as compared to the same period in 2015, due to a decrease in microinverter systems sold and lower average selling prices. We sold 611,000 microinverter units in the three months ended March 31, 2016, as compared to 719,000 units in the same period in 2015. The average revenue per watt of microinverter systems sold declined approximately 16% for the three months ended March 31, 2016, as compared to the same peri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 in 2015. We expect average selling prices for microinverter systems to continue to decline in the future which may negatively affect net revenues.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2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52,361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58,629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(6,268)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11,760</w:t>
            </w:r>
          </w:p>
        </w:tc>
        <w:tc>
          <w:tcPr>
            <w:tcW w:w="400" w:type="dxa"/>
            <w:vAlign w:val="bottom"/>
          </w:tcPr>
          <w:p>
            <w:pPr>
              <w:spacing w:after="0"/>
              <w:rPr>
                <w:sz w:val="21"/>
                <w:szCs w:val="21"/>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28,024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(16,264)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Cost of revenues decreased by 11% for the three months ended March 31, 2016, as compared to the same period in 2015, which reflects the lower volume of shipments of our products. Gross margin decreased by 14 percentage points for the three months ended March 31, 2016, as compared to the same period in 2015. The primary driver of the decrease in gross margin was our shift towards a more competitive pricing strategy implemented in late 2015. Our ability to reduce product costs and the timing of product cost reductions relative to declines in average selling prices can have a significant impact on our gross margin.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13,066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13,430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(364)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relatively flat for the three months ended March 31, 2016, as compared to the same period in 2015. The slight decrease was primarily driven by a decrease in third-party development costs and lower depreciation on research and development test equipment and machinery. In addition, salaries increased by $0.5 million due to headcount additions. This increase was entirely offset by lower incentive compensation. The amount of research and development expenses may fluctuate from period to period due to the differing levels and stages of development activity.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10,215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11,937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(1,722)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14% for the three months ended March 31, 2016, as compared to the same period in 2015. The decrease was primarily driven by decreased personnel-related costs of $1.8 million resulting from reduced sales and marketing headcount. In addition, use of outside services and trade show related activities decreased by $0.4 million. These decreases were partially offset by a $0.5 million increase in bad debt expense.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7,567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8,205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(638)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8% for the three months ended March 31, 2016, as compared to the same period in 2015. The decrease was primarily driven by decreased personnel-related costs of $0.5 million resulting from lower incentive compensation expense. In addition, use of professional services decreased by $0.4 million. These decreases were partially offset by a $0.3 million increase in facilities-related expenses including rent, utilities and depreciation related to corporate fixed assets.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80" w:type="dxa"/>
            <w:vAlign w:val="bottom"/>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529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1,134</w:t>
            </w:r>
          </w:p>
        </w:tc>
        <w:tc>
          <w:tcPr>
            <w:tcW w:w="700" w:type="dxa"/>
            <w:vAlign w:val="bottom"/>
            <w:tcBorders>
              <w:bottom w:val="single" w:sz="8" w:color="CCEEFF"/>
            </w:tcBorders>
            <w:shd w:val="clear" w:color="auto" w:fill="CCEEFF"/>
          </w:tcPr>
          <w:p>
            <w:pPr>
              <w:jc w:val="center"/>
              <w:ind w:right="259"/>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Three Months Ended March 31, 2016 and 2015</w:t>
      </w:r>
    </w:p>
    <w:p>
      <w:pPr>
        <w:spacing w:after="0" w:line="17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Other income (expense), net was a net income of $0.5 million for the three months ended March 31, 2016, as compared to a net expense of $0.6 million in the same period in 2015, a difference of $1.1 million. This change was primarily due to a $1.2 million fluctuation in foreign currency exchange movements associated with transactions denominated in Euros and the Australian Dollar. For the three months ended March 31, 2016, foreign currency exchange movements resulted in a gain of $0.7 million, as compared to a loss of $0.5 million in the same period in 2015. The remaining change for the corresponding period was due to a $0.1 million increase in interest expense in the first quarter of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we had $13.0 million in cash and cash equivalents and working capital of $32.9 million. Cash and cash equivalents held in the United States were $6.4 million and consisted primarily of non-interest bearing checking deposits, with the remainder held in various foreign subsidiaries.</w:t>
      </w:r>
    </w:p>
    <w:p>
      <w:pPr>
        <w:spacing w:after="0" w:line="5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We maintain a $50.0 million revolving credit facility with Wells Fargo Bank, N.A. (“Wells Fargo”) that was entered into in November 2012, as first amended on February 14, 2014. On December 18, 2015, we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72" w:lineRule="exact"/>
        <w:rPr>
          <w:sz w:val="20"/>
          <w:szCs w:val="20"/>
          <w:color w:val="auto"/>
        </w:rPr>
      </w:pPr>
    </w:p>
    <w:p>
      <w:pPr>
        <w:ind w:right="520" w:firstLine="432"/>
        <w:spacing w:after="0" w:line="272" w:lineRule="auto"/>
        <w:rPr>
          <w:sz w:val="20"/>
          <w:szCs w:val="20"/>
          <w:color w:val="auto"/>
        </w:rPr>
      </w:pPr>
      <w:r>
        <w:rPr>
          <w:rFonts w:ascii="Times New Roman" w:cs="Times New Roman" w:eastAsia="Times New Roman" w:hAnsi="Times New Roman"/>
          <w:sz w:val="17"/>
          <w:szCs w:val="17"/>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our option, either LIBOR or a “base rate” that is comprised of, among other things, the prime rate, plus a margin that is between</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1.0% and 3.75% depending on the currency borrowed and the specific term of repayment. The Revolver requires us to pay a commitment fee between 0.25% and 0.375% based on the average daily unused portion of the revolving credit commitment.</w:t>
      </w:r>
    </w:p>
    <w:p>
      <w:pPr>
        <w:spacing w:after="0" w:line="7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Revolver is secured by a pledge of substantially all our assets other than intellectual property and contains customary affirmative and negative covenants, including restricting our ability to make dividend payments, and events of default. In addition, the Revolver requires us to maintain liquidity of at least $15.0 million at all times, consisting of cash, cash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equivalents, and availability on the Revolver. Of this $15.0 million liquidity requirement, at least $5.0 million must be undrawn availability. We were in compliance with such covenants as of March 31, 2016.</w:t>
      </w:r>
    </w:p>
    <w:p>
      <w:pPr>
        <w:spacing w:after="0" w:line="108"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outstanding borrowings under the Revolver were $20.0 million. After taking into account the liquidity requirement, the remaining borrowing availability was $15.9 million. The weighted-average interest rate related to the outstanding balance was 3.2%.</w:t>
      </w:r>
    </w:p>
    <w:p>
      <w:pPr>
        <w:spacing w:after="0" w:line="5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We believe our current cash and cash equivalents of $13.0 million as of March 31, 2016, together with borrowings expected to be available under our Revolver, will be sufficient to satisfy our working capital needs, capital asset purchases, indebtedness payments, outstanding commitments and obligations and to fund our operations for at least the next 12 months. If we are unable to meet our projected performance targets or manage our inventory levels to align with anticipated demand, our liquidity could be adversely impacted and we may need to seek additional sources of liquidity.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3,046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2016, net cash used in operating activities of $15.2 million was primarily attributable to a net loss of $18.8 million and net cash outflows from changes in operating assets and liabilities of $2.7 million, which was partially offset by non-cash charges of $6.3 million primarily consisting of stock-based compensation and depreciation and amortization. Cash outflows from changes in operating assets and liabilities primarily resulted from a $4.8 million increase in inventory, a $2.1 million increase in prepaid expenses and other assets, a $1.5 million increase in accounts receivable and a $0.9 million decrease in warranty obligations. Cash inflows from changes in operating assets and liabilities included a $4.3 million increase in deferred revenue and a $2.2 million increase in accounts payable, accrued and other liabilities.</w:t>
      </w:r>
    </w:p>
    <w:p>
      <w:pPr>
        <w:spacing w:after="0" w:line="13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increase in inventory was due, in part, to the timing of the receipt of inventory from our third-party outsourced manufacturer. Our ending inventory levels as of March 31, 2016 are higher than normal due to lower sales volume. Management is currently addressing the issue of higher inventory levels and believes it will take several quarters to bring inventory back to normal levels. The increase in prepaid expenses and other assets was primarily attributable to deferral of costs for certain sales arrangements with extended payment terms, which also contributed to an increase in deferred revenue. The remaining increases to deferred revenue was related to our Enlighten cloud-based monitoring service associated with sales of Envoy communications gateway devices. The increase in accounts payable, accrued and other liabilities was due to the timing of vendor payments.</w:t>
      </w:r>
    </w:p>
    <w:p>
      <w:pPr>
        <w:spacing w:after="0" w:line="13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2015, net cash used in operating activities of $11.5 million was primarily attributable to a net loss of $6.3 million and net cash outflows from changes in operating assets and liabilities of $11.0 million, offset by non-cash charges of $5.8 million primarily consisting of stock-based compensation and depreciation and amortization. Cash outflows from changes in operating assets and liabilities primarily resulted from a $13.2 million increase in inventory, a $2.1 million increase in other assets and a $0.8 million increase in accounts receivable. Cash inflows from changes in operating assets and liabilities primarily resulted from a $2.4 million increase in deferred revenue, a $2.3 million increase in accounts payable, accrued and other liabilities and a $0.2 million increase in warranty obligations.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net cash used in investing activities of $3.3 million primarily resulted from purchases of test and assembly equipment and capitalized costs related to internal-use software.</w:t>
      </w:r>
    </w:p>
    <w:p>
      <w:pPr>
        <w:spacing w:after="0" w:line="10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net cash used in investing activities of $3.6 million primarily resulted from purchases of test and assembly equipment and capitalized costs related to internal-use software.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net cash provided by financing activities of $3.0 million was primarily attributed to proceeds from net borrowings under our Revolver.</w:t>
      </w:r>
    </w:p>
    <w:p>
      <w:pPr>
        <w:spacing w:after="0" w:line="10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net cash provided by financing activities of $0.7 million was attributable to proceeds from employee stock option exercises.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three months ended March 31, 2016 to our contractual commitments as presented in “Management’s Discussion and Analysis of Financial Condition and Results of Operations” of our 2015 Form 10-K that were outside the ordinary course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2016,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31" w:lineRule="exact"/>
        <w:rPr>
          <w:sz w:val="20"/>
          <w:szCs w:val="20"/>
          <w:color w:val="auto"/>
        </w:rPr>
      </w:pPr>
    </w:p>
    <w:p>
      <w:pPr>
        <w:jc w:val="both"/>
        <w:ind w:right="360" w:firstLine="432"/>
        <w:spacing w:after="0" w:line="266" w:lineRule="auto"/>
        <w:rPr>
          <w:sz w:val="20"/>
          <w:szCs w:val="20"/>
          <w:color w:val="auto"/>
        </w:rPr>
      </w:pPr>
      <w:r>
        <w:rPr>
          <w:rFonts w:ascii="Times New Roman" w:cs="Times New Roman" w:eastAsia="Times New Roman" w:hAnsi="Times New Roman"/>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2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during the three months ended March 31, 2016 to the items that we disclosed as our critical accounting policies and estimates in Management’s Discussion and Analysis of Financial Condition and Results of Operations in our Annual Report on Form 10-K for the year ended December 31,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Effective</w:t>
      </w:r>
    </w:p>
    <w:p>
      <w:pPr>
        <w:spacing w:after="0" w:line="173" w:lineRule="exact"/>
        <w:rPr>
          <w:sz w:val="20"/>
          <w:szCs w:val="20"/>
          <w:color w:val="auto"/>
        </w:rPr>
      </w:pPr>
    </w:p>
    <w:p>
      <w:pPr>
        <w:ind w:right="80" w:firstLine="432"/>
        <w:spacing w:after="0" w:line="284"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Description of Business and Basis of Presentation</w:t>
      </w:r>
      <w:r>
        <w:rPr>
          <w:rFonts w:ascii="Times New Roman" w:cs="Times New Roman" w:eastAsia="Times New Roman" w:hAnsi="Times New Roman"/>
          <w:sz w:val="18"/>
          <w:szCs w:val="18"/>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7A, “Quantitative and Qualitative Disclosures About Market Risk” of our annual report on Form 10-K for the year ended December 31, 2015. Our exposures to market risk have not changed materially since December 31, 2015.</w:t>
      </w:r>
    </w:p>
    <w:p>
      <w:pPr>
        <w:spacing w:after="0" w:line="26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2016.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13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175"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18"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3"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6"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We have marked with an asterisk (*) those risks described below that reflect substantive changes from, or additions to, the risks described in our Annual Report on Form 10-K for the year ended December 31, 2015.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may continue in the future, and we cannot be certain that we will achieve or sustain profitability.</w:t>
      </w:r>
    </w:p>
    <w:p>
      <w:pPr>
        <w:spacing w:after="0" w:line="17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have incurred significant net losses since we began doing business, including a net loss of $18.8 million during the three months ended March 31, 2016. As of March 31, 2016, we had an accumulated deficit of $201.9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rapidly changing solar industry makes it difficult to evaluate our current business and future prospects.</w:t>
      </w:r>
    </w:p>
    <w:p>
      <w:pPr>
        <w:spacing w:after="0" w:line="175"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22"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demand for solar energy solutions does not continue to grow or grows at a slower rate than we anticipate, our business will suffer.</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7"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solar PV systems based on our product platform;</w:t>
      </w:r>
    </w:p>
    <w:p>
      <w:pPr>
        <w:spacing w:after="0" w:line="117"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competitiveness, reliability and performance of solar PV systems compared to conventional and non-solar renewable energy sources and products;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government subsidies and incentives to support the development and deployment of solar energy solutions;</w:t>
      </w:r>
    </w:p>
    <w:p>
      <w:pPr>
        <w:spacing w:after="0" w:line="117" w:lineRule="exact"/>
        <w:rPr>
          <w:rFonts w:ascii="Times New Roman" w:cs="Times New Roman" w:eastAsia="Times New Roman" w:hAnsi="Times New Roman"/>
          <w:sz w:val="18"/>
          <w:szCs w:val="18"/>
          <w:color w:val="auto"/>
        </w:rPr>
      </w:pPr>
    </w:p>
    <w:p>
      <w:pPr>
        <w:ind w:left="980" w:right="44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electric power industry and broader energy industries are deregulated to permit broader adoption of solar electricity generation;</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key raw materials and components used in the production of solar PV systems;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traditional utility-provided energy 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investment by end-users of solar energy products, which tend to decrease when economic growth slows;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continuance or success of, or increased government support for, other alternative energy generation technologies and products.</w:t>
      </w:r>
    </w:p>
    <w:p>
      <w:pPr>
        <w:spacing w:after="0" w:line="225"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2015, CED Greentech and Vivint Solar, Inc. accounted for 17% and 12% of net revenues, respectively. In 2014, Vivint Solar, Inc. and CED Greentech accounted for 24% and 16% of total net revenues, respectively. In 2013, Vivint Solar, Inc., CED Greentech and Focused Energy, Inc. accounted for 15%, 14% and 11%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which may be out of our control. For example, Vivint Solar, Inc. is pursuing a multi-sourcing strategy, and therefore, is not sole-sourcing our microinverters, which has resulted and may continue to result in a reduction in our revenue generated from sales to Vivint. The loss of, or events affecting, Vivint or one or more of our other large customers have had, could have and could continue to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profit may fluctuate over time, which could impair our ability to achieve or maintain profitability.</w:t>
      </w:r>
    </w:p>
    <w:p>
      <w:pPr>
        <w:spacing w:after="0" w:line="121" w:lineRule="exact"/>
        <w:rPr>
          <w:sz w:val="20"/>
          <w:szCs w:val="20"/>
          <w:color w:val="auto"/>
        </w:rPr>
      </w:pPr>
    </w:p>
    <w:p>
      <w:pPr>
        <w:ind w:right="20" w:firstLine="432"/>
        <w:spacing w:after="0" w:line="281" w:lineRule="auto"/>
        <w:rPr>
          <w:sz w:val="20"/>
          <w:szCs w:val="20"/>
          <w:color w:val="auto"/>
        </w:rPr>
      </w:pPr>
      <w:r>
        <w:rPr>
          <w:rFonts w:ascii="Times New Roman" w:cs="Times New Roman" w:eastAsia="Times New Roman" w:hAnsi="Times New Roman"/>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2"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geographic or product mix;</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including the impact of customer and competitor discounts and rebates;</w:t>
      </w:r>
    </w:p>
    <w:p>
      <w:pPr>
        <w:spacing w:after="0" w:line="117"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and control product costs, including our ability to make product cost reductions in a timely manner to offset declines in our product prices;</w:t>
      </w:r>
    </w:p>
    <w:p>
      <w:pPr>
        <w:spacing w:after="0" w:line="53" w:lineRule="exact"/>
        <w:rPr>
          <w:rFonts w:ascii="Times New Roman" w:cs="Times New Roman" w:eastAsia="Times New Roman" w:hAnsi="Times New Roman"/>
          <w:sz w:val="18"/>
          <w:szCs w:val="18"/>
          <w:color w:val="auto"/>
        </w:rPr>
      </w:pPr>
    </w:p>
    <w:p>
      <w:pPr>
        <w:ind w:left="980" w:right="580" w:hanging="486"/>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and reserves, including changes resulting from changes in estimates related to the long-term performance of our products, product replacement costs and warranty claim rates;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cost savings due to changes in component or raw material pricing or charges incurred due to inventory holding periods if product demand is not correctly anticipated;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patterns from our distributors;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on older products to sell remaining inventory;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production costs, such as through technology innovations, in order to offset price declines in our products over time;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shipment volume;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channels;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and obsolete inventory and inventory holding charges;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expediting costs incurred to meet customer delivery requirements;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Fluctuations in gross profit may adversely affect our ability to manage our business or achieve or maintain profitability.</w:t>
      </w:r>
    </w:p>
    <w:p>
      <w:pPr>
        <w:spacing w:after="0" w:line="1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0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are reducing our prices ahead of planned costs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 would continue to be adversely affected.</w:t>
      </w:r>
    </w:p>
    <w:p>
      <w:pPr>
        <w:spacing w:after="0" w:line="13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Given the general downward pressure on prices for our products driven by competitive pressure and technological change, a principal component of our business strategy is reducing our costs to manufacture our products to remain competitive. If our competitors are able to drive down their manufacturing costs faster than we can or increase the efficiency of their products, our products may become less competitive even when adjusted for efficiency. Further, if raw materials costs and other third-party component costs were to increase, we may not meet our cost reduction targets. If we cannot effectively execute our cost reduction roadmap, our competitive position will suffer, and we could lose market share and our margins would be adversely affected as we face downward pricing pressure.</w:t>
      </w:r>
    </w:p>
    <w:p>
      <w:pPr>
        <w:spacing w:after="0" w:line="1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5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14"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research and development efforts by hiring additional technical and other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into new product markets and new geographies;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products, services or technologies;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pursue our strategic plans and respond to competitive pressures.</w:t>
      </w:r>
    </w:p>
    <w:p>
      <w:pPr>
        <w:spacing w:after="0" w:line="225"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0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are, amongst others, SMA Solar Technology AG, Fronius International GmbH, ABB Ltd. and SolarEdge Technologies, Inc., and other emerging companies offering alternative microinverter, DC to DC optimizer and other power electronic solutions.</w:t>
      </w:r>
    </w:p>
    <w:p>
      <w:pPr>
        <w:spacing w:after="0" w:line="126"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Asian manufacturers. In addition, central and string inverter manufacturers continue to drive down their prices, putting additional pressure on us and other alternative technologies.</w:t>
      </w:r>
    </w:p>
    <w:p>
      <w:pPr>
        <w:spacing w:after="0" w:line="126" w:lineRule="exact"/>
        <w:rPr>
          <w:sz w:val="20"/>
          <w:szCs w:val="20"/>
          <w:color w:val="auto"/>
        </w:rPr>
      </w:pPr>
    </w:p>
    <w:p>
      <w:pPr>
        <w:jc w:val="both"/>
        <w:ind w:right="240" w:firstLine="432"/>
        <w:spacing w:after="0" w:line="272" w:lineRule="auto"/>
        <w:rPr>
          <w:sz w:val="20"/>
          <w:szCs w:val="20"/>
          <w:color w:val="auto"/>
        </w:rPr>
      </w:pPr>
      <w:r>
        <w:rPr>
          <w:rFonts w:ascii="Times New Roman" w:cs="Times New Roman" w:eastAsia="Times New Roman" w:hAnsi="Times New Roman"/>
          <w:sz w:val="17"/>
          <w:szCs w:val="17"/>
          <w:color w:val="auto"/>
        </w:rPr>
        <w:t>Several of our existing and potential competitors are significantly larger and more established than we are and may have greater financial, marketing, distribution, and customer support resources, and may have significantly broader brand recognition, especially in certain markets. In addition, some of our competitors have more resources and experience to develop or acquire new products and technologies and create market awareness for these offerings.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3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05"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microinverter systems may not achieve broader market acceptance, which would prevent us from increasing our revenue and market share.</w:t>
      </w:r>
    </w:p>
    <w:p>
      <w:pPr>
        <w:spacing w:after="0" w:line="121"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14" w:lineRule="exact"/>
        <w:rPr>
          <w:sz w:val="20"/>
          <w:szCs w:val="20"/>
          <w:color w:val="auto"/>
        </w:rPr>
      </w:pPr>
    </w:p>
    <w:p>
      <w:pPr>
        <w:ind w:left="980" w:right="70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microinverter systems that compete favorably against other solutions on the basis of price, quality, reliability and performance;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introduce and complete new designs and timely qualify and certify our products;</w:t>
      </w:r>
    </w:p>
    <w:p>
      <w:pPr>
        <w:spacing w:after="0" w:line="117" w:lineRule="exact"/>
        <w:rPr>
          <w:rFonts w:ascii="Times New Roman" w:cs="Times New Roman" w:eastAsia="Times New Roman" w:hAnsi="Times New Roman"/>
          <w:sz w:val="18"/>
          <w:szCs w:val="18"/>
          <w:color w:val="auto"/>
        </w:rPr>
      </w:pPr>
    </w:p>
    <w:p>
      <w:pPr>
        <w:ind w:left="980" w:right="42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53" w:lineRule="exact"/>
        <w:rPr>
          <w:rFonts w:ascii="Times New Roman" w:cs="Times New Roman" w:eastAsia="Times New Roman" w:hAnsi="Times New Roman"/>
          <w:sz w:val="18"/>
          <w:szCs w:val="18"/>
          <w:color w:val="auto"/>
        </w:rPr>
      </w:pPr>
    </w:p>
    <w:p>
      <w:pPr>
        <w:ind w:left="980" w:right="3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installers, system owners and solar financing providers will be willing to purchase microinverter systems from us given our limited operating history;</w:t>
      </w:r>
    </w:p>
    <w:p>
      <w:pPr>
        <w:spacing w:after="0" w:line="53"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prospective system owners to obtain long-term financing for solar PV installations based on our product platform on acceptable terms or at all;</w:t>
      </w:r>
    </w:p>
    <w:p>
      <w:pPr>
        <w:spacing w:after="0" w:line="53" w:lineRule="exact"/>
        <w:rPr>
          <w:rFonts w:ascii="Times New Roman" w:cs="Times New Roman" w:eastAsia="Times New Roman" w:hAnsi="Times New Roman"/>
          <w:sz w:val="18"/>
          <w:szCs w:val="18"/>
          <w:color w:val="auto"/>
        </w:rPr>
      </w:pPr>
    </w:p>
    <w:p>
      <w:pPr>
        <w:ind w:left="980" w:right="42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comply with local standards and regulatory requirements, as well as potential in-country manufacturing requirements;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successful relationships with our customers and suppliers.</w:t>
      </w:r>
    </w:p>
    <w:p>
      <w:pPr>
        <w:spacing w:after="0" w:line="225" w:lineRule="exact"/>
        <w:rPr>
          <w:sz w:val="20"/>
          <w:szCs w:val="20"/>
          <w:color w:val="auto"/>
        </w:rPr>
      </w:pPr>
    </w:p>
    <w:p>
      <w:pPr>
        <w:ind w:right="860" w:firstLine="432"/>
        <w:spacing w:after="0" w:line="282" w:lineRule="auto"/>
        <w:rPr>
          <w:sz w:val="20"/>
          <w:szCs w:val="20"/>
          <w:color w:val="auto"/>
        </w:rPr>
      </w:pPr>
      <w:r>
        <w:rPr>
          <w:rFonts w:ascii="Times New Roman" w:cs="Times New Roman" w:eastAsia="Times New Roman" w:hAnsi="Times New Roman"/>
          <w:sz w:val="18"/>
          <w:szCs w:val="18"/>
          <w:color w:val="auto"/>
        </w:rPr>
        <w:t>In addition, our ability to achieve increased market share will depend on our ability to increase sales to established solar installers, who have traditionally sold central or string inverters. These installers often have made substantial investments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design, installation resources and training in traditional central or string inverter systems, which may create challenges for us to achieve their adoption of our microinverter systems.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0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30"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5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8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81"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0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was recently extended as part of an Omnibus Appropriations Bill and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w:t>
      </w:r>
    </w:p>
    <w:p>
      <w:pPr>
        <w:spacing w:after="0" w:line="13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3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also sell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w:t>
      </w:r>
    </w:p>
    <w:p>
      <w:pPr>
        <w:spacing w:after="0" w:line="13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2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0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Changes in current laws or regulations applicable to us or the imposition of new laws and regulations in the United States, Canada, Mexico and certain Central American markets, the United Kingdom,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2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threat of continuing global economic, capital markets and credit disruptions, including sovereign debt issues, pose risks for our business.</w:t>
      </w:r>
    </w:p>
    <w:p>
      <w:pPr>
        <w:spacing w:after="0" w:line="17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05"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0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35" w:lineRule="exact"/>
        <w:rPr>
          <w:sz w:val="20"/>
          <w:szCs w:val="20"/>
          <w:color w:val="auto"/>
        </w:rPr>
      </w:pPr>
    </w:p>
    <w:p>
      <w:pPr>
        <w:jc w:val="both"/>
        <w:ind w:right="120" w:firstLine="432"/>
        <w:spacing w:after="0" w:line="289" w:lineRule="auto"/>
        <w:rPr>
          <w:sz w:val="20"/>
          <w:szCs w:val="20"/>
          <w:color w:val="auto"/>
        </w:rPr>
      </w:pPr>
      <w:r>
        <w:rPr>
          <w:rFonts w:ascii="Times New Roman" w:cs="Times New Roman" w:eastAsia="Times New Roman" w:hAnsi="Times New Roman"/>
          <w:sz w:val="17"/>
          <w:szCs w:val="17"/>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0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3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3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our business and operating results may suffer.</w:t>
      </w:r>
    </w:p>
    <w:p>
      <w:pPr>
        <w:spacing w:after="0" w:line="121" w:lineRule="exact"/>
        <w:rPr>
          <w:sz w:val="20"/>
          <w:szCs w:val="20"/>
          <w:color w:val="auto"/>
        </w:rPr>
      </w:pPr>
    </w:p>
    <w:p>
      <w:pPr>
        <w:ind w:right="460" w:firstLine="432"/>
        <w:spacing w:after="0" w:line="298" w:lineRule="auto"/>
        <w:rPr>
          <w:sz w:val="20"/>
          <w:szCs w:val="20"/>
          <w:color w:val="auto"/>
        </w:rPr>
      </w:pPr>
      <w:r>
        <w:rPr>
          <w:rFonts w:ascii="Times New Roman" w:cs="Times New Roman" w:eastAsia="Times New Roman" w:hAnsi="Times New Roman"/>
          <w:sz w:val="17"/>
          <w:szCs w:val="17"/>
          <w:color w:val="auto"/>
        </w:rPr>
        <w:t>We have experienced, and expect to experience in the future, significant growth in our sales and operations. Our historical growth has placed, and planned future growth is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 larger organization;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third-party manufacturing, testing and distribution capacity;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additional custom manufacturing test equipment;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 increasing number of relationships with customers, suppliers and other third parties;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and manage a growing employee base;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customer support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 existing operational and financial systems;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financial disclosure controls and procedures.</w:t>
      </w:r>
    </w:p>
    <w:p>
      <w:pPr>
        <w:spacing w:after="0" w:line="225" w:lineRule="exact"/>
        <w:rPr>
          <w:sz w:val="20"/>
          <w:szCs w:val="20"/>
          <w:color w:val="auto"/>
        </w:rPr>
      </w:pPr>
    </w:p>
    <w:p>
      <w:pPr>
        <w:ind w:right="240" w:firstLine="432"/>
        <w:spacing w:after="0" w:line="289" w:lineRule="auto"/>
        <w:rPr>
          <w:sz w:val="20"/>
          <w:szCs w:val="20"/>
          <w:color w:val="auto"/>
        </w:rPr>
      </w:pPr>
      <w:r>
        <w:rPr>
          <w:rFonts w:ascii="Times New Roman" w:cs="Times New Roman" w:eastAsia="Times New Roman" w:hAnsi="Times New Roman"/>
          <w:sz w:val="17"/>
          <w:szCs w:val="17"/>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and planned expansion into new markets could subject us to additional business, financial and competitive risks.</w:t>
      </w:r>
    </w:p>
    <w:p>
      <w:pPr>
        <w:spacing w:after="0" w:line="121"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18"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microinverters in markets in which they have not traditionally been used;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new product markets to which we are not accustomed;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 increasing manufacturing capacity and production;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our potential customers to incur a higher upfront capital investment than may be required for competing solutions;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solutions to address the requirements of the larger commercial and utility-scale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new products for larger commercial and utility-scale installations;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production costs in order to price our products competitively over time;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government subsidies and economic incentives for solar energy solutions;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forecasting and effective management of inventory levels in line with anticipated product demand;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capabilities and responsiveness.</w:t>
      </w:r>
    </w:p>
    <w:p>
      <w:pPr>
        <w:spacing w:after="0" w:line="171" w:lineRule="exact"/>
        <w:rPr>
          <w:sz w:val="20"/>
          <w:szCs w:val="20"/>
          <w:color w:val="auto"/>
        </w:rPr>
      </w:pPr>
    </w:p>
    <w:p>
      <w:pPr>
        <w:ind w:right="420" w:firstLine="432"/>
        <w:spacing w:after="0" w:line="281" w:lineRule="auto"/>
        <w:rPr>
          <w:sz w:val="20"/>
          <w:szCs w:val="20"/>
          <w:color w:val="auto"/>
        </w:rPr>
      </w:pPr>
      <w:r>
        <w:rPr>
          <w:rFonts w:ascii="Times New Roman" w:cs="Times New Roman" w:eastAsia="Times New Roman" w:hAnsi="Times New Roman"/>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34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unfavorable intellectual property protection;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change in international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earnings;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 concentrations;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expectations and product return policies;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performance and compatibility requirements.</w:t>
      </w:r>
    </w:p>
    <w:p>
      <w:pPr>
        <w:spacing w:after="0" w:line="225"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Ordering patterns from our distributors may cause our revenue to fluctuate significantly from period to period.</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2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0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0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3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2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34"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0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depend on sole source and limited source suppliers for key components of our products. For example, our ASICs are purchased from a sole source supplier or developed for us by sole source suppliers. Similarly, the battery cells for our AC Battery product will also initially be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3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05"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05"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3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capture customers in the new product and geographic markets that we are pursuing.</w:t>
      </w:r>
    </w:p>
    <w:p>
      <w:pPr>
        <w:spacing w:after="0" w:line="17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0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05"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3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3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2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27" w:lineRule="exact"/>
        <w:rPr>
          <w:sz w:val="20"/>
          <w:szCs w:val="20"/>
          <w:color w:val="auto"/>
        </w:rPr>
      </w:pPr>
    </w:p>
    <w:p>
      <w:pPr>
        <w:ind w:left="980" w:right="60" w:hanging="486"/>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sell or use the relevant technology, which may not be available on reasonable terms, or at all;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embody the asserted intellectual property;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customers pursuant to indemnification obligations under some of our customer contracts;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infringing technology and to develop or acquire non-infringing technology.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0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affected by seasonal trends and construction cycles.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a party to a loan and security agreement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2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05"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could lose confidence in our financial reporting, which would harm our business and could negatively impact the price of our stock.</w:t>
      </w:r>
    </w:p>
    <w:p>
      <w:pPr>
        <w:spacing w:after="0" w:line="17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0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3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terrorist or cyber attacks, or other catastrophic events could harm our operations.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0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0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2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0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w:t>
      </w:r>
    </w:p>
    <w:p>
      <w:pPr>
        <w:spacing w:after="0" w:line="17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 due to a number of factors, which may lead to volatility in our stock price.</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4"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volume and product mix of sales of our products, which may have different average selling prices or profit margins;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117" w:lineRule="exact"/>
        <w:rPr>
          <w:rFonts w:ascii="Times New Roman" w:cs="Times New Roman" w:eastAsia="Times New Roman" w:hAnsi="Times New Roman"/>
          <w:sz w:val="18"/>
          <w:szCs w:val="18"/>
          <w:color w:val="auto"/>
        </w:rPr>
      </w:pPr>
    </w:p>
    <w:p>
      <w:pPr>
        <w:ind w:left="980" w:right="80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to our customers in a timely and cost-effective manner and that meet customer requirements;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relationships with our contract manufacturers, customers and suppliers;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anticipation, announcement or introductions of new or enhanced products by our competitors and ourselves;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retail price of electricity;</w:t>
      </w:r>
    </w:p>
    <w:p>
      <w:pPr>
        <w:spacing w:after="0" w:line="117"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applicable to our business and products, particularly those relating to government incentives for solar energy applications;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maintenance and expansion of our business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government-sponsored programs on our customers;</w:t>
      </w:r>
    </w:p>
    <w:p>
      <w:pPr>
        <w:spacing w:after="0" w:line="117"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estimate future warranty obligations due to product failure rates, claim rates or replacement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 demand and manufacturing requirements, and manage our inventory;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profit;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our revenue and plan our expenses appropriately;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0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2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0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3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0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In addition, the terms of our revolving credit facility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prevent a takeover that stockholders consider favorable and could also reduce the market price of our stock.</w:t>
      </w:r>
    </w:p>
    <w:p>
      <w:pPr>
        <w:spacing w:after="0" w:line="51"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14" w:lineRule="exact"/>
        <w:rPr>
          <w:sz w:val="20"/>
          <w:szCs w:val="20"/>
          <w:color w:val="auto"/>
        </w:rPr>
      </w:pPr>
    </w:p>
    <w:p>
      <w:pPr>
        <w:ind w:left="980" w:right="60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53" w:lineRule="exact"/>
        <w:rPr>
          <w:rFonts w:ascii="Times New Roman" w:cs="Times New Roman" w:eastAsia="Times New Roman" w:hAnsi="Times New Roman"/>
          <w:sz w:val="18"/>
          <w:szCs w:val="18"/>
          <w:color w:val="auto"/>
        </w:rPr>
      </w:pPr>
    </w:p>
    <w:p>
      <w:pPr>
        <w:ind w:left="980" w:right="90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980" w:hanging="486"/>
        <w:spacing w:after="0" w:line="25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75" w:lineRule="exact"/>
        <w:rPr>
          <w:rFonts w:ascii="Times New Roman" w:cs="Times New Roman" w:eastAsia="Times New Roman" w:hAnsi="Times New Roman"/>
          <w:sz w:val="18"/>
          <w:szCs w:val="18"/>
          <w:color w:val="auto"/>
        </w:rPr>
      </w:pPr>
    </w:p>
    <w:p>
      <w:pPr>
        <w:ind w:left="98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68"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6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400"/>
          </w:cols>
          <w:pgMar w:left="240" w:top="121" w:right="1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May 4, 2016</w:t>
      </w: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5"/>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4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7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and Restated Certificate of Incorporation of Enphase Energy, Inc.</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and Restated Bylaws of Enphase Energy, Inc.</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Specimen Common Stock Certificate of Enphase Energy, Inc.</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thereto, dated March 15, 2010, as amended.</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June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Subordinated Convertible Loan Facility and Security Agreement.</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3"/>
                <w:szCs w:val="23"/>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3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Subordinated Convertible Loan Facility and Security Agreement.</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Summary of 2016 Performance Bonus Program.</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06" w:lineRule="exact"/>
        <w:rPr>
          <w:sz w:val="20"/>
          <w:szCs w:val="20"/>
          <w:color w:val="auto"/>
        </w:rPr>
      </w:pPr>
    </w:p>
    <w:p>
      <w:pPr>
        <w:ind w:left="1300" w:hanging="48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3.1 to the Current Report on Form 8-K (File No. 001-35480), filed with the Securities and Exchange Commission on April 6, 2012, and incorporated by reference herein.</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the like-numbered exhibit to the Registration Statement on Form S-1/A (File No. 333-174925), and incorporated herein by reference.</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the like-numbered exhibit to the Current Report on Form 8-K (File No. 001-35480), filed with the Securities and Exchange Commission on April 1, 2016, and incorporated by reference herein.</w:t>
      </w:r>
    </w:p>
    <w:p>
      <w:pPr>
        <w:spacing w:after="0" w:line="27" w:lineRule="exact"/>
        <w:rPr>
          <w:sz w:val="20"/>
          <w:szCs w:val="20"/>
          <w:color w:val="auto"/>
        </w:rPr>
      </w:pPr>
    </w:p>
    <w:p>
      <w:pPr>
        <w:jc w:val="both"/>
        <w:ind w:left="1300" w:hanging="482"/>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1"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Nahi, certify that:</w:t>
      </w:r>
    </w:p>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Enphase Energy, Inc.;</w:t>
      </w:r>
    </w:p>
    <w:p>
      <w:pPr>
        <w:spacing w:after="0" w:line="198"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140" w:right="100" w:hanging="322"/>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140" w:right="380" w:hanging="322"/>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140" w:right="540" w:hanging="322"/>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140" w:right="140" w:hanging="322"/>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322"/>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2016</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928"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9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Enphase Energy, Inc.;</w:t>
      </w:r>
    </w:p>
    <w:p>
      <w:pPr>
        <w:spacing w:after="0" w:line="198"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140" w:right="100" w:hanging="322"/>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140" w:right="380" w:hanging="322"/>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140" w:right="540" w:hanging="322"/>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140" w:right="140" w:hanging="322"/>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322"/>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2016</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928"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31" w:lineRule="exact"/>
        <w:rPr>
          <w:sz w:val="20"/>
          <w:szCs w:val="20"/>
          <w:color w:val="auto"/>
        </w:rPr>
      </w:pPr>
    </w:p>
    <w:p>
      <w:pPr>
        <w:ind w:right="80" w:firstLine="8"/>
        <w:spacing w:after="0" w:line="282" w:lineRule="auto"/>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2016, to which this Certification is attached as Exhibit 32.1 (the “Periodic Report”), fully complies with the requirements of Section 13(a) or Section 15(d) of the Exchange Act; and</w:t>
      </w:r>
    </w:p>
    <w:p>
      <w:pPr>
        <w:spacing w:after="0" w:line="13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set their hands hereto as of the 4th day of May,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Paul B. Nahi</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 Sennesael</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B. Nahi</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2019-12-29T11:58:05Z</dcterms:created>
  <dcterms:modified xsi:type="dcterms:W3CDTF">2019-12-29T11:58:05Z</dcterms:modified>
</cp:coreProperties>
</file>