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81915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158750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9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5" w:lineRule="exact"/>
        <w:rPr>
          <w:sz w:val="24"/>
          <w:szCs w:val="24"/>
          <w:color w:val="auto"/>
        </w:rPr>
      </w:pPr>
    </w:p>
    <w:p>
      <w:pPr>
        <w:ind w:left="460" w:hanging="43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00" w:lineRule="exact"/>
        <w:rPr>
          <w:sz w:val="24"/>
          <w:szCs w:val="24"/>
          <w:color w:val="auto"/>
        </w:rPr>
      </w:pPr>
    </w:p>
    <w:p>
      <w:pPr>
        <w:spacing w:after="0" w:line="273" w:lineRule="exact"/>
        <w:rPr>
          <w:sz w:val="24"/>
          <w:szCs w:val="24"/>
          <w:color w:val="auto"/>
        </w:rPr>
      </w:pPr>
    </w:p>
    <w:p>
      <w:pPr>
        <w:ind w:left="460" w:right="460" w:hanging="452"/>
        <w:spacing w:after="0" w:line="269" w:lineRule="auto"/>
        <w:tabs>
          <w:tab w:leader="none" w:pos="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248920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Enphase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167640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940" w:type="dxa"/>
            <w:vAlign w:val="bottom"/>
            <w:gridSpan w:val="2"/>
          </w:tcPr>
          <w:p>
            <w:pPr>
              <w:jc w:val="center"/>
              <w:ind w:right="3819"/>
              <w:spacing w:after="0"/>
              <w:rPr>
                <w:sz w:val="20"/>
                <w:szCs w:val="20"/>
                <w:color w:val="auto"/>
              </w:rPr>
            </w:pPr>
            <w:r>
              <w:rPr>
                <w:rFonts w:ascii="Arial" w:cs="Arial" w:eastAsia="Arial" w:hAnsi="Arial"/>
                <w:sz w:val="18"/>
                <w:szCs w:val="18"/>
                <w:b w:val="1"/>
                <w:bCs w:val="1"/>
                <w:color w:val="auto"/>
                <w:w w:val="91"/>
              </w:rPr>
              <w:t>Delaware</w:t>
            </w: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20-4645388</w:t>
            </w:r>
          </w:p>
        </w:tc>
      </w:tr>
      <w:tr>
        <w:trPr>
          <w:trHeight w:val="19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7"/>
              </w:rPr>
              <w:t>(State or other jurisdiction of</w:t>
            </w:r>
          </w:p>
        </w:tc>
        <w:tc>
          <w:tcPr>
            <w:tcW w:w="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8"/>
              </w:rPr>
              <w:t>incorporation or organization)</w:t>
            </w:r>
          </w:p>
        </w:tc>
        <w:tc>
          <w:tcPr>
            <w:tcW w:w="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3"/>
              </w:rPr>
              <w:t>1420 N. McDowell Blvd</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2"/>
              </w:rPr>
              <w:t>Petaluma, CA 94954</w:t>
            </w: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4"/>
        </w:trPr>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379"/>
        </w:trPr>
        <w:tc>
          <w:tcPr>
            <w:tcW w:w="6060" w:type="dxa"/>
            <w:vAlign w:val="bottom"/>
            <w:gridSpan w:val="3"/>
          </w:tcPr>
          <w:p>
            <w:pPr>
              <w:jc w:val="center"/>
              <w:ind w:left="2861"/>
              <w:spacing w:after="0"/>
              <w:rPr>
                <w:sz w:val="20"/>
                <w:szCs w:val="20"/>
                <w:color w:val="auto"/>
              </w:rPr>
            </w:pPr>
            <w:r>
              <w:rPr>
                <w:rFonts w:ascii="Arial" w:cs="Arial" w:eastAsia="Arial" w:hAnsi="Arial"/>
                <w:sz w:val="18"/>
                <w:szCs w:val="18"/>
                <w:b w:val="1"/>
                <w:bCs w:val="1"/>
                <w:color w:val="auto"/>
                <w:w w:val="90"/>
              </w:rPr>
              <w:t>(707) 774-7000</w:t>
            </w: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71"/>
        </w:trPr>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20" w:type="dxa"/>
            <w:vAlign w:val="bottom"/>
            <w:gridSpan w:val="3"/>
          </w:tcPr>
          <w:p>
            <w:pPr>
              <w:jc w:val="center"/>
              <w:ind w:right="1705"/>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1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64"/>
        </w:trPr>
        <w:tc>
          <w:tcPr>
            <w:tcW w:w="6060" w:type="dxa"/>
            <w:vAlign w:val="bottom"/>
            <w:gridSpan w:val="3"/>
          </w:tcPr>
          <w:p>
            <w:pPr>
              <w:jc w:val="center"/>
              <w:ind w:right="2679"/>
              <w:spacing w:after="0"/>
              <w:rPr>
                <w:sz w:val="20"/>
                <w:szCs w:val="20"/>
                <w:color w:val="auto"/>
              </w:rPr>
            </w:pPr>
            <w:r>
              <w:rPr>
                <w:rFonts w:ascii="Arial" w:cs="Arial" w:eastAsia="Arial" w:hAnsi="Arial"/>
                <w:sz w:val="18"/>
                <w:szCs w:val="18"/>
                <w:color w:val="auto"/>
                <w:w w:val="89"/>
              </w:rPr>
              <w:t>Common Stock, par value $0.00001 per share</w:t>
            </w:r>
          </w:p>
        </w:tc>
        <w:tc>
          <w:tcPr>
            <w:tcW w:w="4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180340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51" w:lineRule="exact"/>
        <w:rPr>
          <w:sz w:val="24"/>
          <w:szCs w:val="24"/>
          <w:color w:val="auto"/>
        </w:rPr>
      </w:pPr>
    </w:p>
    <w:p>
      <w:pPr>
        <w:ind w:right="1960"/>
        <w:spacing w:after="0" w:line="419"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w:cs="Arial" w:eastAsia="Arial" w:hAnsi="Arial"/>
          <w:sz w:val="17"/>
          <w:szCs w:val="17"/>
          <w:color w:val="auto"/>
        </w:rPr>
        <w:t>o</w:t>
      </w:r>
      <w:r>
        <w:rPr>
          <w:rFonts w:ascii="Arial" w:cs="Arial" w:eastAsia="Arial" w:hAnsi="Arial"/>
          <w:sz w:val="16"/>
          <w:szCs w:val="16"/>
          <w:color w:val="auto"/>
        </w:rPr>
        <w:t xml:space="preserve"> No </w:t>
      </w:r>
      <w:r>
        <w:rPr>
          <w:rFonts w:ascii="Arial" w:cs="Arial" w:eastAsia="Arial" w:hAnsi="Arial"/>
          <w:sz w:val="17"/>
          <w:szCs w:val="17"/>
          <w:color w:val="auto"/>
        </w:rPr>
        <w:t>x</w:t>
      </w:r>
    </w:p>
    <w:p>
      <w:pPr>
        <w:ind w:right="480"/>
        <w:spacing w:after="0" w:line="29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jc w:val="both"/>
        <w:spacing w:after="0" w:line="29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ind w:right="60"/>
        <w:spacing w:after="0" w:line="29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21"/>
          <w:szCs w:val="21"/>
          <w:color w:val="auto"/>
        </w:rPr>
        <w:t>x</w:t>
      </w:r>
    </w:p>
    <w:p>
      <w:pPr>
        <w:spacing w:after="0" w:line="61"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801" w:right="239" w:bottom="0" w:gutter="0" w:footer="0" w:header="0"/>
        </w:sectPr>
      </w:pPr>
    </w:p>
    <w:p>
      <w:pPr>
        <w:spacing w:after="0" w:line="120" w:lineRule="exact"/>
        <w:rPr>
          <w:sz w:val="24"/>
          <w:szCs w:val="24"/>
          <w:color w:val="auto"/>
        </w:rPr>
      </w:pPr>
    </w:p>
    <w:p>
      <w:pPr>
        <w:ind w:left="40"/>
        <w:spacing w:after="0" w:line="375" w:lineRule="auto"/>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21"/>
          <w:szCs w:val="21"/>
          <w:color w:val="auto"/>
        </w:rPr>
        <w:t>o</w:t>
      </w:r>
      <w:r>
        <w:rPr>
          <w:rFonts w:ascii="Arial" w:cs="Arial" w:eastAsia="Arial" w:hAnsi="Arial"/>
          <w:sz w:val="18"/>
          <w:szCs w:val="18"/>
          <w:color w:val="auto"/>
        </w:rPr>
        <w:t xml:space="preserve"> Accelerated filer Non-accelerated filer </w:t>
      </w:r>
      <w:r>
        <w:rPr>
          <w:rFonts w:ascii="Arial" w:cs="Arial" w:eastAsia="Arial" w:hAnsi="Arial"/>
          <w:sz w:val="21"/>
          <w:szCs w:val="21"/>
          <w:color w:val="auto"/>
        </w:rPr>
        <w:t>o</w:t>
      </w:r>
      <w:r>
        <w:rPr>
          <w:rFonts w:ascii="Arial" w:cs="Arial" w:eastAsia="Arial" w:hAnsi="Arial"/>
          <w:sz w:val="18"/>
          <w:szCs w:val="18"/>
          <w:color w:val="auto"/>
        </w:rPr>
        <w:t xml:space="preserve">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64" w:lineRule="exact"/>
        <w:rPr>
          <w:sz w:val="24"/>
          <w:szCs w:val="24"/>
          <w:color w:val="auto"/>
        </w:rPr>
      </w:pPr>
    </w:p>
    <w:p>
      <w:pPr>
        <w:sectPr>
          <w:pgSz w:w="11900" w:h="16838" w:orient="portrait"/>
          <w:cols w:equalWidth="0" w:num="2">
            <w:col w:w="10680" w:space="420"/>
            <w:col w:w="320"/>
          </w:cols>
          <w:pgMar w:left="240" w:top="801" w:right="239" w:bottom="0" w:gutter="0" w:footer="0" w:header="0"/>
          <w:type w:val="continuous"/>
        </w:sect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11"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aggregate market value of the voting stock held by non-affiliates of the registrant on June 30, 2013, based upon the closing price of $7.73 of the registrant’s common stock as reported on the NASDAQ Global Market, was approximately $113.1 million. Excludes approximately 27.1 million shares of the</w:t>
      </w:r>
    </w:p>
    <w:p>
      <w:pPr>
        <w:sectPr>
          <w:pgSz w:w="11900" w:h="16838" w:orient="portrait"/>
          <w:cols w:equalWidth="0" w:num="1">
            <w:col w:w="11420"/>
          </w:cols>
          <w:pgMar w:left="240" w:top="801" w:right="239" w:bottom="0" w:gutter="0" w:footer="0" w:header="0"/>
          <w:type w:val="continuous"/>
        </w:sectPr>
      </w:pPr>
    </w:p>
    <w:bookmarkStart w:id="1" w:name="page2"/>
    <w:bookmarkEnd w:id="1"/>
    <w:p>
      <w:pPr>
        <w:ind w:right="380"/>
        <w:spacing w:after="0" w:line="308" w:lineRule="auto"/>
        <w:rPr>
          <w:sz w:val="20"/>
          <w:szCs w:val="20"/>
          <w:color w:val="auto"/>
        </w:rPr>
      </w:pPr>
      <w:r>
        <w:rPr>
          <w:rFonts w:ascii="Arial" w:cs="Arial" w:eastAsia="Arial" w:hAnsi="Arial"/>
          <w:sz w:val="17"/>
          <w:szCs w:val="17"/>
          <w:color w:val="auto"/>
        </w:rPr>
        <w:t>registrant’s common stock held by current executive officers, directors, and holders of five percent or more of the outstanding common stock in that such persons may be deemed to be affiliates. This determination of affiliate status is not necessarily a conclusive determination for other purposes.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2014, there were 42,236,859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Enphase Energy, Inc. is filing this Amendment No. 1 to its Annual Report on Form 10-K for the fiscal year ended December 31, 2013 as an exhibit-only filing solely to re-file Exhibits 31.1 and 31.2 to include a portion of the text required in paragraph 4 of the Section 302 certifications (specifically, subparagraph 4(b) and a portion of the introductory language of paragraph 4), which were inadvertently omitted from the Section 302 certifications included with the original Form 10-K filed with the Securities and Exchange Commission on March 4, 2014. This Amendment No. 1 to Form 10-K does not reflect events occurring after the filing of the original Form 10-K and, other than the re-filing of the referenced certifications, does not modify or update the disclosures in the original Form 10-K in any way.</w:t>
      </w:r>
    </w:p>
    <w:p>
      <w:pPr>
        <w:sectPr>
          <w:pgSz w:w="11900" w:h="16838" w:orient="portrait"/>
          <w:cols w:equalWidth="0" w:num="1">
            <w:col w:w="11420"/>
          </w:cols>
          <w:pgMar w:left="240" w:top="125"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Amendment No. 1 to its Annual Report on Form 10-K to be signed on its behalf by the undersigned, thereunto duly authorized on February 6, 2015.</w:t>
      </w:r>
    </w:p>
    <w:p>
      <w:pPr>
        <w:spacing w:after="0" w:line="30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Enphase Energy, Inc.</w:t>
      </w:r>
    </w:p>
    <w:p>
      <w:pPr>
        <w:spacing w:after="0" w:line="337"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tab/>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2152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36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jc w:val="center"/>
              <w:ind w:right="1054"/>
              <w:spacing w:after="0"/>
              <w:rPr>
                <w:sz w:val="20"/>
                <w:szCs w:val="20"/>
                <w:color w:val="auto"/>
              </w:rPr>
            </w:pPr>
            <w:r>
              <w:rPr>
                <w:rFonts w:ascii="Arial" w:cs="Arial" w:eastAsia="Arial" w:hAnsi="Arial"/>
                <w:sz w:val="18"/>
                <w:szCs w:val="18"/>
                <w:b w:val="1"/>
                <w:bCs w:val="1"/>
                <w:color w:val="auto"/>
              </w:rPr>
              <w:t>EXHIBIT INDEX</w:t>
            </w:r>
          </w:p>
        </w:tc>
      </w:tr>
      <w:tr>
        <w:trPr>
          <w:trHeight w:val="5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364"/>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48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jc w:val="right"/>
              <w:ind w:right="5574"/>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49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7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sz w:val="20"/>
          <w:szCs w:val="20"/>
          <w:color w:val="auto"/>
        </w:rPr>
      </w:pPr>
    </w:p>
    <w:p>
      <w:pPr>
        <w:ind w:left="180" w:right="240" w:hanging="172"/>
        <w:spacing w:after="0" w:line="264"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140" w:right="20" w:hanging="322"/>
        <w:spacing w:after="0" w:line="308" w:lineRule="auto"/>
        <w:tabs>
          <w:tab w:leader="none" w:pos="11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140" w:right="540" w:hanging="322"/>
        <w:spacing w:after="0" w:line="277"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2015</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Kris Sennesael</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7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sz w:val="20"/>
          <w:szCs w:val="20"/>
          <w:color w:val="auto"/>
        </w:rPr>
      </w:pPr>
    </w:p>
    <w:p>
      <w:pPr>
        <w:ind w:left="180" w:right="240" w:hanging="172"/>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140" w:right="100" w:hanging="322"/>
        <w:spacing w:after="0" w:line="264"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140" w:right="540" w:hanging="322"/>
        <w:spacing w:after="0" w:line="334" w:lineRule="auto"/>
        <w:tabs>
          <w:tab w:leader="none" w:pos="114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140" w:hanging="322"/>
        <w:spacing w:after="0" w:line="264"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140" w:right="20" w:hanging="322"/>
        <w:spacing w:after="0" w:line="308" w:lineRule="auto"/>
        <w:tabs>
          <w:tab w:leader="none" w:pos="114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140" w:right="540" w:hanging="322"/>
        <w:spacing w:after="0" w:line="277"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2015</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2019-12-08T21:52:02Z</dcterms:created>
  <dcterms:modified xsi:type="dcterms:W3CDTF">2019-12-08T21:52:02Z</dcterms:modified>
</cp:coreProperties>
</file>