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81915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186690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5"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00" w:lineRule="exact"/>
        <w:rPr>
          <w:sz w:val="24"/>
          <w:szCs w:val="24"/>
          <w:color w:val="auto"/>
        </w:rPr>
      </w:pPr>
    </w:p>
    <w:p>
      <w:pPr>
        <w:spacing w:after="0" w:line="273" w:lineRule="exact"/>
        <w:rPr>
          <w:sz w:val="24"/>
          <w:szCs w:val="24"/>
          <w:color w:val="auto"/>
        </w:rPr>
      </w:pPr>
    </w:p>
    <w:p>
      <w:pPr>
        <w:ind w:left="460" w:right="460" w:hanging="452"/>
        <w:spacing w:after="0" w:line="269"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248920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Enphase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167640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40" w:type="dxa"/>
            <w:vAlign w:val="bottom"/>
            <w:gridSpan w:val="2"/>
          </w:tcPr>
          <w:p>
            <w:pPr>
              <w:jc w:val="center"/>
              <w:ind w:right="3819"/>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20-4645388</w:t>
            </w:r>
          </w:p>
        </w:tc>
      </w:tr>
      <w:tr>
        <w:trPr>
          <w:trHeight w:val="19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3"/>
              </w:rPr>
              <w:t>1420 N. McDowell Blvd</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2"/>
              </w:rPr>
              <w:t>Petaluma, CA 94954</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79"/>
        </w:trPr>
        <w:tc>
          <w:tcPr>
            <w:tcW w:w="6060" w:type="dxa"/>
            <w:vAlign w:val="bottom"/>
            <w:gridSpan w:val="3"/>
          </w:tcPr>
          <w:p>
            <w:pPr>
              <w:jc w:val="center"/>
              <w:ind w:left="2861"/>
              <w:spacing w:after="0"/>
              <w:rPr>
                <w:sz w:val="20"/>
                <w:szCs w:val="20"/>
                <w:color w:val="auto"/>
              </w:rPr>
            </w:pPr>
            <w:r>
              <w:rPr>
                <w:rFonts w:ascii="Arial" w:cs="Arial" w:eastAsia="Arial" w:hAnsi="Arial"/>
                <w:sz w:val="18"/>
                <w:szCs w:val="18"/>
                <w:b w:val="1"/>
                <w:bCs w:val="1"/>
                <w:color w:val="auto"/>
                <w:w w:val="90"/>
              </w:rPr>
              <w:t>(707) 774-7000</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71"/>
        </w:trPr>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20" w:type="dxa"/>
            <w:vAlign w:val="bottom"/>
            <w:gridSpan w:val="3"/>
          </w:tcPr>
          <w:p>
            <w:pPr>
              <w:jc w:val="center"/>
              <w:ind w:right="1705"/>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64"/>
        </w:trPr>
        <w:tc>
          <w:tcPr>
            <w:tcW w:w="6060" w:type="dxa"/>
            <w:vAlign w:val="bottom"/>
            <w:gridSpan w:val="3"/>
          </w:tcPr>
          <w:p>
            <w:pPr>
              <w:jc w:val="center"/>
              <w:ind w:right="2679"/>
              <w:spacing w:after="0"/>
              <w:rPr>
                <w:sz w:val="20"/>
                <w:szCs w:val="20"/>
                <w:color w:val="auto"/>
              </w:rPr>
            </w:pPr>
            <w:r>
              <w:rPr>
                <w:rFonts w:ascii="Arial" w:cs="Arial" w:eastAsia="Arial" w:hAnsi="Arial"/>
                <w:sz w:val="18"/>
                <w:szCs w:val="18"/>
                <w:color w:val="auto"/>
                <w:w w:val="89"/>
              </w:rPr>
              <w:t>Common Stock, par value $0.00001 per share</w:t>
            </w:r>
          </w:p>
        </w:tc>
        <w:tc>
          <w:tcPr>
            <w:tcW w:w="4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180340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1" w:lineRule="exact"/>
        <w:rPr>
          <w:sz w:val="24"/>
          <w:szCs w:val="24"/>
          <w:color w:val="auto"/>
        </w:rPr>
      </w:pPr>
    </w:p>
    <w:p>
      <w:pPr>
        <w:ind w:right="1920"/>
        <w:spacing w:after="0" w:line="397"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ind w:right="480"/>
        <w:spacing w:after="0" w:line="29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jc w:val="both"/>
        <w:spacing w:after="0" w:line="29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ind w:right="60"/>
        <w:spacing w:after="0" w:line="29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o</w:t>
      </w:r>
    </w:p>
    <w:p>
      <w:pPr>
        <w:spacing w:after="0" w:line="6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74" w:orient="portrait"/>
          <w:cols w:equalWidth="0" w:num="1">
            <w:col w:w="11420"/>
          </w:cols>
          <w:pgMar w:left="240" w:top="229" w:right="239" w:bottom="0" w:gutter="0" w:footer="0" w:header="0"/>
        </w:sectPr>
      </w:pPr>
    </w:p>
    <w:p>
      <w:pPr>
        <w:spacing w:after="0" w:line="154" w:lineRule="exact"/>
        <w:rPr>
          <w:sz w:val="24"/>
          <w:szCs w:val="24"/>
          <w:color w:val="auto"/>
        </w:rPr>
      </w:pPr>
    </w:p>
    <w:p>
      <w:pPr>
        <w:ind w:left="40" w:right="740"/>
        <w:spacing w:after="0" w:line="43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o</w:t>
      </w:r>
    </w:p>
    <w:p>
      <w:pPr>
        <w:spacing w:after="0" w:line="76"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o </w:t>
      </w: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63" w:lineRule="exact"/>
        <w:rPr>
          <w:sz w:val="24"/>
          <w:szCs w:val="24"/>
          <w:color w:val="auto"/>
        </w:rPr>
      </w:pPr>
    </w:p>
    <w:p>
      <w:pPr>
        <w:sectPr>
          <w:pgSz w:w="11900" w:h="16874" w:orient="portrait"/>
          <w:cols w:equalWidth="0" w:num="4">
            <w:col w:w="2400" w:space="720"/>
            <w:col w:w="4640" w:space="720"/>
            <w:col w:w="1980" w:space="620"/>
            <w:col w:w="340"/>
          </w:cols>
          <w:pgMar w:left="240" w:top="229" w:right="239" w:bottom="0" w:gutter="0" w:footer="0" w:header="0"/>
          <w:type w:val="continuous"/>
        </w:sectPr>
      </w:pPr>
    </w:p>
    <w:p>
      <w:pPr>
        <w:spacing w:after="0"/>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34" w:lineRule="exact"/>
        <w:rPr>
          <w:sz w:val="24"/>
          <w:szCs w:val="24"/>
          <w:color w:val="auto"/>
        </w:rPr>
      </w:pPr>
    </w:p>
    <w:p>
      <w:pPr>
        <w:ind w:right="20"/>
        <w:spacing w:after="0" w:line="279"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2014, based upon the closing price of $8.55 of the registrant’s common stock as reported on the NASDAQ Global Market, was approximately $143.2 million. Excludes approximately 26.1 million shares of the registrant’s common stock held by current executive officers, directors, and holders of five percent or more of the outstanding common stock in that such persons may be deemed to be affiliates. This determination of affiliate status is not necessarily a conclusive determination for other purposes.</w:t>
      </w:r>
    </w:p>
    <w:p>
      <w:pPr>
        <w:sectPr>
          <w:pgSz w:w="11900" w:h="16874" w:orient="portrait"/>
          <w:cols w:equalWidth="0" w:num="1">
            <w:col w:w="1142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28, 2015, there were 43,914,728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246380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called for by Part III of this Form 10-K is incorporated by reference to the Proxy Statement for the registrant’s 2015 Annual Meeting of Stockholders, which will be filed with the Securities and Exchange Commission not later than 120 days after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06" w:right="4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20"/>
          </w:tcPr>
          <w:p>
            <w:pPr>
              <w:jc w:val="center"/>
              <w:ind w:right="3780"/>
              <w:spacing w:after="0"/>
              <w:rPr>
                <w:sz w:val="20"/>
                <w:szCs w:val="20"/>
                <w:color w:val="auto"/>
              </w:rPr>
            </w:pPr>
            <w:r>
              <w:rPr>
                <w:rFonts w:ascii="Arial" w:cs="Arial" w:eastAsia="Arial" w:hAnsi="Arial"/>
                <w:sz w:val="22"/>
                <w:szCs w:val="22"/>
                <w:b w:val="1"/>
                <w:bCs w:val="1"/>
                <w:color w:val="auto"/>
                <w:w w:val="97"/>
              </w:rPr>
              <w:t>ENPHASE ENERGY, INC.</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19"/>
          </w:tcPr>
          <w:p>
            <w:pPr>
              <w:jc w:val="center"/>
              <w:ind w:right="3940"/>
              <w:spacing w:after="0"/>
              <w:rPr>
                <w:sz w:val="20"/>
                <w:szCs w:val="20"/>
                <w:color w:val="auto"/>
              </w:rPr>
            </w:pPr>
            <w:r>
              <w:rPr>
                <w:rFonts w:ascii="Arial" w:cs="Arial" w:eastAsia="Arial" w:hAnsi="Arial"/>
                <w:sz w:val="22"/>
                <w:szCs w:val="22"/>
                <w:b w:val="1"/>
                <w:bCs w:val="1"/>
                <w:color w:val="auto"/>
                <w:w w:val="97"/>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1"/>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1"/>
                <w:szCs w:val="21"/>
                <w:color w:val="auto"/>
              </w:rPr>
            </w:pPr>
          </w:p>
        </w:tc>
        <w:tc>
          <w:tcPr>
            <w:tcW w:w="45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3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7640" w:type="dxa"/>
            <w:vAlign w:val="bottom"/>
            <w:gridSpan w:val="2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Legal Proceedings</w:t>
              </w:r>
            </w:hyperlink>
          </w:p>
        </w:tc>
        <w:tc>
          <w:tcPr>
            <w:tcW w:w="8340" w:type="dxa"/>
            <w:vAlign w:val="bottom"/>
            <w:gridSpan w:val="3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452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the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3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Consolidated Financial Data</w:t>
              </w:r>
            </w:hyperlink>
          </w:p>
        </w:tc>
        <w:tc>
          <w:tcPr>
            <w:tcW w:w="13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gridSpan w:val="5"/>
          </w:tcPr>
          <w:p>
            <w:pPr>
              <w:spacing w:after="0"/>
              <w:rPr>
                <w:sz w:val="21"/>
                <w:szCs w:val="21"/>
                <w:color w:val="auto"/>
              </w:rPr>
            </w:pPr>
          </w:p>
        </w:tc>
        <w:tc>
          <w:tcPr>
            <w:tcW w:w="532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100" w:type="dxa"/>
            <w:vAlign w:val="bottom"/>
            <w:gridSpan w:val="8"/>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w:t>
              </w:r>
            </w:hyperlink>
          </w:p>
        </w:tc>
        <w:tc>
          <w:tcPr>
            <w:tcW w:w="2120" w:type="dxa"/>
            <w:vAlign w:val="bottom"/>
            <w:gridSpan w:val="11"/>
          </w:tcPr>
          <w:p>
            <w:pPr>
              <w:spacing w:after="0"/>
              <w:rPr>
                <w:sz w:val="21"/>
                <w:szCs w:val="21"/>
                <w:color w:val="auto"/>
              </w:rPr>
            </w:pPr>
          </w:p>
        </w:tc>
        <w:tc>
          <w:tcPr>
            <w:tcW w:w="5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w:t>
              </w:r>
            </w:hyperlink>
          </w:p>
        </w:tc>
        <w:tc>
          <w:tcPr>
            <w:tcW w:w="6860" w:type="dxa"/>
            <w:vAlign w:val="bottom"/>
            <w:gridSpan w:val="2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Loss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560" w:type="dxa"/>
            <w:vAlign w:val="bottom"/>
            <w:gridSpan w:val="17"/>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Consolidated Statements of Stockholders’ Equity</w:t>
              </w:r>
            </w:hyperlink>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80" w:type="dxa"/>
            <w:vAlign w:val="bottom"/>
            <w:gridSpan w:val="1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Cash Flows</w:t>
              </w:r>
            </w:hyperlink>
          </w:p>
        </w:tc>
        <w:tc>
          <w:tcPr>
            <w:tcW w:w="680" w:type="dxa"/>
            <w:vAlign w:val="bottom"/>
            <w:gridSpan w:val="5"/>
          </w:tcPr>
          <w:p>
            <w:pPr>
              <w:spacing w:after="0"/>
              <w:rPr>
                <w:sz w:val="21"/>
                <w:szCs w:val="21"/>
                <w:color w:val="auto"/>
              </w:rPr>
            </w:pPr>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1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Quarterly Financial Information</w:t>
              </w:r>
            </w:hyperlink>
          </w:p>
        </w:tc>
        <w:tc>
          <w:tcPr>
            <w:tcW w:w="840" w:type="dxa"/>
            <w:vAlign w:val="bottom"/>
            <w:gridSpan w:val="5"/>
          </w:tcPr>
          <w:p>
            <w:pPr>
              <w:spacing w:after="0"/>
              <w:rPr>
                <w:sz w:val="21"/>
                <w:szCs w:val="21"/>
                <w:color w:val="auto"/>
              </w:rPr>
            </w:pPr>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3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5"/>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Controls and Procedures</w:t>
              </w:r>
            </w:hyperlink>
          </w:p>
        </w:tc>
        <w:tc>
          <w:tcPr>
            <w:tcW w:w="4700" w:type="dxa"/>
            <w:vAlign w:val="bottom"/>
            <w:gridSpan w:val="26"/>
          </w:tcPr>
          <w:p>
            <w:pPr>
              <w:spacing w:after="0"/>
              <w:rPr>
                <w:sz w:val="21"/>
                <w:szCs w:val="21"/>
                <w:color w:val="auto"/>
              </w:rPr>
            </w:pPr>
          </w:p>
        </w:tc>
        <w:tc>
          <w:tcPr>
            <w:tcW w:w="32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7900" w:type="dxa"/>
            <w:vAlign w:val="bottom"/>
            <w:gridSpan w:val="2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44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8"/>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Directors, Executive Officers and Corporate Governance</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32"/>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9"/>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2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20" w:type="dxa"/>
            <w:vAlign w:val="bottom"/>
            <w:gridSpan w:val="13"/>
          </w:tcPr>
          <w:p>
            <w:pPr>
              <w:jc w:val="center"/>
              <w:ind w:right="4500"/>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IV</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80" w:type="dxa"/>
            <w:vAlign w:val="bottom"/>
            <w:gridSpan w:val="2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1"/>
                <w:szCs w:val="21"/>
                <w:color w:val="auto"/>
              </w:rPr>
            </w:pPr>
          </w:p>
        </w:tc>
        <w:tc>
          <w:tcPr>
            <w:tcW w:w="45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507"/>
        </w:trPr>
        <w:tc>
          <w:tcPr>
            <w:tcW w:w="1140" w:type="dxa"/>
            <w:vAlign w:val="bottom"/>
          </w:tcPr>
          <w:p>
            <w:pPr>
              <w:spacing w:after="0"/>
              <w:rPr>
                <w:sz w:val="24"/>
                <w:szCs w:val="24"/>
                <w:color w:val="auto"/>
              </w:rPr>
            </w:pPr>
          </w:p>
        </w:tc>
        <w:tc>
          <w:tcPr>
            <w:tcW w:w="2900" w:type="dxa"/>
            <w:vAlign w:val="bottom"/>
            <w:tcBorders>
              <w:top w:val="single" w:sz="8" w:color="0000EE"/>
            </w:tcBorders>
            <w:gridSpan w:val="13"/>
          </w:tcPr>
          <w:p>
            <w:pPr>
              <w:spacing w:after="0"/>
              <w:rPr>
                <w:sz w:val="24"/>
                <w:szCs w:val="24"/>
                <w:color w:val="auto"/>
              </w:rPr>
            </w:pPr>
          </w:p>
        </w:tc>
        <w:tc>
          <w:tcPr>
            <w:tcW w:w="2220" w:type="dxa"/>
            <w:vAlign w:val="bottom"/>
            <w:gridSpan w:val="12"/>
          </w:tcPr>
          <w:p>
            <w:pPr>
              <w:jc w:val="center"/>
              <w:ind w:left="95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95"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5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deliver microinverter technology for the solar industry that increases energy production, simplifies design and installation, improves system uptime and reliability, reduces fire safety risk and provides a platform for intelligent energy management.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embedded and web-based software technologies. We are the market leader in the microinverter category and have grown rapidly. Since our first commercial shipment in mid-2008, we have sold over 7.2 million microinverters as of December 31, 2014, which represents over 1.6 gigawatt (AC) of solar PV generating capacity. We were the first company to commercially ship microinverter systems in volume. We currently offer microinverter systems targeting the residential and commercial markets in the United States, Canada, the United Kingdom, France, the Benelux region, certain other European markets, Australia and New Zealand.</w:t>
      </w:r>
    </w:p>
    <w:p>
      <w:pPr>
        <w:spacing w:after="0" w:line="31" w:lineRule="exact"/>
        <w:rPr>
          <w:sz w:val="20"/>
          <w:szCs w:val="20"/>
          <w:color w:val="auto"/>
        </w:rPr>
      </w:pPr>
    </w:p>
    <w:p>
      <w:pPr>
        <w:ind w:right="460" w:firstLine="446"/>
        <w:spacing w:after="0" w:line="344" w:lineRule="auto"/>
        <w:rPr>
          <w:sz w:val="20"/>
          <w:szCs w:val="20"/>
          <w:color w:val="auto"/>
        </w:rPr>
      </w:pPr>
      <w:r>
        <w:rPr>
          <w:rFonts w:ascii="Arial" w:cs="Arial" w:eastAsia="Arial" w:hAnsi="Arial"/>
          <w:sz w:val="18"/>
          <w:szCs w:val="18"/>
          <w:color w:val="auto"/>
        </w:rPr>
        <w:t xml:space="preserve">We were incorporated as PVI Solutions, Inc. in March 2006 in the State of Delaware and changed our name to Enphase Energy, Inc. in July 2007. </w:t>
      </w:r>
      <w:r>
        <w:rPr>
          <w:rFonts w:ascii="Arial" w:cs="Arial" w:eastAsia="Arial" w:hAnsi="Arial"/>
          <w:sz w:val="18"/>
          <w:szCs w:val="18"/>
          <w:b w:val="1"/>
          <w:bCs w:val="1"/>
          <w:color w:val="auto"/>
        </w:rPr>
        <w:t>Industry Background</w:t>
      </w:r>
    </w:p>
    <w:p>
      <w:pPr>
        <w:spacing w:after="0" w:line="1"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Historically, traditional central inverters were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53" w:lineRule="exact"/>
        <w:rPr>
          <w:sz w:val="20"/>
          <w:szCs w:val="20"/>
          <w:color w:val="auto"/>
        </w:rPr>
      </w:pPr>
    </w:p>
    <w:p>
      <w:pPr>
        <w:jc w:val="both"/>
        <w:ind w:left="980" w:right="18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series—an entire</w:t>
      </w:r>
      <w:r>
        <w:rPr>
          <w:rFonts w:ascii="Arial" w:cs="Arial" w:eastAsia="Arial" w:hAnsi="Arial"/>
          <w:sz w:val="18"/>
          <w:szCs w:val="18"/>
          <w:i w:val="1"/>
          <w:iCs w:val="1"/>
          <w:color w:val="auto"/>
        </w:rPr>
        <w:t xml:space="preserve"> </w:t>
      </w:r>
      <w:r>
        <w:rPr>
          <w:rFonts w:ascii="Arial" w:cs="Arial" w:eastAsia="Arial" w:hAnsi="Arial"/>
          <w:sz w:val="18"/>
          <w:szCs w:val="18"/>
          <w:color w:val="auto"/>
        </w:rPr>
        <w:t>string’s output is limited by the output of the lowest-performing module. Because of its string design, there is a single point of failure risk with the traditional central inverter approach.</w:t>
      </w:r>
    </w:p>
    <w:p>
      <w:pPr>
        <w:spacing w:after="0" w:line="46"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Reliability issues</w:t>
      </w:r>
      <w:r>
        <w:rPr>
          <w:rFonts w:ascii="Arial" w:cs="Arial" w:eastAsia="Arial" w:hAnsi="Arial"/>
          <w:sz w:val="17"/>
          <w:szCs w:val="17"/>
          <w:color w:val="auto"/>
        </w:rPr>
        <w:t>. Traditional central inverters are the single most common component of solar installations to fail, resulting in system downtime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adversely impacting total energy output. As a result, central inverters typically carry warranties of only 5 to 10 years.</w:t>
      </w:r>
    </w:p>
    <w:p>
      <w:pPr>
        <w:spacing w:after="0" w:line="11" w:lineRule="exact"/>
        <w:rPr>
          <w:rFonts w:ascii="Arial" w:cs="Arial" w:eastAsia="Arial" w:hAnsi="Arial"/>
          <w:sz w:val="17"/>
          <w:szCs w:val="17"/>
          <w:color w:val="auto"/>
        </w:rPr>
      </w:pPr>
    </w:p>
    <w:p>
      <w:pPr>
        <w:ind w:left="980" w:right="8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 the installer,</w:t>
      </w:r>
      <w:r>
        <w:rPr>
          <w:rFonts w:ascii="Arial" w:cs="Arial" w:eastAsia="Arial" w:hAnsi="Arial"/>
          <w:sz w:val="18"/>
          <w:szCs w:val="18"/>
          <w:i w:val="1"/>
          <w:iCs w:val="1"/>
          <w:color w:val="auto"/>
        </w:rPr>
        <w:t xml:space="preserve"> </w:t>
      </w:r>
      <w:r>
        <w:rPr>
          <w:rFonts w:ascii="Arial" w:cs="Arial" w:eastAsia="Arial" w:hAnsi="Arial"/>
          <w:sz w:val="18"/>
          <w:szCs w:val="18"/>
          <w:color w:val="auto"/>
        </w:rPr>
        <w:t>both in terms of design and on-site labor. Central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central inverter technology.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right="34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inverter will often go unnoticed for days or even weeks. If a module fails or is not performing to specification, the resulting loss of energy can go unnoticed for an extended period of time.</w:t>
      </w:r>
    </w:p>
    <w:p>
      <w:pPr>
        <w:spacing w:after="0" w:line="46" w:lineRule="exact"/>
        <w:rPr>
          <w:rFonts w:ascii="Arial" w:cs="Arial" w:eastAsia="Arial" w:hAnsi="Arial"/>
          <w:sz w:val="18"/>
          <w:szCs w:val="18"/>
          <w:color w:val="auto"/>
        </w:rPr>
      </w:pPr>
    </w:p>
    <w:p>
      <w:pPr>
        <w:ind w:left="980" w:right="16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to 1,000 volts) DC wiring. If damaged,</w:t>
      </w:r>
      <w:r>
        <w:rPr>
          <w:rFonts w:ascii="Arial" w:cs="Arial" w:eastAsia="Arial" w:hAnsi="Arial"/>
          <w:sz w:val="18"/>
          <w:szCs w:val="18"/>
          <w:i w:val="1"/>
          <w:iCs w:val="1"/>
          <w:color w:val="auto"/>
        </w:rPr>
        <w:t xml:space="preserve"> </w:t>
      </w:r>
      <w:r>
        <w:rPr>
          <w:rFonts w:ascii="Arial" w:cs="Arial" w:eastAsia="Arial" w:hAnsi="Arial"/>
          <w:sz w:val="18"/>
          <w:szCs w:val="18"/>
          <w:color w:val="auto"/>
        </w:rPr>
        <w:t>DC wires can generate sustained electrical arcs, reaching temperatures of more than 5,000 °F. This creates the risk of fire for solar PV installation owners and injury for installers and maintenance personnel.</w:t>
      </w:r>
    </w:p>
    <w:p>
      <w:pPr>
        <w:spacing w:after="0" w:line="46"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35" w:lineRule="exact"/>
        <w:rPr>
          <w:sz w:val="20"/>
          <w:szCs w:val="20"/>
          <w:color w:val="auto"/>
        </w:rPr>
      </w:pPr>
    </w:p>
    <w:p>
      <w:pPr>
        <w:ind w:left="980" w:hanging="486"/>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36" w:lineRule="exact"/>
        <w:rPr>
          <w:rFonts w:ascii="Arial" w:cs="Arial" w:eastAsia="Arial" w:hAnsi="Arial"/>
          <w:sz w:val="17"/>
          <w:szCs w:val="17"/>
          <w:color w:val="auto"/>
        </w:rPr>
      </w:pPr>
    </w:p>
    <w:p>
      <w:pPr>
        <w:ind w:left="980" w:right="120" w:hanging="486"/>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We design, develop, manufacture and sell a microinverter system for the solar PV industry. We have built from the ground up a semiconductor-based microinverter system that converts energy at the individual solar module level and, combined with our proprietary networking and software technologies, provides advanced energy monitoring and control. This is vastly different than the central inverter approach that can only convert energy of the entire array of solar modules from a single high voltage electrical unit, and lacks intelligence about the energy producing capacity of the solar array.</w:t>
      </w:r>
    </w:p>
    <w:p>
      <w:pPr>
        <w:spacing w:after="0" w:line="1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Our microinverter solution brings a system-based, high technology approach to solar energy generation leveraging our design expertise across power electronics, semiconductors, networking, and embedded and web-based software technologies. Our microinverter system consists of three key components: our Enphase microinverter, Envoy communications gateway and Enlighten web-based software:</w:t>
      </w:r>
    </w:p>
    <w:p>
      <w:pPr>
        <w:spacing w:after="0" w:line="46" w:lineRule="exact"/>
        <w:rPr>
          <w:sz w:val="20"/>
          <w:szCs w:val="20"/>
          <w:color w:val="auto"/>
        </w:rPr>
      </w:pPr>
    </w:p>
    <w:p>
      <w:pPr>
        <w:ind w:left="980" w:hanging="486"/>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Enphase microinverter delivers efficient and reliable power conversion at the individual solar module level by introducing a digital architecture that incorporates custom application specific integrated circuits, or ASICs, specialized power electronics devices and an embedded software subsystem that optimizes energy production from each module and manages the core ASIC functions. A residential solar installation typically consists of 5 to 50 microinverters; a small commercial solar installation typically consists of 50 to 500 microinverters; and a medium or larger commercial solar installation typically consists of 500 to 10,000 microinverters, or more.</w:t>
      </w:r>
    </w:p>
    <w:p>
      <w:pPr>
        <w:spacing w:after="0" w:line="37" w:lineRule="exact"/>
        <w:rPr>
          <w:rFonts w:ascii="Arial" w:cs="Arial" w:eastAsia="Arial" w:hAnsi="Arial"/>
          <w:sz w:val="17"/>
          <w:szCs w:val="17"/>
          <w:color w:val="auto"/>
        </w:rPr>
      </w:pPr>
    </w:p>
    <w:p>
      <w:pPr>
        <w:ind w:left="980" w:right="8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Envoy communications gateway is installed in the system owner’s home or business and serves as a networking hub that collects data from the microinverter array and sends the information to our hosted data center. One Envoy is typically sold with each solar installation and can support up to [500] Enphase microinverters.</w:t>
      </w:r>
    </w:p>
    <w:p>
      <w:pPr>
        <w:spacing w:after="0" w:line="46" w:lineRule="exact"/>
        <w:rPr>
          <w:rFonts w:ascii="Arial" w:cs="Arial" w:eastAsia="Arial" w:hAnsi="Arial"/>
          <w:sz w:val="18"/>
          <w:szCs w:val="18"/>
          <w:color w:val="auto"/>
        </w:rPr>
      </w:pPr>
    </w:p>
    <w:p>
      <w:pPr>
        <w:ind w:left="980" w:right="100" w:hanging="486"/>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Enlighten web-based software collects and analyzes this information to enable system owners to monitor and realize the highest performance of their solar PV system. In addition, Enlighten also provides an online portal specifically designed for installers to enable them to track and manage all of their Enphase enabled projects and monitor and analyze the performance of their installed systems.</w:t>
      </w:r>
    </w:p>
    <w:p>
      <w:pPr>
        <w:spacing w:after="0" w:line="3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Together, our Enphase microinverter, Envoy communications gateway and Enlighten web-based software function as a single unified system that enhances energy production, simplifies design and installation, reduces costs, increases system uptime and reliability, reduces fire safety risk and provides the ability to monitor performance in real-time. With an Enphase microinverter system, we believe solar system owners can achieve a higher return on investment over the lifetime of the solar system than would be achieved using a traditional central inverter approach.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solution include:</w:t>
      </w:r>
    </w:p>
    <w:p>
      <w:pPr>
        <w:spacing w:after="0" w:line="158" w:lineRule="exact"/>
        <w:rPr>
          <w:sz w:val="20"/>
          <w:szCs w:val="20"/>
          <w:color w:val="auto"/>
        </w:rPr>
      </w:pPr>
    </w:p>
    <w:p>
      <w:pPr>
        <w:ind w:left="880" w:right="20" w:firstLine="648"/>
        <w:spacing w:after="0" w:line="259" w:lineRule="auto"/>
        <w:rPr>
          <w:sz w:val="20"/>
          <w:szCs w:val="20"/>
          <w:color w:val="auto"/>
        </w:rPr>
      </w:pPr>
      <w:r>
        <w:rPr>
          <w:rFonts w:ascii="Arial" w:cs="Arial" w:eastAsia="Arial" w:hAnsi="Arial"/>
          <w:sz w:val="18"/>
          <w:szCs w:val="18"/>
          <w:i w:val="1"/>
          <w:iCs w:val="1"/>
          <w:color w:val="auto"/>
        </w:rPr>
        <w:t xml:space="preserve">Productive-Superior Energy Production. </w:t>
      </w:r>
      <w:r>
        <w:rPr>
          <w:rFonts w:ascii="Arial" w:cs="Arial" w:eastAsia="Arial" w:hAnsi="Arial"/>
          <w:sz w:val="18"/>
          <w:szCs w:val="18"/>
          <w:color w:val="auto"/>
        </w:rPr>
        <w:t>Our microinverter system enables the maximum possible energy production from each module,</w:t>
      </w:r>
      <w:r>
        <w:rPr>
          <w:rFonts w:ascii="Arial" w:cs="Arial" w:eastAsia="Arial" w:hAnsi="Arial"/>
          <w:sz w:val="18"/>
          <w:szCs w:val="18"/>
          <w:i w:val="1"/>
          <w:iCs w:val="1"/>
          <w:color w:val="auto"/>
        </w:rPr>
        <w:t xml:space="preserve"> </w:t>
      </w:r>
      <w:r>
        <w:rPr>
          <w:rFonts w:ascii="Arial" w:cs="Arial" w:eastAsia="Arial" w:hAnsi="Arial"/>
          <w:sz w:val="18"/>
          <w:szCs w:val="18"/>
          <w:color w:val="auto"/>
        </w:rPr>
        <w:t>overcoming a fundamental design limitation of central inverters which are limited by the lowest performing module. We believe that our microinverter systems achieve higher energy production and can generate superior returns on investment relative to central inverter solutions for system owners.</w:t>
      </w:r>
    </w:p>
    <w:p>
      <w:pPr>
        <w:spacing w:after="0" w:line="119" w:lineRule="exact"/>
        <w:rPr>
          <w:sz w:val="20"/>
          <w:szCs w:val="20"/>
          <w:color w:val="auto"/>
        </w:rPr>
      </w:pPr>
    </w:p>
    <w:p>
      <w:pPr>
        <w:ind w:left="880" w:right="20" w:firstLine="648"/>
        <w:spacing w:after="0" w:line="297" w:lineRule="auto"/>
        <w:rPr>
          <w:sz w:val="20"/>
          <w:szCs w:val="20"/>
          <w:color w:val="auto"/>
        </w:rPr>
      </w:pPr>
      <w:r>
        <w:rPr>
          <w:rFonts w:ascii="Arial" w:cs="Arial" w:eastAsia="Arial" w:hAnsi="Arial"/>
          <w:sz w:val="16"/>
          <w:szCs w:val="16"/>
          <w:i w:val="1"/>
          <w:iCs w:val="1"/>
          <w:color w:val="auto"/>
        </w:rPr>
        <w:t xml:space="preserve">Reliable-Longer Life and No Single Point of Failure. </w:t>
      </w:r>
      <w:r>
        <w:rPr>
          <w:rFonts w:ascii="Arial" w:cs="Arial" w:eastAsia="Arial" w:hAnsi="Arial"/>
          <w:sz w:val="16"/>
          <w:szCs w:val="16"/>
          <w:color w:val="auto"/>
        </w:rPr>
        <w:t>Reduction of component count, primarily through semiconductor integration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microinverter, allows us to design a reliable system that can withstand harsh environmental conditions. In addition, because we process low voltages and power levels, our components experience less stress and last longer than traditional central inverters. Furthermore, the distributed architecture of our microinverter system translates into greater system uptime. If a microinverter unit fails, it results in lost energy production from a single solar module only and not the entire array. In addition, we offer a limited warranty of up to 25 years on our microinverters.</w:t>
      </w:r>
    </w:p>
    <w:p>
      <w:pPr>
        <w:spacing w:after="0" w:line="91" w:lineRule="exact"/>
        <w:rPr>
          <w:sz w:val="20"/>
          <w:szCs w:val="20"/>
          <w:color w:val="auto"/>
        </w:rPr>
      </w:pPr>
    </w:p>
    <w:p>
      <w:pPr>
        <w:ind w:left="880" w:right="40" w:firstLine="648"/>
        <w:spacing w:after="0" w:line="293" w:lineRule="auto"/>
        <w:rPr>
          <w:sz w:val="20"/>
          <w:szCs w:val="20"/>
          <w:color w:val="auto"/>
        </w:rPr>
      </w:pPr>
      <w:r>
        <w:rPr>
          <w:rFonts w:ascii="Arial" w:cs="Arial" w:eastAsia="Arial" w:hAnsi="Arial"/>
          <w:sz w:val="16"/>
          <w:szCs w:val="16"/>
          <w:i w:val="1"/>
          <w:iCs w:val="1"/>
          <w:color w:val="auto"/>
        </w:rPr>
        <w:t xml:space="preserve">Simple-Ease of Design and Installation. </w:t>
      </w:r>
      <w:r>
        <w:rPr>
          <w:rFonts w:ascii="Arial" w:cs="Arial" w:eastAsia="Arial" w:hAnsi="Arial"/>
          <w:sz w:val="16"/>
          <w:szCs w:val="16"/>
          <w:color w:val="auto"/>
        </w:rPr>
        <w:t>Using microinverter technology, an installer can design a system of any size and any roof</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with a simple modular approach. After initial installation, the system can be easily expanded by even a single module. Our single inverter per module approach converts directly to AC and enables a simpler, all AC design, eliminating the extra cost, training and complexity associated with typical high voltage DC implementation. Without these complexities, installation of microinverter technology is greatly simplified, improving installers’ productivity. This also enables a new class of solar installer, such as electricians and general contractors. Finally, our microinverters are installed on the roof and hidden from view, with minimal impact to the aesthetics of a home or building.</w:t>
      </w:r>
    </w:p>
    <w:p>
      <w:pPr>
        <w:spacing w:after="0" w:line="43" w:lineRule="exact"/>
        <w:rPr>
          <w:sz w:val="20"/>
          <w:szCs w:val="20"/>
          <w:color w:val="auto"/>
        </w:rPr>
      </w:pPr>
    </w:p>
    <w:p>
      <w:pPr>
        <w:ind w:left="880" w:firstLine="648"/>
        <w:spacing w:after="0" w:line="302" w:lineRule="auto"/>
        <w:rPr>
          <w:sz w:val="20"/>
          <w:szCs w:val="20"/>
          <w:color w:val="auto"/>
        </w:rPr>
      </w:pPr>
      <w:r>
        <w:rPr>
          <w:rFonts w:ascii="Arial" w:cs="Arial" w:eastAsia="Arial" w:hAnsi="Arial"/>
          <w:sz w:val="16"/>
          <w:szCs w:val="16"/>
          <w:i w:val="1"/>
          <w:iCs w:val="1"/>
          <w:color w:val="auto"/>
        </w:rPr>
        <w:t xml:space="preserve">Smart-Module-Level Monitoring and Analytics. </w:t>
      </w:r>
      <w:r>
        <w:rPr>
          <w:rFonts w:ascii="Arial" w:cs="Arial" w:eastAsia="Arial" w:hAnsi="Arial"/>
          <w:sz w:val="16"/>
          <w:szCs w:val="16"/>
          <w:color w:val="auto"/>
        </w:rPr>
        <w:t>Our microinverter system allows us to collect energy production information in real time</w:t>
      </w:r>
      <w:r>
        <w:rPr>
          <w:rFonts w:ascii="Arial" w:cs="Arial" w:eastAsia="Arial" w:hAnsi="Arial"/>
          <w:sz w:val="16"/>
          <w:szCs w:val="16"/>
          <w:i w:val="1"/>
          <w:iCs w:val="1"/>
          <w:color w:val="auto"/>
        </w:rPr>
        <w:t xml:space="preserve"> </w:t>
      </w:r>
      <w:r>
        <w:rPr>
          <w:rFonts w:ascii="Arial" w:cs="Arial" w:eastAsia="Arial" w:hAnsi="Arial"/>
          <w:sz w:val="16"/>
          <w:szCs w:val="16"/>
          <w:color w:val="auto"/>
        </w:rPr>
        <w:t>on a per solar module basis. This enables powerful system analytics and allows Enphase to offer installers visibility into how systems are performing and the ability to continuously optimize energy production-which is particularly important when operating commercial solar installations. Such services include system performance and diagnostics, benchmarking, as well as system and module alerts and fault statistics.</w:t>
      </w:r>
    </w:p>
    <w:p>
      <w:pPr>
        <w:spacing w:after="0" w:line="87" w:lineRule="exact"/>
        <w:rPr>
          <w:sz w:val="20"/>
          <w:szCs w:val="20"/>
          <w:color w:val="auto"/>
        </w:rPr>
      </w:pPr>
    </w:p>
    <w:p>
      <w:pPr>
        <w:jc w:val="both"/>
        <w:ind w:left="880" w:right="200" w:firstLine="648"/>
        <w:spacing w:after="0" w:line="264" w:lineRule="auto"/>
        <w:rPr>
          <w:sz w:val="20"/>
          <w:szCs w:val="20"/>
          <w:color w:val="auto"/>
        </w:rPr>
      </w:pPr>
      <w:r>
        <w:rPr>
          <w:rFonts w:ascii="Arial" w:cs="Arial" w:eastAsia="Arial" w:hAnsi="Arial"/>
          <w:sz w:val="18"/>
          <w:szCs w:val="18"/>
          <w:i w:val="1"/>
          <w:iCs w:val="1"/>
          <w:color w:val="auto"/>
        </w:rPr>
        <w:t xml:space="preserve">Safe-“All AC” Solution. </w:t>
      </w:r>
      <w:r>
        <w:rPr>
          <w:rFonts w:ascii="Arial" w:cs="Arial" w:eastAsia="Arial" w:hAnsi="Arial"/>
          <w:sz w:val="18"/>
          <w:szCs w:val="18"/>
          <w:color w:val="auto"/>
        </w:rPr>
        <w:t>Microinverters are safer because they process low DC voltages relative to central inverters. High voltage arc</w:t>
      </w:r>
      <w:r>
        <w:rPr>
          <w:rFonts w:ascii="Arial" w:cs="Arial" w:eastAsia="Arial" w:hAnsi="Arial"/>
          <w:sz w:val="18"/>
          <w:szCs w:val="18"/>
          <w:i w:val="1"/>
          <w:iCs w:val="1"/>
          <w:color w:val="auto"/>
        </w:rPr>
        <w:t xml:space="preserve"> </w:t>
      </w:r>
      <w:r>
        <w:rPr>
          <w:rFonts w:ascii="Arial" w:cs="Arial" w:eastAsia="Arial" w:hAnsi="Arial"/>
          <w:sz w:val="18"/>
          <w:szCs w:val="18"/>
          <w:color w:val="auto"/>
        </w:rPr>
        <w:t>faults associated with traditional central inverter are the leading cause of fires of solar PV installations. Microinverter technology mitigates this safety risk.</w:t>
      </w:r>
    </w:p>
    <w:p>
      <w:pPr>
        <w:spacing w:after="0" w:line="11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Due to the benefits of our solution, we believe solar installers achieve greater productivity and competitive differentiation over installers of traditional central inverter solar PV installations, and the solar system owner achieves a higher return on investment with an Enphase microinverter system over the life of the solar system.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Our objective is to continue to be the leading provider of microinverter systems for the solar industry worldwide and to accelerate the shift from traditional central inverters to microinverter technology. Key elements of our strategy include:</w:t>
      </w:r>
    </w:p>
    <w:p>
      <w:pPr>
        <w:spacing w:after="0" w:line="35" w:lineRule="exact"/>
        <w:rPr>
          <w:sz w:val="20"/>
          <w:szCs w:val="20"/>
          <w:color w:val="auto"/>
        </w:rPr>
      </w:pPr>
    </w:p>
    <w:p>
      <w:pPr>
        <w:ind w:left="980" w:right="2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Penetrate Our Core Markets. </w:t>
      </w:r>
      <w:r>
        <w:rPr>
          <w:rFonts w:ascii="Arial" w:cs="Arial" w:eastAsia="Arial" w:hAnsi="Arial"/>
          <w:sz w:val="18"/>
          <w:szCs w:val="18"/>
          <w:color w:val="auto"/>
        </w:rPr>
        <w:t>We intend to capitalize on our market leadership in the microinverter category and our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installers and owners to expand our market share position in our core U.S. market.</w:t>
      </w:r>
    </w:p>
    <w:p>
      <w:pPr>
        <w:spacing w:after="0" w:line="35"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Enter New Geographic Markets. </w:t>
      </w:r>
      <w:r>
        <w:rPr>
          <w:rFonts w:ascii="Arial" w:cs="Arial" w:eastAsia="Arial" w:hAnsi="Arial"/>
          <w:sz w:val="18"/>
          <w:szCs w:val="18"/>
          <w:color w:val="auto"/>
        </w:rPr>
        <w:t>We intend to further increase our market share in Europe and Asia Pacific region. In addition,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into new markets with new and existing products and local go-to-market capabilities.</w:t>
      </w:r>
    </w:p>
    <w:p>
      <w:pPr>
        <w:spacing w:after="0" w:line="35" w:lineRule="exact"/>
        <w:rPr>
          <w:rFonts w:ascii="Arial" w:cs="Arial" w:eastAsia="Arial" w:hAnsi="Arial"/>
          <w:sz w:val="18"/>
          <w:szCs w:val="18"/>
          <w:color w:val="auto"/>
        </w:rPr>
      </w:pPr>
    </w:p>
    <w:p>
      <w:pPr>
        <w:ind w:left="980" w:right="560" w:hanging="486"/>
        <w:spacing w:after="0" w:line="33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 Our Product Offering for Commercial Installations, Utility-Scale Installations and Microgrids. </w:t>
      </w:r>
      <w:r>
        <w:rPr>
          <w:rFonts w:ascii="Arial" w:cs="Arial" w:eastAsia="Arial" w:hAnsi="Arial"/>
          <w:sz w:val="16"/>
          <w:szCs w:val="16"/>
          <w:color w:val="auto"/>
        </w:rPr>
        <w:t>We intend to expand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by introducing new microinverter systems targeted at larger commercial installations, utility-scale installations and microgrids.</w:t>
      </w:r>
    </w:p>
    <w:p>
      <w:pPr>
        <w:spacing w:after="0" w:line="1" w:lineRule="exact"/>
        <w:rPr>
          <w:rFonts w:ascii="Arial" w:cs="Arial" w:eastAsia="Arial" w:hAnsi="Arial"/>
          <w:sz w:val="16"/>
          <w:szCs w:val="16"/>
          <w:color w:val="auto"/>
        </w:rPr>
      </w:pPr>
    </w:p>
    <w:p>
      <w:pPr>
        <w:ind w:left="980" w:right="60" w:hanging="486"/>
        <w:spacing w:after="0" w:line="264" w:lineRule="auto"/>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above 96.5% and AC output power beyond 250 watts. We intend to continue to leverage our semiconductor integration, power electronics expertise and manufacturing economies of scale to further reduce cost per watt.</w:t>
      </w:r>
    </w:p>
    <w:p>
      <w:pPr>
        <w:spacing w:after="0" w:line="46" w:lineRule="exact"/>
        <w:rPr>
          <w:rFonts w:ascii="Arial" w:cs="Arial" w:eastAsia="Arial" w:hAnsi="Arial"/>
          <w:sz w:val="18"/>
          <w:szCs w:val="18"/>
          <w:i w:val="1"/>
          <w:iCs w:val="1"/>
          <w:color w:val="auto"/>
        </w:rPr>
      </w:pPr>
    </w:p>
    <w:p>
      <w:pPr>
        <w:ind w:left="980" w:right="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Extend Our Technological Innovation. </w:t>
      </w:r>
      <w:r>
        <w:rPr>
          <w:rFonts w:ascii="Arial" w:cs="Arial" w:eastAsia="Arial" w:hAnsi="Arial"/>
          <w:sz w:val="18"/>
          <w:szCs w:val="18"/>
          <w:color w:val="auto"/>
        </w:rPr>
        <w:t>We distinguish ourselves from other inverter companies with our system- based and high-tech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ability to leverage strong research and development capabilities. As of December 31, 2014, we had 50 issued U.S. patents, 26 issued foreign patents, 89 pending U.S. patent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applications and 159 pending foreign counterpart patent applications.</w:t>
      </w:r>
    </w:p>
    <w:p>
      <w:pPr>
        <w:spacing w:after="0" w:line="104" w:lineRule="exact"/>
        <w:rPr>
          <w:sz w:val="20"/>
          <w:szCs w:val="20"/>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Provide Enphase Energy Services</w:t>
      </w:r>
      <w:r>
        <w:rPr>
          <w:rFonts w:ascii="Arial" w:cs="Arial" w:eastAsia="Arial" w:hAnsi="Arial"/>
          <w:sz w:val="18"/>
          <w:szCs w:val="18"/>
          <w:color w:val="auto"/>
        </w:rPr>
        <w:t>. We are building out an asset management and operations and maintenance service organization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demand for services in the residential, commercial and utility scale PV systems.</w:t>
      </w:r>
    </w:p>
    <w:p>
      <w:pPr>
        <w:spacing w:after="0" w:line="35" w:lineRule="exact"/>
        <w:rPr>
          <w:rFonts w:ascii="Arial" w:cs="Arial" w:eastAsia="Arial" w:hAnsi="Arial"/>
          <w:sz w:val="18"/>
          <w:szCs w:val="18"/>
          <w:color w:val="auto"/>
        </w:rPr>
      </w:pPr>
    </w:p>
    <w:p>
      <w:pPr>
        <w:ind w:left="980" w:right="400" w:hanging="486"/>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Develop a Software Management Platform. </w:t>
      </w:r>
      <w:r>
        <w:rPr>
          <w:rFonts w:ascii="Arial" w:cs="Arial" w:eastAsia="Arial" w:hAnsi="Arial"/>
          <w:sz w:val="17"/>
          <w:szCs w:val="17"/>
          <w:color w:val="auto"/>
        </w:rPr>
        <w:t>We intend to build upon our strong position as the leading supplier of microinverter systems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additional energy management services for our growing network of solar installers worldwide.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94"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We currently offer microinverter systems targeting the residential and commercial markets in the United States, Canada, the United Kingdom, France, the Benelux region, certain other European markets, Australia and New Zealand. We sell our microinverter systems primarily to solar distributors who resell to installers and integrators, who in turn integrate our products into complete solar PV installations for residential and commercial system owners. We work with many of the leading solar distributors. In 2014, Vivint Solar, Inc. and CED Greentech accounted for 24% and 16% of total net revenues, respectively. In addition to our distributors, we sell directly to large installers, OEMs and strategic partners. Our OEM customers include solar module manufacturers who bundle our products and solutions with their solar module products and resell to both distributors and installers. Strategic partners include a variety of companies and arrangements, including industrial equipment suppliers and providers of solar financing solutions. We also sell the Enphase-branded product directly to electrical contractor distributors in North America. Historically, revenues generated from the U.S. market have represented more than 80% of our total revenues, with the remainder from Canada, Europe and Asia Pacific region.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9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outsource the manufacturing of our products to two key manufacturing partners, Flextronics International Ltd. and Phoenix Contact GmbH &amp; Co. KG. Flextronics assembles and tests our microinverter pursuant to a manufacturing services agreement. Prices for such services are mutually agreed to by the parties on a quarterly basis and we are obligated to purchase manufactured products and raw materials that cannot be resold upon the termination of the agreement. Flextronics’ assembly and test plants for our products are located in Fuyong, China. Flextronics also provides receiving, kitting, storage, transportation, inventory visibility and other value-added logistics services at locations managed by Flextronics pursuant to a logistics services agreement. Phoenix manufactures our custom AC cable pursuant to a cooperation agreement. Phoenix’s facilities are located in Poland and China. In addition, we rely on several unaffiliated companies to supply certain components used in the fabrication of our microinverter system.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maintain high levels of customer engagement through our customer support group and the Enlighten web-based software portal, and have cultivated an organizational focus on customer satisfaction. Our dedicated customer support group focuses on responding to inbound inquiries regarding any of our products and services. As of December 31, 2014, our customer support staff consisted of 67 employees in the United States, 11 employees in Europe and 3 employees in Australia.</w:t>
      </w:r>
    </w:p>
    <w:p>
      <w:pPr>
        <w:spacing w:after="0" w:line="5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addition, customized support programs are being developed for selected OEM partners, large direct installers and distributors to help prioritize and track support issues for key partners and to provide a single point of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devote substantial resources to research and development with the objective of developing new products and systems, adding new features to existing products and systems and reducing unit costs of our Enphase microinverter system. Our development strategy is to identify features, products and systems for both software and hardware that reduce the cost and optimize the effectiveness of our microinverter solutions for our customers. We measure the effectiveness of our research and development against metrics, including product unit cost, efficiency, reliability, power output and ease-of-use. As of December 31, 2014, our research and development staff consisted of 207 employees, of whom 184 were located in the United States and the remainder primarily located in New Zealand.</w:t>
      </w:r>
    </w:p>
    <w:p>
      <w:pPr>
        <w:spacing w:after="0" w:line="5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research and development expenses were $45.4 million, $34.5 million and $35.6 million for the years ended December 31, 2014, 2013 and 2012,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2014, we had 50 issued U.S. patents, 26 issued foreign patents, 89 pending U.S. patent applications and 159 pending foreign counterpart patent applications. Our issued patents are scheduled to expire between years 2027 and 2032.</w:t>
      </w:r>
    </w:p>
    <w:p>
      <w:pPr>
        <w:spacing w:after="0" w:line="19"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We license certain power line communications technology and software for integration into our ASICs pursuant to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 the solar energy market. The license carries a seventy-five year term, subject to earlier termination upon mutual agreement of the parties, or by us in connection with the insolvency of the licensor.</w:t>
      </w:r>
    </w:p>
    <w:p>
      <w:pPr>
        <w:spacing w:after="0" w:line="23" w:lineRule="exact"/>
        <w:rPr>
          <w:sz w:val="20"/>
          <w:szCs w:val="20"/>
          <w:color w:val="auto"/>
        </w:rPr>
      </w:pPr>
    </w:p>
    <w:p>
      <w:pPr>
        <w:ind w:right="160" w:firstLine="446"/>
        <w:spacing w:after="0" w:line="290" w:lineRule="auto"/>
        <w:rPr>
          <w:sz w:val="20"/>
          <w:szCs w:val="20"/>
          <w:color w:val="auto"/>
        </w:rPr>
      </w:pPr>
      <w:r>
        <w:rPr>
          <w:rFonts w:ascii="Arial" w:cs="Arial" w:eastAsia="Arial" w:hAnsi="Arial"/>
          <w:sz w:val="16"/>
          <w:szCs w:val="16"/>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3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We continually assess appropriate occasions for seeking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46"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133"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27"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microinverter, technology or business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Historically, sales of our products in the second, third and fourth quarters have been positively affected by seasonal customer demand trends, including solar economic incentives, weather patterns and construction cycles, followed by a seasonally softer first quarter. Although these seasonal factors are common in the solar sector, historical patterns should not be considered a reliable indicator of our future sales activity or performance.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markets for our products are highly competitive, and we compete both with well-established traditional central inverter manufacturers and new technology start-ups. The principal areas in which we compete with other companies include:</w:t>
      </w:r>
    </w:p>
    <w:p>
      <w:pPr>
        <w:spacing w:after="0" w:line="3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 (usually measured by levelized cost of electricity, or LCOE);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customer service and support;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 and local electrical code;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Currently, competitors in the inverter market range from large, international companies such as SMA Solar Technology AG, Fronius International GmbH and ABB to emerging companies offering alternative microinverter or other solar electronics products such as DC-to-DC optimizers.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traditional central or string inverter technology is supplemented by DC-to-DC optimizers. SMA Solar Technology AG and ABB have introduced microinverter products. In addition, several new entrants to the microinverter market have recently announced plans to ship or have already shipped products, including some of our OEM customers and partners.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20" w:firstLine="446"/>
        <w:spacing w:after="0" w:line="264" w:lineRule="auto"/>
        <w:rPr>
          <w:sz w:val="20"/>
          <w:szCs w:val="20"/>
          <w:color w:val="auto"/>
        </w:rPr>
      </w:pPr>
      <w:r>
        <w:rPr>
          <w:rFonts w:ascii="Arial" w:cs="Arial" w:eastAsia="Arial" w:hAnsi="Arial"/>
          <w:sz w:val="18"/>
          <w:szCs w:val="18"/>
          <w:color w:val="auto"/>
        </w:rPr>
        <w:t>As of December 31, 2014, we had 539 employees. Of the full-time employees, 207 were engaged in research and development, 203 in sales and marketing, 61 in a general and administrative capacity and 68 in manufacturing and operations. Of these employees, 469 were in the United States, 35 in Europe, 21 in New Zealand, 12 in Australia and two employees in Canada.</w:t>
      </w:r>
    </w:p>
    <w:p>
      <w:pPr>
        <w:spacing w:after="0" w:line="127"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None of our U.S., New Zealand, U.K. and Australia employees are represented by a labor union with respect to his or her employment with us; however, our employees in France and Italy are represented by a collective bargaining agreement. We have not experienced any employment-related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7"/>
          <w:szCs w:val="17"/>
          <w:u w:val="single" w:color="auto"/>
          <w:color w:val="0000FF"/>
        </w:rPr>
        <w:t>www.enphase.com</w:t>
      </w:r>
      <w:r>
        <w:rPr>
          <w:rFonts w:ascii="Arial" w:cs="Arial" w:eastAsia="Arial" w:hAnsi="Arial"/>
          <w:sz w:val="17"/>
          <w:szCs w:val="17"/>
          <w:color w:val="auto"/>
        </w:rPr>
        <w:t xml:space="preserve"> (under “Investors-Financial Information-SEC Filings”),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incurred significant losses since we began doing business. We incurred net losses of $8.1 million, $25.9 million and $38.2 million for 2014, 2013 and 2012, respectively. As of December 31, 2014, we had an accumulated deficit of $161.0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relatively short operating history makes it difficult to evaluate our current business and future prospects.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While we have been in existence since 2006 and began shipping our products in commercial quantities until mid-2008, much of our growth has occurred in recent periods. Our relatively short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0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28"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elimination or expiration of governmental subsidies and economic incentives for on-grid solar electricity applications.</w:t>
      </w:r>
    </w:p>
    <w:p>
      <w:pPr>
        <w:spacing w:after="0" w:line="11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expires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derive a significant portion of our revenues from California, which is the largest single solar market in the United States.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1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temporarily suspended for further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also sell our products in Europe.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1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Australia recently elected a new national government. The new leadership has pledged to revise national energy policy, including potentially reducing Australia's renewable energy target and revising certain renewable energy financing mechanisms. In July 2014, the new leadership successfully repealed the tax on carbon emissions.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reduce and control product costs;</w:t>
      </w:r>
    </w:p>
    <w:p>
      <w:pPr>
        <w:spacing w:after="0" w:line="117"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To date, we have competed primarily against central or string inverter manufacturers. Marketing and selling our microinverter systems against traditional inverter solutions is highly competitive. Currently, competitors in the inverter market range from large companies such as SMA Solar Technology AG, Fronius International GmbH and ABB to emerging companies offering alternative microinverter or other solar electronics products, including DC to DC optimizer products. Several of our existing and potential competitors are significantly larger, have greater financial, marketing, distribution, customer support and other resources, are more established than we are, and have significantly better brand recognition, especially in certain markets.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Competition has intensified and we expect it to continue to intensify as new and existing competitors enter the microinverter market and additional add-on components like DC to DC optimizers that can be used with central or string inverters continue to gain more traction. SMA Solar Technology AG and ABB market and sell microinverter products. We believe that a number of companies have developed or are developing microinverters and other products that will compete directly with our microinverter systems. In addition, several new entrants to the microinverter market have recently announced plans to ship or have already shipped products.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recently acquired SolarBridge Technologies, Inc., a microinverter manufacturer selling in small volumes.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4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62"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62"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62"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right="720" w:firstLine="432"/>
        <w:spacing w:after="0" w:line="312" w:lineRule="auto"/>
        <w:rPr>
          <w:sz w:val="20"/>
          <w:szCs w:val="20"/>
          <w:color w:val="auto"/>
        </w:rPr>
      </w:pPr>
      <w:r>
        <w:rPr>
          <w:rFonts w:ascii="Arial" w:cs="Arial" w:eastAsia="Arial" w:hAnsi="Arial"/>
          <w:sz w:val="16"/>
          <w:szCs w:val="16"/>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2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17"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the United Kingdom, France, the Benelux region, certain other European markets, Australia and New Zealand.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79"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17"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3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6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Australia, New Zealand,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would reduce our revenues, harm our relationships with our customers and damage our relationships with our distributors and end customers and cause us to forgo potential revenue opportunities.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and sales to developers of third party solar finance offerings. In 2014, Vivint Solar, Inc. and CED Greentech accounted for 24% and 16% of total net revenues, respectively. In 2013, Vivint Solar, Inc., CED Greentech and Focused Energy, Inc. accounted for 15%, 14% and 11% of total net revenues, respectively. We do not have exclusive arrangements with these third parties and, as a result, many of our customers also market and sell products from our competitors, which may reduce our sales. Our customers may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70" w:lineRule="exact"/>
        <w:rPr>
          <w:sz w:val="20"/>
          <w:szCs w:val="20"/>
          <w:color w:val="auto"/>
        </w:rPr>
      </w:pPr>
    </w:p>
    <w:p>
      <w:pPr>
        <w:ind w:left="980" w:right="6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a party to a loan and security agreements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markets that we are pursuing.</w:t>
      </w:r>
    </w:p>
    <w:p>
      <w:pPr>
        <w:spacing w:after="0" w:line="17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are pursuing opportunities in energy management and energy storage. We have made and will continue to make investments in our infrastructure, increased our operating costs and forgone other business opportunities in order to seek opportunities in these areas. If these new potential business segments fail to translate into revenue in the quantities or timeline projected it could have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1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destroy or disrupt vital infrastructure systems or interrupt our operations or services for any extended period of time, our business, financial condition and results of operations would be materially and adversely affected.</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may also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Recently, contentious negotiations between the Pacific Maritime Association and the International Longshore &amp; Warehouse Union have resulted in port slowdowns which have caused port congestion and major delays in the transfer of cargo in the United States West Coast. Accordingly, we have had to ship a higher percentage of our products to our customers in North America via air transportation. Material interruptions in service or stoppages in transportation, such as the aforementioned dispute, whether caused by strike, work stoppage, lock-out, slowdown or otherwise, could materially and adversely impact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“Part I. Item 1A. Risk Factors” of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right="80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affiliated stockholders, executive officers and directors own approximately 50%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62"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8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91"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Our corporate headquarters occupy approximately 120,000 square feet in Petaluma, California under a lease that expires in April 2022 and accommodates our principal engineering, sales, marketing, operations and finance and administrative activities. In addition to our corporate headquarters in Petaluma, as of December 31, 2014, we leased office space in Boise, Idaho, Santa Clara and Berkeley, California, the United Kingdom, France, Australia, New Zealand and China. These regional facilities total over 160,000 square feet. At this time, we believe our facilities are adequate for our near term operational and business needs.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9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0"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Our common stock has been traded on The NASDAQ Global Market under the symbol “ENPH” since March 30, 2012. The following table sets forth the range of intra-day high and low sales prices per share of our common stock as reported on the NASDAQ Global Market for the periods indicated.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Price Range</w:t>
            </w:r>
          </w:p>
        </w:tc>
      </w:tr>
      <w:tr>
        <w:trPr>
          <w:trHeight w:val="263"/>
        </w:trPr>
        <w:tc>
          <w:tcPr>
            <w:tcW w:w="100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10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Low</w:t>
            </w:r>
          </w:p>
        </w:tc>
      </w:tr>
      <w:tr>
        <w:trPr>
          <w:trHeight w:val="149"/>
        </w:trPr>
        <w:tc>
          <w:tcPr>
            <w:tcW w:w="8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2014</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4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40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4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40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15.82</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9.86</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Fiscal Year 2013</w:t>
            </w: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8"/>
        </w:trPr>
        <w:tc>
          <w:tcPr>
            <w:tcW w:w="2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40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40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4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40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6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2015, there were approximately 44 holders of record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80" w:firstLine="446"/>
        <w:spacing w:after="0" w:line="312" w:lineRule="auto"/>
        <w:rPr>
          <w:sz w:val="20"/>
          <w:szCs w:val="20"/>
          <w:color w:val="auto"/>
        </w:rPr>
      </w:pPr>
      <w:r>
        <w:rPr>
          <w:rFonts w:ascii="Arial" w:cs="Arial" w:eastAsia="Arial" w:hAnsi="Arial"/>
          <w:sz w:val="16"/>
          <w:szCs w:val="16"/>
          <w:color w:val="auto"/>
        </w:rPr>
        <w:t>We have never paid any cash dividends on our common stock. We currently anticipate that we will retain any available funds to finance the growth and operation of our business and we do not anticipate paying any cash dividends in the foreseeable future. Certain present or future agreements may limit or prevent the payment of dividends on our common stock. For example, our credit agreement with Wells Fargo prohibits the payment of dividends.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2014. An investment of $100 is assumed to have been made in our common stock and in each index on March 29, 2012 and its relative performance is tracked through December 31, 2014.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118110</wp:posOffset>
            </wp:positionV>
            <wp:extent cx="5763260" cy="339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3/29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6/30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12/31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6/30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12/31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3/31</w:t>
            </w:r>
          </w:p>
        </w:tc>
        <w:tc>
          <w:tcPr>
            <w:tcW w:w="2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6/30</w:t>
            </w:r>
          </w:p>
        </w:tc>
        <w:tc>
          <w:tcPr>
            <w:tcW w:w="32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9/30</w:t>
            </w:r>
          </w:p>
        </w:tc>
        <w:tc>
          <w:tcPr>
            <w:tcW w:w="2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w:t>
            </w:r>
          </w:p>
        </w:tc>
      </w:tr>
      <w:tr>
        <w:trPr>
          <w:trHeight w:val="27"/>
        </w:trPr>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8"/>
                <w:szCs w:val="18"/>
                <w:color w:val="auto"/>
                <w:w w:val="91"/>
              </w:rPr>
              <w:t>Enphase Energy,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Guggenheim Solar</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620" w:type="dxa"/>
            <w:vAlign w:val="bottom"/>
          </w:tcPr>
          <w:p>
            <w:pPr>
              <w:ind w:left="220"/>
              <w:spacing w:after="0"/>
              <w:rPr>
                <w:sz w:val="20"/>
                <w:szCs w:val="20"/>
                <w:color w:val="auto"/>
              </w:rPr>
            </w:pPr>
            <w:r>
              <w:rPr>
                <w:rFonts w:ascii="Arial" w:cs="Arial" w:eastAsia="Arial" w:hAnsi="Arial"/>
                <w:sz w:val="18"/>
                <w:szCs w:val="18"/>
                <w:color w:val="auto"/>
              </w:rPr>
              <w:t>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 xml:space="preserve">The information set forth below for the five years ended December 31, 2014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the consolidated financial statements and related notes thereto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of this Annual Report on Form 10-K to fully understand the factors that may affect the comparability of the information presented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80" w:type="dxa"/>
            <w:vAlign w:val="bottom"/>
            <w:gridSpan w:val="8"/>
          </w:tcPr>
          <w:p>
            <w:pPr>
              <w:jc w:val="right"/>
              <w:ind w:right="731"/>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w w:val="92"/>
              </w:rPr>
              <w:t>Consolidated Statement of Operations Data:</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343,904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232,846</w:t>
            </w:r>
          </w:p>
        </w:tc>
        <w:tc>
          <w:tcPr>
            <w:tcW w:w="62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149,523</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230,861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165,430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120,454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55,159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113,043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45,386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41,003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31,083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37"/>
        </w:trPr>
        <w:tc>
          <w:tcPr>
            <w:tcW w:w="35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117,472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89,574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Net loss attributable to common stockholders</w:t>
            </w:r>
          </w:p>
        </w:tc>
        <w:tc>
          <w:tcPr>
            <w:tcW w:w="3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20" w:type="dxa"/>
            <w:vAlign w:val="bottom"/>
            <w:gridSpan w:val="3"/>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38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62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8"/>
              </w:rPr>
              <w:t>Shares used in computing net loss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w w:val="94"/>
              </w:rPr>
              <w:t>42,903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41,647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30,740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1,255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9"/>
              </w:rPr>
              <w:t>2012</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42,032</w:t>
            </w:r>
          </w:p>
        </w:tc>
        <w:tc>
          <w:tcPr>
            <w:tcW w:w="340" w:type="dxa"/>
            <w:vAlign w:val="bottom"/>
          </w:tcPr>
          <w:p>
            <w:pPr>
              <w:spacing w:after="0"/>
              <w:rPr>
                <w:sz w:val="21"/>
                <w:szCs w:val="21"/>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38,190</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45,294</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51,524</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39,993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152,192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116,669</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122,291</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91"/>
              <w:spacing w:after="0"/>
              <w:rPr>
                <w:sz w:val="20"/>
                <w:szCs w:val="20"/>
                <w:color w:val="auto"/>
              </w:rPr>
            </w:pPr>
            <w:r>
              <w:rPr>
                <w:rFonts w:ascii="Arial" w:cs="Arial" w:eastAsia="Arial" w:hAnsi="Arial"/>
                <w:sz w:val="18"/>
                <w:szCs w:val="18"/>
                <w:color w:val="auto"/>
                <w:w w:val="95"/>
              </w:rPr>
              <w:t>106,242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8,677</w:t>
            </w:r>
          </w:p>
        </w:tc>
        <w:tc>
          <w:tcPr>
            <w:tcW w:w="9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11,061</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14,677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56,655</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87"/>
              </w:rPr>
              <w:t>13,974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Data:</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56,190</w:t>
            </w:r>
          </w:p>
        </w:tc>
        <w:tc>
          <w:tcPr>
            <w:tcW w:w="340" w:type="dxa"/>
            <w:vAlign w:val="bottom"/>
          </w:tcPr>
          <w:p>
            <w:pPr>
              <w:spacing w:after="0"/>
              <w:rPr>
                <w:sz w:val="21"/>
                <w:szCs w:val="21"/>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57,144</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61,143</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29,417</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39,753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29.0</w:t>
            </w:r>
          </w:p>
        </w:tc>
        <w:tc>
          <w:tcPr>
            <w:tcW w:w="9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19.4  %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7.2 million microinverters as of December 31, 2014, which represents over 1.6 gigawatt (AC) of solar PV generating capacity. We currently offer microinverter systems targeting the residential and commercial markets in the United States, Canada, the United Kingdom, France, the Benelux region, certain other European markets, Australia and New Zealand.</w:t>
      </w:r>
    </w:p>
    <w:p>
      <w:pPr>
        <w:spacing w:after="0" w:line="58"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revenues generated from the U.S. market have represented more than 80% of our total revenues, with the remainder from Canada, Europe and Asia Pacific region.</w:t>
      </w:r>
    </w:p>
    <w:p>
      <w:pPr>
        <w:spacing w:after="0" w:line="46" w:lineRule="exact"/>
        <w:rPr>
          <w:sz w:val="20"/>
          <w:szCs w:val="20"/>
          <w:color w:val="auto"/>
        </w:rPr>
      </w:pPr>
    </w:p>
    <w:p>
      <w:pPr>
        <w:ind w:right="420" w:firstLine="446"/>
        <w:spacing w:after="0" w:line="273" w:lineRule="auto"/>
        <w:rPr>
          <w:sz w:val="20"/>
          <w:szCs w:val="20"/>
          <w:color w:val="auto"/>
        </w:rPr>
      </w:pPr>
      <w:r>
        <w:rPr>
          <w:rFonts w:ascii="Arial" w:cs="Arial" w:eastAsia="Arial" w:hAnsi="Arial"/>
          <w:sz w:val="17"/>
          <w:szCs w:val="17"/>
          <w:color w:val="auto"/>
        </w:rPr>
        <w:t>We have experienced significant revenue growth since our first commercial shipment in mid-2008. Our net revenues were $343.9 million, $232.8 million and $216.7 million for 2014, 2013 and 2012, respectively, which reflects deeper market penetration and broader acceptance of microinverter technology. We incurred net losses of $8.1 million, $25.9 million and $38.2 million for 2014, 2013 and 2012, respectively, as we continued to invest substantial resources to support the growth of our business, including marketing and developing our products, expanding into new product markets and geographies, maintaining and enhancing our research and development operations and personnel-related costs due to growth in headcount. Our full-time employee headcount has grown from 384 at December 31, 2012 to 539 at December 31,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Operating Results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2014, we grew our revenues, improved gross margin and operating margin and improved cash flows provided by operating activities.</w:t>
      </w:r>
    </w:p>
    <w:p>
      <w:pPr>
        <w:spacing w:after="0" w:line="90"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grew our net revenues to $343.9 million in 2014, as compared to $232.8 million in 2013, representing an increase of $111.1 million or 48%. Our net loss was $8.1 million in 2014, as compared to a net loss of $25.9 million in 2013, representing a decrease of $17.8 million or 69%. We generated cash flows from operations of $24.2 million in 2014 compared to approximately break-even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62"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revenue is affected by changes in the volume and average selling prices of our microinverter systems, driven by supply and demand, sales incentives, and competitive product offerings. Our revenue growth is dependent on our ability to develop and introduce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46" w:lineRule="exact"/>
        <w:rPr>
          <w:sz w:val="20"/>
          <w:szCs w:val="20"/>
          <w:color w:val="auto"/>
        </w:rPr>
      </w:pPr>
    </w:p>
    <w:p>
      <w:pPr>
        <w:jc w:val="both"/>
        <w:ind w:right="420" w:firstLine="446"/>
        <w:spacing w:after="0" w:line="312"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39"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North America, Europe, Australia and New Zealand.</w:t>
      </w:r>
    </w:p>
    <w:p>
      <w:pPr>
        <w:spacing w:after="0" w:line="62"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(including changes in estimates) and sales volume fluctuations resulting from seasonality.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incentive compensation and stock-based compensation. We expect personnel costs to continue to increase as we hire new employees to support our anticipated growth. We expect that each of the categories of operating expenses discussed below will increase in absolute dollars, but will decline as a percentage of total revenues in the long term.</w:t>
      </w:r>
    </w:p>
    <w:p>
      <w:pPr>
        <w:spacing w:after="0" w:line="80"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substantial resources in our research and development efforts because we believe they are critical to maintaining our competitive position.</w:t>
      </w:r>
    </w:p>
    <w:p>
      <w:pPr>
        <w:spacing w:after="0" w:line="70"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Historically, substantially all of our sales have been in the United States and Canada. We began selling into France, Italy and the Benelux region in the fourth quarter of 2011 and commenced volume shipments to such regions in the second quarter of 2012. In addition, we opened a sales office in the United Kingdom during the second quarter of 2012 and began shipping products to the United Kingdom in the third quarter of 2012. In late 2013, we expanded into the Australia and New Zealand markets by opening a sales office in Australia. We expect to continue to expand the geographic reach of our product offerings and explore new sales channels in addressable markets in the future.</w:t>
      </w:r>
    </w:p>
    <w:p>
      <w:pPr>
        <w:spacing w:after="0" w:line="103" w:lineRule="exact"/>
        <w:rPr>
          <w:sz w:val="20"/>
          <w:szCs w:val="20"/>
          <w:color w:val="auto"/>
        </w:rPr>
      </w:pPr>
    </w:p>
    <w:p>
      <w:pPr>
        <w:ind w:right="300" w:firstLine="446"/>
        <w:spacing w:after="0" w:line="259"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Other income (expense), net includes interest expense on amounts outstanding under our term loans, convertible note facility and non-cash interest expense related to the amortization of debt discounts and deferred financing costs. Other income (expense), net also includes gains or losses upon conversion of non-U.S. dollar transactions into U.S. dollars and from foreign currency forward contracts.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the Company has generated in the United States since inception, the Company believes that it is more-likely-than-not that all of its U.S. and state deferred tax assets will not be realized as of December 31,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Statements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343,904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230,861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161,390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2014, 2013 and 2012</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4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w w:val="91"/>
              </w:rPr>
              <w:t>(In thousands, except percentages)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2"/>
              </w:rPr>
              <w:t>(In thousands, except percentages)</w:t>
            </w:r>
          </w:p>
        </w:tc>
        <w:tc>
          <w:tcPr>
            <w:tcW w:w="580" w:type="dxa"/>
            <w:vAlign w:val="bottom"/>
          </w:tcPr>
          <w:p>
            <w:pPr>
              <w:spacing w:after="0"/>
              <w:rPr>
                <w:sz w:val="21"/>
                <w:szCs w:val="2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343,904</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232,846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w w:val="94"/>
              </w:rPr>
              <w:t>$ 111,058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  $</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232,846</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216,678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16,168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b w:val="1"/>
          <w:bCs w:val="1"/>
          <w:i w:val="1"/>
          <w:iCs w:val="1"/>
          <w:color w:val="auto"/>
        </w:rPr>
        <w:t xml:space="preserve">2014 Compared to 2013. </w:t>
      </w:r>
      <w:r>
        <w:rPr>
          <w:rFonts w:ascii="Arial" w:cs="Arial" w:eastAsia="Arial" w:hAnsi="Arial"/>
          <w:sz w:val="17"/>
          <w:szCs w:val="17"/>
          <w:color w:val="auto"/>
        </w:rPr>
        <w:t>Net revenues increased by 48% to $343.9 million in 2014, as compared to 2013. The increase in net revenues was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driven by sales of our fourth generation microinverter, which was launched in mid-2013, and continued strength in our core U.S. residential market. The number of microinverter units sold increased by 59% from 1,625,000 units in 2013 to 2,580,000 units in 2014. Revenues grew year-over year at a slightly slower pace than units shipped due to a decline in the average selling price, which was consistent with trends in the solar industry.</w:t>
      </w:r>
    </w:p>
    <w:p>
      <w:pPr>
        <w:spacing w:after="0" w:line="117"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Net revenues increased by 7% to $232.8 million in 2013, as compared to 2012. The increase in net revenues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increase in microinverter units shipped as well as a larger mix of microinverter accessories. The number of microinverter units sold increased by 8% from 1,510,000 units in 2012 to 1,625,000 units in 2013. Substantially all units shipped in both years consisted of our third generation product. Revenues grew year-over year at a slightly slower pace than units shipped due a decline in the average selling price, which was consistent with trends in the solar industry.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20"/>
                <w:szCs w:val="20"/>
                <w:color w:val="auto"/>
              </w:rPr>
            </w:pPr>
          </w:p>
        </w:tc>
      </w:tr>
      <w:tr>
        <w:trPr>
          <w:trHeight w:val="264"/>
        </w:trPr>
        <w:tc>
          <w:tcPr>
            <w:tcW w:w="2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4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w w:val="89"/>
              </w:rPr>
              <w:t>(In thousands, except percentages)</w:t>
            </w:r>
          </w:p>
        </w:tc>
        <w:tc>
          <w:tcPr>
            <w:tcW w:w="540" w:type="dxa"/>
            <w:vAlign w:val="bottom"/>
          </w:tcPr>
          <w:p>
            <w:pPr>
              <w:spacing w:after="0"/>
              <w:rPr>
                <w:sz w:val="21"/>
                <w:szCs w:val="21"/>
                <w:color w:val="auto"/>
              </w:rPr>
            </w:pPr>
          </w:p>
        </w:tc>
      </w:tr>
      <w:tr>
        <w:trPr>
          <w:trHeight w:val="256"/>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230,861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165,430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65,431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165,430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161,390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8"/>
                <w:szCs w:val="18"/>
                <w:color w:val="auto"/>
              </w:rPr>
              <w:t>$   4,040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113,043</w:t>
            </w:r>
          </w:p>
        </w:tc>
        <w:tc>
          <w:tcPr>
            <w:tcW w:w="34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67,416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45,627</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67,416</w:t>
            </w:r>
          </w:p>
        </w:tc>
        <w:tc>
          <w:tcPr>
            <w:tcW w:w="40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55,288</w:t>
            </w:r>
          </w:p>
        </w:tc>
        <w:tc>
          <w:tcPr>
            <w:tcW w:w="100" w:type="dxa"/>
            <w:vAlign w:val="bottom"/>
          </w:tcPr>
          <w:p>
            <w:pPr>
              <w:spacing w:after="0"/>
              <w:rPr>
                <w:sz w:val="21"/>
                <w:szCs w:val="21"/>
                <w:color w:val="auto"/>
              </w:rPr>
            </w:pPr>
          </w:p>
        </w:tc>
        <w:tc>
          <w:tcPr>
            <w:tcW w:w="1300" w:type="dxa"/>
            <w:vAlign w:val="bottom"/>
          </w:tcPr>
          <w:p>
            <w:pPr>
              <w:jc w:val="right"/>
              <w:ind w:right="439"/>
              <w:spacing w:after="0"/>
              <w:rPr>
                <w:sz w:val="20"/>
                <w:szCs w:val="20"/>
                <w:color w:val="auto"/>
              </w:rPr>
            </w:pPr>
            <w:r>
              <w:rPr>
                <w:rFonts w:ascii="Arial" w:cs="Arial" w:eastAsia="Arial" w:hAnsi="Arial"/>
                <w:sz w:val="18"/>
                <w:szCs w:val="18"/>
                <w:color w:val="auto"/>
              </w:rPr>
              <w:t>12,128</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7"/>
        </w:trPr>
        <w:tc>
          <w:tcPr>
            <w:tcW w:w="2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b w:val="1"/>
          <w:bCs w:val="1"/>
          <w:i w:val="1"/>
          <w:iCs w:val="1"/>
          <w:color w:val="auto"/>
        </w:rPr>
        <w:t xml:space="preserve">2014 Compared to 2013. </w:t>
      </w:r>
      <w:r>
        <w:rPr>
          <w:rFonts w:ascii="Arial" w:cs="Arial" w:eastAsia="Arial" w:hAnsi="Arial"/>
          <w:sz w:val="17"/>
          <w:szCs w:val="17"/>
          <w:color w:val="auto"/>
        </w:rPr>
        <w:t>Cost of revenues increased by 40% in 2014, as compared to 2013, while net revenues increased by 48%. The increase in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revenues was primarily due to an increase in the number of microinverter units sold to customers, consistent with the overall increase in net revenues as described above. Gross margin increased by 3.9 percentage points to 32.9% in 2014, as compared to 29.0% in 2013. Contributing to the increase was a larger proportion of sales from our higher-margin fourth generation microinverters sold in 2014 as compared to 2013. Also contributing to the increase in gross margin was lower warranty expense in 2014 as compared to 2013. Warranty expense, as a percentage of net revenues, decreased from 7.1% in 2013 to 3.6% in 2014 primarily due to a decrease in incremental provisions (as a percentage of net revenues) for changes in estimates. In 2014, incremental provisions for changes in estimates represented 2.4% of net revenues, as compared to 4.4% in 2013. In addition, our election to measure warranty obligations related to microinverters sold since January 1, 2014 at fair value improved gross margin by 1.5 percentage points. See Note 7, “Warranty Obligations” to the consolidated financial statements for further discussion.</w:t>
      </w:r>
    </w:p>
    <w:p>
      <w:pPr>
        <w:spacing w:after="0" w:line="12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b w:val="1"/>
          <w:bCs w:val="1"/>
          <w:i w:val="1"/>
          <w:iCs w:val="1"/>
          <w:color w:val="auto"/>
        </w:rPr>
        <w:t xml:space="preserve">2013 Compared to 2012. </w:t>
      </w:r>
      <w:r>
        <w:rPr>
          <w:rFonts w:ascii="Arial" w:cs="Arial" w:eastAsia="Arial" w:hAnsi="Arial"/>
          <w:sz w:val="17"/>
          <w:szCs w:val="17"/>
          <w:color w:val="auto"/>
        </w:rPr>
        <w:t>Cost of revenues increased by 3% in 2013, as compared to 2012, while net revenues increased by 7 %. The increase in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was primarily due to an increase in the number of microinverter units sold to customers, consistent with the overall increase in net revenues as described above. Gross margin increased by 3.5 percentage points to 29.0% in 2013, as compared to 25.5% in 2012, primarily due to a lower cost per microinverter unit and larger mix of sales from microinverter accessories. While our third generation product represented substantially all of 2013 and 2012 sales, we were able to achieve lower per unit costs in 2013, as compared to 2012, due to production efficiencies gained through experience with the manufacturing process, which had a favorable impact on gross margin. Costs of revenues in 2013 and 2012 included warranty expense of $10.3 million and $7.6 million, respectively, resulting from net changes in estimates, which reduced gross margin by approximately 4.4 and 3.5 percentage points, respectively. See Note 7, “Warranty Obligations” to the consolidated financial statements for further discussion.</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80" w:type="dxa"/>
            <w:vAlign w:val="bottom"/>
            <w:gridSpan w:val="5"/>
          </w:tcPr>
          <w:p>
            <w:pPr>
              <w:jc w:val="right"/>
              <w:ind w:right="542"/>
              <w:spacing w:after="0"/>
              <w:rPr>
                <w:sz w:val="20"/>
                <w:szCs w:val="20"/>
                <w:color w:val="auto"/>
              </w:rPr>
            </w:pPr>
            <w:r>
              <w:rPr>
                <w:rFonts w:ascii="Arial" w:cs="Arial" w:eastAsia="Arial" w:hAnsi="Arial"/>
                <w:sz w:val="14"/>
                <w:szCs w:val="14"/>
                <w:b w:val="1"/>
                <w:bCs w:val="1"/>
                <w:color w:val="auto"/>
                <w:w w:val="91"/>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45,386</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10,862</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  $</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34,524</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35,601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(1,077)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17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Research and development expenses increased by $10.9 million in 2014 as compared to 2013. This increase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29% increase in research and development headcount, which resulted in increased expense of $7.2 million from salaries, incentive compensation and stock-based compensation. In addition, there was an increase in outside contract services of $3.0 million to support the development of our next generation microinverter system. The remaining increase of $0.5 million was attributed to higher depreciation and amortization related to research and development equipment.</w:t>
      </w:r>
    </w:p>
    <w:p>
      <w:pPr>
        <w:spacing w:after="0" w:line="134"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Research and development expenses decreased by $1.1 million in 2013 as compared to 2012, primarily due to a $1.6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outside contract services, offset by a $0.3 million increase in depreciation and amortization related to research and development equipment and a $0.2 million increase in personnel-related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80" w:type="dxa"/>
            <w:vAlign w:val="bottom"/>
            <w:gridSpan w:val="5"/>
          </w:tcPr>
          <w:p>
            <w:pPr>
              <w:jc w:val="right"/>
              <w:ind w:right="54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w w:val="91"/>
              </w:rPr>
              <w:t>(In thousands, except percentages)</w:t>
            </w:r>
          </w:p>
        </w:tc>
        <w:tc>
          <w:tcPr>
            <w:tcW w:w="56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41,003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31,080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9,923</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  $</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31,080</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25,973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5,107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Sales and marketing expenses increased by $9.9 million in 2014 as compared to 2013. This increase was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increase in sales and marketing headcount, which resulted in increased expense of $9.1 million from salaries, incentive compensation and stock-based compensation. In addition, increased marketing activities mostly from trade shows and use of outside consultants contributed $1.3 million to the increase. The increase was partially offset by $0.5 million in bad debt recoveries.</w:t>
      </w:r>
    </w:p>
    <w:p>
      <w:pPr>
        <w:spacing w:after="0" w:line="133"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Sales and marketing expenses increased by $5.1 million in 2013 as compared to 2012, primarily due to increases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headcount and operations in domestic and international markets. Personnel-related costs increased by $4.0 million, which included a $0.6 million increase in non-cash stock-based compensation. Costs associated with establishing our presence in Australia contributed an additional $1.8 million to the increase in 2013. The increase was partially offset by a decrease in marketing expenses primarily attributable to lower expenditures on trade shows of $0.6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6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1"/>
              </w:rPr>
              <w:t>(In thousands, except percentages)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31,083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23,970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7,113</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23,970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(905)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175"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General and administrative expenses increased by $7.1 million in 2014 as compared to 2013. This increase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increase in personnel-related costs of $4.6 million related to modest headcount growth and increases in incentive and stock-based compensation for existing employees. In addition, an increase in the use of outside consultants including advisory services for our secondary offering and acquisition contributed $1.6 million to the increase. The remaining increase was attributable to facilities-related costs, information technology costs and other general corporate expenses.</w:t>
      </w:r>
    </w:p>
    <w:p>
      <w:pPr>
        <w:spacing w:after="0" w:line="188" w:lineRule="exact"/>
        <w:rPr>
          <w:sz w:val="20"/>
          <w:szCs w:val="20"/>
          <w:color w:val="auto"/>
        </w:rPr>
      </w:pPr>
    </w:p>
    <w:p>
      <w:pPr>
        <w:ind w:right="720" w:firstLine="446"/>
        <w:spacing w:after="0" w:line="277" w:lineRule="auto"/>
        <w:rPr>
          <w:sz w:val="20"/>
          <w:szCs w:val="20"/>
          <w:color w:val="auto"/>
        </w:rPr>
      </w:pPr>
      <w:r>
        <w:rPr>
          <w:rFonts w:ascii="Arial" w:cs="Arial" w:eastAsia="Arial" w:hAnsi="Arial"/>
          <w:sz w:val="18"/>
          <w:szCs w:val="18"/>
          <w:b w:val="1"/>
          <w:bCs w:val="1"/>
          <w:i w:val="1"/>
          <w:iCs w:val="1"/>
          <w:color w:val="auto"/>
        </w:rPr>
        <w:t xml:space="preserve">2013 Compared to 2012. </w:t>
      </w:r>
      <w:r>
        <w:rPr>
          <w:rFonts w:ascii="Arial" w:cs="Arial" w:eastAsia="Arial" w:hAnsi="Arial"/>
          <w:sz w:val="18"/>
          <w:szCs w:val="18"/>
          <w:color w:val="auto"/>
        </w:rPr>
        <w:t>General and administrative expenses decreased by $0.9 million in 2013 as compared to 2012,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use of outside consultants and professional services.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3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6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Other income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35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3,514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2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40" w:firstLine="446"/>
        <w:spacing w:after="0" w:line="312" w:lineRule="auto"/>
        <w:rPr>
          <w:sz w:val="20"/>
          <w:szCs w:val="20"/>
          <w:color w:val="auto"/>
        </w:rPr>
      </w:pPr>
      <w:r>
        <w:rPr>
          <w:rFonts w:ascii="Arial" w:cs="Arial" w:eastAsia="Arial" w:hAnsi="Arial"/>
          <w:sz w:val="16"/>
          <w:szCs w:val="16"/>
          <w:b w:val="1"/>
          <w:bCs w:val="1"/>
          <w:i w:val="1"/>
          <w:iCs w:val="1"/>
          <w:color w:val="auto"/>
        </w:rPr>
        <w:t xml:space="preserve">2014 Compared to 2013. </w:t>
      </w:r>
      <w:r>
        <w:rPr>
          <w:rFonts w:ascii="Arial" w:cs="Arial" w:eastAsia="Arial" w:hAnsi="Arial"/>
          <w:sz w:val="16"/>
          <w:szCs w:val="16"/>
          <w:color w:val="auto"/>
        </w:rPr>
        <w:t>Other expense remained flat at $2.9 million in 2014 and 2013, respectively, and primarily consisted of interest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transaction losses. In December 2014, we recorded $0.3 million of interest expense related to the write-off of deferred financing costs and the unaccrued portion of the end of term fee in connection with the voluntary prepayment of our term loan with Hercules Technology Growth Capital, Inc.</w:t>
      </w:r>
    </w:p>
    <w:p>
      <w:pPr>
        <w:spacing w:after="0" w:line="147" w:lineRule="exact"/>
        <w:rPr>
          <w:sz w:val="20"/>
          <w:szCs w:val="20"/>
          <w:color w:val="auto"/>
        </w:rPr>
      </w:pPr>
    </w:p>
    <w:p>
      <w:pPr>
        <w:jc w:val="both"/>
        <w:ind w:right="580" w:firstLine="446"/>
        <w:spacing w:after="0" w:line="286" w:lineRule="auto"/>
        <w:rPr>
          <w:sz w:val="20"/>
          <w:szCs w:val="20"/>
          <w:color w:val="auto"/>
        </w:rPr>
      </w:pPr>
      <w:r>
        <w:rPr>
          <w:rFonts w:ascii="Arial" w:cs="Arial" w:eastAsia="Arial" w:hAnsi="Arial"/>
          <w:sz w:val="17"/>
          <w:szCs w:val="17"/>
          <w:b w:val="1"/>
          <w:bCs w:val="1"/>
          <w:i w:val="1"/>
          <w:iCs w:val="1"/>
          <w:color w:val="auto"/>
        </w:rPr>
        <w:t xml:space="preserve">2013 Compared to 2012. </w:t>
      </w:r>
      <w:r>
        <w:rPr>
          <w:rFonts w:ascii="Arial" w:cs="Arial" w:eastAsia="Arial" w:hAnsi="Arial"/>
          <w:sz w:val="17"/>
          <w:szCs w:val="17"/>
          <w:color w:val="auto"/>
        </w:rPr>
        <w:t>Other expense decreased by $3.5 million in 2013 as compared to 2012. The decrease was primarily attributable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 million charge recorded as interest expense in 2012 upon conversion of our convertible facility at our IPO. In addition, interest expense related to outstanding debt balances was lower in 2013, as compared to 2012, due to lower average debt levels.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20" w:firstLine="446"/>
        <w:spacing w:after="0" w:line="308" w:lineRule="auto"/>
        <w:rPr>
          <w:sz w:val="20"/>
          <w:szCs w:val="20"/>
          <w:color w:val="auto"/>
        </w:rPr>
      </w:pPr>
      <w:r>
        <w:rPr>
          <w:rFonts w:ascii="Arial" w:cs="Arial" w:eastAsia="Arial" w:hAnsi="Arial"/>
          <w:sz w:val="17"/>
          <w:szCs w:val="17"/>
          <w:color w:val="auto"/>
        </w:rPr>
        <w:t>As of December 31, 2014, we had $42.0 million in cash and cash equivalents and no debt. Cash and cash equivalents held in the United States were $37.0 million and consisted primarily of non-interest bearing checking deposits, with the remainder held in various foreign subsidiaries.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51,436</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ind w:right="260" w:firstLine="446"/>
        <w:spacing w:after="0" w:line="312" w:lineRule="auto"/>
        <w:rPr>
          <w:sz w:val="20"/>
          <w:szCs w:val="20"/>
          <w:color w:val="auto"/>
        </w:rPr>
      </w:pPr>
      <w:r>
        <w:rPr>
          <w:rFonts w:ascii="Arial" w:cs="Arial" w:eastAsia="Arial" w:hAnsi="Arial"/>
          <w:sz w:val="16"/>
          <w:szCs w:val="16"/>
          <w:color w:val="auto"/>
        </w:rPr>
        <w:t>For 2014, net cash provided by operating activities was $24.2 million. Our net loss of $8.1 million was more than offset by non-cash charges and net changes in operating assets and liabilities. Non-cash charges included $9.7 million of stock-based compensation, $8.3 million of depreciation and amortization and $1.4 million of other non-cash charges. In addition, cash provided by net changes in operating assets and liabilities was $12.8 million.</w:t>
      </w:r>
    </w:p>
    <w:p>
      <w:pPr>
        <w:spacing w:after="0" w:line="1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Sources of cash totaled $34.1 million resulting from an increase of $25.3 million in accounts payable, accrued and other liabilities, an increase of $5.3 million in deferred revenues and an increase of $3.5 million in warranty obligations. The increases in accounts payable, deferred revenues and warranty obligations were primarily attributable to higher sales volume and inventory purchases. Accrued and other liabilities increased primarily due to amounts due under our annual incentive compensation plan.</w:t>
      </w:r>
    </w:p>
    <w:p>
      <w:pPr>
        <w:spacing w:after="0" w:line="52"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Uses of cash included a $13.7 million increase in accounts receivable, a $5.0 million increase in inventory and a $2.5 million increase in prepaid expenses and other assets. The increases were primarily attributable to higher sales volume and higher inventory requirements to support anticipated year-over-year sales growth in the first quarter of 2015.</w:t>
      </w:r>
    </w:p>
    <w:p>
      <w:pPr>
        <w:spacing w:after="0" w:line="46"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For 2013, net cash used in operating activities was $0.9 million. Our net loss of $25.9 million was substantially offset by non-cash charges and net changes in operating assets and liabilities. Non-cash items included $7.0 million of depreciation and amortization, $6.9 million of stock-based compensation, a provision for doubtful accounts of $0.7 million and $0.4 million of non-cash interest expense. In addition, cash provided by net changes in operating assets and liabilities was $10.0 million.</w:t>
      </w:r>
    </w:p>
    <w:p>
      <w:pPr>
        <w:spacing w:after="0" w:line="52"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For 2012, net cash used in operating activities was $44.6 million primarily resulting from a net loss of $38.2 million. The net loss was partially offset by non-cash items including, depreciation and amortization of $5.6 million, stock-based compensation of $4.8 million and interest expense of $4.8 million. In addition, the effect of changes in net operating assets and liabilities resulted in the use of cash totaling $22.2 million.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relates to capital expenditures to support our growth.</w:t>
      </w:r>
    </w:p>
    <w:p>
      <w:pPr>
        <w:spacing w:after="0" w:line="171"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For 2014, net cash used in investing activities of $16.5 million included purchases of test and assembly equipment and the development of software for internal use. In addition, we acquired substantially all of the assets of Next Phase Solar, Inc. (“NPS”) for an initial cash consideration of $2.5 million, which includes $0.3 million being held back to cover indemnification obligations of the selling party and recorded as restricted cash. In a separate transaction, we purchased certain patents related to system interconnection and photovoltaic AC module construction for $0.8 million.</w:t>
      </w:r>
    </w:p>
    <w:p>
      <w:pPr>
        <w:spacing w:after="0" w:line="117"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For 2013, net cash used in investing activities of $6.3 million included purchases of test and assembly equipment and the development of software for internal use.</w:t>
      </w:r>
    </w:p>
    <w:p>
      <w:pPr>
        <w:spacing w:after="0" w:line="116"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For 2012, net cash used in investing activities of $13.0 million included purchases of test equipment and expenditures on leasehold improvements and furniture and fixtures in connection with our relocation to a new headquarter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540" w:firstLine="446"/>
        <w:spacing w:after="0" w:line="308" w:lineRule="auto"/>
        <w:rPr>
          <w:sz w:val="20"/>
          <w:szCs w:val="20"/>
          <w:color w:val="auto"/>
        </w:rPr>
      </w:pPr>
      <w:r>
        <w:rPr>
          <w:rFonts w:ascii="Arial" w:cs="Arial" w:eastAsia="Arial" w:hAnsi="Arial"/>
          <w:sz w:val="17"/>
          <w:szCs w:val="17"/>
          <w:color w:val="auto"/>
        </w:rPr>
        <w:t>For 2014, net cash used in financing activities consisted of $8.7 million related to repayment of all outstanding principal under our term loan and equipment financing facility, offset by $5.4 million received from common stock issuance pursuant to our equity incentive plans.</w:t>
      </w:r>
    </w:p>
    <w:p>
      <w:pPr>
        <w:spacing w:after="0" w:line="14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For 2013, net cash used by financing activities was insignificant. Cash received from common stock issuance pursuant to our equity incentive plans was $2.4 million. These inflows of cash were offset by principal repayments of term loans of $2.4 million.</w:t>
      </w:r>
    </w:p>
    <w:p>
      <w:pPr>
        <w:spacing w:after="0" w:line="116"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For 2012, net cash provided by financing activities primarily consisted of net proceeds of $56.4 million received from our IPO, after deducting underwriting discounts and commissions and other offering costs paid during 2012. Cash used in financing activities consisted of $14.1 million in principal repayments of term loans and $1.0 million in financing costs associated with entering into new credit facilities in November 2012. This was partially offset by $10.0 million in proceeds from term loan borrowings.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Revolving Credit Facility</w:t>
      </w:r>
    </w:p>
    <w:p>
      <w:pPr>
        <w:spacing w:after="0" w:line="17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ended 2014 with no debt and $42.0 million of cash and cash equivalents. As of and for the year ended December 31, 2014, we were in compliance with all financial and non-financial covenants under our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have a $50.0 million revolving credit facility (the “Revolver”) with Wells Fargo Bank, N.A. (“Wells Fargo”) that was entered into in November 2012 and subsequently amended in February 2014 to extend the maturity date to November 2016. The amount of loans available to be drawn under the Revolver is subject to a borrowing base calculation that limits availability to a percentage of eligible domestic accounts receivable plus a percentage of the value of eligible domestic inventory, less certain reserves. Loans under the Revolver bear interest in cash at an annual rate equal to, at our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us to maintain at least $15.0 million of liquidity at all times, of which at least $5.0 million must be undrawn availability. To date, we have not drawn on the Revolver and approximately $37.6 million was available for borrowing as of December 31, 2014 based on eligible accounts receivable and inventory balances pursuant to the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Repayment of Term Loan</w:t>
      </w:r>
    </w:p>
    <w:p>
      <w:pPr>
        <w:spacing w:after="0" w:line="90" w:lineRule="exact"/>
        <w:rPr>
          <w:sz w:val="20"/>
          <w:szCs w:val="20"/>
          <w:color w:val="auto"/>
        </w:rPr>
      </w:pPr>
    </w:p>
    <w:p>
      <w:pPr>
        <w:ind w:right="500" w:firstLine="486"/>
        <w:spacing w:after="0" w:line="288" w:lineRule="auto"/>
        <w:rPr>
          <w:sz w:val="20"/>
          <w:szCs w:val="20"/>
          <w:color w:val="auto"/>
        </w:rPr>
      </w:pPr>
      <w:r>
        <w:rPr>
          <w:rFonts w:ascii="Arial" w:cs="Arial" w:eastAsia="Arial" w:hAnsi="Arial"/>
          <w:sz w:val="16"/>
          <w:szCs w:val="16"/>
          <w:color w:val="auto"/>
        </w:rPr>
        <w:t>On November 7, 2012, we entered into a Loan and Security Agreement (“Loan Agreement”) with Hercules Technology Growth Capital, Inc. (“Hercules”) and made an initial draw of $7.4 million. In addition, the Loan Agreement provided $15.6 million in additional borrowing capacity, which expired undrawn on March 31, 2014. Borrowings under the Loan Agreement bore interest at an annual rate equal to the higher of (i) the prime rate plus</w:t>
      </w:r>
    </w:p>
    <w:p>
      <w:pPr>
        <w:ind w:right="240"/>
        <w:spacing w:after="0" w:line="254" w:lineRule="auto"/>
        <w:rPr>
          <w:sz w:val="20"/>
          <w:szCs w:val="20"/>
          <w:color w:val="auto"/>
        </w:rPr>
      </w:pPr>
      <w:r>
        <w:rPr>
          <w:rFonts w:ascii="Arial" w:cs="Arial" w:eastAsia="Arial" w:hAnsi="Arial"/>
          <w:sz w:val="18"/>
          <w:szCs w:val="18"/>
          <w:color w:val="auto"/>
        </w:rPr>
        <w:t>8.25% or (b) 11.5%. Payments for the first 15 months were for interest-only and equal monthly payments thereafter through the maturity date of August 1, 2016 were for interest and principal. The Loan Agreement included a fixed $0.6 million back-end fee due on the earlier of prepayment in full or upon expiration of the Loan Agreement. Borrowings under the Loan Agreement were secured by a pledge of substantially all of our assets other than intellectual property. The Loan Agreement did not include any financial covenants.</w:t>
      </w:r>
    </w:p>
    <w:p>
      <w:pPr>
        <w:spacing w:after="0" w:line="5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On December 8, 2014, we repaid all of the $5.8 million in outstanding indebtedness including accrued interest and related fees thereon and terminated the Loan Agreement, which was scheduled to mature on August 1,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Repayment of Equipment Financing Facility</w:t>
      </w:r>
    </w:p>
    <w:p>
      <w:pPr>
        <w:spacing w:after="0" w:line="90"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On June 13, 2011, we entered into a $5.0 million equipment financing facility with Hercules with a three year term. Borrowings under the equipment financing facility had a variable interest rate set at the higher of 5.75% above the prime lending rate and 9.0% annually. Borrowings were secured by the financed equipment and restricts our ability to pay dividends and take on certain types of additional liens. On July 1, 2014, the equipment financing facility expired in accordance with its terms and all remaining amounts outstanding were repaid in full.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7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strategy.</w:t>
      </w:r>
    </w:p>
    <w:p>
      <w:pPr>
        <w:spacing w:after="0" w:line="46" w:lineRule="exact"/>
        <w:rPr>
          <w:sz w:val="20"/>
          <w:szCs w:val="20"/>
          <w:color w:val="auto"/>
        </w:rPr>
      </w:pPr>
    </w:p>
    <w:p>
      <w:pPr>
        <w:ind w:right="220" w:firstLine="446"/>
        <w:spacing w:after="0" w:line="334" w:lineRule="auto"/>
        <w:rPr>
          <w:sz w:val="20"/>
          <w:szCs w:val="20"/>
          <w:color w:val="auto"/>
        </w:rPr>
      </w:pPr>
      <w:r>
        <w:rPr>
          <w:rFonts w:ascii="Arial" w:cs="Arial" w:eastAsia="Arial" w:hAnsi="Arial"/>
          <w:sz w:val="16"/>
          <w:szCs w:val="16"/>
          <w:color w:val="auto"/>
        </w:rPr>
        <w:t>We believe our current cash and cash equivalents of $42.0 million as of December 31, 2014, together with borrowings expected to be available under our Revolver with Wells Fargo, will be adequate to fund our planned capital expenditures and working capital requirements over the next 12 months.</w:t>
      </w:r>
    </w:p>
    <w:p>
      <w:pPr>
        <w:spacing w:after="0" w:line="1"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contractual obligations as of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Less Than 1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More Than 5 Years</w:t>
            </w:r>
          </w:p>
        </w:tc>
      </w:tr>
      <w:tr>
        <w:trPr>
          <w:trHeight w:val="250"/>
        </w:trPr>
        <w:tc>
          <w:tcPr>
            <w:tcW w:w="2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5,051</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w w:val="95"/>
              </w:rPr>
              <w:t>Purchase commitments under agreements (1)</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51,878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5,051</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2" w:lineRule="exact"/>
        <w:rPr>
          <w:sz w:val="20"/>
          <w:szCs w:val="20"/>
          <w:color w:val="auto"/>
        </w:rPr>
      </w:pPr>
    </w:p>
    <w:p>
      <w:pPr>
        <w:ind w:left="500" w:right="200" w:hanging="492"/>
        <w:spacing w:after="0" w:line="30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amounts associated with our contract manufacturers that are non-cancelable. Such purchase commitments are based on our forecasted manufacturing requirements and typically provide for fulfillment within agreed upon lead-times and/or commercially standard lead-times for the particular part or product. The timing and amount of payments represent our best estimate and may change due to changing business needs and other factors. Obligations under contracts that we can cancel without a significant penalty are not included in the table above.</w:t>
      </w:r>
    </w:p>
    <w:p>
      <w:pPr>
        <w:spacing w:after="0" w:line="100"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We have a contingent consideration arrangement which requires us to pay additional cash payments to the selling party of our business acquisition based on certain defined 2015 and 2016 revenue targets. The fair value of the contingent consideration arrangement at December 31, 2014 was $2.3 million. Amounts are payable in early 2016 and 2017. Depending on the attainment of the specified targets, the potential payment for each year ranges from zero to $2.8 million. As a result, the contingent consideration arrangement has not been included in the table above.</w:t>
      </w:r>
    </w:p>
    <w:p>
      <w:pPr>
        <w:spacing w:after="0" w:line="171"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As of December 31, 2014, the liability recorded for uncertain tax positions, including associated interest and penalties, was approximately $0.7 million. Since the ultimate amount and timing of cash settlements cannot be predicted due to the high degree of uncertainty, liabilities for uncertain tax positions are excluded from the contractual obligations table. See Note 13, “Income Taxes”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 we did not have any off-balance-sheet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60" w:firstLine="446"/>
        <w:spacing w:after="0" w:line="259" w:lineRule="auto"/>
        <w:rPr>
          <w:sz w:val="20"/>
          <w:szCs w:val="20"/>
          <w:color w:val="auto"/>
        </w:rPr>
      </w:pPr>
      <w:r>
        <w:rPr>
          <w:rFonts w:ascii="Arial" w:cs="Arial" w:eastAsia="Arial" w:hAnsi="Arial"/>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carrying values of assets and liabilities that are not readily apparent from other sources. Actual results may differ from these estimates under different assumptions or conditions.</w:t>
      </w:r>
    </w:p>
    <w:p>
      <w:pPr>
        <w:spacing w:after="0" w:line="116"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For a description of our significant accounting policies, see Note 2, “Summary of Significant Accounting Policies” to our consolidated financial statements.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We generate revenue from sales of our microinverter systems, which include microinverter units and related accessories, an Envoy communications gateway device, and an Enlighten web-based monitoring service, to distributors, large installers, OEMs and strategic partners. Enlighten service revenue represented less than 1% of the total revenues for all periods presented.</w:t>
      </w:r>
    </w:p>
    <w:p>
      <w:pPr>
        <w:spacing w:after="0" w:line="127"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17"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Sales of an Envoy communications gateway device include the Enlighten web-based monitoring service. The allocation of revenue between the two deliverables is based on our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 web-based monitoring service is recognized ratably over the estimated economic life of the related Envoy devices of 10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Inventory is valued at the lower of cost or market.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their estimated net realizable market value. In 2014 and 2013, write-downs of inventories were insignificant. In 2012, we recorded write-downs of inventories of $0.8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allocate the fair value of purchase consideration to the tangible and intangible assets acquired, and liabilities assumed based on their estimated fair values at the acquisition date. We use judgment to estimate the fair value of contingent consideration (a component of the purchase consideration), identify all the tangible and intangible assets acquired, estimate the fair value of these assets, estimate the useful life of the assets, and assess the appropriate method for recognizing depreciation or amortization expense over the asset’s useful life. We believe that the accounting estimates related to purchase price allocations are critical accounting estimates because the assumptions impact the amounts and classifications of assets and liabilities presented in our consolidated balance sheets, the future amount of amortization and depreciation expense that will be recorded in our consolidated statements of operations, and the amount of goodwill which will be subject to impairment testing performed in subsequent periods. Critical estimates in valuing contingent consideration include but are not limited to probabilities applied to multiple payout scenarios and a risk-adjusted discount rate. Critical estimates in valuing intangible assets (i.e. customer relationships) include but are not limited to future expected cash flows from customer relationships and customer attrition rates. Management’s estimates of fair value are based upon assumptions believed to be reasonable, but which are inherently uncertain and unpredictable and, as a result, actual results may differ from estimates.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2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3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b w:val="1"/>
          <w:bCs w:val="1"/>
          <w:i w:val="1"/>
          <w:iCs w:val="1"/>
          <w:color w:val="auto"/>
        </w:rPr>
        <w:t>Estimated Failure Rates—</w:t>
      </w:r>
      <w:r>
        <w:rPr>
          <w:rFonts w:ascii="Arial" w:cs="Arial" w:eastAsia="Arial" w:hAnsi="Arial"/>
          <w:sz w:val="16"/>
          <w:szCs w:val="16"/>
          <w:color w:val="auto"/>
        </w:rPr>
        <w:t>Our Quality and Reliability department has primary responsibility to determine the estimated failure rates for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microinverter. To establish initial failure rate estimates for each generation of microinverter, our quality engineers use a combination of industry standard MTBF (Mean Time Between Failure) estimates for individual components contained in its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via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performs diagnostic root cause failure analysis to understand and isolate the underlying mechanism(s) causing the failure. We then use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69"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1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b w:val="1"/>
          <w:bCs w:val="1"/>
          <w:i w:val="1"/>
          <w:iCs w:val="1"/>
          <w:color w:val="auto"/>
        </w:rPr>
        <w:t>Estimated Replacement Costs—</w:t>
      </w:r>
      <w:r>
        <w:rPr>
          <w:rFonts w:ascii="Arial" w:cs="Arial" w:eastAsia="Arial" w:hAnsi="Arial"/>
          <w:sz w:val="16"/>
          <w:szCs w:val="16"/>
          <w:color w:val="auto"/>
        </w:rPr>
        <w:t>Three factors are considered in our analysis of estimated replacement cost: (1) the estimated cost of replacement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(either 15 or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16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If actual failure rates, claim rates, or replacement costs differ from our estimates in future periods, changes to these estimates would be required, resulting in increases or decreases in our warranty obligations. Such increases or decreases could be material.</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warranty obligations related to microinverters sold since January 1, 2014 provide us the right, but not the requirement, to assign our warranty obligations to a third-party. Under Accounting Standards Codification (“ASC”) 825—Financial Instruments,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8, (“Fair Value Measurements”) to the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7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ASU 2014-09 is effective for annual and interim periods beginning after December 15, 2016. Early adoption is not permitted. Accordingly, the ASU will be effective for us beginning in the first quarter of 2017. We are currently evaluating the impact of the adoption on its consolidated financial statements.</w:t>
      </w:r>
    </w:p>
    <w:p>
      <w:pPr>
        <w:spacing w:after="0" w:line="128"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No other new accounting pronouncement issued or effective in 2014 had or is expected to have a material impact on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Pounds and Australian and New Zealand Dollars. These payables and receivables primarily arise from sales to customers and intercompany transactions. We also face currency exposure that arises from translating the results of our European, Australian and New Zealand operations, including sales and marketing and research and development expenses, to the U.S. dollar at exchange rates that have fluctuated from the beginning of a reporting period.</w:t>
      </w:r>
    </w:p>
    <w:p>
      <w:pPr>
        <w:spacing w:after="0" w:line="43" w:lineRule="exact"/>
        <w:rPr>
          <w:sz w:val="20"/>
          <w:szCs w:val="20"/>
          <w:color w:val="auto"/>
        </w:rPr>
      </w:pPr>
    </w:p>
    <w:p>
      <w:pPr>
        <w:ind w:right="240" w:firstLine="446"/>
        <w:spacing w:after="0" w:line="255" w:lineRule="auto"/>
        <w:rPr>
          <w:sz w:val="20"/>
          <w:szCs w:val="20"/>
          <w:color w:val="auto"/>
        </w:rPr>
      </w:pPr>
      <w:r>
        <w:rPr>
          <w:rFonts w:ascii="Arial" w:cs="Arial" w:eastAsia="Arial" w:hAnsi="Arial"/>
          <w:sz w:val="18"/>
          <w:szCs w:val="18"/>
          <w:color w:val="auto"/>
        </w:rPr>
        <w:t>We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presents the fair values of our outstanding foreign currency forward contracts at December 31, 2014 and 2013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325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605</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As of December 31, 2014 and 2013, the aggregate gross notional amounts of outstanding foreign currency forward contracts, all with maturities of less than one year, were $1.5 million and $12.5 million, respectively. We recorded $0.3 million of net gains in 2014 and $0.4 million and $0.5 million of net losses in 2013 and 2012, respectively, related to foreign currency forward contracts.</w:t>
      </w:r>
    </w:p>
    <w:p>
      <w:pPr>
        <w:spacing w:after="0" w:line="46" w:lineRule="exact"/>
        <w:rPr>
          <w:sz w:val="20"/>
          <w:szCs w:val="20"/>
          <w:color w:val="auto"/>
        </w:rPr>
      </w:pPr>
    </w:p>
    <w:p>
      <w:pPr>
        <w:jc w:val="both"/>
        <w:ind w:right="40" w:firstLine="446"/>
        <w:spacing w:after="0" w:line="342" w:lineRule="auto"/>
        <w:rPr>
          <w:sz w:val="20"/>
          <w:szCs w:val="20"/>
          <w:color w:val="auto"/>
        </w:rPr>
      </w:pPr>
      <w:r>
        <w:rPr>
          <w:rFonts w:ascii="Arial" w:cs="Arial" w:eastAsia="Arial" w:hAnsi="Arial"/>
          <w:sz w:val="16"/>
          <w:szCs w:val="16"/>
          <w:color w:val="auto"/>
        </w:rPr>
        <w:t>The foreign currency exchange rate risk associated with our forward currency exchange contracts is limited as the exposure is substantially offset by exchange rate changes of the underlying hedged amounts. All outstanding open forward contracts at December 31, 2014 have maturities of less than one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rFonts w:ascii="Arial" w:cs="Arial" w:eastAsia="Arial" w:hAnsi="Arial"/>
                <w:sz w:val="18"/>
                <w:szCs w:val="18"/>
                <w:color w:val="auto"/>
              </w:rPr>
            </w:pPr>
            <w:hyperlink w:anchor="page72">
              <w:r>
                <w:rPr>
                  <w:rFonts w:ascii="Arial" w:cs="Arial" w:eastAsia="Arial" w:hAnsi="Arial"/>
                  <w:sz w:val="18"/>
                  <w:szCs w:val="18"/>
                  <w:color w:val="auto"/>
                </w:rPr>
                <w:t>Quarterly Financial Information</w:t>
              </w:r>
            </w:hyperlink>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507"/>
        </w:trPr>
        <w:tc>
          <w:tcPr>
            <w:tcW w:w="4940" w:type="dxa"/>
            <w:vAlign w:val="bottom"/>
          </w:tcPr>
          <w:p>
            <w:pPr>
              <w:spacing w:after="0"/>
              <w:rPr>
                <w:sz w:val="24"/>
                <w:szCs w:val="24"/>
                <w:color w:val="auto"/>
              </w:rPr>
            </w:pPr>
          </w:p>
        </w:tc>
        <w:tc>
          <w:tcPr>
            <w:tcW w:w="5920" w:type="dxa"/>
            <w:vAlign w:val="bottom"/>
          </w:tcPr>
          <w:p>
            <w:pPr>
              <w:jc w:val="right"/>
              <w:ind w:right="497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260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Enphase Energy, Inc.:</w:t>
      </w:r>
    </w:p>
    <w:p>
      <w:pPr>
        <w:spacing w:after="0" w:line="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2014 and 2013, and the related consolidated statements of operations, comprehensive loss, stockholders’ equity, and cash flows for each of the three years in the period ended December 31, 2014. These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Enphase Energy, Inc. and subsidiaries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$569 and $2,000 at December 31, 2014 and 2013, respectively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45,119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32,084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3,655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114,896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90,509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30,824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24,853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152,192</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116,669</w:t>
            </w:r>
          </w:p>
        </w:tc>
      </w:tr>
      <w:tr>
        <w:trPr>
          <w:trHeight w:val="237"/>
        </w:trPr>
        <w:tc>
          <w:tcPr>
            <w:tcW w:w="83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26,036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14,780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6"/>
              </w:rPr>
              <w:t>Warranty obligations, current portion (includes $1,125 and $0 measured at fair value at December 31, 2014 and 2013,</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7,607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4,942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term loans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58,706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33,365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revenues, noncurrent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16,612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11,284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Warranty obligations, noncurrent (includes $2,437 and $0 measured at fair value at December 31, 2014 and 2013,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26,333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loans, noncurrent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5,170</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46,534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43,098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105,240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Preferred stock, $0.00001 par value, 10,000 shares authorized; none issued and outstanding</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Common stock, $0.00001 par value, 100,000 shares authorized; 43,756 and 42,123 shares issued and outstanding at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December 31, 2014 and 2013,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208,022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192,916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(152,939)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46,952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40,206</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152,192</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116,669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343,904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230,861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24,875</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0"/>
              </w:rPr>
              <w:t>Shares used in computing net loss per share attributable to common stockholders, basic and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42,903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41,647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37"/>
        </w:trPr>
        <w:tc>
          <w:tcPr>
            <w:tcW w:w="6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(8,052)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0" w:type="dxa"/>
            <w:vAlign w:val="bottom"/>
            <w:gridSpan w:val="4"/>
            <w:vMerge w:val="restart"/>
          </w:tcPr>
          <w:p>
            <w:pPr>
              <w:jc w:val="right"/>
              <w:ind w:right="13"/>
              <w:spacing w:after="0"/>
              <w:rPr>
                <w:sz w:val="20"/>
                <w:szCs w:val="20"/>
                <w:color w:val="auto"/>
              </w:rPr>
            </w:pPr>
            <w:r>
              <w:rPr>
                <w:rFonts w:ascii="Arial" w:cs="Arial" w:eastAsia="Arial" w:hAnsi="Arial"/>
                <w:sz w:val="14"/>
                <w:szCs w:val="14"/>
                <w:b w:val="1"/>
                <w:bCs w:val="1"/>
                <w:color w:val="auto"/>
              </w:rPr>
              <w:t>Convertible Preferred Stock</w:t>
            </w:r>
          </w:p>
        </w:tc>
        <w:tc>
          <w:tcPr>
            <w:tcW w:w="120" w:type="dxa"/>
            <w:vAlign w:val="bottom"/>
            <w:vMerge w:val="restart"/>
          </w:tcPr>
          <w:p>
            <w:pPr>
              <w:spacing w:after="0"/>
              <w:rPr>
                <w:sz w:val="14"/>
                <w:szCs w:val="14"/>
                <w:color w:val="auto"/>
              </w:rPr>
            </w:pPr>
          </w:p>
        </w:tc>
        <w:tc>
          <w:tcPr>
            <w:tcW w:w="19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vMerge w:val="restart"/>
          </w:tcPr>
          <w:p>
            <w:pPr>
              <w:spacing w:after="0"/>
              <w:rPr>
                <w:sz w:val="10"/>
                <w:szCs w:val="10"/>
                <w:color w:val="auto"/>
              </w:rPr>
            </w:pP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93,596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rPr>
              <w:t>Issuance of common stock under</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employee stock plans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rPr>
              <w:t>Common stock issued upon initial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w w:val="96"/>
              </w:rPr>
              <w:t>public offering (“IPO”), net of offering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costs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53,826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53,826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convertible preferred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 into common stock upon IPO</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93,596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rPr>
              <w:t>Conversion of convertible notes and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rPr>
              <w:t>paid-in-kind interest into common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stock upon IPO</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21,204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of preferred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warrant liability to APIC upon IPO</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(38,218)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BALANCE—December 31, 2012</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40,856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183,629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56,655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common stock under</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stock plans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common stock upon net</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 of warrants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(25,913)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BALANCE—December 31, 2013</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192,916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(152,939)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common stock under</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stock plans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common stock upon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cashless exercise of warrants</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43,756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208,022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(160,991)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(8,052)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(25,913)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(38,218)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5,568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Net loss on disposal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4,766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convertible preferred stock warrants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 (net of acquisition):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(11,040)</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(8,615)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payable, accrued and other liabilities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25,325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Warranty obligations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12,600</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(18,614)</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24,222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(44,645)</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Purchase of patents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a business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 in restricted cash (See Note 5)</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7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(16,534)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(12,990)</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borrowings under term loans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financing costs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Repayments of term loans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(14,103)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issuance of common stock in IPO, net of underwriting discounts and commissions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58,609</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offering costs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(3,342)</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51,436</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38,190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45,294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51,524</w:t>
            </w:r>
          </w:p>
        </w:tc>
        <w:tc>
          <w:tcPr>
            <w:tcW w:w="0" w:type="dxa"/>
            <w:vAlign w:val="bottom"/>
          </w:tcPr>
          <w:p>
            <w:pPr>
              <w:spacing w:after="0"/>
              <w:rPr>
                <w:sz w:val="1"/>
                <w:szCs w:val="1"/>
                <w:color w:val="auto"/>
              </w:rPr>
            </w:pP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42,032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45,294</w:t>
            </w:r>
          </w:p>
        </w:tc>
        <w:tc>
          <w:tcPr>
            <w:tcW w:w="0" w:type="dxa"/>
            <w:vAlign w:val="bottom"/>
          </w:tcPr>
          <w:p>
            <w:pPr>
              <w:spacing w:after="0"/>
              <w:rPr>
                <w:sz w:val="1"/>
                <w:szCs w:val="1"/>
                <w:color w:val="auto"/>
              </w:rPr>
            </w:pPr>
          </w:p>
        </w:tc>
      </w:tr>
      <w:tr>
        <w:trPr>
          <w:trHeight w:val="25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paid for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Non-cash financing and investing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Conversion of convertible notes into common stock upon IPO</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Acquisition-related contingent consideration liability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Pr>
          <w:p>
            <w:pPr>
              <w:ind w:left="280"/>
              <w:spacing w:after="0"/>
              <w:rPr>
                <w:sz w:val="20"/>
                <w:szCs w:val="20"/>
                <w:color w:val="auto"/>
              </w:rPr>
            </w:pPr>
            <w:r>
              <w:rPr>
                <w:rFonts w:ascii="Arial" w:cs="Arial" w:eastAsia="Arial" w:hAnsi="Arial"/>
                <w:sz w:val="14"/>
                <w:szCs w:val="14"/>
                <w:color w:val="auto"/>
              </w:rPr>
              <w:t>Reclassification of convertible preferred stock warrant liability to additional paid-in capital upon IPO</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 The Company also offers operations and maintenance services for photovoltaic (“PV”) systems including preventive and corrective maintenance, solar panel cleaning and solar system commissioning.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(“US GAAP”). The consolidated financial statements include the accounts of the Company and its wholly-owned subsidiaries. All intercompany balances and transactions have been eliminated in consolidation.</w:t>
      </w:r>
    </w:p>
    <w:p>
      <w:pPr>
        <w:spacing w:after="0" w:line="127" w:lineRule="exact"/>
        <w:rPr>
          <w:sz w:val="20"/>
          <w:szCs w:val="20"/>
          <w:color w:val="auto"/>
        </w:rPr>
      </w:pPr>
    </w:p>
    <w:p>
      <w:pPr>
        <w:ind w:right="200" w:firstLine="446"/>
        <w:spacing w:after="0" w:line="302" w:lineRule="auto"/>
        <w:rPr>
          <w:sz w:val="20"/>
          <w:szCs w:val="20"/>
          <w:color w:val="auto"/>
        </w:rPr>
      </w:pPr>
      <w:r>
        <w:rPr>
          <w:rFonts w:ascii="Arial" w:cs="Arial" w:eastAsia="Arial" w:hAnsi="Arial"/>
          <w:sz w:val="16"/>
          <w:szCs w:val="16"/>
          <w:color w:val="auto"/>
        </w:rPr>
        <w:t>Certain amounts in the prior years' consolidated financial statements have been reclassified to conform to the current year presentation, including separately presenting balances for “Warranty obligations” in current liabilities on the consolidated balance sheets and under changes in operating assets and liabilities on the consolidated statements of cash flows. In addition, the balance for “Intangibles, net” which was combined with other current assets on the consolidated balance sheets in the prior year has been reclassified to a separate line item to conform with the current year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40" w:firstLine="446"/>
        <w:spacing w:after="0" w:line="264" w:lineRule="auto"/>
        <w:rPr>
          <w:sz w:val="20"/>
          <w:szCs w:val="20"/>
          <w:color w:val="auto"/>
        </w:rPr>
      </w:pPr>
      <w:r>
        <w:rPr>
          <w:rFonts w:ascii="Arial" w:cs="Arial" w:eastAsia="Arial" w:hAnsi="Arial"/>
          <w:sz w:val="18"/>
          <w:szCs w:val="18"/>
          <w:color w:val="auto"/>
        </w:rPr>
        <w:t>The Company generates revenue from sales of its microinverter systems, which include microinverter units and related accessories, an Envoy communications gateway device, and an Enlighten web-based monitoring service, to distributors, large installers, OEMs and strategic partners. Enlighten service revenue represented less than 1% of the total revenues for all periods presented.</w:t>
      </w:r>
    </w:p>
    <w:p>
      <w:pPr>
        <w:spacing w:after="0" w:line="127"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17" w:lineRule="exact"/>
        <w:rPr>
          <w:sz w:val="20"/>
          <w:szCs w:val="20"/>
          <w:color w:val="auto"/>
        </w:rPr>
      </w:pPr>
    </w:p>
    <w:p>
      <w:pPr>
        <w:jc w:val="both"/>
        <w:ind w:right="140" w:firstLine="446"/>
        <w:spacing w:after="0" w:line="302" w:lineRule="auto"/>
        <w:rPr>
          <w:sz w:val="20"/>
          <w:szCs w:val="20"/>
          <w:color w:val="auto"/>
        </w:rPr>
      </w:pPr>
      <w:r>
        <w:rPr>
          <w:rFonts w:ascii="Arial" w:cs="Arial" w:eastAsia="Arial" w:hAnsi="Arial"/>
          <w:sz w:val="16"/>
          <w:szCs w:val="16"/>
          <w:color w:val="auto"/>
        </w:rPr>
        <w:t>Sales of an Envoy communications gateway device include the Enlighten web-based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web-based monitoring service is recognized ratably over the estimated economic life of the related Envoy devices of 10 years.</w:t>
      </w:r>
    </w:p>
    <w:p>
      <w:pPr>
        <w:spacing w:after="0" w:line="225" w:lineRule="exact"/>
        <w:rPr>
          <w:sz w:val="20"/>
          <w:szCs w:val="20"/>
          <w:color w:val="auto"/>
        </w:rPr>
      </w:pPr>
    </w:p>
    <w:p>
      <w:pPr>
        <w:jc w:val="both"/>
        <w:ind w:right="140" w:firstLine="446"/>
        <w:spacing w:after="0" w:line="277" w:lineRule="auto"/>
        <w:rPr>
          <w:sz w:val="20"/>
          <w:szCs w:val="20"/>
          <w:color w:val="auto"/>
        </w:rPr>
      </w:pPr>
      <w:r>
        <w:rPr>
          <w:rFonts w:ascii="Arial" w:cs="Arial" w:eastAsia="Arial" w:hAnsi="Arial"/>
          <w:sz w:val="18"/>
          <w:szCs w:val="18"/>
          <w:color w:val="auto"/>
        </w:rPr>
        <w:t>Deferred revenues consist of payments received from customers in advance of revenue recognition for the Company’s products and services described above. As of December 31, 2014 and 2013, deferred revenues consist entirely of Enlighten service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jc w:val="both"/>
        <w:ind w:right="120" w:firstLine="446"/>
        <w:spacing w:after="0" w:line="342" w:lineRule="auto"/>
        <w:rPr>
          <w:sz w:val="20"/>
          <w:szCs w:val="20"/>
          <w:color w:val="auto"/>
        </w:rPr>
      </w:pPr>
      <w:r>
        <w:rPr>
          <w:rFonts w:ascii="Arial" w:cs="Arial" w:eastAsia="Arial" w:hAnsi="Arial"/>
          <w:sz w:val="16"/>
          <w:szCs w:val="16"/>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140" w:firstLine="446"/>
        <w:spacing w:after="0" w:line="264"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deposits and money market accounts.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liabilities approximate fair value because of the short maturity of those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71"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The Company operates and conducts business in foreign countries where its foreign entities use the local currency as their respective functional currency. As a result, the Company is exposed to movements in foreign currency exchange rates. The Company utilizes foreign currency forward contracts to reduce the impact of foreign currency fluctuations related to anticipated cash receipts from expected future revenues denominated in Euros and British Pounds as well as from intercompany transaction gains or losses.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71"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allowance for doubtful accounts was $0.6 million and $2.0 million at December 31, 2014 and 2013, respectively. The following table sets forth activities in the allowance for doubtful accounts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charges to expenses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net of recoveries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Inventory is valued at the lower of cost or market. The Company determines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their estimated net realizable market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71" w:lineRule="exact"/>
        <w:rPr>
          <w:sz w:val="20"/>
          <w:szCs w:val="20"/>
          <w:color w:val="auto"/>
        </w:rPr>
      </w:pPr>
    </w:p>
    <w:p>
      <w:pPr>
        <w:jc w:val="both"/>
        <w:ind w:right="380" w:firstLine="446"/>
        <w:spacing w:after="0" w:line="297" w:lineRule="auto"/>
        <w:rPr>
          <w:sz w:val="20"/>
          <w:szCs w:val="20"/>
          <w:color w:val="auto"/>
        </w:rPr>
      </w:pPr>
      <w:r>
        <w:rPr>
          <w:rFonts w:ascii="Arial" w:cs="Arial" w:eastAsia="Arial" w:hAnsi="Arial"/>
          <w:sz w:val="16"/>
          <w:szCs w:val="16"/>
          <w:color w:val="auto"/>
        </w:rPr>
        <w:t>Internally used software, whether purchased or developed, is capitalized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Property, plant and equipment, including capitalized software costs, are recorded at cost. Property, plant and equipment amounts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did not record any significant impairments in any of the years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The Company allocates the fair value of purchase consideration (including contingent consideration) to the assets acquired and liabilities assumed based on their estimated fair values at the acquisition date. The excess of the fair value of purchase consideration over the fair value of these assets acquired and liabilities assumed in the acquisition is recorded as goodwill. The primary items that generate goodwill include the value of the synergies between the acquiree and the Company and the value of the acquired assembled workforce, neither of which qualifies for recognition as an intangible asset. Acquisition-related expenses are recognized separately from the business combination and are expensed as incurred. The results of operations of NPS have been included in the Company’s consolidated results prospectively from the date of acquisition. See Note 5, “Business Combination, Goodwill and Intangible Assets” to the consolidated financial statements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Goodwill is not amortized, but is assessed for potential impairment at least annually during the fourth quarter of each fiscal year or between annual tests if an event occurs or circumstances change that would indicate the carrying amount may be impaired.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Intangible assets include patents, customer relationships and other purchased intangible assets. Intangible assets with finite lives are amortized on a straight-line basis, with estimated useful lives ranging from 3 to 5 years. Indefinite-lived intangible assets are tested for impairment annually, and are tested for impairment between annual tests if an event occurs or circumstances change that would indicate that the carrying amount may be impaired. Intangible assets with a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has been no impairment of intangible assets in any of the years presented.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b w:val="1"/>
          <w:bCs w:val="1"/>
          <w:i w:val="1"/>
          <w:iCs w:val="1"/>
          <w:color w:val="auto"/>
        </w:rPr>
        <w:t>Estimated Failure Rates—</w:t>
      </w:r>
      <w:r>
        <w:rPr>
          <w:rFonts w:ascii="Arial" w:cs="Arial" w:eastAsia="Arial" w:hAnsi="Arial"/>
          <w:sz w:val="17"/>
          <w:szCs w:val="17"/>
          <w:color w:val="auto"/>
        </w:rPr>
        <w:t>The Company’s Quality and Reliability department has primary responsibility to determine the estimated failure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generation of microinverter. To establish initial failure rate estimates for each generation of microinverter, the Company’s quality engineers use a combination of industry standard MTBF (Mean Time Between Failure)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via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8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b w:val="1"/>
          <w:bCs w:val="1"/>
          <w:i w:val="1"/>
          <w:iCs w:val="1"/>
          <w:color w:val="auto"/>
        </w:rPr>
        <w:t>Estimated Replacement Costs—</w:t>
      </w:r>
      <w:r>
        <w:rPr>
          <w:rFonts w:ascii="Arial" w:cs="Arial" w:eastAsia="Arial" w:hAnsi="Arial"/>
          <w:sz w:val="17"/>
          <w:szCs w:val="17"/>
          <w:color w:val="auto"/>
        </w:rPr>
        <w:t>Three factors are considered in the Company’s analysis of estimated replacement cost: (1) the estimated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(either 15 or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182"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If actual failure rates, claim rates, or replacement costs differ from the Company’s estimates in future periods, changes to these estimates would be required, resulting in increases or decreases in the Company’s warranty obligations. Such increases or decreases could be material.</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1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8, (“Fair Value Measurements”) for additional information.</w:t>
      </w:r>
    </w:p>
    <w:p>
      <w:pPr>
        <w:spacing w:after="0" w:line="124"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 Any changes in fair value of the liability from period-to-period, including accretion expense, will be recognized in cost of revenues. As of December 31, 2014, warranty obligations associated with sales prior to January 1, 2014 were $30.0 million and warranty obligations associated with sales since January 1, 2014 were $3.9 million, of which $3.6 million were eligible for fair value accounting. The portion of warranty obligations arising from sales since January 1, 2014 that was not eligible for fair value accounting relates to sales of non-microinverter products. Periodic adjustments necessitated by actual experience of claims and any future changes in estimates to amounts not eligible for fair value accounting will continue to be accounted for on an undiscounted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The Company expenses research and development costs as incurred. Research and development costs totaled $45.4 million, $34.5 million and $35.6 million in 2014, 2013 and 2012,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Stock-based compensation, net of estimated forfeitures, is recognized on a straight-line basis over the requisite service period, which is typically four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Comprehensive loss consists of two components, net loss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80" w:firstLine="446"/>
        <w:spacing w:after="0" w:line="302" w:lineRule="auto"/>
        <w:rPr>
          <w:sz w:val="20"/>
          <w:szCs w:val="20"/>
          <w:color w:val="auto"/>
        </w:rPr>
      </w:pPr>
      <w:r>
        <w:rPr>
          <w:rFonts w:ascii="Arial" w:cs="Arial" w:eastAsia="Arial" w:hAnsi="Arial"/>
          <w:sz w:val="16"/>
          <w:szCs w:val="16"/>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0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71"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The estimated fair value of the contingent consideration liability, initially measured and recorded on the acquisition date, is reviewed at each reporting period and revalued to its then fair value until the contingency is resolved. Increases or decreases in the fair value of the contingent consideration liability subsequent to the acquisition date can result from changes in the assumed probabilities applied to the achievement of certain revenue targets and the corresponding payout amounts. These changes in the fair value will be recognized in the consolidated statements of operations for the period in which the estimated fair value changes.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7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ASU 2014-09 is effective for annual and interim periods beginning after December 15, 2016. Early adoption is not permitted. Accordingly, the ASU will be effective for the Company beginning in the first quarter of 2017. The Company is currently evaluating the impact of the adoption on its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December 31, 2014 and 2013,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18,161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15,152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21,590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16,580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property and equipment consists of the following (in thousands):</w:t>
      </w:r>
    </w:p>
    <w:p>
      <w:pPr>
        <w:spacing w:after="0" w:line="38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5720" w:type="dxa"/>
            <w:vAlign w:val="bottom"/>
          </w:tcPr>
          <w:p>
            <w:pPr>
              <w:spacing w:after="0"/>
              <w:rPr>
                <w:sz w:val="4"/>
                <w:szCs w:val="4"/>
                <w:color w:val="auto"/>
              </w:rPr>
            </w:pPr>
          </w:p>
        </w:tc>
        <w:tc>
          <w:tcPr>
            <w:tcW w:w="264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2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3–5</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4–10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41,459</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(16,606)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40" w:firstLine="446"/>
        <w:spacing w:after="0" w:line="277" w:lineRule="auto"/>
        <w:rPr>
          <w:sz w:val="20"/>
          <w:szCs w:val="20"/>
          <w:color w:val="auto"/>
        </w:rPr>
      </w:pPr>
      <w:r>
        <w:rPr>
          <w:rFonts w:ascii="Arial" w:cs="Arial" w:eastAsia="Arial" w:hAnsi="Arial"/>
          <w:sz w:val="18"/>
          <w:szCs w:val="18"/>
          <w:color w:val="auto"/>
        </w:rPr>
        <w:t>Depreciation and amortization expense for property and equipment was $8.1 million, $7.0 million and $5.6 million, in 2014, 2013 and 2012,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unamortized capitalized software costs were $3.3 million and $3.6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On December 12, 2014, the Company acquired substantially all of the assets of NPS. Founded in 2009 and based in Berkeley, California, NPS is a provider of services designed specifically for the solar industry. The acquisition is expected to complement the Company’s existing asset management and operations and maintenance service offering.</w:t>
      </w:r>
    </w:p>
    <w:p>
      <w:pPr>
        <w:spacing w:after="0" w:line="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the allocation of the total purchase price to acquired tangible and identifiable intangible assets based on their estimated fair values as of the date of acquisition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2,300</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purchase consideration</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4,835</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9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w:t>
            </w:r>
          </w:p>
        </w:tc>
      </w:tr>
      <w:tr>
        <w:trPr>
          <w:trHeight w:val="244"/>
        </w:trPr>
        <w:tc>
          <w:tcPr>
            <w:tcW w:w="9940" w:type="dxa"/>
            <w:vAlign w:val="bottom"/>
          </w:tcPr>
          <w:p>
            <w:pPr>
              <w:ind w:left="180"/>
              <w:spacing w:after="0"/>
              <w:rPr>
                <w:sz w:val="20"/>
                <w:szCs w:val="20"/>
                <w:color w:val="auto"/>
              </w:rPr>
            </w:pPr>
            <w:r>
              <w:rPr>
                <w:rFonts w:ascii="Arial" w:cs="Arial" w:eastAsia="Arial" w:hAnsi="Arial"/>
                <w:sz w:val="16"/>
                <w:szCs w:val="16"/>
                <w:color w:val="auto"/>
              </w:rPr>
              <w:t>Net assets acquired</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4,835</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This acquisition has been accounted for as a business combination. The total purchase consideration of $4.8 million consisted of $2.5 million in cash (of which $0.3 million was held back for potential breaches of representations and warranties) and $2.3 million of contingent consideration (described below). The indemnity hold back will be paid one year from the date of closing of the acquisition subject to any deductions for indemnity conditions and was recorded as restricted cash with an offsetting obligation in other accrued liabilities.</w:t>
      </w:r>
    </w:p>
    <w:p>
      <w:pPr>
        <w:spacing w:after="0" w:line="79"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 fair values assigned to the net assets acquired are based on management’s estimates and assumptions. The goodwill of $3.7 million is attributable to the value of the synergies expected to arise upon the integration of NPS into the Company’s operations and the value of the acquired workforce. A portion of goodwill related to this acquisition is deductible for income tax purposes.</w:t>
      </w:r>
    </w:p>
    <w:p>
      <w:pPr>
        <w:spacing w:after="0" w:line="7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fair value of the acquired customer relationships was calculated by discounting the projected discrete after-tax cash flows from these existing customers (less an anticipated customer attrition rate) to its present value.</w:t>
      </w:r>
    </w:p>
    <w:p>
      <w:pPr>
        <w:spacing w:after="0" w:line="6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purchase consideration includes a contingent consideration arrangement that requires additional cash payments by the Company based on certain defined 2015 and 2016 revenue targets. Amounts are payable in early 2016 and 2017. The range of the undiscounted amounts the Company could pay under the contingent consideration arrangement is between zero and $5.5 million. The fair value of the contingent consideration was estimated based on significant inputs not observed in the market and thus represents a Level 3 input as defined in connection with the fair value hierarchy. See Note 8, “Fair Value Measurements” for further discussion. Any future change in the estimated fair value of the contingent consideration will be recognized in the consolidated statements of operations for the period in which the estimated fair value changes.</w:t>
      </w:r>
    </w:p>
    <w:p>
      <w:pPr>
        <w:spacing w:after="0" w:line="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acquisition was not material to the Company’s financial position or results of operations, and therefore proforma operating results for NPS have not been presented. The results of operations of NPS have been included in the Company’s consolidated results prospectively from the date of acquisition. The Company recognized approximately $0.2 million of acquisition related costs in 2014, which were recorded in general and administrative expenses in the Company’s consolidated statements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Intangibles assets with finite lives: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purchased intangibles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The customer relationship intangible resulted from the Company’s NPS acquisition and is being amortized on a straight-line basis over its estimated useful life of 5 years.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2014, estimated future amortization expense related to finite-lived intangible assets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00" w:type="dxa"/>
            <w:vAlign w:val="bottom"/>
            <w:gridSpan w:val="2"/>
            <w:vMerge w:val="continue"/>
          </w:tcPr>
          <w:p>
            <w:pPr>
              <w:spacing w:after="0"/>
              <w:rPr>
                <w:sz w:val="24"/>
                <w:szCs w:val="24"/>
                <w:color w:val="auto"/>
              </w:rPr>
            </w:pPr>
          </w:p>
        </w:tc>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94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42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3"/>
              </w:rPr>
              <w:t>14,871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6,499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Customer rebates and sales incentives</w:t>
            </w:r>
          </w:p>
        </w:tc>
        <w:tc>
          <w:tcPr>
            <w:tcW w:w="3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5,083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Arial" w:cs="Arial" w:eastAsia="Arial" w:hAnsi="Arial"/>
                <w:sz w:val="16"/>
                <w:szCs w:val="16"/>
                <w:color w:val="auto"/>
              </w:rPr>
              <w:t>2,818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5,463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6"/>
                <w:szCs w:val="16"/>
                <w:color w:val="auto"/>
              </w:rPr>
              <w:t>Total</w:t>
            </w:r>
          </w:p>
        </w:tc>
        <w:tc>
          <w:tcPr>
            <w:tcW w:w="3320" w:type="dxa"/>
            <w:vAlign w:val="bottom"/>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3"/>
              </w:rPr>
              <w:t>26,036</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color w:val="auto"/>
              </w:rPr>
              <w:t>14,780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320" w:type="dxa"/>
            <w:vAlign w:val="bottom"/>
            <w:vMerge w:val="restart"/>
          </w:tcPr>
          <w:p>
            <w:pPr>
              <w:jc w:val="right"/>
              <w:ind w:right="2434"/>
              <w:spacing w:after="0"/>
              <w:rPr>
                <w:sz w:val="20"/>
                <w:szCs w:val="20"/>
                <w:color w:val="auto"/>
              </w:rPr>
            </w:pPr>
            <w:r>
              <w:rPr>
                <w:rFonts w:ascii="Arial" w:cs="Arial" w:eastAsia="Arial" w:hAnsi="Arial"/>
                <w:sz w:val="18"/>
                <w:szCs w:val="18"/>
                <w:color w:val="auto"/>
              </w:rPr>
              <w:t>56</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warranty activities during 2014, 2013 and 2012 were as follows (in thousands):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8,738</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Accruals for warranties issued during the year</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8,218</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7,607</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(3,225)</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due to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Fair value adjustments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21,338</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(6,078)</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15,260</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The Company sold approximately 1.0 million second generation microinverters from 2009 through mid-2012. The Company has sold approximately 3.9 million third generation microinverters since mid-2012 and continues to sell such third generation microinverters. The Company has sold 2.3 million fourth generation microinverters since mid-2013.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w:t>
      </w:r>
    </w:p>
    <w:p>
      <w:pPr>
        <w:spacing w:after="0" w:line="171" w:lineRule="exact"/>
        <w:rPr>
          <w:sz w:val="20"/>
          <w:szCs w:val="20"/>
          <w:color w:val="auto"/>
        </w:rPr>
      </w:pPr>
    </w:p>
    <w:p>
      <w:pPr>
        <w:ind w:right="220" w:firstLine="446"/>
        <w:spacing w:after="0" w:line="257"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arose from new information available to management and subsequent developments, and accordingly, from better insight and improved judgment. Changes in estimates included in the table above were comprised of the following: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2014, primarily in the second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$8.6 million in 2014. In addition, net changes in estimates related to replacement costs reduced warranty expense for all product generations by $0.2 million and were comprised of increased estimates of certain labor reimbursement costs expected to be paid to third party installers performing replacement services for its second generation product of $1.3 million, offset by a $1.5 million decrease to estimated costs of replacement microinverter units for all product generations.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75"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In 2013, primarily in the second, third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$19.5 million in 2013. During the third quarter of 2013, the Company recorded a reduction to warranty expense of $3.1 million related to a decrease in the expected failure rate of the Company’s third generation product. The Company concluded that there was sufficient historical data of actual field performance of previously sold third generation products to support a lower estimated failure rate.</w:t>
      </w:r>
    </w:p>
    <w:p>
      <w:pPr>
        <w:spacing w:after="0" w:line="124"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In addition, the Company updated its estimated claim rates for its second and third generation products resulting in a decrease to warranty expense of $4.2 million. The revision to estimated claim rates was based on the Company’s observed historical end user behavior and assumptions with respect to expected customer behavior over the 15 or 25 year warranty term.</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2"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Also, the Company decreased warranty expense by $1.9 million primarily to reflect estimated lower costs to produce fourth generation microinverters to fulfill warranty obligations for second and third generation microinverters.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89"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2012, primarily in the third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$10.2 million in 2012.</w:t>
      </w:r>
    </w:p>
    <w:p>
      <w:pPr>
        <w:spacing w:after="0" w:line="133" w:lineRule="exact"/>
        <w:rPr>
          <w:sz w:val="20"/>
          <w:szCs w:val="20"/>
          <w:color w:val="auto"/>
        </w:rPr>
      </w:pPr>
    </w:p>
    <w:p>
      <w:pPr>
        <w:jc w:val="both"/>
        <w:ind w:right="160" w:firstLine="446"/>
        <w:spacing w:after="0" w:line="297" w:lineRule="auto"/>
        <w:rPr>
          <w:sz w:val="20"/>
          <w:szCs w:val="20"/>
          <w:color w:val="auto"/>
        </w:rPr>
      </w:pPr>
      <w:r>
        <w:rPr>
          <w:rFonts w:ascii="Arial" w:cs="Arial" w:eastAsia="Arial" w:hAnsi="Arial"/>
          <w:sz w:val="16"/>
          <w:szCs w:val="16"/>
          <w:color w:val="auto"/>
        </w:rPr>
        <w:t>In the fourth quarter of 2012, the Company revised its claim rate estimate to reflect a decrease in the percentage of end users who are able to access their system’s performance data using the Enlighten monitoring service. Approximately 80 to 90 percent of end users have purchased systems that include Enlighten. End users who have not purchased Enlighten do not have access to the same inverter-level performance data as end users using Enlighten and, consequently are less likely to make warranty claims. In 2012, based on observation of historical results, the Company confirmed that non-Enlighten end users had a lower claim rate than originally estimated. As a result, warranty expense decreased by $0.5 million to reflect this information.</w:t>
      </w:r>
    </w:p>
    <w:p>
      <w:pPr>
        <w:spacing w:after="0" w:line="10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addition, the Company recorded a reduction to warranty expense of $2.1 million related to replacement costs, primarily comprised of a $1.9 million reduction in shipping costs. Beginning in the third quarter of 2012, the Company revised its business practice to utilize non-expedited shipping terms for future replacement units, resulting in the reduction in estimated future replacement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94"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160" w:hanging="486"/>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122" w:right="37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 at December 31, 2014 and 2013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74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325</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7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Company utilizes foreign currency forward contracts from time to time to reduce the impact of foreign currency fluctuations arising from both sales and purchases denominated in Euros and the British Pound Sterling.</w:t>
      </w:r>
    </w:p>
    <w:p>
      <w:pPr>
        <w:spacing w:after="0" w:line="116"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As of December 31, 2014 and 2013, the aggregate gross notional amounts of outstanding foreign currency forward contracts, all with maturities of less than one year, were $1.5 million and $12.5 million, respectively.</w:t>
      </w:r>
    </w:p>
    <w:p>
      <w:pPr>
        <w:spacing w:after="0" w:line="116"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Company recorded $0.3 million of net gains in 2014 and $0.4 million and $0.5 million of net losses in 2013 and 2012, respectively, related to foreign currency forward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85"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warranty obligations measured at fair value for the periods indicated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2013</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fair value of the contingent consideration recognized on the acquisition date of $2.3 million was estimated by applying the income approach. That measure is based on significant Level 3 inputs not observable in the market. Key assumptions include (1) probability adjusted level of revenues between $2.6 million and $17.0 million and the resultant payout; and (2) a risk-adjusted discount rate was estimated using a capital asset pricing model, which reflects an expected rate of return required by a market participant holding a similarly risky asset.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contingent consideration measured at fair value for the periods indicated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2013</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contingent consideration—acquisition of NPS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Fair value adjustment to contingent consideration</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2014, the significant unobservable inputs used in the fair value measurement of the Company’s liabilities designated as Level 3 are as follows:</w:t>
      </w:r>
    </w:p>
    <w:p>
      <w:pPr>
        <w:sectPr>
          <w:pgSz w:w="11900" w:h="16838" w:orient="portrait"/>
          <w:cols w:equalWidth="0" w:num="1">
            <w:col w:w="11420"/>
          </w:cols>
          <w:pgMar w:left="240" w:top="122"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9512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428625"/>
                    </a:xfrm>
                    <a:prstGeom prst="rect">
                      <a:avLst/>
                    </a:prstGeom>
                    <a:noFill/>
                  </pic:spPr>
                </pic:pic>
              </a:graphicData>
            </a:graphic>
          </wp:anchor>
        </w:drawing>
      </w:r>
    </w:p>
    <w:p>
      <w:pPr>
        <w:spacing w:after="0" w:line="48" w:lineRule="exact"/>
        <w:rPr>
          <w:sz w:val="20"/>
          <w:szCs w:val="20"/>
          <w:color w:val="auto"/>
        </w:rPr>
      </w:pPr>
    </w:p>
    <w:p>
      <w:pPr>
        <w:ind w:left="40"/>
        <w:spacing w:after="0" w:line="278"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Contingent consideration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Valuation Technique</w:t>
            </w:r>
          </w:p>
        </w:tc>
        <w:tc>
          <w:tcPr>
            <w:tcW w:w="120" w:type="dxa"/>
            <w:vAlign w:val="bottom"/>
          </w:tcPr>
          <w:p>
            <w:pPr>
              <w:spacing w:after="0"/>
              <w:rPr>
                <w:sz w:val="14"/>
                <w:szCs w:val="14"/>
                <w:color w:val="auto"/>
              </w:rPr>
            </w:pP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 Significant Unobservable Input</w:t>
            </w:r>
          </w:p>
        </w:tc>
        <w:tc>
          <w:tcPr>
            <w:tcW w:w="100" w:type="dxa"/>
            <w:vAlign w:val="bottom"/>
            <w:vMerge w:val="restart"/>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 Used</w:t>
            </w:r>
          </w:p>
        </w:tc>
        <w:tc>
          <w:tcPr>
            <w:tcW w:w="0" w:type="dxa"/>
            <w:vAlign w:val="bottom"/>
          </w:tcPr>
          <w:p>
            <w:pPr>
              <w:spacing w:after="0"/>
              <w:rPr>
                <w:sz w:val="1"/>
                <w:szCs w:val="1"/>
                <w:color w:val="auto"/>
              </w:rPr>
            </w:pPr>
          </w:p>
        </w:tc>
      </w:tr>
      <w:tr>
        <w:trPr>
          <w:trHeight w:val="192"/>
        </w:trPr>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(Weighted-Average)</w:t>
            </w:r>
          </w:p>
        </w:tc>
        <w:tc>
          <w:tcPr>
            <w:tcW w:w="0" w:type="dxa"/>
            <w:vAlign w:val="bottom"/>
          </w:tcPr>
          <w:p>
            <w:pPr>
              <w:spacing w:after="0"/>
              <w:rPr>
                <w:sz w:val="1"/>
                <w:szCs w:val="1"/>
                <w:color w:val="auto"/>
              </w:rPr>
            </w:pPr>
          </w:p>
        </w:tc>
      </w:tr>
      <w:tr>
        <w:trPr>
          <w:trHeight w:val="250"/>
        </w:trPr>
        <w:tc>
          <w:tcPr>
            <w:tcW w:w="120" w:type="dxa"/>
            <w:vAlign w:val="bottom"/>
            <w:shd w:val="clear" w:color="auto" w:fill="CCEEFF"/>
          </w:tcPr>
          <w:p>
            <w:pPr>
              <w:spacing w:after="0"/>
              <w:rPr>
                <w:sz w:val="21"/>
                <w:szCs w:val="21"/>
                <w:color w:val="auto"/>
              </w:rPr>
            </w:pPr>
          </w:p>
        </w:tc>
        <w:tc>
          <w:tcPr>
            <w:tcW w:w="2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Discounted cash flows</w:t>
            </w:r>
          </w:p>
        </w:tc>
        <w:tc>
          <w:tcPr>
            <w:tcW w:w="12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Profit element and risk premium</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5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2"/>
              </w:rPr>
              <w:t>Credit-adjusted risk-free rate</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2520" w:type="dxa"/>
            <w:vAlign w:val="bottom"/>
            <w:vMerge w:val="continue"/>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4540" w:type="dxa"/>
            <w:vAlign w:val="bottom"/>
            <w:gridSpan w:val="2"/>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gridSpan w:val="2"/>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4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5"/>
        </w:trPr>
        <w:tc>
          <w:tcPr>
            <w:tcW w:w="12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w w:val="92"/>
              </w:rPr>
              <w:t>Probability-weighted discounted cash</w:t>
            </w:r>
          </w:p>
        </w:tc>
        <w:tc>
          <w:tcPr>
            <w:tcW w:w="120" w:type="dxa"/>
            <w:vAlign w:val="bottom"/>
          </w:tcPr>
          <w:p>
            <w:pPr>
              <w:spacing w:after="0"/>
              <w:rPr>
                <w:sz w:val="24"/>
                <w:szCs w:val="24"/>
                <w:color w:val="auto"/>
              </w:rPr>
            </w:pPr>
          </w:p>
        </w:tc>
        <w:tc>
          <w:tcPr>
            <w:tcW w:w="45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1"/>
              </w:rPr>
              <w:t>Risk-adjusted discount rate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8"/>
              </w:rPr>
              <w:t>flows</w:t>
            </w:r>
          </w:p>
        </w:tc>
        <w:tc>
          <w:tcPr>
            <w:tcW w:w="120" w:type="dxa"/>
            <w:vAlign w:val="bottom"/>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2380" w:space="140"/>
            <w:col w:w="890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discount rate is determined by reference to the Company’s own credit standing at the fair value measurement date. Increasing (decreasing) the profit element and risk premium input by 100 basis points would not have a material impact on the fair value measurement of the liability. Increasing (decreasing) the discount rate by 100 basis points would result in a ($138,000) $152,000 (decrease) increase, respectively, to the fair value measurement of the liability.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Changes in assumed probability adjustments with respect to achievement of target metric can materially impact the fair value measurement of contingent consideration as of the acquisition date and for each subsequent period. Assumptions about the probability and amount of payout will require less subjectivity over the course of the earnout period as management refines estimates based on actual events. Due to the short duration of the earnout period of two years, increasing (decreasing) the risk-adjusted discount rate by 100 basis points would not have a material impact on the fair value measurement of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REVOLVING CREDIT FACILITY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debt obligations were comprised of the following at December 31, 2014 and 2013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$0 and $94, respectively</w:t>
            </w:r>
          </w:p>
        </w:tc>
        <w:tc>
          <w:tcPr>
            <w:tcW w:w="102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2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8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Company has a $50.0 million revolving credit facility (the “Revolver”) with Wells Fargo Bank, N.A. (“Wells Fargo”) that was entered into in November 2012 and subsequently amended in February 2014 to extend the maturity date to November 2016. The amount of loans available to be drawn under the Revolver is subject to a borrowing base calculation that limits availability to a percentage of eligible domestic accounts receivable plus a percentage of the value of eligible domestic inventory, less certain reserves. Loans under the Revolver bear interest in cash at an annual rate equal to, at the Company’s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the Company to maintain at least $15.0 million of liquidity at all times, of which at least $5.0 million must be undrawn availability. To date, the Company has not drawn on the Revolver and approximately $37.6 million was available for borrowing as of December 31, 2014 based on eligible accounts receivable and inventory balances pursuant to the agreement.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Repayment of Term Loan</w:t>
      </w:r>
    </w:p>
    <w:p>
      <w:pPr>
        <w:spacing w:after="0" w:line="9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November 7, 2012, the Company entered into a Loan and Security Agreement (“Loan Agreement”) with Hercules Technology Growth Capital, Inc. (“Hercules”) and made an initial draw of $7.4 million. In addition, the Loan Agreement provided $15.6 million in additional borrowing capacity, which expired undrawn on March 31, 2014. Borrowings under the Loan Agreement bore interest at an annual rate equal to the higher of (i) the prime rate plus</w:t>
      </w:r>
    </w:p>
    <w:p>
      <w:pPr>
        <w:ind w:right="240"/>
        <w:spacing w:after="0" w:line="254" w:lineRule="auto"/>
        <w:rPr>
          <w:sz w:val="20"/>
          <w:szCs w:val="20"/>
          <w:color w:val="auto"/>
        </w:rPr>
      </w:pPr>
      <w:r>
        <w:rPr>
          <w:rFonts w:ascii="Arial" w:cs="Arial" w:eastAsia="Arial" w:hAnsi="Arial"/>
          <w:sz w:val="18"/>
          <w:szCs w:val="18"/>
          <w:color w:val="auto"/>
        </w:rPr>
        <w:t>8.25% or (b) 11.5%. Payments for the first 15 months were for interest-only and equal monthly payments thereafter through the maturity date of August 1, 2016 were for interest and principal. The Loan Agreement included a fixed $0.6 million back-end fee due on the earlier of prepayment in full or upon expiration of the Loan Agreement. Borrowings under the Loan Agreement were secured by a pledge of substantially all of the Company’s assets other than intellectual property. The Loan Agreement did not include any financial covenants.</w:t>
      </w:r>
    </w:p>
    <w:p>
      <w:pPr>
        <w:spacing w:after="0" w:line="5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On December 8, 2014, the Company repaid all of the $5.8 million in outstanding indebtedness including accrued interest and related fees thereon and terminated the Loan Agreement, which was scheduled to mature on August 1,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Repayment of Equipment Financing Facility</w:t>
      </w:r>
    </w:p>
    <w:p>
      <w:pPr>
        <w:spacing w:after="0" w:line="9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On June 13, 2011, the Company entered into a $5.0 million equipment financing facility with Hercules with a three year term. Borrowings under the equipment financing facility had a variable interest rate set at the higher of 5.75% above the prime lending rate and 9.0% annually. Borrowings were secured by the financed equipment and restricts the Company’s ability to pay dividends and take on certain types of additional liens. On July 1, 2014, the equipment financing facility expired in accordance with its terms and all remaining amounts outstanding were repaid in full.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31" w:lineRule="exact"/>
        <w:rPr>
          <w:sz w:val="20"/>
          <w:szCs w:val="20"/>
          <w:color w:val="auto"/>
        </w:rPr>
      </w:pPr>
    </w:p>
    <w:p>
      <w:pPr>
        <w:jc w:val="both"/>
        <w:ind w:right="40" w:firstLine="446"/>
        <w:spacing w:after="0" w:line="289"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—The Company leases office facilities under noncancelable operating leases that expire on various dates through 2022.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2014, 2013 and 2012 was $2.6 million, $2.6 million and $2.4 million, respectively.</w:t>
      </w:r>
    </w:p>
    <w:p>
      <w:pPr>
        <w:spacing w:after="0" w:line="13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2014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5,051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80" w:firstLine="446"/>
        <w:spacing w:after="0" w:line="266" w:lineRule="auto"/>
        <w:rPr>
          <w:sz w:val="20"/>
          <w:szCs w:val="20"/>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contractual obligations to purchase goods and services, which specify fixed or minimum quantities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fixed, minimum, or variable price provisions; and the approximate timing of the transaction. Purchase obligations do not include contracts that may be canceled without significant penalty. As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line="11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the Company had purchase obligations with third party manufacturers and suppliers totaling approximately $36.8 million.</w:t>
      </w:r>
    </w:p>
    <w:p>
      <w:pPr>
        <w:spacing w:after="0" w:line="167"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 involved in litigation relating to claims arising out of its operations. The Company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180" w:lineRule="exact"/>
        <w:rPr>
          <w:sz w:val="20"/>
          <w:szCs w:val="20"/>
          <w:color w:val="auto"/>
        </w:rPr>
      </w:pPr>
    </w:p>
    <w:p>
      <w:pPr>
        <w:ind w:left="440" w:right="8840" w:hanging="432"/>
        <w:spacing w:after="0" w:line="440" w:lineRule="auto"/>
        <w:tabs>
          <w:tab w:leader="none" w:pos="26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Initial Public Offering</w:t>
      </w:r>
    </w:p>
    <w:p>
      <w:pPr>
        <w:spacing w:after="0" w:line="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On April 4, 2012, the Company completed its initial public offering (“IPO”), issuing 10,315,151 shares of common stock at an offering price of $6.00 per share. The net proceeds from the sale of the shares were $53.8 million, after deducting the underwriters’ discounts and commissions of $3.3 million and other offering costs of $4.8 million. Upon consummation of the IPO, the Company’s 22,220,856 outstanding shares of convertible preferred stock ($93.6 million carrying value) were automatically converted into 25,171,017 shares of common stock, and the $21.2 million outstanding balance of principal and accrued paid-in-kind interest in convertible notes were automatically converted into 3,533,988 shares of common stock at a conversion price equal to the IPO price of $6.00 per share. As a result, the Company recorded a charge of $2.8 million to interest expense in 2012 for the extinguishment of debt related to the unamortized debt issuance costs and debt discounts.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Prior to its IPO, the Company issued convertible preferred stock warrants in connection with several financing transactions. These warrants automatically converted into warrants to purchase common stock upon the consummation of the IPO.</w:t>
      </w:r>
    </w:p>
    <w:p>
      <w:pPr>
        <w:spacing w:after="0" w:line="116" w:lineRule="exact"/>
        <w:rPr>
          <w:sz w:val="20"/>
          <w:szCs w:val="20"/>
          <w:color w:val="auto"/>
        </w:rPr>
      </w:pPr>
    </w:p>
    <w:p>
      <w:pPr>
        <w:ind w:right="600" w:firstLine="446"/>
        <w:spacing w:after="0" w:line="277" w:lineRule="auto"/>
        <w:rPr>
          <w:sz w:val="20"/>
          <w:szCs w:val="20"/>
          <w:color w:val="auto"/>
        </w:rPr>
      </w:pPr>
      <w:r>
        <w:rPr>
          <w:rFonts w:ascii="Arial" w:cs="Arial" w:eastAsia="Arial" w:hAnsi="Arial"/>
          <w:sz w:val="18"/>
          <w:szCs w:val="18"/>
          <w:color w:val="auto"/>
        </w:rPr>
        <w:t>As of December 31, 2014, warrants to purchase 111,183 shares of the Company’s common stock remained outstanding with a weighted average exercise price of $5.27. Such warrants are exercisable at any time and have expiration dates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Under the Company’s 2006 Equity Incentive Plan (the “2006 Plan”), equity awards granted generally vest over a four-year period from the date of grant with a contractual term of up to 10 years. As of December 31, 2014, there were 4.5 million shares of common stock outstanding under the 2006 Plan. No further stock options or other stock awards may be granted under the 2006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Plan</w:t>
      </w:r>
    </w:p>
    <w:p>
      <w:pPr>
        <w:spacing w:after="0" w:line="171"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Under the 2011 Equity Incentive Plan (the “2011 Plan”), the Company may, initially, issue up to 2,643,171 shares of its common stock pursuant to stock options, stock appreciation rights, restricted stock awards, restricted stock unit awards, performance-based stock awards,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authorized for issuance under the 2011 Plan will automatically increase, on each January 1, by 4.5% of the total number of shares of the Company’s common stock outstanding on December 31 of the preceding calendar year, or such lesser number of shares of common stock as determined by the board of directors. As of December 31, 2014, 208,485 shares of common stock remained available for issuance pursuant to future grants under the 2011 Plan. On January 1, 2015, the shares authorized for issuance under the 2011 Plan automatically increased by 1,968,909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Employee Stock Purchase Plan</w:t>
      </w:r>
    </w:p>
    <w:p>
      <w:pPr>
        <w:spacing w:after="0" w:line="171" w:lineRule="exact"/>
        <w:rPr>
          <w:sz w:val="20"/>
          <w:szCs w:val="20"/>
          <w:color w:val="auto"/>
        </w:rPr>
      </w:pPr>
    </w:p>
    <w:p>
      <w:pPr>
        <w:jc w:val="both"/>
        <w:ind w:right="140" w:firstLine="446"/>
        <w:spacing w:after="0" w:line="302" w:lineRule="auto"/>
        <w:rPr>
          <w:sz w:val="20"/>
          <w:szCs w:val="20"/>
          <w:color w:val="auto"/>
        </w:rPr>
      </w:pPr>
      <w:r>
        <w:rPr>
          <w:rFonts w:ascii="Arial" w:cs="Arial" w:eastAsia="Arial" w:hAnsi="Arial"/>
          <w:sz w:val="16"/>
          <w:szCs w:val="16"/>
          <w:color w:val="auto"/>
        </w:rPr>
        <w:t>The 2011 Employee Stock Purchase Plan (“ESPP”) became effective immediately upon the execution and delivery of the underwriting agreement for the Company’s IPO on March 29, 2012. The ESPP initially authorizes the issuance of 669,603 shares of the Company’s common stock pursuant to purchase rights granted to employees. The number of shares of common stock reserved for issuance will automatically increase, on each January 1, by 330,396 shares of the Company’s common stock or a lesser number of shares of common stock as determined by the Company’s board of directors.</w:t>
      </w:r>
    </w:p>
    <w:p>
      <w:pPr>
        <w:spacing w:after="0" w:line="100"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 months periods commencing on each May 1 and November 1 of a calendar year.</w:t>
      </w:r>
    </w:p>
    <w:p>
      <w:pPr>
        <w:spacing w:after="0" w:line="11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125"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As of December 31, 2014, there were 534,674 shares of the Company’s common stock available for issuance under the ESPP. On January 1, 2015, the shares authorized for issuance under the ESPP automatically increased by 330,396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was estimated on the date of grant using the Black-Scholes option-pricing model with the following assumptions:</w:t>
      </w:r>
    </w:p>
    <w:p>
      <w:pPr>
        <w:spacing w:after="0" w:line="140" w:lineRule="exact"/>
        <w:rPr>
          <w:sz w:val="20"/>
          <w:szCs w:val="20"/>
          <w:color w:val="auto"/>
        </w:rPr>
      </w:pPr>
    </w:p>
    <w:p>
      <w:pPr>
        <w:ind w:left="660" w:right="240" w:hanging="328"/>
        <w:spacing w:after="0" w:line="342" w:lineRule="auto"/>
        <w:tabs>
          <w:tab w:leader="none" w:pos="6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of the option awards represents the period of time between the grant date of the option awards and the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awards are either exercised, converted or canceled, including an estimate for those option awards still outstanding. The Company used the</w:t>
      </w:r>
    </w:p>
    <w:p>
      <w:pPr>
        <w:sectPr>
          <w:pgSz w:w="11900" w:h="16948" w:orient="portrait"/>
          <w:cols w:equalWidth="0" w:num="1">
            <w:col w:w="11420"/>
          </w:cols>
          <w:pgMar w:left="240" w:top="122" w:right="239" w:bottom="0" w:gutter="0" w:footer="0" w:header="0"/>
        </w:sectPr>
      </w:pPr>
    </w:p>
    <w:bookmarkStart w:id="64" w:name="page65"/>
    <w:bookmarkEnd w:id="64"/>
    <w:p>
      <w:pPr>
        <w:ind w:left="328"/>
        <w:spacing w:after="0" w:line="277" w:lineRule="auto"/>
        <w:rPr>
          <w:sz w:val="20"/>
          <w:szCs w:val="20"/>
          <w:color w:val="auto"/>
        </w:rPr>
      </w:pPr>
      <w:r>
        <w:rPr>
          <w:rFonts w:ascii="Arial" w:cs="Arial" w:eastAsia="Arial" w:hAnsi="Arial"/>
          <w:sz w:val="18"/>
          <w:szCs w:val="18"/>
          <w:color w:val="auto"/>
        </w:rPr>
        <w:t>simplified method, as permitted by the SEC for companies with a limited history of stock option exercise activity, to determine the expected term for its option grants.</w:t>
      </w:r>
    </w:p>
    <w:p>
      <w:pPr>
        <w:spacing w:after="0" w:line="62" w:lineRule="exact"/>
        <w:rPr>
          <w:sz w:val="20"/>
          <w:szCs w:val="20"/>
          <w:color w:val="auto"/>
        </w:rPr>
      </w:pPr>
    </w:p>
    <w:p>
      <w:pPr>
        <w:ind w:left="328" w:right="60" w:hanging="328"/>
        <w:spacing w:after="0" w:line="297" w:lineRule="auto"/>
        <w:tabs>
          <w:tab w:leader="none" w:pos="328"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The expected stock price volatility for option awards granted prior to March 31, 2014 was determined based on an average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historical volatilities of the common stock of several peer companies with characteristics similar to those of the Company. For option awards granted after March 31, 2014, the Company used a blended volatility estimate consisting of its own historical share price volatility (as the Company had at least two years of historical stock price data) augmented with historical volatility of peer companies for periods preceding the Company’s initial public offering such that the time period over which historical volatility data used was at least equal to the expected term of the option award.</w:t>
      </w:r>
    </w:p>
    <w:p>
      <w:pPr>
        <w:spacing w:after="0" w:line="50" w:lineRule="exact"/>
        <w:rPr>
          <w:rFonts w:ascii="Arial" w:cs="Arial" w:eastAsia="Arial" w:hAnsi="Arial"/>
          <w:sz w:val="16"/>
          <w:szCs w:val="16"/>
          <w:i w:val="1"/>
          <w:iCs w:val="1"/>
          <w:color w:val="auto"/>
        </w:rPr>
      </w:pPr>
    </w:p>
    <w:p>
      <w:pPr>
        <w:ind w:left="328" w:right="180" w:hanging="328"/>
        <w:spacing w:after="0" w:line="309" w:lineRule="auto"/>
        <w:tabs>
          <w:tab w:leader="none" w:pos="3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 maturity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the Company’s expected term.</w:t>
      </w:r>
    </w:p>
    <w:p>
      <w:pPr>
        <w:spacing w:after="0" w:line="3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dividend yield was based on the Company’s dividend history and the anticipated dividend payout over its expected term.</w:t>
      </w:r>
    </w:p>
    <w:p>
      <w:pPr>
        <w:spacing w:after="0" w:line="26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8"/>
          </w:cols>
          <w:pgMar w:left="572" w:top="125" w:right="27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weighted-average assumptions used to estimate the fair values of the stock options granted during the periods presented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on grant date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5.64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4.69</w:t>
            </w:r>
          </w:p>
        </w:tc>
      </w:tr>
      <w:tr>
        <w:trPr>
          <w:trHeight w:val="27"/>
        </w:trPr>
        <w:tc>
          <w:tcPr>
            <w:tcW w:w="6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Compensation cost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3,127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1,728</w:t>
            </w:r>
          </w:p>
        </w:tc>
      </w:tr>
      <w:tr>
        <w:trPr>
          <w:trHeight w:val="27"/>
        </w:trPr>
        <w:tc>
          <w:tcPr>
            <w:tcW w:w="6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3,310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1,588</w:t>
            </w:r>
          </w:p>
        </w:tc>
      </w:tr>
      <w:tr>
        <w:trPr>
          <w:trHeight w:val="27"/>
        </w:trPr>
        <w:tc>
          <w:tcPr>
            <w:tcW w:w="6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9,740</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4,766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stock-based compensation expense associated with each type of award for the periods presented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8,845</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ESPP</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247</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9,740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December 31, 2014, there was approximately $20.4 million of total unrecognized compensation cost related to unvested equity awards, net of expected forfeitures, which is expected to be recognized over a weighted-average period of 2.7 years.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stock option activity for the periods presented is as follows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2011</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2012</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2013</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2014</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80" w:type="dxa"/>
            <w:vAlign w:val="bottom"/>
            <w:gridSpan w:val="9"/>
            <w:vMerge w:val="restart"/>
          </w:tcPr>
          <w:p>
            <w:pPr>
              <w:ind w:left="400"/>
              <w:spacing w:after="0"/>
              <w:rPr>
                <w:sz w:val="20"/>
                <w:szCs w:val="20"/>
                <w:color w:val="auto"/>
              </w:rPr>
            </w:pPr>
            <w:r>
              <w:rPr>
                <w:rFonts w:ascii="Arial" w:cs="Arial" w:eastAsia="Arial" w:hAnsi="Arial"/>
                <w:sz w:val="18"/>
                <w:szCs w:val="18"/>
                <w:color w:val="auto"/>
                <w:w w:val="99"/>
              </w:rPr>
              <w:t>The following table summarizes information about stock options outstanding at December 31, 2014:</w:t>
            </w: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 w:type="dxa"/>
            <w:vAlign w:val="bottom"/>
          </w:tcPr>
          <w:p>
            <w:pPr>
              <w:spacing w:after="0"/>
              <w:rPr>
                <w:sz w:val="24"/>
                <w:szCs w:val="24"/>
                <w:color w:val="auto"/>
              </w:rPr>
            </w:pPr>
          </w:p>
        </w:tc>
        <w:tc>
          <w:tcPr>
            <w:tcW w:w="8280" w:type="dxa"/>
            <w:vAlign w:val="bottom"/>
            <w:gridSpan w:val="9"/>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Borders>
              <w:bottom w:val="single" w:sz="8" w:color="auto"/>
            </w:tcBorders>
            <w:gridSpan w:val="6"/>
          </w:tcPr>
          <w:p>
            <w:pPr>
              <w:jc w:val="right"/>
              <w:ind w:right="815"/>
              <w:spacing w:after="0"/>
              <w:rPr>
                <w:sz w:val="20"/>
                <w:szCs w:val="20"/>
                <w:color w:val="auto"/>
              </w:rPr>
            </w:pPr>
            <w:r>
              <w:rPr>
                <w:rFonts w:ascii="Arial" w:cs="Arial" w:eastAsia="Arial" w:hAnsi="Arial"/>
                <w:sz w:val="14"/>
                <w:szCs w:val="14"/>
                <w:b w:val="1"/>
                <w:bCs w:val="1"/>
                <w:color w:val="auto"/>
              </w:rPr>
              <w:t>Options Exercisable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3"/>
                <w:szCs w:val="13"/>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$0.27 —– $0.27</w:t>
            </w: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2,304</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2,304</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$0.64 —– $2.54</w:t>
            </w: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1,730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$3.35 —– $7.44</w:t>
            </w: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1,820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2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$7.50 —– $9.53</w:t>
            </w: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1,839</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5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$9.54 —– $16.01</w:t>
            </w: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939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5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8,632</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5,956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46"/>
        <w:spacing w:after="0" w:line="302" w:lineRule="auto"/>
        <w:rPr>
          <w:sz w:val="20"/>
          <w:szCs w:val="20"/>
          <w:color w:val="auto"/>
        </w:rPr>
      </w:pPr>
      <w:r>
        <w:rPr>
          <w:rFonts w:ascii="Arial" w:cs="Arial" w:eastAsia="Arial" w:hAnsi="Arial"/>
          <w:sz w:val="16"/>
          <w:szCs w:val="16"/>
          <w:color w:val="auto"/>
        </w:rPr>
        <w:t>The intrinsic value of options exercised in 2014, 2013 and 2012 was $5.5 million, $3.2 million and $0.3 million, respectively. As of December 31, 2014, there were 8.4 million options outstanding that were vested and expected to vest. Such options have a weighted-average exercise price of $4.66 and a weighted-average remaining contractual term of 5.6 years. As of December 31, 2014, the aggregate intrinsic value was $67.4 million for the 6.0 million exercisable shares. The intrinsic value is based on the Company’s common stock fair value of $14.29 per share as of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periods presented is as follows: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46"/>
        <w:spacing w:after="0" w:line="264" w:lineRule="auto"/>
        <w:rPr>
          <w:sz w:val="20"/>
          <w:szCs w:val="20"/>
          <w:color w:val="auto"/>
        </w:rPr>
      </w:pPr>
      <w:r>
        <w:rPr>
          <w:rFonts w:ascii="Arial" w:cs="Arial" w:eastAsia="Arial" w:hAnsi="Arial"/>
          <w:sz w:val="18"/>
          <w:szCs w:val="18"/>
          <w:color w:val="auto"/>
        </w:rPr>
        <w:t>The intrinsic value of restricted stock units vested during 2014, 2013 and 2012 was $3.2 million, $0.8 million and $39,000, respectively. As of December 31, 2014, the restricted stock units outstanding had a weighted average remaining contractual term of 1.6 years with an intrinsic value of $19.2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ESPP activity for the years presented is as follows: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common stock issued under ESPP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Shares of common stock issued</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327</w:t>
            </w: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loss before provision for income taxes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years presented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651</w:t>
            </w:r>
          </w:p>
        </w:tc>
      </w:tr>
      <w:tr>
        <w:trPr>
          <w:trHeight w:val="27"/>
        </w:trPr>
        <w:tc>
          <w:tcPr>
            <w:tcW w:w="6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651</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statutory federal income tax rate of 34% to loss before income taxes for the years presented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federal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tax rate and tax law differential</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permanent items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nondeductible/nontaxable items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2014 and 2013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Allowances and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18,771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Fixed assets and intangibles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64,465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Net deferred tax assets, net of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46"/>
        <w:spacing w:after="0" w:line="270" w:lineRule="auto"/>
        <w:rPr>
          <w:sz w:val="20"/>
          <w:szCs w:val="20"/>
          <w:color w:val="auto"/>
        </w:rPr>
      </w:pPr>
      <w:r>
        <w:rPr>
          <w:rFonts w:ascii="Arial" w:cs="Arial" w:eastAsia="Arial" w:hAnsi="Arial"/>
          <w:sz w:val="17"/>
          <w:szCs w:val="17"/>
          <w:color w:val="auto"/>
        </w:rPr>
        <w:t>Accounting for income taxes requires that companies assess whether valuation allowances should be established against their deferred tax assets based on consideration of all available evidence, both positive and negative, using a “more likely than not” standard. This assessment considers, among other matters, the nature, frequency and amount of recent losses, the duration of statutory carryforward periods, and tax planning strategies. In making such judgments, significant weight is given to evidence that can be objectively verified. Due to the history of losses the Company has generated in the United States since inception, the Company believes that it is more-likely-than-not that all of its U.S. and state deferred tax assets will not be realized as of December 31, 2014. Therefore, the Company has recorded a full valuation allowance on its U.S. and state deferred tax assets at December 31, 2014. Should the Company determine that it would be able to realize its deferred tax assets in the foreseeable future, an adjustment to the deferred tax assets may cause a material increase to income in the period such determination is made. Significant management judgment is required in determining the period in which the reversal of a valuation allowance should occur.</w:t>
      </w:r>
    </w:p>
    <w:p>
      <w:pPr>
        <w:spacing w:after="0" w:line="12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The Company considers the earnings of certain non-U.S. subsidiaries to be indefinitely invested outside the United States on the basis of estimates that future domestic cash generation will be sufficient to meet future domestic cash needs and the Company’s specific plans for reinvestment of those subsidiary earnings. Accordingly, the Company has not recorded a deferred tax liability related to the U.S. federal and state income taxes and foreign withholding taxes on approximately $2.6 million of undistributed earnings of foreign subsidiaries indefinitely invested outside the United States. If such earnings were repatriated, additional tax provisions may result.</w:t>
      </w:r>
    </w:p>
    <w:p>
      <w:pPr>
        <w:spacing w:after="0" w:line="134" w:lineRule="exact"/>
        <w:rPr>
          <w:sz w:val="20"/>
          <w:szCs w:val="20"/>
          <w:color w:val="auto"/>
        </w:rPr>
      </w:pPr>
    </w:p>
    <w:p>
      <w:pPr>
        <w:ind w:right="140" w:firstLine="446"/>
        <w:spacing w:after="0" w:line="272" w:lineRule="auto"/>
        <w:rPr>
          <w:sz w:val="20"/>
          <w:szCs w:val="20"/>
          <w:color w:val="auto"/>
        </w:rPr>
      </w:pPr>
      <w:r>
        <w:rPr>
          <w:rFonts w:ascii="Arial" w:cs="Arial" w:eastAsia="Arial" w:hAnsi="Arial"/>
          <w:sz w:val="17"/>
          <w:szCs w:val="17"/>
          <w:color w:val="auto"/>
        </w:rPr>
        <w:t>The Company has net operating loss carryforwards for federal and California income tax purposes of approximately $52.9 million and $44.6 million, respectively, as of December 31, 2014. The federal and state net operating loss carryforwards, if not utilized, will expire beginning in 2026 and 2016, respectively. Utilization of the net operating loss carryforwards may be subject to a substantial annual limitation due to the ownership change limitations provided by the Internal Revenue Code of 1986, as amended (the “Code”), and similar state provisions. The annual limitation may result in the expiration of net operating losses before utilization. The Company has completed a study to assess whether an ownership change has occurred or whether there have been multiple ownership changes since the Company became a loss corporation under the Code. However, the Company does not anticipate these limitations will significantly impact its ability to utilize the net operating losses and tax credit carryforwards.</w:t>
      </w:r>
    </w:p>
    <w:p>
      <w:pPr>
        <w:spacing w:after="0" w:line="124"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The Company has approximately $7.5 million of federal research credit and $7.2 million of state research credit carryforwards. The federal credits begin to expire in 2026 and the state credits can be carried forward indefinitely.</w:t>
      </w:r>
    </w:p>
    <w:p>
      <w:pPr>
        <w:spacing w:after="0" w:line="116"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As a result of certain realization requirements under income tax accounting for stock-based compensation, the table of deferred tax assets and liabilities shown above does not include certain deferred tax assets as of December 31, 2014 and 2013 that arose directly from tax deductions related to equity compensation greater than compensation recognized for financial reporting. Equity will be increased by $1.3 million if and when such deferred tax assets are ultimately realized.</w:t>
      </w:r>
    </w:p>
    <w:p>
      <w:pPr>
        <w:spacing w:after="0" w:line="133"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There were no significant unrecognized tax benefits recorded upon adoption and the change to the unrecognized tax benefits in 2014 was $4.0 million.</w:t>
      </w:r>
    </w:p>
    <w:p>
      <w:pPr>
        <w:spacing w:after="0" w:line="117"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recognizes interest and penalties related to uncertain tax positions in income tax expense.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tabular reconciliation of the total amounts of unrecognized tax benefits for the years presented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benefits—at beginning of year</w:t>
            </w:r>
          </w:p>
        </w:tc>
        <w:tc>
          <w:tcPr>
            <w:tcW w:w="268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w w:val="97"/>
              </w:rPr>
              <w:t>Increases in balances related to tax positions taken in prior years</w:t>
            </w:r>
          </w:p>
        </w:tc>
        <w:tc>
          <w:tcPr>
            <w:tcW w:w="1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Increases in balances related to tax positions taken in current year</w:t>
            </w:r>
          </w:p>
        </w:tc>
        <w:tc>
          <w:tcPr>
            <w:tcW w:w="18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2,155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Unrecognized tax benefits—at end of year</w:t>
            </w:r>
          </w:p>
        </w:tc>
        <w:tc>
          <w:tcPr>
            <w:tcW w:w="182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4,426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20" w:type="dxa"/>
            <w:vAlign w:val="bottom"/>
            <w:vMerge w:val="restart"/>
          </w:tcPr>
          <w:p>
            <w:pPr>
              <w:jc w:val="right"/>
              <w:ind w:right="1190"/>
              <w:spacing w:after="0"/>
              <w:rPr>
                <w:sz w:val="20"/>
                <w:szCs w:val="20"/>
                <w:color w:val="auto"/>
              </w:rPr>
            </w:pPr>
            <w:r>
              <w:rPr>
                <w:rFonts w:ascii="Arial" w:cs="Arial" w:eastAsia="Arial" w:hAnsi="Arial"/>
                <w:sz w:val="18"/>
                <w:szCs w:val="18"/>
                <w:color w:val="auto"/>
              </w:rPr>
              <w:t>67</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Company’s tax returns continue to remain subject to examination by U.S. federal authorities for the years 2011 through 2014 and by California state authorities for the years 2010 through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CONCENTRATION OF CREDIT RISK AND MAJOR CUSTOMERS</w:t>
      </w:r>
    </w:p>
    <w:p>
      <w:pPr>
        <w:spacing w:after="0" w:line="175" w:lineRule="exact"/>
        <w:rPr>
          <w:sz w:val="20"/>
          <w:szCs w:val="20"/>
          <w:color w:val="auto"/>
        </w:rPr>
      </w:pPr>
    </w:p>
    <w:p>
      <w:pPr>
        <w:ind w:right="120" w:firstLine="446"/>
        <w:spacing w:after="0" w:line="293" w:lineRule="auto"/>
        <w:rPr>
          <w:sz w:val="20"/>
          <w:szCs w:val="20"/>
          <w:color w:val="auto"/>
        </w:rPr>
      </w:pPr>
      <w:r>
        <w:rPr>
          <w:rFonts w:ascii="Arial" w:cs="Arial" w:eastAsia="Arial" w:hAnsi="Arial"/>
          <w:sz w:val="16"/>
          <w:szCs w:val="16"/>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 Accounts receivable can be potentially exposed to a concentration of credit risk with its major customers. As of December 31, 2014, the Company had amounts due from two customers that represented 15% and 11% of the total accounts receivable balance. As of December 31, 2013, its two largest accounts receivable balances represented 16% and 10% of the total accounts receivable balance. In 2014, two customers accounted for 24% and 16% of total net revenues. In 2013, three customers accounted for 15%, 14% and 11% of total net revenues. In 2012, two customers accounted for 16% and 11% of total net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 ATTRIBUTABLE TO COMMON STOCKHOLDERS</w:t>
      </w:r>
    </w:p>
    <w:p>
      <w:pPr>
        <w:spacing w:after="0" w:line="256"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2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Company’s IPO and the automatic conversion of the outstanding convertible preferred stock, the Company had no other participating securities and the two-class method is no longer applicable.</w:t>
      </w:r>
    </w:p>
    <w:p>
      <w:pPr>
        <w:spacing w:after="0" w:line="134"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Basic net loss per share attributable to common stockholders is calculated by dividing net loss attributable to common stockholders by the weighted average number of shares outstanding for the period. 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and non-vested restricted stock units.</w:t>
      </w:r>
    </w:p>
    <w:p>
      <w:pPr>
        <w:spacing w:after="0" w:line="11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200" w:lineRule="exact"/>
        <w:rPr>
          <w:sz w:val="20"/>
          <w:szCs w:val="20"/>
          <w:color w:val="auto"/>
        </w:rPr>
      </w:pPr>
    </w:p>
    <w:p>
      <w:pPr>
        <w:spacing w:after="0" w:line="30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8,196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8,174</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Unvested restricted stock units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1,258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248</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9,955</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8,885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8,753</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175"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294,549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189,711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49,355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39,965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26,967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343,904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232,846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216,678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30,824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25,541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75"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KPCB Holdings, Inc. (“KPCB”), as nominee for certain funds of Kleiner Perkins Caufield &amp; Byers, owned approximately 9 percent of the Company’s outstanding stock as of December 31, 2014. Revenues recognized from sales of microinverters to entities that are majority-owned by KPCB entities in 2013 and 2012 were $2.7 million and $16.8 million respectively. There were no sales to these entities in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Quarterly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Quarters Ended for Fiscal 2014</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3"/>
        </w:trPr>
        <w:tc>
          <w:tcPr>
            <w:tcW w:w="5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8"/>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38,925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70,172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33,084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840" w:type="dxa"/>
            <w:vAlign w:val="bottom"/>
            <w:tcBorders>
              <w:bottom w:val="single" w:sz="8" w:color="auto"/>
            </w:tcBorders>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Quarters Ended for Fiscal 2013</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45,560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23,107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91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31, 2014 based on criteria set forth in Internal Control – Integrated Framework issued by the Committee of Sponsoring Organizations of the Treadway Commission (2013). As a result of this assessment, management concluded that, as of December 31, 2014, our internal control over financial reporting was effective.</w:t>
      </w:r>
    </w:p>
    <w:p>
      <w:pPr>
        <w:spacing w:after="0" w:line="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a result, we are exempt from the auditor attestation requirements related to internal controls over financial reporting pursuant to Section 404 of the Sarbanes-Oxley Act. In addition, for as long as we remain an “emerging growth company,” we will continue to be exempt from the auditor attestation requirement in the assessment of the effectiveness of our internal control over financial reporting through the end of fiscal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ended December 31, 2014 that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the section entitled “Proposal 1-Election of Directors” in our definitive Proxy Statement for the 2015 Annual Meeting of Stockholders (our “Proxy Statement”), a copy of which will be filed with the Securities and Exchange Commission on or before April 30, 2015.</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70"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http://investor.enphase.com/governance.cfm</w:t>
      </w:r>
      <w:r>
        <w:rPr>
          <w:rFonts w:ascii="Arial" w:cs="Arial" w:eastAsia="Arial" w:hAnsi="Arial"/>
          <w:sz w:val="18"/>
          <w:szCs w:val="18"/>
          <w:color w:val="auto"/>
        </w:rPr>
        <w:t>. A copy of our Code of Conduct may also be obtained free of charge by writing to our Assistant Secretary, Enphase Energy, Inc., 1420 N. McDowell Blvd., Petaluma, CA 94954.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“Director Compensation,” “Compensation Committee Report” and “Compensation Committee Interlocks and Insider Participation” in our Proxy Statement.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is incorporated herein by reference from the information contained in the sections entitled “Principal Accountant Fees and Services” and “Pre-Approval Policies and Procedures” in the section entitled “Proposal 2-Ratification of Selection of Independent Registered Public Accounting Firm” in our Proxy Statement.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 2015.</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152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Paul B. Nahi and Kris Sennesael,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9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54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PAUL B. NAHI</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 (Principal Executive</w:t>
            </w: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March 3, 2015</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Paul B. Nahi</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1480" w:type="dxa"/>
            <w:vAlign w:val="bottom"/>
          </w:tcPr>
          <w:p>
            <w:pPr>
              <w:spacing w:after="0"/>
              <w:rPr>
                <w:sz w:val="20"/>
                <w:szCs w:val="20"/>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 SENNESAEL</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4"/>
              </w:rPr>
              <w:t>Vice President and Chief Financial Officer (Principal Financial and</w:t>
            </w: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March 3, 2015</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Kris Sennesael</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NEAL DEMPSEY</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Neal Dempsey</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STEVEN J. GOMO</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Steven J. Gomo</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7"/>
              </w:rPr>
              <w:t>/s/ BENJAMIN KORTLANG</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Benjamin Kortlang</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JAMESON J. MCJUNKIN</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Jameson J. McJunkin</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8"/>
              </w:rPr>
              <w:t>/s/ RICHARD MORA</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2"/>
              </w:rPr>
              <w:t>Richard Mora</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ROBERT SCHWARTZ</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0"/>
              </w:rPr>
              <w:t>Robert Schwartz</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JOHN H. WEBER</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3, 2015</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John H. Weber</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4800" w:type="dxa"/>
            <w:vAlign w:val="bottom"/>
          </w:tcPr>
          <w:p>
            <w:pPr>
              <w:spacing w:after="0"/>
              <w:rPr>
                <w:sz w:val="24"/>
                <w:szCs w:val="24"/>
                <w:color w:val="auto"/>
              </w:rPr>
            </w:pPr>
          </w:p>
        </w:tc>
        <w:tc>
          <w:tcPr>
            <w:tcW w:w="5040" w:type="dxa"/>
            <w:vAlign w:val="bottom"/>
            <w:gridSpan w:val="2"/>
          </w:tcPr>
          <w:p>
            <w:pPr>
              <w:jc w:val="right"/>
              <w:ind w:right="395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6"/>
          </w:tcPr>
          <w:p>
            <w:pPr>
              <w:ind w:left="2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40" w:type="dxa"/>
            <w:vAlign w:val="bottom"/>
            <w:gridSpan w:val="2"/>
            <w:vMerge w:val="continue"/>
          </w:tcPr>
          <w:p>
            <w:pPr>
              <w:spacing w:after="0"/>
              <w:rPr>
                <w:sz w:val="11"/>
                <w:szCs w:val="11"/>
                <w:color w:val="auto"/>
              </w:rPr>
            </w:pPr>
          </w:p>
        </w:tc>
        <w:tc>
          <w:tcPr>
            <w:tcW w:w="4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SEC File No.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vMerge w:val="restart"/>
          </w:tcPr>
          <w:p>
            <w:pPr>
              <w:spacing w:after="0"/>
              <w:rPr>
                <w:sz w:val="10"/>
                <w:szCs w:val="10"/>
                <w:color w:val="auto"/>
              </w:rPr>
            </w:pPr>
          </w:p>
        </w:tc>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2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58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1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4.1</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Amended and Restated Certificate of Incorporation of Enphase Energy,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Specimen Common Stock Certificate of Enphase Energy, Inc.</w:t>
      </w:r>
    </w:p>
    <w:p>
      <w:pPr>
        <w:spacing w:after="0" w:line="20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2010 Amended and Restated Investors’ Rights Agreement by and between Enphase Energy, Inc. and the investors listed on Exhibit A thereto, dated March 15, 2010, as amended.</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 of June 2011 Warrant to Purchase Common Stock of Enphase Energy, Inc., pursuant to that certain Amended and Restated Subordinated Convertible Loan Facility and Security Agreement.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of November 2011 Warrant to Purchase Common Stock of Enphase Energy, Inc., pursuant to that certain Amended and Restated Subordinated Convertible Loan Facility and Security Agreement.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4/6/2012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39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93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104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bl>
    <w:p>
      <w:pPr>
        <w:spacing w:after="0" w:line="484" w:lineRule="exact"/>
        <w:rPr>
          <w:sz w:val="20"/>
          <w:szCs w:val="20"/>
          <w:color w:val="auto"/>
        </w:rPr>
      </w:pPr>
    </w:p>
    <w:p>
      <w:pPr>
        <w:sectPr>
          <w:pgSz w:w="11900" w:h="16838" w:orient="portrait"/>
          <w:cols w:equalWidth="0" w:num="3">
            <w:col w:w="580" w:space="500"/>
            <w:col w:w="4500" w:space="360"/>
            <w:col w:w="5480"/>
          </w:cols>
          <w:pgMar w:left="240" w:top="121" w:right="239" w:bottom="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62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10.1</w:t>
            </w:r>
          </w:p>
        </w:tc>
        <w:tc>
          <w:tcPr>
            <w:tcW w:w="4680" w:type="dxa"/>
            <w:vAlign w:val="bottom"/>
          </w:tcPr>
          <w:p>
            <w:pPr>
              <w:ind w:left="200"/>
              <w:spacing w:after="0"/>
              <w:rPr>
                <w:sz w:val="20"/>
                <w:szCs w:val="20"/>
                <w:color w:val="auto"/>
              </w:rPr>
            </w:pPr>
            <w:r>
              <w:rPr>
                <w:rFonts w:ascii="Arial" w:cs="Arial" w:eastAsia="Arial" w:hAnsi="Arial"/>
                <w:sz w:val="18"/>
                <w:szCs w:val="18"/>
                <w:color w:val="auto"/>
                <w:w w:val="91"/>
              </w:rPr>
              <w:t>Form of Indemnification Agreement by and between Enphase</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Energy, Inc. and each of its directors and officers.</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10.2</w:t>
            </w:r>
          </w:p>
        </w:tc>
        <w:tc>
          <w:tcPr>
            <w:tcW w:w="4680" w:type="dxa"/>
            <w:vAlign w:val="bottom"/>
          </w:tcPr>
          <w:p>
            <w:pPr>
              <w:ind w:left="200"/>
              <w:spacing w:after="0"/>
              <w:rPr>
                <w:sz w:val="20"/>
                <w:szCs w:val="20"/>
                <w:color w:val="auto"/>
              </w:rPr>
            </w:pPr>
            <w:r>
              <w:rPr>
                <w:rFonts w:ascii="Arial" w:cs="Arial" w:eastAsia="Arial" w:hAnsi="Arial"/>
                <w:sz w:val="18"/>
                <w:szCs w:val="18"/>
                <w:color w:val="auto"/>
              </w:rPr>
              <w:t>2006 Equity Incentive Plan, as amended, and related</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documents. +</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10.3+</w:t>
            </w:r>
          </w:p>
        </w:tc>
        <w:tc>
          <w:tcPr>
            <w:tcW w:w="4680" w:type="dxa"/>
            <w:vAlign w:val="bottom"/>
          </w:tcPr>
          <w:p>
            <w:pPr>
              <w:ind w:left="200"/>
              <w:spacing w:after="0"/>
              <w:rPr>
                <w:sz w:val="20"/>
                <w:szCs w:val="20"/>
                <w:color w:val="auto"/>
              </w:rPr>
            </w:pPr>
            <w:r>
              <w:rPr>
                <w:rFonts w:ascii="Arial" w:cs="Arial" w:eastAsia="Arial" w:hAnsi="Arial"/>
                <w:sz w:val="18"/>
                <w:szCs w:val="18"/>
                <w:color w:val="auto"/>
              </w:rPr>
              <w:t>2011 Equity Incentive Plan and forms of agreement</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thereunder. +</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2"/>
              </w:rPr>
              <w:t>10.4+</w:t>
            </w:r>
          </w:p>
        </w:tc>
        <w:tc>
          <w:tcPr>
            <w:tcW w:w="4680" w:type="dxa"/>
            <w:vAlign w:val="bottom"/>
          </w:tcPr>
          <w:p>
            <w:pPr>
              <w:ind w:left="200"/>
              <w:spacing w:after="0"/>
              <w:rPr>
                <w:sz w:val="20"/>
                <w:szCs w:val="20"/>
                <w:color w:val="auto"/>
              </w:rPr>
            </w:pPr>
            <w:r>
              <w:rPr>
                <w:rFonts w:ascii="Arial" w:cs="Arial" w:eastAsia="Arial" w:hAnsi="Arial"/>
                <w:sz w:val="18"/>
                <w:szCs w:val="18"/>
                <w:color w:val="auto"/>
              </w:rPr>
              <w:t>2011 Employee Stock Purchase Plan. +</w:t>
            </w: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10.5+</w:t>
            </w:r>
          </w:p>
        </w:tc>
        <w:tc>
          <w:tcPr>
            <w:tcW w:w="4680" w:type="dxa"/>
            <w:vAlign w:val="bottom"/>
          </w:tcPr>
          <w:p>
            <w:pPr>
              <w:ind w:left="200"/>
              <w:spacing w:after="0"/>
              <w:rPr>
                <w:sz w:val="20"/>
                <w:szCs w:val="20"/>
                <w:color w:val="auto"/>
              </w:rPr>
            </w:pPr>
            <w:r>
              <w:rPr>
                <w:rFonts w:ascii="Arial" w:cs="Arial" w:eastAsia="Arial" w:hAnsi="Arial"/>
                <w:sz w:val="18"/>
                <w:szCs w:val="18"/>
                <w:color w:val="auto"/>
                <w:w w:val="89"/>
              </w:rPr>
              <w:t>Offer Letter by and between Enphase Energy, Inc. and Paul B.</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Nahi, dated January 1, 2007, as amended.</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10.6+</w:t>
            </w:r>
          </w:p>
        </w:tc>
        <w:tc>
          <w:tcPr>
            <w:tcW w:w="4680" w:type="dxa"/>
            <w:vAlign w:val="bottom"/>
          </w:tcPr>
          <w:p>
            <w:pPr>
              <w:ind w:left="200"/>
              <w:spacing w:after="0"/>
              <w:rPr>
                <w:sz w:val="20"/>
                <w:szCs w:val="20"/>
                <w:color w:val="auto"/>
              </w:rPr>
            </w:pPr>
            <w:r>
              <w:rPr>
                <w:rFonts w:ascii="Arial" w:cs="Arial" w:eastAsia="Arial" w:hAnsi="Arial"/>
                <w:sz w:val="18"/>
                <w:szCs w:val="18"/>
                <w:color w:val="auto"/>
                <w:w w:val="95"/>
              </w:rPr>
              <w:t>Offer Letter by and between Enphase Energy, Inc. and Jeff</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Loebbaka, dated April 19, 2010.</w:t>
            </w: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88"/>
              </w:rPr>
              <w:t>Redwood Business Park NNN Lease by and between Enphase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10.7</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Energy, Inc. and Sequoia Center LLC, dated June 3, 2011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(1400 North McDowell Boulevard), as amended.</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7"/>
              </w:rPr>
              <w:t>First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10.8</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12, 2012.</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2"/>
              </w:rPr>
              <w:t>Second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10.9</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13,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Third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10.10</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September 25,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4"/>
              </w:rPr>
              <w:t>Fourth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10.11</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December 30,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88"/>
              </w:rPr>
              <w:t>Redwood Business Park NNN Lease by and between Enphase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10.12</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Energy, Inc. and Sequoia Center LLC, dated June 3, 2011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(1420 North McDowell Boulevard), as amended.</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7"/>
              </w:rPr>
              <w:t>First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10.13</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12, 2012.</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2"/>
              </w:rPr>
              <w:t>Second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10.14</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July 3, 2012.</w:t>
            </w:r>
          </w:p>
        </w:tc>
        <w:tc>
          <w:tcPr>
            <w:tcW w:w="0" w:type="dxa"/>
            <w:vAlign w:val="bottom"/>
          </w:tcPr>
          <w:p>
            <w:pPr>
              <w:spacing w:after="0"/>
              <w:rPr>
                <w:sz w:val="1"/>
                <w:szCs w:val="1"/>
                <w:color w:val="auto"/>
              </w:rPr>
            </w:pPr>
          </w:p>
        </w:tc>
      </w:tr>
      <w:tr>
        <w:trPr>
          <w:trHeight w:val="392"/>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10.15</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Third Amendment to Redwood Business Park NNN 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333-174925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333-181382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20" w:type="dxa"/>
            <w:vAlign w:val="bottom"/>
          </w:tcPr>
          <w:p>
            <w:pPr>
              <w:jc w:val="right"/>
              <w:spacing w:after="0"/>
              <w:rPr>
                <w:sz w:val="20"/>
                <w:szCs w:val="20"/>
                <w:color w:val="auto"/>
              </w:rPr>
            </w:pPr>
            <w:r>
              <w:rPr>
                <w:rFonts w:ascii="Arial" w:cs="Arial" w:eastAsia="Arial" w:hAnsi="Arial"/>
                <w:sz w:val="18"/>
                <w:szCs w:val="18"/>
                <w:color w:val="auto"/>
              </w:rPr>
              <w:t>5/14/2012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333-181382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20" w:type="dxa"/>
            <w:vAlign w:val="bottom"/>
          </w:tcPr>
          <w:p>
            <w:pPr>
              <w:jc w:val="right"/>
              <w:spacing w:after="0"/>
              <w:rPr>
                <w:sz w:val="20"/>
                <w:szCs w:val="20"/>
                <w:color w:val="auto"/>
              </w:rPr>
            </w:pPr>
            <w:r>
              <w:rPr>
                <w:rFonts w:ascii="Arial" w:cs="Arial" w:eastAsia="Arial" w:hAnsi="Arial"/>
                <w:sz w:val="18"/>
                <w:szCs w:val="18"/>
                <w:color w:val="auto"/>
              </w:rPr>
              <w:t>5/14/2012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333-181382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20" w:type="dxa"/>
            <w:vAlign w:val="bottom"/>
          </w:tcPr>
          <w:p>
            <w:pPr>
              <w:jc w:val="right"/>
              <w:spacing w:after="0"/>
              <w:rPr>
                <w:sz w:val="20"/>
                <w:szCs w:val="20"/>
                <w:color w:val="auto"/>
              </w:rPr>
            </w:pPr>
            <w:r>
              <w:rPr>
                <w:rFonts w:ascii="Arial" w:cs="Arial" w:eastAsia="Arial" w:hAnsi="Arial"/>
                <w:sz w:val="18"/>
                <w:szCs w:val="18"/>
                <w:color w:val="auto"/>
              </w:rPr>
              <w:t>5/14/2012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333-174925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20" w:type="dxa"/>
            <w:vAlign w:val="bottom"/>
          </w:tcPr>
          <w:p>
            <w:pPr>
              <w:jc w:val="right"/>
              <w:spacing w:after="0"/>
              <w:rPr>
                <w:sz w:val="20"/>
                <w:szCs w:val="20"/>
                <w:color w:val="auto"/>
              </w:rPr>
            </w:pPr>
            <w:r>
              <w:rPr>
                <w:rFonts w:ascii="Arial" w:cs="Arial" w:eastAsia="Arial" w:hAnsi="Arial"/>
                <w:sz w:val="18"/>
                <w:szCs w:val="18"/>
                <w:color w:val="auto"/>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333-174925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20" w:type="dxa"/>
            <w:vAlign w:val="bottom"/>
          </w:tcPr>
          <w:p>
            <w:pPr>
              <w:jc w:val="right"/>
              <w:spacing w:after="0"/>
              <w:rPr>
                <w:sz w:val="20"/>
                <w:szCs w:val="20"/>
                <w:color w:val="auto"/>
              </w:rPr>
            </w:pPr>
            <w:r>
              <w:rPr>
                <w:rFonts w:ascii="Arial" w:cs="Arial" w:eastAsia="Arial" w:hAnsi="Arial"/>
                <w:sz w:val="18"/>
                <w:szCs w:val="18"/>
                <w:color w:val="auto"/>
              </w:rPr>
              <w:t>3/12/2012</w:t>
            </w:r>
          </w:p>
        </w:tc>
      </w:tr>
      <w:tr>
        <w:trPr>
          <w:trHeight w:val="716"/>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333-174925</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20" w:type="dxa"/>
            <w:vAlign w:val="bottom"/>
          </w:tcPr>
          <w:p>
            <w:pPr>
              <w:jc w:val="right"/>
              <w:spacing w:after="0"/>
              <w:rPr>
                <w:sz w:val="20"/>
                <w:szCs w:val="20"/>
                <w:color w:val="auto"/>
              </w:rPr>
            </w:pPr>
            <w:r>
              <w:rPr>
                <w:rFonts w:ascii="Arial" w:cs="Arial" w:eastAsia="Arial" w:hAnsi="Arial"/>
                <w:sz w:val="18"/>
                <w:szCs w:val="18"/>
                <w:color w:val="auto"/>
              </w:rPr>
              <w:t>3/12/2012</w:t>
            </w:r>
          </w:p>
        </w:tc>
      </w:tr>
    </w:tbl>
    <w:p>
      <w:pPr>
        <w:spacing w:after="0" w:line="200" w:lineRule="exact"/>
        <w:rPr>
          <w:sz w:val="20"/>
          <w:szCs w:val="20"/>
          <w:color w:val="auto"/>
        </w:rPr>
      </w:pPr>
    </w:p>
    <w:p>
      <w:pPr>
        <w:spacing w:after="0" w:line="39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00" w:val="left"/>
          <w:tab w:leader="none" w:pos="2320" w:val="left"/>
          <w:tab w:leader="none" w:pos="33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333-174925</w:t>
      </w:r>
      <w:r>
        <w:rPr>
          <w:sz w:val="20"/>
          <w:szCs w:val="20"/>
          <w:color w:val="auto"/>
        </w:rPr>
        <w:tab/>
      </w: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3/12/2012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960" w:val="left"/>
          <w:tab w:leader="none" w:pos="2360" w:val="left"/>
          <w:tab w:leader="none" w:pos="33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001-35480</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11/13/2012</w:t>
      </w:r>
    </w:p>
    <w:p>
      <w:pPr>
        <w:spacing w:after="0" w:line="200" w:lineRule="exact"/>
        <w:rPr>
          <w:sz w:val="20"/>
          <w:szCs w:val="20"/>
          <w:color w:val="auto"/>
        </w:rPr>
      </w:pPr>
    </w:p>
    <w:p>
      <w:pPr>
        <w:spacing w:after="0" w:line="20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560" w:space="380"/>
            <w:col w:w="5480"/>
          </w:cols>
          <w:pgMar w:left="240" w:top="121" w:right="239"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&amp; Sequoia Center LLC dated May 14, 2014.</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Cooperation Agreement “AC cabling system for solar micro-</w:t>
            </w:r>
          </w:p>
        </w:tc>
        <w:tc>
          <w:tcPr>
            <w:tcW w:w="0" w:type="dxa"/>
            <w:vAlign w:val="bottom"/>
          </w:tcPr>
          <w:p>
            <w:pPr>
              <w:spacing w:after="0"/>
              <w:rPr>
                <w:sz w:val="1"/>
                <w:szCs w:val="1"/>
                <w:color w:val="auto"/>
              </w:rPr>
            </w:pPr>
          </w:p>
        </w:tc>
      </w:tr>
      <w:tr>
        <w:trPr>
          <w:trHeight w:val="216"/>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10.16</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inverter” by and among Enphase Energy, Inc., and Phoenix</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w w:val="97"/>
              </w:rPr>
              <w:t>Contact GmbH &amp; Co. KG and Phoenix Contact USA, Inc.,</w:t>
            </w: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dated December 7, 2010. †</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6"/>
              </w:rPr>
              <w:t>Flextronics Logistics Services Agreement by and between</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10.17</w:t>
            </w:r>
          </w:p>
        </w:tc>
        <w:tc>
          <w:tcPr>
            <w:tcW w:w="4620" w:type="dxa"/>
            <w:vAlign w:val="bottom"/>
          </w:tcPr>
          <w:p>
            <w:pPr>
              <w:ind w:left="140"/>
              <w:spacing w:after="0"/>
              <w:rPr>
                <w:sz w:val="20"/>
                <w:szCs w:val="20"/>
                <w:color w:val="auto"/>
              </w:rPr>
            </w:pPr>
            <w:r>
              <w:rPr>
                <w:rFonts w:ascii="Arial" w:cs="Arial" w:eastAsia="Arial" w:hAnsi="Arial"/>
                <w:sz w:val="18"/>
                <w:szCs w:val="18"/>
                <w:color w:val="auto"/>
                <w:w w:val="95"/>
              </w:rPr>
              <w:t>Enphase Energy, Inc. and Flextronics America, LLC, 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May 1, 2009. ††</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Flextronics Manufacturing Services Agreement by and</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10.18</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between Enphase Energy, Inc. and Flextronics Industrial, Ltd.,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dated March 1, 2009, as amended. ††</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Master Development and Production Agreement by and</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10.19</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between Enphase Energy, Inc. and Fujitsu Microelectronics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America, Inc., dated August 19, 2009. ††</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License and Technology Transfer Agreement by and between</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10.20</w:t>
            </w:r>
          </w:p>
        </w:tc>
        <w:tc>
          <w:tcPr>
            <w:tcW w:w="4620" w:type="dxa"/>
            <w:vAlign w:val="bottom"/>
          </w:tcPr>
          <w:p>
            <w:pPr>
              <w:ind w:left="140"/>
              <w:spacing w:after="0"/>
              <w:rPr>
                <w:sz w:val="20"/>
                <w:szCs w:val="20"/>
                <w:color w:val="auto"/>
              </w:rPr>
            </w:pPr>
            <w:r>
              <w:rPr>
                <w:rFonts w:ascii="Arial" w:cs="Arial" w:eastAsia="Arial" w:hAnsi="Arial"/>
                <w:sz w:val="18"/>
                <w:szCs w:val="18"/>
                <w:color w:val="auto"/>
              </w:rPr>
              <w:t>Enphase Energy, Inc. and Ariane Controls, Inc., 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December 21, 2007. ††</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Software License Agreement by and between PVI Solutions,</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10.21</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Inc. (subsequently known as Enphase Energy, Inc.) and DCD,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8"/>
              </w:rPr>
              <w:t>Digital Core Design, dated May 8, 2007, as amended. ††</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10.22</w:t>
            </w:r>
          </w:p>
        </w:tc>
        <w:tc>
          <w:tcPr>
            <w:tcW w:w="4620" w:type="dxa"/>
            <w:vAlign w:val="bottom"/>
          </w:tcPr>
          <w:p>
            <w:pPr>
              <w:ind w:left="140"/>
              <w:spacing w:after="0"/>
              <w:rPr>
                <w:sz w:val="20"/>
                <w:szCs w:val="20"/>
                <w:color w:val="auto"/>
              </w:rPr>
            </w:pPr>
            <w:r>
              <w:rPr>
                <w:rFonts w:ascii="Arial" w:cs="Arial" w:eastAsia="Arial" w:hAnsi="Arial"/>
                <w:sz w:val="18"/>
                <w:szCs w:val="18"/>
                <w:color w:val="auto"/>
              </w:rPr>
              <w:t>Non-employee Director Compensation Policy. +</w:t>
            </w:r>
          </w:p>
        </w:tc>
        <w:tc>
          <w:tcPr>
            <w:tcW w:w="0" w:type="dxa"/>
            <w:vAlign w:val="bottom"/>
          </w:tcPr>
          <w:p>
            <w:pPr>
              <w:spacing w:after="0"/>
              <w:rPr>
                <w:sz w:val="1"/>
                <w:szCs w:val="1"/>
                <w:color w:val="auto"/>
              </w:rPr>
            </w:pPr>
          </w:p>
        </w:tc>
      </w:tr>
      <w:tr>
        <w:trPr>
          <w:trHeight w:val="377"/>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10.23</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Offer Letter by and between Enphase Energy, Inc. and Kris</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Sennesael, dated September 17, 2012. +</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1"/>
              </w:rPr>
              <w:t>Credit Agreement by and among the lenders identified on the</w:t>
            </w:r>
          </w:p>
        </w:tc>
        <w:tc>
          <w:tcPr>
            <w:tcW w:w="0" w:type="dxa"/>
            <w:vAlign w:val="bottom"/>
          </w:tcPr>
          <w:p>
            <w:pPr>
              <w:spacing w:after="0"/>
              <w:rPr>
                <w:sz w:val="1"/>
                <w:szCs w:val="1"/>
                <w:color w:val="auto"/>
              </w:rPr>
            </w:pPr>
          </w:p>
        </w:tc>
      </w:tr>
      <w:tr>
        <w:trPr>
          <w:trHeight w:val="216"/>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10.24</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signature pages thereof, Wells Fargo Bank, N.A., as an agent</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w w:val="90"/>
              </w:rPr>
              <w:t>for the lenders, and Enphase Energy, Inc. dated November 7,</w:t>
            </w: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10.25</w:t>
            </w:r>
          </w:p>
        </w:tc>
        <w:tc>
          <w:tcPr>
            <w:tcW w:w="4620" w:type="dxa"/>
            <w:vAlign w:val="bottom"/>
          </w:tcPr>
          <w:p>
            <w:pPr>
              <w:ind w:left="140"/>
              <w:spacing w:after="0"/>
              <w:rPr>
                <w:sz w:val="20"/>
                <w:szCs w:val="20"/>
                <w:color w:val="auto"/>
              </w:rPr>
            </w:pPr>
            <w:r>
              <w:rPr>
                <w:rFonts w:ascii="Arial" w:cs="Arial" w:eastAsia="Arial" w:hAnsi="Arial"/>
                <w:sz w:val="18"/>
                <w:szCs w:val="18"/>
                <w:color w:val="auto"/>
              </w:rPr>
              <w:t>2014 Performance Bonus Program Summary. +</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10.26</w:t>
            </w:r>
          </w:p>
        </w:tc>
        <w:tc>
          <w:tcPr>
            <w:tcW w:w="4620" w:type="dxa"/>
            <w:vAlign w:val="bottom"/>
          </w:tcPr>
          <w:p>
            <w:pPr>
              <w:ind w:left="140"/>
              <w:spacing w:after="0"/>
              <w:rPr>
                <w:sz w:val="20"/>
                <w:szCs w:val="20"/>
                <w:color w:val="auto"/>
              </w:rPr>
            </w:pPr>
            <w:r>
              <w:rPr>
                <w:rFonts w:ascii="Arial" w:cs="Arial" w:eastAsia="Arial" w:hAnsi="Arial"/>
                <w:sz w:val="18"/>
                <w:szCs w:val="18"/>
                <w:color w:val="auto"/>
              </w:rPr>
              <w:t>Severance and Change in Control Benefit Plan.</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Amendment No. 1 to Credit Agreement by and between</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10.27</w:t>
            </w:r>
          </w:p>
        </w:tc>
        <w:tc>
          <w:tcPr>
            <w:tcW w:w="4620" w:type="dxa"/>
            <w:vAlign w:val="bottom"/>
          </w:tcPr>
          <w:p>
            <w:pPr>
              <w:ind w:left="140"/>
              <w:spacing w:after="0"/>
              <w:rPr>
                <w:sz w:val="20"/>
                <w:szCs w:val="20"/>
                <w:color w:val="auto"/>
              </w:rPr>
            </w:pPr>
            <w:r>
              <w:rPr>
                <w:rFonts w:ascii="Arial" w:cs="Arial" w:eastAsia="Arial" w:hAnsi="Arial"/>
                <w:sz w:val="18"/>
                <w:szCs w:val="18"/>
                <w:color w:val="auto"/>
              </w:rPr>
              <w:t>Enphase Energy, Inc. and Wells Fargo Bank, National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Association, dated February 14, 2014.</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Long Term Product Supply Agreement, by and between the</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10.28</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Company and Vivint Solar Developer LLC dated August 11,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2014. †</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21.1</w:t>
            </w:r>
          </w:p>
        </w:tc>
        <w:tc>
          <w:tcPr>
            <w:tcW w:w="4620" w:type="dxa"/>
            <w:vAlign w:val="bottom"/>
          </w:tcPr>
          <w:p>
            <w:pPr>
              <w:ind w:left="1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77"/>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23.1</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Consent of Deloitte &amp; Touche LLP, Independent Registered</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Public Accounting Firm</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24.1</w:t>
            </w:r>
          </w:p>
        </w:tc>
        <w:tc>
          <w:tcPr>
            <w:tcW w:w="4620" w:type="dxa"/>
            <w:vAlign w:val="bottom"/>
          </w:tcPr>
          <w:p>
            <w:pPr>
              <w:ind w:left="140"/>
              <w:spacing w:after="0"/>
              <w:rPr>
                <w:sz w:val="20"/>
                <w:szCs w:val="20"/>
                <w:color w:val="auto"/>
              </w:rPr>
            </w:pPr>
            <w:r>
              <w:rPr>
                <w:rFonts w:ascii="Arial" w:cs="Arial" w:eastAsia="Arial" w:hAnsi="Arial"/>
                <w:sz w:val="18"/>
                <w:szCs w:val="18"/>
                <w:color w:val="auto"/>
                <w:w w:val="91"/>
              </w:rPr>
              <w:t>Power of Attorney (incorporated by reference to the signature</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page of this Annual Report on Form 10-K).</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31.1</w:t>
            </w: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Rule 13a-</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14(a)/15d-14(a).</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31.2</w:t>
            </w: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pursuant to Rule 13a-</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14(a)/15d-14(a).</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6"/>
              </w:rPr>
              <w:t>Certification of Chief Executive Officer and Chief Financial</w:t>
            </w:r>
          </w:p>
        </w:tc>
        <w:tc>
          <w:tcPr>
            <w:tcW w:w="0" w:type="dxa"/>
            <w:vAlign w:val="bottom"/>
          </w:tcPr>
          <w:p>
            <w:pPr>
              <w:spacing w:after="0"/>
              <w:rPr>
                <w:sz w:val="1"/>
                <w:szCs w:val="1"/>
                <w:color w:val="auto"/>
              </w:rPr>
            </w:pPr>
          </w:p>
        </w:tc>
      </w:t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32.1</w:t>
            </w:r>
          </w:p>
        </w:tc>
        <w:tc>
          <w:tcPr>
            <w:tcW w:w="4620" w:type="dxa"/>
            <w:vAlign w:val="bottom"/>
          </w:tcPr>
          <w:p>
            <w:pPr>
              <w:ind w:left="140"/>
              <w:spacing w:after="0"/>
              <w:rPr>
                <w:sz w:val="20"/>
                <w:szCs w:val="20"/>
                <w:color w:val="auto"/>
              </w:rPr>
            </w:pPr>
            <w:r>
              <w:rPr>
                <w:rFonts w:ascii="Arial" w:cs="Arial" w:eastAsia="Arial" w:hAnsi="Arial"/>
                <w:sz w:val="18"/>
                <w:szCs w:val="18"/>
                <w:color w:val="auto"/>
              </w:rPr>
              <w:t>Officer pursuant to 18 U.S.C. Section 1350 as Adopted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Pursuant to Section 906 of the Sarbanes-Oxley Act of 2002.*</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462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XBRL Taxonomy Extension Calculation Linkbase Document.</w:t>
            </w:r>
          </w:p>
        </w:tc>
        <w:tc>
          <w:tcPr>
            <w:tcW w:w="0" w:type="dxa"/>
            <w:vAlign w:val="bottom"/>
          </w:tcPr>
          <w:p>
            <w:pPr>
              <w:spacing w:after="0"/>
              <w:rPr>
                <w:sz w:val="1"/>
                <w:szCs w:val="1"/>
                <w:color w:val="auto"/>
              </w:rPr>
            </w:pPr>
          </w:p>
        </w:tc>
      </w:tr>
      <w:tr>
        <w:trPr>
          <w:trHeight w:val="392"/>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101.DEF</w:t>
            </w:r>
          </w:p>
        </w:tc>
        <w:tc>
          <w:tcPr>
            <w:tcW w:w="4620" w:type="dxa"/>
            <w:vAlign w:val="bottom"/>
          </w:tcPr>
          <w:p>
            <w:pPr>
              <w:ind w:left="140"/>
              <w:spacing w:after="0"/>
              <w:rPr>
                <w:sz w:val="20"/>
                <w:szCs w:val="20"/>
                <w:color w:val="auto"/>
              </w:rPr>
            </w:pPr>
            <w:r>
              <w:rPr>
                <w:rFonts w:ascii="Arial" w:cs="Arial" w:eastAsia="Arial" w:hAnsi="Arial"/>
                <w:sz w:val="18"/>
                <w:szCs w:val="18"/>
                <w:color w:val="auto"/>
                <w:w w:val="95"/>
              </w:rPr>
              <w:t>XBRL Taxonomy Extension Definition Linkbase Document.</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94615</wp:posOffset>
            </wp:positionV>
            <wp:extent cx="660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82" w:lineRule="exact"/>
        <w:rPr>
          <w:sz w:val="20"/>
          <w:szCs w:val="20"/>
          <w:color w:val="auto"/>
        </w:rPr>
      </w:pPr>
    </w:p>
    <w:p>
      <w:pPr>
        <w:ind w:left="1260" w:hanging="49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93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11/13/2012</w:t>
            </w:r>
          </w:p>
        </w:tc>
      </w:tr>
      <w:tr>
        <w:trPr>
          <w:trHeight w:val="824"/>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11/13/2012</w:t>
            </w:r>
          </w:p>
        </w:tc>
      </w:tr>
      <w:tr>
        <w:trPr>
          <w:trHeight w:val="71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3/12/2014</w:t>
            </w:r>
          </w:p>
        </w:tc>
      </w:tr>
      <w:tr>
        <w:trPr>
          <w:trHeight w:val="39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5/8/2013</w:t>
            </w:r>
          </w:p>
        </w:tc>
      </w:tr>
      <w:tr>
        <w:trPr>
          <w:trHeight w:val="608"/>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2/18/2014</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11/5/2014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440" w:space="380"/>
            <w:col w:w="4180" w:space="720"/>
            <w:col w:w="140"/>
          </w:cols>
          <w:pgMar w:left="360" w:top="125" w:right="679" w:bottom="0" w:gutter="0" w:footer="0" w:header="0"/>
        </w:sectPr>
      </w:pPr>
    </w:p>
    <w:bookmarkStart w:id="80" w:name="page81"/>
    <w:bookmarkEnd w:id="80"/>
    <w:p>
      <w:pPr>
        <w:ind w:left="494" w:right="20" w:hanging="494"/>
        <w:spacing w:after="0" w:line="308" w:lineRule="auto"/>
        <w:tabs>
          <w:tab w:leader="none" w:pos="4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Material in the exhibit marked with a “***” has been omitted pursuant to a request for confidential treatment filed with the Securities and Exchange Commission. Omitted portions have been filed separately with the Securities and Exchange Commission.</w:t>
      </w:r>
    </w:p>
    <w:p>
      <w:pPr>
        <w:spacing w:after="0" w:line="147" w:lineRule="exact"/>
        <w:rPr>
          <w:sz w:val="20"/>
          <w:szCs w:val="20"/>
          <w:color w:val="auto"/>
        </w:rPr>
      </w:pPr>
    </w:p>
    <w:p>
      <w:pPr>
        <w:ind w:left="494" w:hanging="494"/>
        <w:spacing w:after="0" w:line="277"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Securities and Exchange Commission as part of an application for confidential treatment.</w:t>
      </w:r>
    </w:p>
    <w:p>
      <w:pPr>
        <w:spacing w:after="0" w:line="170" w:lineRule="exact"/>
        <w:rPr>
          <w:sz w:val="20"/>
          <w:szCs w:val="20"/>
          <w:color w:val="auto"/>
        </w:rPr>
      </w:pPr>
    </w:p>
    <w:p>
      <w:pPr>
        <w:ind w:left="494" w:right="20" w:hanging="494"/>
        <w:spacing w:after="0" w:line="264" w:lineRule="auto"/>
        <w:tabs>
          <w:tab w:leader="none" w:pos="4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316" w:lineRule="exact"/>
        <w:rPr>
          <w:sz w:val="20"/>
          <w:szCs w:val="20"/>
          <w:color w:val="auto"/>
        </w:rPr>
      </w:pPr>
    </w:p>
    <w:p>
      <w:pPr>
        <w:ind w:left="4734"/>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14"/>
          </w:cols>
          <w:pgMar w:left="1126" w:top="193"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10.08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w:t>
      </w:r>
      <w:r>
        <w:rPr>
          <w:rFonts w:ascii="Arial" w:cs="Arial" w:eastAsia="Arial" w:hAnsi="Arial"/>
          <w:sz w:val="18"/>
          <w:szCs w:val="18"/>
          <w:b w:val="1"/>
          <w:bCs w:val="1"/>
          <w:color w:val="3D3D3D"/>
        </w:rPr>
        <w:t>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D2D2D"/>
        </w:rPr>
        <w:t>AMENDMENT TO 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D2D2D"/>
        </w:rPr>
        <w:t>(1400 N</w:t>
      </w:r>
      <w:r>
        <w:rPr>
          <w:rFonts w:ascii="Arial" w:cs="Arial" w:eastAsia="Arial" w:hAnsi="Arial"/>
          <w:sz w:val="18"/>
          <w:szCs w:val="18"/>
          <w:color w:val="3D3D3D"/>
        </w:rPr>
        <w:t>.</w:t>
      </w:r>
      <w:r>
        <w:rPr>
          <w:rFonts w:ascii="Arial" w:cs="Arial" w:eastAsia="Arial" w:hAnsi="Arial"/>
          <w:sz w:val="18"/>
          <w:szCs w:val="18"/>
          <w:color w:val="2D2D2D"/>
        </w:rPr>
        <w:t xml:space="preserve"> McDowell Blvd.)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THIS FIRST AMENDMENT TO LEASE (this “Amendment”) dated as of January 12, 2012, is entered into between SEQUOIA CENTER LLC, a California limited liability company (“Landlord”) and ENPHASE ENERGY, INC., a Delaware corporation (“Tenant”).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PARTIES ENTER INTO THIS AMENDMENT based upon the following facts, understandings and intentions:</w:t>
      </w:r>
    </w:p>
    <w:p>
      <w:pPr>
        <w:spacing w:after="0" w:line="225"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 Landlord and Tenant previously entered into that certain Redwood Business Park NNN Lease dated as of June 3, 2011 (together with all exhibits thereto, the “Lease”) pursuant to which Tenant leases from Landlord the first floor of the building commonly known as 1400 N. McDowell Boulevard, Petaluma, California. Capitalized terms used herein and not defined herein shall have the meanings set forth in the Lease (including the Work Letter Agreement attached as Exhibit B thereto) in connection therewith.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Landlord and Tenant desire to make certain changes to the Lease as further provided herein.</w:t>
      </w:r>
    </w:p>
    <w:p>
      <w:pPr>
        <w:spacing w:after="0" w:line="22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NOW, THEREFORE, IN CONSIDERATION of the mutual covenants and promises of the parties, the receipt and adequacy of which are hereby acknowledged, the parties hereto agree as follows:</w:t>
      </w:r>
    </w:p>
    <w:p>
      <w:pPr>
        <w:spacing w:after="0" w:line="166" w:lineRule="exact"/>
        <w:rPr>
          <w:sz w:val="20"/>
          <w:szCs w:val="20"/>
          <w:color w:val="auto"/>
        </w:rPr>
      </w:pPr>
    </w:p>
    <w:p>
      <w:pPr>
        <w:ind w:right="140" w:firstLine="494"/>
        <w:spacing w:after="0" w:line="261" w:lineRule="auto"/>
        <w:tabs>
          <w:tab w:leader="none" w:pos="66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Estimated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Estimated Commencement Date is hereby extended to April 10, 2012. Tenant acknowledges that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deliver the Premises to Tenant in the condition required by the Lease prior to the Estimated Commencement Date, and that in such event the Commencement Date shall occur prior to the Estimated Commencement Date on the date the Premises are Substantially Completed as defined in Section 13 of the Work Letter Agreement.</w:t>
      </w:r>
    </w:p>
    <w:p>
      <w:pPr>
        <w:spacing w:after="0" w:line="180" w:lineRule="exact"/>
        <w:rPr>
          <w:rFonts w:ascii="Arial" w:cs="Arial" w:eastAsia="Arial" w:hAnsi="Arial"/>
          <w:sz w:val="18"/>
          <w:szCs w:val="18"/>
          <w:b w:val="1"/>
          <w:bCs w:val="1"/>
          <w:color w:val="auto"/>
        </w:rPr>
      </w:pPr>
    </w:p>
    <w:p>
      <w:pPr>
        <w:ind w:right="20" w:firstLine="494"/>
        <w:spacing w:after="0" w:line="273" w:lineRule="auto"/>
        <w:tabs>
          <w:tab w:leader="none" w:pos="66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Approved Working Drawings</w:t>
      </w:r>
      <w:r>
        <w:rPr>
          <w:rFonts w:ascii="Arial" w:cs="Arial" w:eastAsia="Arial" w:hAnsi="Arial"/>
          <w:sz w:val="17"/>
          <w:szCs w:val="17"/>
          <w:color w:val="auto"/>
        </w:rPr>
        <w:t>. Landlord and Tenant hereby agree that the Working Drawings listed on Schedule 1 attached hereto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“Approved Working Drawings” under Section 2 of the Work Letter Agreement. Tenant shall either (a) modify the Approved Working Drawings to restore the roof access that would be eliminated per the Approved Working Drawings, or (b) install roof walking pads as reasonably determined by Landlord to allow full roof access from other access points, with such changes constituting a Tenant requested Change Order at Tenant's sole cost. Landlord shall have the right to direct changes to the Approved Working Drawings to effectuate the Change Order Requests listed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"COR's"). Such changes shall be subject to Tenant's approval, which shall not be unreasonably withheld, conditioned or delayed. Such changes directed by Landlord shall not constitute Tenant requested Change Orders. By way of example, Landlord shall specify the mesh material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82" w:name="page83"/>
    <w:bookmarkEnd w:id="82"/>
    <w:p>
      <w:pPr>
        <w:ind w:right="100"/>
        <w:spacing w:after="0" w:line="277" w:lineRule="auto"/>
        <w:rPr>
          <w:sz w:val="20"/>
          <w:szCs w:val="20"/>
          <w:color w:val="auto"/>
        </w:rPr>
      </w:pPr>
      <w:r>
        <w:rPr>
          <w:rFonts w:ascii="Arial" w:cs="Arial" w:eastAsia="Arial" w:hAnsi="Arial"/>
          <w:sz w:val="18"/>
          <w:szCs w:val="18"/>
          <w:color w:val="auto"/>
        </w:rPr>
        <w:t>contemplated in COR No. 31, and Tenant may suggest alternative materials but may not require a material that does not result in the savings contemplated in COR No. 31 .</w:t>
      </w:r>
    </w:p>
    <w:p>
      <w:pPr>
        <w:spacing w:after="0" w:line="166" w:lineRule="exact"/>
        <w:rPr>
          <w:sz w:val="20"/>
          <w:szCs w:val="20"/>
          <w:color w:val="auto"/>
        </w:rPr>
      </w:pPr>
    </w:p>
    <w:p>
      <w:pPr>
        <w:ind w:right="40" w:firstLine="494"/>
        <w:spacing w:after="0" w:line="289" w:lineRule="auto"/>
        <w:tabs>
          <w:tab w:leader="none" w:pos="66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Approved Budget</w:t>
      </w:r>
      <w:r>
        <w:rPr>
          <w:rFonts w:ascii="Arial" w:cs="Arial" w:eastAsia="Arial" w:hAnsi="Arial"/>
          <w:sz w:val="16"/>
          <w:szCs w:val="16"/>
          <w:color w:val="auto"/>
        </w:rPr>
        <w:t>. This Section 3 of this Amendment replaces and supersedes Section .3 of the Work Letter Agreement with respect to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budget approval for the Tenant Improvements to be constructed in the Premises, but the mechanism set forth in Section 3 of the Work Letter Agreement shall apply with respect to the construction of Tenant Improvements in the Expansion Space in the event Tenant exercises its expansion rights pursuant to Section 24 of the Lease. Tenant hereby approves the Tenant Improvement Summary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“Approved Budget”), which is based on the Proposal from Vila Construction dated November 16, 2011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Approved Working Drawings referenced therein, as modified by the COR's (as so modified, the “Contractor Proposal”). In no event shall Tenant's Contribution (defined below) be increased because the Tenant Improvement Summary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failed to include an item expressly and unambiguously required in the Approved Working Drawings, as modified by the COR's. For the purposes of clarity, the parties hereby agree that the Approved Working Drawings did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expressly and unambiguously require a water proofing membrane on the concrete slab on the first floor. The Approved Budget applies to the Premises as well as an additional 72,000 square feet of space located in the adjacent building having an address of 1420 N. McDowell Boulevard, Petaluma, California (the “Neighboring Building”).</w:t>
      </w:r>
    </w:p>
    <w:p>
      <w:pPr>
        <w:spacing w:after="0" w:line="161" w:lineRule="exact"/>
        <w:rPr>
          <w:rFonts w:ascii="Arial" w:cs="Arial" w:eastAsia="Arial" w:hAnsi="Arial"/>
          <w:sz w:val="16"/>
          <w:szCs w:val="16"/>
          <w:b w:val="1"/>
          <w:bCs w:val="1"/>
          <w:color w:val="auto"/>
        </w:rPr>
      </w:pPr>
    </w:p>
    <w:p>
      <w:pPr>
        <w:ind w:firstLine="494"/>
        <w:spacing w:after="0" w:line="268" w:lineRule="auto"/>
        <w:tabs>
          <w:tab w:leader="none" w:pos="66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Payment for Tenant Improvements</w:t>
      </w:r>
      <w:r>
        <w:rPr>
          <w:rFonts w:ascii="Arial" w:cs="Arial" w:eastAsia="Arial" w:hAnsi="Arial"/>
          <w:sz w:val="17"/>
          <w:szCs w:val="17"/>
          <w:color w:val="auto"/>
        </w:rPr>
        <w:t>. This Section 4 of this Amendment replaces and supersedes Section 6 of the Work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respect to Tenant’s payment for Tenant Improvements to be constructed in the Premises, but the mechanism set forth in Section 6 of the Work Letter Agreement shall apply with respect to the construction of Tenant Improvements in the Expansion Space in the event Tenant exercises its expansion rights pursuant to Section 24 of the Lease. Tenant shall pay to Landlord $381,840.55, which represents Tenant's contribution to the portion of the Tenant Improvements described in the Approved Working Drawings and the COR's applicable to the Premises (i.e., 25% X $l,527,362.21) as more particularly set forth in the Approved Budget ("Tenant's Contribution"). Tenant shall pay such amount on the following schedule: 50% upon the mutual execution and delivery of this Amendment, 25% within ten (10) days following the delivery of the second and third floors of the Neighboring Building to Tenant in the condition required by the lease between Landlord and Tenant governing the Neighboring Building, and 25% within ten (10) days following the delivery of the Premises to Tenant in the condition required by the Lease. Notwithstanding anything to the contrary contained in the Work Letter Agreement, Landlord shall be responsible for any and all costs to perform such work in excess of Tenant's Contribution;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that (i) any changes by Tenant to the Approved Working Drawings or the COR's listed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including without limitation changes contemplated in change order requests previously approved by Tenant but not included in the COR's listed in </w:t>
      </w:r>
      <w:r>
        <w:rPr>
          <w:rFonts w:ascii="Arial" w:cs="Arial" w:eastAsia="Arial" w:hAnsi="Arial"/>
          <w:sz w:val="17"/>
          <w:szCs w:val="17"/>
          <w:u w:val="single" w:color="auto"/>
          <w:color w:val="auto"/>
        </w:rPr>
        <w:t>Exhibit C</w:t>
      </w:r>
      <w:r>
        <w:rPr>
          <w:rFonts w:ascii="Arial" w:cs="Arial" w:eastAsia="Arial" w:hAnsi="Arial"/>
          <w:sz w:val="17"/>
          <w:szCs w:val="17"/>
          <w:color w:val="auto"/>
        </w:rPr>
        <w:t>, and (ii) any additional costs resulting from errors or omissions in the Approved Working Drawings, shall constitute Change Orders per Section 8 of the Work Letter Agreement, and (b) that Tenant shall be solely responsible for the cost of procuring and installing any trade fixtures, equipment,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7"/>
          <w:szCs w:val="17"/>
          <w:color w:val="auto"/>
        </w:rPr>
        <w:t>appliances, furniture, furnishings, telephone or computer equipment or wiring or other personal property. As provided in Section 9 of the Work Letter Agreement, all delays in Substantial Completion of the Tenant Improvements beyond the Estimated Commencement Date caused by Tenant requested Change Orders (including Change Orders resulting from errors or omissions in the Approved Working Drawings) shall constitute Tenant Delays. Notwithstanding the foregoing, Landlord shall be responsible for delays and costs resulting from an error or omission in the Approved Working Drawings that both (A) would not have been avoided by a licensed architect applying the standard of care customary in the industry, and (B) Vila Construction, applying the standard of care customary in the industry, should have nonetheless taken into account when preparing the estimate reflected in the Approved Budget. As an example, the following omission in the COR's would be the responsibility of Landlord: COR No. 12 calls for the removal of perimeter column drywall encasements, which resulted in exposure of the window side of the columns to daylight. Due to the opaque quality of glass and the original condition of the drywall encasement having a dark paint finish, this condition was not contemplated by Axia as warranting application of finish paint to that side of the columns despite Axia exercising customary care in the industry with respect to such encasement removal. When direct daylight is applied, however, the columns are somewhat apparent from the exterior, and Vila Construction, exercising customary care in estimating the cost of COR No. 12, should have included (and did include) the painting of the backside of the columns. Haley Recio, Matt Rudie, Russ Sweeney and Paul Nahi shall have authority to approve Change Orders and any Change Order approved in writing or by email by any such representative shall be binding upon Tenant. As an accommodation to Tenant, Landlord shall require payment for Change Orders for which Tenant is responsible within five (5) days following Tenant's notice to proceed with a Change Order rather than requiring prepayment as previously required by the Work Letter Agreement.</w:t>
      </w:r>
    </w:p>
    <w:p>
      <w:pPr>
        <w:spacing w:after="0" w:line="179" w:lineRule="exact"/>
        <w:rPr>
          <w:sz w:val="20"/>
          <w:szCs w:val="20"/>
          <w:color w:val="auto"/>
        </w:rPr>
      </w:pPr>
    </w:p>
    <w:p>
      <w:pPr>
        <w:ind w:right="80" w:firstLine="494"/>
        <w:spacing w:after="0" w:line="258" w:lineRule="auto"/>
        <w:tabs>
          <w:tab w:leader="none" w:pos="6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Toilet Partitions</w:t>
      </w:r>
      <w:r>
        <w:rPr>
          <w:rFonts w:ascii="Arial" w:cs="Arial" w:eastAsia="Arial" w:hAnsi="Arial"/>
          <w:sz w:val="18"/>
          <w:szCs w:val="18"/>
          <w:color w:val="auto"/>
        </w:rPr>
        <w:t>. Notwithstanding the allocation of responsibilities for costs set forth in Section 4 above, Landlord and Tenant agree that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does not make any improvements or other modifications to the restrooms serving the Premises, Landlord shall be responsible, at its sole cost, for all work in the restrooms required by the City of Petaluma to comply with the Americans with Disabilities Act (the "ADA"). If Tenant elects to make any improvements or other modifications to the restrooms that trigger any work to comply with ADA, such work shall constitute a Change Order at Tenant's sole cost.</w:t>
      </w:r>
    </w:p>
    <w:p>
      <w:pPr>
        <w:spacing w:after="0" w:line="183" w:lineRule="exact"/>
        <w:rPr>
          <w:rFonts w:ascii="Arial" w:cs="Arial" w:eastAsia="Arial" w:hAnsi="Arial"/>
          <w:sz w:val="18"/>
          <w:szCs w:val="18"/>
          <w:b w:val="1"/>
          <w:bCs w:val="1"/>
          <w:color w:val="auto"/>
        </w:rPr>
      </w:pPr>
    </w:p>
    <w:p>
      <w:pPr>
        <w:ind w:right="20" w:firstLine="494"/>
        <w:spacing w:after="0" w:line="274" w:lineRule="auto"/>
        <w:tabs>
          <w:tab w:leader="none" w:pos="66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Drawings</w:t>
      </w:r>
      <w:r>
        <w:rPr>
          <w:rFonts w:ascii="Arial" w:cs="Arial" w:eastAsia="Arial" w:hAnsi="Arial"/>
          <w:sz w:val="17"/>
          <w:szCs w:val="17"/>
          <w:color w:val="auto"/>
        </w:rPr>
        <w:t>. On December 15, 2011, Tenant delivered to Landlord drawings and specifications dated December 13, 2011 prepared by</w:t>
      </w:r>
      <w:r>
        <w:rPr>
          <w:rFonts w:ascii="Arial" w:cs="Arial" w:eastAsia="Arial" w:hAnsi="Arial"/>
          <w:sz w:val="17"/>
          <w:szCs w:val="17"/>
          <w:b w:val="1"/>
          <w:bCs w:val="1"/>
          <w:color w:val="auto"/>
        </w:rPr>
        <w:t xml:space="preserve"> </w:t>
      </w:r>
      <w:r>
        <w:rPr>
          <w:rFonts w:ascii="Arial" w:cs="Arial" w:eastAsia="Arial" w:hAnsi="Arial"/>
          <w:sz w:val="17"/>
          <w:szCs w:val="17"/>
          <w:color w:val="auto"/>
        </w:rPr>
        <w:t>Axia Architects (the "December 13 Drawings"), subject to review and approval by Landlord in accordance with Section 2 of the Work Letter Agreement. Tenant acknowledges that, subject to Landlord's timely compliance with the provisions of the Work Letter Agreement requiring Landlord to respond to drawings and specifications submitted for approval, any delays in Substantial Completion of the Tenant Improvements beyond the Estimated Commencement Date caused by any changes from the Approved Working Drawings or COR's that are required in the December 13 Drawings or caused by errors or omissions in either the Approved Working Drawings or the December 13 Drawings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shall constitute Tenant requested Change Orders as more fully set forth in Section 4 above.</w:t>
      </w:r>
    </w:p>
    <w:p>
      <w:pPr>
        <w:spacing w:after="0" w:line="221" w:lineRule="exact"/>
        <w:rPr>
          <w:sz w:val="20"/>
          <w:szCs w:val="20"/>
          <w:color w:val="auto"/>
        </w:rPr>
      </w:pPr>
    </w:p>
    <w:p>
      <w:pPr>
        <w:ind w:firstLine="494"/>
        <w:spacing w:after="0" w:line="274" w:lineRule="auto"/>
        <w:tabs>
          <w:tab w:leader="none" w:pos="666"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Payment for Delay</w:t>
      </w:r>
      <w:r>
        <w:rPr>
          <w:rFonts w:ascii="Arial" w:cs="Arial" w:eastAsia="Arial" w:hAnsi="Arial"/>
          <w:sz w:val="17"/>
          <w:szCs w:val="17"/>
          <w:color w:val="auto"/>
        </w:rPr>
        <w:t>. Landlord and Tenant disagree as to who is responsible for the delay in the Estimated Commencement Date referenced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Section 1 above. Without either party admitting fault or liability, the parties have agreed to resolve such disagreement by Tenant paying to Landlord $88,199.01 concurrently with the execution and delivery of this Amendment. Such amount represents fifty percent (50%) of the rent that would have been payable under the Lease had the Commencement Date occurred on the original Estimated Commencement Date of November 1, 2012 rather than on the revised Estimated Commencement Date. Such calculation is set forth in </w:t>
      </w:r>
      <w:r>
        <w:rPr>
          <w:rFonts w:ascii="Arial" w:cs="Arial" w:eastAsia="Arial" w:hAnsi="Arial"/>
          <w:sz w:val="17"/>
          <w:szCs w:val="17"/>
          <w:u w:val="single" w:color="auto"/>
          <w:color w:val="auto"/>
        </w:rPr>
        <w:t>Exhibit D</w:t>
      </w:r>
      <w:r>
        <w:rPr>
          <w:rFonts w:ascii="Arial" w:cs="Arial" w:eastAsia="Arial" w:hAnsi="Arial"/>
          <w:sz w:val="17"/>
          <w:szCs w:val="17"/>
          <w:color w:val="auto"/>
        </w:rPr>
        <w:t>. Tenant acknowledges that such payment is a fixed amount and shall not be subject to change if Landlord delivers the Premises to Tenant prior to the Estimated Commencement Date.</w:t>
      </w:r>
    </w:p>
    <w:p>
      <w:pPr>
        <w:spacing w:after="0" w:line="173" w:lineRule="exact"/>
        <w:rPr>
          <w:rFonts w:ascii="Arial" w:cs="Arial" w:eastAsia="Arial" w:hAnsi="Arial"/>
          <w:sz w:val="17"/>
          <w:szCs w:val="17"/>
          <w:b w:val="1"/>
          <w:bCs w:val="1"/>
          <w:color w:val="auto"/>
        </w:rPr>
      </w:pPr>
    </w:p>
    <w:p>
      <w:pPr>
        <w:ind w:right="40" w:firstLine="494"/>
        <w:spacing w:after="0" w:line="266" w:lineRule="auto"/>
        <w:tabs>
          <w:tab w:leader="none" w:pos="6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Payment of Advanced Base Rent</w:t>
      </w:r>
      <w:r>
        <w:rPr>
          <w:rFonts w:ascii="Arial" w:cs="Arial" w:eastAsia="Arial" w:hAnsi="Arial"/>
          <w:sz w:val="18"/>
          <w:szCs w:val="18"/>
          <w:color w:val="auto"/>
        </w:rPr>
        <w:t>. Tenant was required under Section 4.1 of the Lease to pay $26,400 in Advanced Base Rent concurrently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mutual execution and delivery of the Lease, but through an oversight did not pay such Advanced Base Rent to Landlord until January 6, 2012, and Landlord hereby accepts such payment and waives any default in connection with such late payment.</w:t>
      </w:r>
    </w:p>
    <w:p>
      <w:pPr>
        <w:spacing w:after="0" w:line="176" w:lineRule="exact"/>
        <w:rPr>
          <w:rFonts w:ascii="Arial" w:cs="Arial" w:eastAsia="Arial" w:hAnsi="Arial"/>
          <w:sz w:val="18"/>
          <w:szCs w:val="18"/>
          <w:b w:val="1"/>
          <w:bCs w:val="1"/>
          <w:color w:val="auto"/>
        </w:rPr>
      </w:pPr>
    </w:p>
    <w:p>
      <w:pPr>
        <w:ind w:firstLine="494"/>
        <w:spacing w:after="0" w:line="285" w:lineRule="auto"/>
        <w:tabs>
          <w:tab w:leader="none" w:pos="66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Phased Termination of 201 1st Street Lease</w:t>
      </w:r>
      <w:r>
        <w:rPr>
          <w:rFonts w:ascii="Arial" w:cs="Arial" w:eastAsia="Arial" w:hAnsi="Arial"/>
          <w:sz w:val="16"/>
          <w:szCs w:val="16"/>
          <w:color w:val="auto"/>
        </w:rPr>
        <w:t>. At the time the Lease was executed, the parties anticipated Tenant relocating from its premises at 201</w:t>
      </w:r>
      <w:r>
        <w:rPr>
          <w:rFonts w:ascii="Arial" w:cs="Arial" w:eastAsia="Arial" w:hAnsi="Arial"/>
          <w:sz w:val="16"/>
          <w:szCs w:val="16"/>
          <w:b w:val="1"/>
          <w:bCs w:val="1"/>
          <w:color w:val="auto"/>
        </w:rPr>
        <w:t xml:space="preserve"> </w:t>
      </w:r>
      <w:r>
        <w:rPr>
          <w:rFonts w:ascii="Arial" w:cs="Arial" w:eastAsia="Arial" w:hAnsi="Arial"/>
          <w:sz w:val="16"/>
          <w:szCs w:val="16"/>
          <w:color w:val="auto"/>
        </w:rPr>
        <w:t>First Street in Petaluma, California (the “201 First Street Premises”) to the Premises and the Neighboring Building all at one time. With the staggered delivery of the Premises and portions of the Neighboring Building now anticipated, the parties anticipate Tenant moving from the 201 First Street Premises in two phases. Accordingly, Landlord shall, if requested by Tenant, deliver the termination agreement described in Section 3.1 of the Lease with respect to discrete portions of the 201 First Street Premises rather than the entire 201 First Street Premises. Portions of the 201 First Street Premises requested for termination shall be readily leasable to third parties with direct access to the common areas of the 201 First Street building and without the need for any demising walls. In the event that Landlord shall delay delivery of a fully executed termination agreement, Landlord shall pay Tenant's rent for the applicable portion of the</w:t>
      </w:r>
    </w:p>
    <w:p>
      <w:pPr>
        <w:spacing w:after="0" w:line="1" w:lineRule="exact"/>
        <w:rPr>
          <w:rFonts w:ascii="Arial" w:cs="Arial" w:eastAsia="Arial" w:hAnsi="Arial"/>
          <w:sz w:val="16"/>
          <w:szCs w:val="16"/>
          <w:b w:val="1"/>
          <w:bCs w:val="1"/>
          <w:color w:val="auto"/>
        </w:rPr>
      </w:pPr>
    </w:p>
    <w:p>
      <w:pPr>
        <w:ind w:right="2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201 First Street Premises directly to the owner of such Premises on a day for day basis for each day Landlord's failure to deliver the termination agreement continues.</w:t>
      </w:r>
    </w:p>
    <w:p>
      <w:pPr>
        <w:spacing w:after="0" w:line="179" w:lineRule="exact"/>
        <w:rPr>
          <w:rFonts w:ascii="Arial" w:cs="Arial" w:eastAsia="Arial" w:hAnsi="Arial"/>
          <w:sz w:val="16"/>
          <w:szCs w:val="16"/>
          <w:b w:val="1"/>
          <w:bCs w:val="1"/>
          <w:color w:val="auto"/>
        </w:rPr>
      </w:pPr>
    </w:p>
    <w:p>
      <w:pPr>
        <w:ind w:right="20" w:firstLine="494"/>
        <w:spacing w:after="0" w:line="266" w:lineRule="auto"/>
        <w:tabs>
          <w:tab w:leader="none" w:pos="75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Precedent</w:t>
      </w:r>
      <w:r>
        <w:rPr>
          <w:rFonts w:ascii="Arial" w:cs="Arial" w:eastAsia="Arial" w:hAnsi="Arial"/>
          <w:sz w:val="18"/>
          <w:szCs w:val="18"/>
          <w:color w:val="auto"/>
        </w:rPr>
        <w:t>. Tenant making the payments required upon execution of this Amendment in Sections 4 and 7 above is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effectiveness of this Amendment, and this Amendment shall be of no force or effect if such payments are not delivered by Tenant concurrently with Landlord's delivery to Tenant of a fully executed original of this Amendment.</w:t>
      </w:r>
    </w:p>
    <w:p>
      <w:pPr>
        <w:spacing w:after="0" w:line="176" w:lineRule="exact"/>
        <w:rPr>
          <w:rFonts w:ascii="Arial" w:cs="Arial" w:eastAsia="Arial" w:hAnsi="Arial"/>
          <w:sz w:val="18"/>
          <w:szCs w:val="18"/>
          <w:b w:val="1"/>
          <w:bCs w:val="1"/>
          <w:color w:val="auto"/>
        </w:rPr>
      </w:pPr>
    </w:p>
    <w:p>
      <w:pPr>
        <w:ind w:right="160" w:firstLine="494"/>
        <w:spacing w:after="0" w:line="266" w:lineRule="auto"/>
        <w:tabs>
          <w:tab w:leader="none" w:pos="74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represents the entire understanding between Landlord and Tenant concerning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understandings or agreements between them relating to the Lease or the Premises not set forth in writing and signed by the parties hereto. No party hereto has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relied upon any representation, warranty or understanding not set forth herein, either oral or written, as an inducement to enter into this Amendment.</w:t>
      </w:r>
    </w:p>
    <w:p>
      <w:pPr>
        <w:spacing w:after="0" w:line="244" w:lineRule="exact"/>
        <w:rPr>
          <w:sz w:val="20"/>
          <w:szCs w:val="20"/>
          <w:color w:val="auto"/>
        </w:rPr>
      </w:pPr>
    </w:p>
    <w:p>
      <w:pPr>
        <w:ind w:firstLine="494"/>
        <w:spacing w:after="0" w:line="347" w:lineRule="auto"/>
        <w:tabs>
          <w:tab w:leader="none" w:pos="75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584" w:right="6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day and year first above written.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2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"TENANT"</w:t>
            </w:r>
          </w:p>
        </w:tc>
      </w:tr>
      <w:tr>
        <w:trPr>
          <w:trHeight w:val="918"/>
        </w:trPr>
        <w:tc>
          <w:tcPr>
            <w:tcW w:w="418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418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G&amp;W Ventures, LLC,</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w w:val="92"/>
              </w:rPr>
              <w:t>By:/s/ Paul Nahi</w:t>
            </w:r>
          </w:p>
        </w:tc>
      </w:tr>
      <w:tr>
        <w:trPr>
          <w:trHeight w:val="27"/>
        </w:trPr>
        <w:tc>
          <w:tcPr>
            <w:tcW w:w="4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a California limited liability company,</w:t>
            </w: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480" w:type="dxa"/>
            <w:vAlign w:val="bottom"/>
          </w:tcPr>
          <w:p>
            <w:pPr>
              <w:spacing w:after="0"/>
              <w:rPr>
                <w:sz w:val="23"/>
                <w:szCs w:val="23"/>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its Manager</w:t>
            </w:r>
          </w:p>
        </w:tc>
        <w:tc>
          <w:tcPr>
            <w:tcW w:w="1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918"/>
        </w:trPr>
        <w:tc>
          <w:tcPr>
            <w:tcW w:w="48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282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878"/>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9960"/>
          </w:cols>
          <w:pgMar w:left="980" w:top="1391" w:right="959" w:bottom="1440" w:gutter="0" w:footer="0" w:header="0"/>
        </w:sectPr>
      </w:pPr>
    </w:p>
    <w:bookmarkStart w:id="87" w:name="page88"/>
    <w:bookmarkEnd w:id="87"/>
    <w:p>
      <w:pPr>
        <w:jc w:val="center"/>
        <w:ind w:right="-351"/>
        <w:spacing w:after="0"/>
        <w:rPr>
          <w:sz w:val="20"/>
          <w:szCs w:val="20"/>
          <w:color w:val="auto"/>
        </w:rPr>
      </w:pPr>
      <w:r>
        <w:rPr>
          <w:rFonts w:ascii="Arial" w:cs="Arial" w:eastAsia="Arial" w:hAnsi="Arial"/>
          <w:sz w:val="25"/>
          <w:szCs w:val="25"/>
          <w:b w:val="1"/>
          <w:bCs w:val="1"/>
          <w:color w:val="auto"/>
        </w:rPr>
        <w:t>Schedule 1</w:t>
      </w:r>
    </w:p>
    <w:p>
      <w:pPr>
        <w:spacing w:after="0" w:line="307" w:lineRule="exact"/>
        <w:rPr>
          <w:sz w:val="20"/>
          <w:szCs w:val="20"/>
          <w:color w:val="auto"/>
        </w:rPr>
      </w:pPr>
    </w:p>
    <w:p>
      <w:pPr>
        <w:ind w:left="3072"/>
        <w:spacing w:after="0"/>
        <w:rPr>
          <w:sz w:val="20"/>
          <w:szCs w:val="20"/>
          <w:color w:val="auto"/>
        </w:rPr>
      </w:pPr>
      <w:r>
        <w:rPr>
          <w:rFonts w:ascii="Arial" w:cs="Arial" w:eastAsia="Arial" w:hAnsi="Arial"/>
          <w:sz w:val="25"/>
          <w:szCs w:val="25"/>
          <w:b w:val="1"/>
          <w:bCs w:val="1"/>
          <w:color w:val="auto"/>
        </w:rPr>
        <w:t>LIST OF APPROVED WORKING DRAWINGS</w:t>
      </w:r>
    </w:p>
    <w:p>
      <w:pPr>
        <w:spacing w:after="0" w:line="313"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25"/>
          <w:szCs w:val="25"/>
          <w:color w:val="auto"/>
        </w:rPr>
      </w:pPr>
      <w:r>
        <w:rPr>
          <w:rFonts w:ascii="Arial" w:cs="Arial" w:eastAsia="Arial" w:hAnsi="Arial"/>
          <w:sz w:val="25"/>
          <w:szCs w:val="25"/>
          <w:color w:val="auto"/>
        </w:rPr>
        <w:t>The following sheets by Axia dated September 7, 2011</w:t>
      </w:r>
    </w:p>
    <w:p>
      <w:pPr>
        <w:spacing w:after="0" w:line="306"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T1,T2,T3,T4;A1.1,A1.2, A.2.0.1A, A2.0.2A,A2.1 A, A2.2 A, A2.3 A, A4.1 A,</w:t>
      </w:r>
    </w:p>
    <w:p>
      <w:pPr>
        <w:spacing w:after="0" w:line="31"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A5.1 A, A.2.0.1B, A2.0.2B, A2.0.3B, A2.0.4B,A2.0.5B, A2.0.6B, A2.0.7B, A2.1</w:t>
      </w:r>
    </w:p>
    <w:p>
      <w:pPr>
        <w:spacing w:after="0" w:line="9" w:lineRule="exact"/>
        <w:rPr>
          <w:rFonts w:ascii="Arial" w:cs="Arial" w:eastAsia="Arial" w:hAnsi="Arial"/>
          <w:sz w:val="25"/>
          <w:szCs w:val="25"/>
          <w:color w:val="auto"/>
        </w:rPr>
      </w:pPr>
    </w:p>
    <w:p>
      <w:pPr>
        <w:ind w:left="652"/>
        <w:spacing w:after="0" w:line="258" w:lineRule="auto"/>
        <w:rPr>
          <w:rFonts w:ascii="Arial" w:cs="Arial" w:eastAsia="Arial" w:hAnsi="Arial"/>
          <w:sz w:val="25"/>
          <w:szCs w:val="25"/>
          <w:color w:val="auto"/>
        </w:rPr>
      </w:pPr>
      <w:r>
        <w:rPr>
          <w:rFonts w:ascii="Arial" w:cs="Arial" w:eastAsia="Arial" w:hAnsi="Arial"/>
          <w:sz w:val="25"/>
          <w:szCs w:val="25"/>
          <w:color w:val="auto"/>
        </w:rPr>
        <w:t>B, A2.2 B, A2.3 B, A3.3 B, A3.4 B, A3.5 B, A4.1 B, A4.2 B, A4.3 B, A4.4 B, A4.5 B, A4.6B, A4.7 B, A4.8 B, A4.9 B, A5.1 B, A5.2 B, A5.3 B, A5.4 B, A8.1, A9.1, A9.2, A9.3, A9.4, A9.5</w:t>
      </w:r>
    </w:p>
    <w:p>
      <w:pPr>
        <w:spacing w:after="0" w:line="251" w:lineRule="exact"/>
        <w:rPr>
          <w:rFonts w:ascii="Arial" w:cs="Arial" w:eastAsia="Arial" w:hAnsi="Arial"/>
          <w:sz w:val="25"/>
          <w:szCs w:val="25"/>
          <w:color w:val="auto"/>
        </w:rPr>
      </w:pPr>
    </w:p>
    <w:p>
      <w:pPr>
        <w:ind w:left="652" w:hanging="652"/>
        <w:spacing w:after="0"/>
        <w:tabs>
          <w:tab w:leader="none" w:pos="652" w:val="left"/>
        </w:tabs>
        <w:numPr>
          <w:ilvl w:val="0"/>
          <w:numId w:val="38"/>
        </w:numPr>
        <w:rPr>
          <w:rFonts w:ascii="Arial" w:cs="Arial" w:eastAsia="Arial" w:hAnsi="Arial"/>
          <w:sz w:val="25"/>
          <w:szCs w:val="25"/>
          <w:color w:val="auto"/>
        </w:rPr>
      </w:pPr>
      <w:r>
        <w:rPr>
          <w:rFonts w:ascii="Arial" w:cs="Arial" w:eastAsia="Arial" w:hAnsi="Arial"/>
          <w:sz w:val="25"/>
          <w:szCs w:val="25"/>
          <w:color w:val="auto"/>
        </w:rPr>
        <w:t>The following sheets by ATM Engineering dated August 31, 2011:</w:t>
      </w:r>
    </w:p>
    <w:p>
      <w:pPr>
        <w:spacing w:after="0" w:line="306"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S1.1, S2.1, S3.1, S3.2</w:t>
      </w:r>
    </w:p>
    <w:p>
      <w:pPr>
        <w:spacing w:after="0" w:line="306" w:lineRule="exact"/>
        <w:rPr>
          <w:rFonts w:ascii="Arial" w:cs="Arial" w:eastAsia="Arial" w:hAnsi="Arial"/>
          <w:sz w:val="25"/>
          <w:szCs w:val="25"/>
          <w:color w:val="auto"/>
        </w:rPr>
      </w:pPr>
    </w:p>
    <w:p>
      <w:pPr>
        <w:ind w:left="652" w:hanging="652"/>
        <w:spacing w:after="0"/>
        <w:tabs>
          <w:tab w:leader="none" w:pos="652" w:val="left"/>
        </w:tabs>
        <w:numPr>
          <w:ilvl w:val="0"/>
          <w:numId w:val="38"/>
        </w:numPr>
        <w:rPr>
          <w:rFonts w:ascii="Arial" w:cs="Arial" w:eastAsia="Arial" w:hAnsi="Arial"/>
          <w:sz w:val="25"/>
          <w:szCs w:val="25"/>
          <w:color w:val="auto"/>
        </w:rPr>
      </w:pPr>
      <w:r>
        <w:rPr>
          <w:rFonts w:ascii="Arial" w:cs="Arial" w:eastAsia="Arial" w:hAnsi="Arial"/>
          <w:sz w:val="25"/>
          <w:szCs w:val="25"/>
          <w:color w:val="auto"/>
        </w:rPr>
        <w:t>The following sheets by Indoor Environmental Services dated August 31, 2011:</w:t>
      </w:r>
    </w:p>
    <w:p>
      <w:pPr>
        <w:spacing w:after="0" w:line="306"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4"/>
          <w:szCs w:val="24"/>
          <w:color w:val="auto"/>
        </w:rPr>
        <w:t>M0.1, M0.2, M0.3, M0.4, M1.1A, M1.1B, M1.2A, M1.2B, M1.2A, M1.2B, M1.3A, M1.3B, M1.4A,</w:t>
      </w:r>
    </w:p>
    <w:p>
      <w:pPr>
        <w:spacing w:after="0" w:line="43"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M1.4B, M2.1</w:t>
      </w:r>
    </w:p>
    <w:p>
      <w:pPr>
        <w:spacing w:after="0" w:line="284" w:lineRule="exact"/>
        <w:rPr>
          <w:rFonts w:ascii="Arial" w:cs="Arial" w:eastAsia="Arial" w:hAnsi="Arial"/>
          <w:sz w:val="25"/>
          <w:szCs w:val="25"/>
          <w:color w:val="auto"/>
        </w:rPr>
      </w:pPr>
    </w:p>
    <w:p>
      <w:pPr>
        <w:ind w:left="652" w:hanging="652"/>
        <w:spacing w:after="0"/>
        <w:tabs>
          <w:tab w:leader="none" w:pos="652" w:val="left"/>
        </w:tabs>
        <w:numPr>
          <w:ilvl w:val="0"/>
          <w:numId w:val="38"/>
        </w:numPr>
        <w:rPr>
          <w:rFonts w:ascii="Arial" w:cs="Arial" w:eastAsia="Arial" w:hAnsi="Arial"/>
          <w:sz w:val="25"/>
          <w:szCs w:val="25"/>
          <w:color w:val="auto"/>
        </w:rPr>
      </w:pPr>
      <w:r>
        <w:rPr>
          <w:rFonts w:ascii="Arial" w:cs="Arial" w:eastAsia="Arial" w:hAnsi="Arial"/>
          <w:sz w:val="25"/>
          <w:szCs w:val="25"/>
          <w:color w:val="auto"/>
        </w:rPr>
        <w:t>The following sheets by O’Rourke Electric Inc. dated August 10 2011:</w:t>
      </w:r>
    </w:p>
    <w:p>
      <w:pPr>
        <w:spacing w:after="0" w:line="306"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E0.1, E2.1, E3.1, E6.1, E6.3, E6.4, E6.5, E6.6, E6.7, E2.2, E2.3, E2.4, E3.2</w:t>
      </w:r>
    </w:p>
    <w:p>
      <w:pPr>
        <w:spacing w:after="0" w:line="31" w:lineRule="exact"/>
        <w:rPr>
          <w:rFonts w:ascii="Arial" w:cs="Arial" w:eastAsia="Arial" w:hAnsi="Arial"/>
          <w:sz w:val="25"/>
          <w:szCs w:val="25"/>
          <w:color w:val="auto"/>
        </w:rPr>
      </w:pPr>
    </w:p>
    <w:p>
      <w:pPr>
        <w:ind w:left="652"/>
        <w:spacing w:after="0"/>
        <w:rPr>
          <w:rFonts w:ascii="Arial" w:cs="Arial" w:eastAsia="Arial" w:hAnsi="Arial"/>
          <w:sz w:val="25"/>
          <w:szCs w:val="25"/>
          <w:color w:val="auto"/>
        </w:rPr>
      </w:pPr>
      <w:r>
        <w:rPr>
          <w:rFonts w:ascii="Arial" w:cs="Arial" w:eastAsia="Arial" w:hAnsi="Arial"/>
          <w:sz w:val="25"/>
          <w:szCs w:val="25"/>
          <w:color w:val="auto"/>
        </w:rPr>
        <w:t>E3.3, E3.4, E6.2, E6.8, E6.11</w:t>
      </w:r>
    </w:p>
    <w:p>
      <w:pPr>
        <w:spacing w:after="0" w:line="284" w:lineRule="exact"/>
        <w:rPr>
          <w:rFonts w:ascii="Arial" w:cs="Arial" w:eastAsia="Arial" w:hAnsi="Arial"/>
          <w:sz w:val="25"/>
          <w:szCs w:val="25"/>
          <w:color w:val="auto"/>
        </w:rPr>
      </w:pPr>
    </w:p>
    <w:p>
      <w:pPr>
        <w:ind w:left="652" w:hanging="652"/>
        <w:spacing w:after="0"/>
        <w:tabs>
          <w:tab w:leader="none" w:pos="652" w:val="left"/>
        </w:tabs>
        <w:numPr>
          <w:ilvl w:val="0"/>
          <w:numId w:val="38"/>
        </w:numPr>
        <w:rPr>
          <w:rFonts w:ascii="Arial" w:cs="Arial" w:eastAsia="Arial" w:hAnsi="Arial"/>
          <w:sz w:val="25"/>
          <w:szCs w:val="25"/>
          <w:color w:val="auto"/>
        </w:rPr>
      </w:pPr>
      <w:r>
        <w:rPr>
          <w:rFonts w:ascii="Arial" w:cs="Arial" w:eastAsia="Arial" w:hAnsi="Arial"/>
          <w:sz w:val="25"/>
          <w:szCs w:val="25"/>
          <w:color w:val="auto"/>
        </w:rPr>
        <w:t>Responses to Requests for Information Nos.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72"/>
          </w:cols>
          <w:pgMar w:left="248" w:top="576" w:right="57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3920"/>
              <w:spacing w:after="0"/>
              <w:rPr>
                <w:sz w:val="20"/>
                <w:szCs w:val="20"/>
                <w:color w:val="auto"/>
              </w:rPr>
            </w:pPr>
            <w:r>
              <w:rPr>
                <w:rFonts w:ascii="Arial" w:cs="Arial" w:eastAsia="Arial" w:hAnsi="Arial"/>
                <w:sz w:val="18"/>
                <w:szCs w:val="18"/>
                <w:b w:val="1"/>
                <w:bCs w:val="1"/>
                <w:color w:val="auto"/>
              </w:rPr>
              <w:t>Tenant Improvement Summary</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12/15/2011</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Enphase</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1400, 1420 N. McDowell Blvd.</w:t>
            </w:r>
          </w:p>
        </w:tc>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Square Foot</w:t>
            </w: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96,000</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Petaluma, CA 94954</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03"/>
        </w:trPr>
        <w:tc>
          <w:tcPr>
            <w:tcW w:w="7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Description TI Expansion Costs</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Cost</w:t>
            </w:r>
          </w:p>
        </w:tc>
      </w:tr>
      <w:tr>
        <w:trPr>
          <w:trHeight w:val="27"/>
        </w:trPr>
        <w:tc>
          <w:tcPr>
            <w:tcW w:w="7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5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Tenant Improvements Per Vila’s 11.16.11 Bid Letter</w:t>
            </w:r>
          </w:p>
        </w:tc>
        <w:tc>
          <w:tcPr>
            <w:tcW w:w="136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6,001,417.00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Reductions for Approved COR’s: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COR’s #: 6,8,9,12,19,21,22,23,24,26,28,31,37,</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38,39,40,41,43,44,45,48,59,62,63</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(457,387.00)</w:t>
            </w:r>
          </w:p>
        </w:tc>
      </w:tr>
      <w:tr>
        <w:trPr>
          <w:trHeight w:val="30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Addition of “Code Only” Fire Alarm Work per Alternate:</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4,280.00</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Contact Amount</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5,548,290.00</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Less Overlaps from Prior Approvals: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Ceiling Tile Removal</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Demolition Costs</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113,203.00</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Adjustments, BSP to Pay:</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Power during construction: BSP to cover expense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(7,500.00)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Temporary toilets: BSP to cover expense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(2,400.00)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Code only Fire alarm work</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(4,260.00)</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2"/>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w w:val="89"/>
              </w:rPr>
              <w:t>BSP to perform landscape screening at transformers on balcony and one exterior considering unit</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(note: this cost is NOT included in the Bid Letter; no adjustment req;d)</w:t>
            </w:r>
          </w:p>
        </w:tc>
        <w:tc>
          <w:tcPr>
            <w:tcW w:w="13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2"/>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w w:val="96"/>
              </w:rPr>
              <w:t>EMON system work to be performed as part of future TI’s, 2nd and 3rd floor of 1400 as req’d</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(Note: this cost is not included in Bid Letter; no adjustment req’d)</w:t>
            </w:r>
          </w:p>
        </w:tc>
        <w:tc>
          <w:tcPr>
            <w:tcW w:w="13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Building Permit Fee - (Assumes no Impact Fees)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by Tenant</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CM Fee</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waived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1400 Handicap Parking Improvements - to be charged to</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2nd, 3rd Flr. TI Allowance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0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Structural Engineering Re -Design Proposal - Chiller</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2,700.00</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Costs, This Summary</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5,418,627.00</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Prior Authorizations: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10.20.11 1400 Demo, excl. Ceiling Tile Removal Direct Costs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Plan Check Fee</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Furniture Mock Up Costs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7.19.11 Ceiling Tile Removal/Slab Moisture Tests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7.15.11 MEP Coordinator &amp; Structural Engineer</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7.28.11 Demo for 1420, excluding Cell Tile Removal Costs</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Approved Separately</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7.28.11 Demo Permit costs, w/o Mark up</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1,216.47</w:t>
            </w:r>
          </w:p>
        </w:tc>
      </w:tr>
      <w:tr>
        <w:trPr>
          <w:trHeight w:val="270"/>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TI Costs Approved to Date: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5,590,821.21</w:t>
            </w:r>
          </w:p>
        </w:tc>
      </w:tr>
      <w:tr>
        <w:trPr>
          <w:trHeight w:val="426"/>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Tenant Improvement Allowance: $40/sf</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3,840,000.00</w:t>
            </w:r>
          </w:p>
        </w:tc>
      </w:tr>
      <w:tr>
        <w:trPr>
          <w:trHeight w:val="513"/>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Amount Over Tenant Improvement Allowance</w:t>
            </w:r>
          </w:p>
        </w:tc>
        <w:tc>
          <w:tcPr>
            <w:tcW w:w="136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1,750,821.21</w:t>
            </w:r>
          </w:p>
        </w:tc>
      </w:tr>
      <w:tr>
        <w:trPr>
          <w:trHeight w:val="30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Agreed Cost Sharing By BSP</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(223,459.00)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Total Construction and Other Costs Payable</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1,527,326.21</w:t>
            </w: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5"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260"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u w:val="single" w:color="auto"/>
          <w:color w:val="auto"/>
        </w:rPr>
        <w:t>EXHBIT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VILA PROPOSAL - 11/16/11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[attached]</w:t>
      </w:r>
    </w:p>
    <w:p>
      <w:pPr>
        <w:sectPr>
          <w:pgSz w:w="11900" w:h="16838" w:orient="portrait"/>
          <w:cols w:equalWidth="0" w:num="1">
            <w:col w:w="9019"/>
          </w:cols>
          <w:pgMar w:left="14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585" w:right="1440"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53"/>
        </w:trPr>
        <w:tc>
          <w:tcPr>
            <w:tcW w:w="2680" w:type="dxa"/>
            <w:vAlign w:val="bottom"/>
            <w:vMerge w:val="restart"/>
          </w:tcPr>
          <w:p>
            <w:pPr>
              <w:spacing w:after="0"/>
              <w:rPr>
                <w:sz w:val="20"/>
                <w:szCs w:val="20"/>
                <w:color w:val="auto"/>
              </w:rPr>
            </w:pPr>
            <w:r>
              <w:rPr>
                <w:rFonts w:ascii="Arial" w:cs="Arial" w:eastAsia="Arial" w:hAnsi="Arial"/>
                <w:sz w:val="18"/>
                <w:szCs w:val="18"/>
                <w:color w:val="auto"/>
              </w:rPr>
              <w:t>Office Phone</w:t>
            </w:r>
          </w:p>
        </w:tc>
        <w:tc>
          <w:tcPr>
            <w:tcW w:w="8700" w:type="dxa"/>
            <w:vAlign w:val="bottom"/>
          </w:tcPr>
          <w:p>
            <w:pPr>
              <w:jc w:val="right"/>
              <w:ind w:right="4960"/>
              <w:spacing w:after="0"/>
              <w:rPr>
                <w:sz w:val="20"/>
                <w:szCs w:val="20"/>
                <w:color w:val="auto"/>
              </w:rPr>
            </w:pPr>
            <w:r>
              <w:rPr>
                <w:rFonts w:ascii="Arial" w:cs="Arial" w:eastAsia="Arial" w:hAnsi="Arial"/>
                <w:sz w:val="22"/>
                <w:szCs w:val="22"/>
                <w:b w:val="1"/>
                <w:bCs w:val="1"/>
                <w:color w:val="auto"/>
              </w:rPr>
              <w:t>Exh</w:t>
            </w:r>
            <w:r>
              <w:rPr>
                <w:rFonts w:ascii="Arial" w:cs="Arial" w:eastAsia="Arial" w:hAnsi="Arial"/>
                <w:sz w:val="22"/>
                <w:szCs w:val="22"/>
                <w:b w:val="1"/>
                <w:bCs w:val="1"/>
                <w:color w:val="1F1F1F"/>
              </w:rPr>
              <w:t>i</w:t>
            </w:r>
            <w:r>
              <w:rPr>
                <w:rFonts w:ascii="Arial" w:cs="Arial" w:eastAsia="Arial" w:hAnsi="Arial"/>
                <w:sz w:val="22"/>
                <w:szCs w:val="22"/>
                <w:b w:val="1"/>
                <w:bCs w:val="1"/>
                <w:color w:val="2F2F2F"/>
              </w:rPr>
              <w:t>bit B</w:t>
            </w:r>
          </w:p>
        </w:tc>
        <w:tc>
          <w:tcPr>
            <w:tcW w:w="0" w:type="dxa"/>
            <w:vAlign w:val="bottom"/>
          </w:tcPr>
          <w:p>
            <w:pPr>
              <w:spacing w:after="0"/>
              <w:rPr>
                <w:sz w:val="1"/>
                <w:szCs w:val="1"/>
                <w:color w:val="auto"/>
              </w:rPr>
            </w:pPr>
          </w:p>
        </w:tc>
      </w:tr>
      <w:tr>
        <w:trPr>
          <w:trHeight w:val="256"/>
        </w:trPr>
        <w:tc>
          <w:tcPr>
            <w:tcW w:w="2680" w:type="dxa"/>
            <w:vAlign w:val="bottom"/>
            <w:vMerge w:val="continue"/>
          </w:tcPr>
          <w:p>
            <w:pPr>
              <w:spacing w:after="0"/>
              <w:rPr>
                <w:sz w:val="22"/>
                <w:szCs w:val="22"/>
                <w:color w:val="auto"/>
              </w:rPr>
            </w:pPr>
          </w:p>
        </w:tc>
        <w:tc>
          <w:tcPr>
            <w:tcW w:w="8700" w:type="dxa"/>
            <w:vAlign w:val="bottom"/>
          </w:tcPr>
          <w:p>
            <w:pPr>
              <w:jc w:val="right"/>
              <w:ind w:right="4540"/>
              <w:spacing w:after="0"/>
              <w:rPr>
                <w:sz w:val="20"/>
                <w:szCs w:val="20"/>
                <w:color w:val="auto"/>
              </w:rPr>
            </w:pPr>
            <w:r>
              <w:rPr>
                <w:rFonts w:ascii="Arial" w:cs="Arial" w:eastAsia="Arial" w:hAnsi="Arial"/>
                <w:sz w:val="22"/>
                <w:szCs w:val="22"/>
                <w:b w:val="1"/>
                <w:bCs w:val="1"/>
                <w:color w:val="3F3F3F"/>
              </w:rPr>
              <w:t>Vila Con</w:t>
            </w:r>
            <w:r>
              <w:rPr>
                <w:rFonts w:ascii="Arial" w:cs="Arial" w:eastAsia="Arial" w:hAnsi="Arial"/>
                <w:sz w:val="22"/>
                <w:szCs w:val="22"/>
                <w:b w:val="1"/>
                <w:bCs w:val="1"/>
                <w:color w:val="2F2F2F"/>
              </w:rPr>
              <w:t>s</w:t>
            </w:r>
            <w:r>
              <w:rPr>
                <w:rFonts w:ascii="Arial" w:cs="Arial" w:eastAsia="Arial" w:hAnsi="Arial"/>
                <w:sz w:val="22"/>
                <w:szCs w:val="22"/>
                <w:b w:val="1"/>
                <w:bCs w:val="1"/>
                <w:color w:val="3F3F3F"/>
              </w:rPr>
              <w:t>tru</w:t>
            </w:r>
            <w:r>
              <w:rPr>
                <w:rFonts w:ascii="Arial" w:cs="Arial" w:eastAsia="Arial" w:hAnsi="Arial"/>
                <w:sz w:val="22"/>
                <w:szCs w:val="22"/>
                <w:b w:val="1"/>
                <w:bCs w:val="1"/>
                <w:color w:val="2F2F2F"/>
              </w:rPr>
              <w:t>ctio</w:t>
            </w:r>
            <w:r>
              <w:rPr>
                <w:rFonts w:ascii="Arial" w:cs="Arial" w:eastAsia="Arial" w:hAnsi="Arial"/>
                <w:sz w:val="22"/>
                <w:szCs w:val="22"/>
                <w:b w:val="1"/>
                <w:bCs w:val="1"/>
                <w:color w:val="3F3F3F"/>
              </w:rPr>
              <w:t xml:space="preserve">n </w:t>
            </w:r>
            <w:r>
              <w:rPr>
                <w:rFonts w:ascii="Arial" w:cs="Arial" w:eastAsia="Arial" w:hAnsi="Arial"/>
                <w:sz w:val="22"/>
                <w:szCs w:val="22"/>
                <w:b w:val="1"/>
                <w:bCs w:val="1"/>
                <w:color w:val="2F2F2F"/>
              </w:rPr>
              <w:t>C</w:t>
            </w:r>
            <w:r>
              <w:rPr>
                <w:rFonts w:ascii="Arial" w:cs="Arial" w:eastAsia="Arial" w:hAnsi="Arial"/>
                <w:sz w:val="22"/>
                <w:szCs w:val="22"/>
                <w:b w:val="1"/>
                <w:bCs w:val="1"/>
                <w:color w:val="3F3F3F"/>
              </w:rPr>
              <w:t>o</w:t>
            </w:r>
            <w:r>
              <w:rPr>
                <w:rFonts w:ascii="Arial" w:cs="Arial" w:eastAsia="Arial" w:hAnsi="Arial"/>
                <w:sz w:val="22"/>
                <w:szCs w:val="22"/>
                <w:b w:val="1"/>
                <w:bCs w:val="1"/>
                <w:color w:val="2F2F2F"/>
              </w:rPr>
              <w:t>.</w:t>
            </w:r>
          </w:p>
        </w:tc>
        <w:tc>
          <w:tcPr>
            <w:tcW w:w="0" w:type="dxa"/>
            <w:vAlign w:val="bottom"/>
          </w:tcPr>
          <w:p>
            <w:pPr>
              <w:spacing w:after="0"/>
              <w:rPr>
                <w:sz w:val="1"/>
                <w:szCs w:val="1"/>
                <w:color w:val="auto"/>
              </w:rPr>
            </w:pPr>
          </w:p>
        </w:tc>
      </w:tr>
      <w:tr>
        <w:trPr>
          <w:trHeight w:val="263"/>
        </w:trPr>
        <w:tc>
          <w:tcPr>
            <w:tcW w:w="2680" w:type="dxa"/>
            <w:vAlign w:val="bottom"/>
          </w:tcPr>
          <w:p>
            <w:pPr>
              <w:spacing w:after="0"/>
              <w:rPr>
                <w:sz w:val="20"/>
                <w:szCs w:val="20"/>
                <w:color w:val="auto"/>
              </w:rPr>
            </w:pPr>
            <w:r>
              <w:rPr>
                <w:rFonts w:ascii="Arial" w:cs="Arial" w:eastAsia="Arial" w:hAnsi="Arial"/>
                <w:sz w:val="18"/>
                <w:szCs w:val="18"/>
                <w:color w:val="auto"/>
              </w:rPr>
              <w:t>(510) 236-9111</w:t>
            </w:r>
          </w:p>
        </w:tc>
        <w:tc>
          <w:tcPr>
            <w:tcW w:w="8700" w:type="dxa"/>
            <w:vAlign w:val="bottom"/>
          </w:tcPr>
          <w:p>
            <w:pPr>
              <w:jc w:val="right"/>
              <w:ind w:right="4040"/>
              <w:spacing w:after="0"/>
              <w:rPr>
                <w:sz w:val="20"/>
                <w:szCs w:val="20"/>
                <w:color w:val="auto"/>
              </w:rPr>
            </w:pPr>
            <w:r>
              <w:rPr>
                <w:rFonts w:ascii="Arial" w:cs="Arial" w:eastAsia="Arial" w:hAnsi="Arial"/>
                <w:sz w:val="22"/>
                <w:szCs w:val="22"/>
                <w:color w:val="2F2F2F"/>
              </w:rPr>
              <w:t>GENERALCONTRACTORS</w:t>
            </w:r>
          </w:p>
        </w:tc>
        <w:tc>
          <w:tcPr>
            <w:tcW w:w="0" w:type="dxa"/>
            <w:vAlign w:val="bottom"/>
          </w:tcPr>
          <w:p>
            <w:pPr>
              <w:spacing w:after="0"/>
              <w:rPr>
                <w:sz w:val="1"/>
                <w:szCs w:val="1"/>
                <w:color w:val="auto"/>
              </w:rPr>
            </w:pPr>
          </w:p>
        </w:tc>
      </w:tr>
      <w:tr>
        <w:trPr>
          <w:trHeight w:val="275"/>
        </w:trPr>
        <w:tc>
          <w:tcPr>
            <w:tcW w:w="2680" w:type="dxa"/>
            <w:vAlign w:val="bottom"/>
          </w:tcPr>
          <w:p>
            <w:pPr>
              <w:spacing w:after="0"/>
              <w:rPr>
                <w:sz w:val="23"/>
                <w:szCs w:val="23"/>
                <w:color w:val="auto"/>
              </w:rPr>
            </w:pPr>
          </w:p>
        </w:tc>
        <w:tc>
          <w:tcPr>
            <w:tcW w:w="8700" w:type="dxa"/>
            <w:vAlign w:val="bottom"/>
          </w:tcPr>
          <w:p>
            <w:pPr>
              <w:jc w:val="right"/>
              <w:ind w:right="3520"/>
              <w:spacing w:after="0"/>
              <w:rPr>
                <w:sz w:val="20"/>
                <w:szCs w:val="20"/>
                <w:color w:val="auto"/>
              </w:rPr>
            </w:pPr>
            <w:r>
              <w:rPr>
                <w:rFonts w:ascii="Arial" w:cs="Arial" w:eastAsia="Arial" w:hAnsi="Arial"/>
                <w:sz w:val="22"/>
                <w:szCs w:val="22"/>
                <w:color w:val="2F2F2F"/>
              </w:rPr>
              <w:t>590 South 33rd Street Richmond, California 94804</w:t>
            </w:r>
          </w:p>
        </w:tc>
        <w:tc>
          <w:tcPr>
            <w:tcW w:w="0" w:type="dxa"/>
            <w:vAlign w:val="bottom"/>
          </w:tcPr>
          <w:p>
            <w:pPr>
              <w:spacing w:after="0"/>
              <w:rPr>
                <w:sz w:val="1"/>
                <w:szCs w:val="1"/>
                <w:color w:val="auto"/>
              </w:rPr>
            </w:pPr>
          </w:p>
        </w:tc>
      </w:tr>
      <w:tr>
        <w:trPr>
          <w:trHeight w:val="287"/>
        </w:trPr>
        <w:tc>
          <w:tcPr>
            <w:tcW w:w="2680" w:type="dxa"/>
            <w:vAlign w:val="bottom"/>
          </w:tcPr>
          <w:p>
            <w:pPr>
              <w:spacing w:after="0"/>
              <w:rPr>
                <w:sz w:val="20"/>
                <w:szCs w:val="20"/>
                <w:color w:val="auto"/>
              </w:rPr>
            </w:pPr>
            <w:r>
              <w:rPr>
                <w:rFonts w:ascii="Arial" w:cs="Arial" w:eastAsia="Arial" w:hAnsi="Arial"/>
                <w:sz w:val="18"/>
                <w:szCs w:val="18"/>
                <w:color w:val="auto"/>
              </w:rPr>
              <w:t>Fax</w:t>
            </w:r>
          </w:p>
        </w:tc>
        <w:tc>
          <w:tcPr>
            <w:tcW w:w="8700" w:type="dxa"/>
            <w:vAlign w:val="bottom"/>
          </w:tcPr>
          <w:p>
            <w:pPr>
              <w:jc w:val="right"/>
              <w:ind w:right="200"/>
              <w:spacing w:after="0"/>
              <w:rPr>
                <w:sz w:val="20"/>
                <w:szCs w:val="20"/>
                <w:color w:val="auto"/>
              </w:rPr>
            </w:pPr>
            <w:r>
              <w:rPr>
                <w:rFonts w:ascii="Arial" w:cs="Arial" w:eastAsia="Arial" w:hAnsi="Arial"/>
                <w:sz w:val="16"/>
                <w:szCs w:val="16"/>
                <w:color w:val="auto"/>
              </w:rPr>
              <w:t>Contractor’s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(510) 236-4979</w:t>
            </w:r>
          </w:p>
        </w:tc>
        <w:tc>
          <w:tcPr>
            <w:tcW w:w="8700" w:type="dxa"/>
            <w:vAlign w:val="bottom"/>
          </w:tcPr>
          <w:p>
            <w:pPr>
              <w:jc w:val="right"/>
              <w:ind w:right="200"/>
              <w:spacing w:after="0"/>
              <w:rPr>
                <w:sz w:val="20"/>
                <w:szCs w:val="20"/>
                <w:color w:val="auto"/>
              </w:rPr>
            </w:pPr>
            <w:r>
              <w:rPr>
                <w:rFonts w:ascii="Arial" w:cs="Arial" w:eastAsia="Arial" w:hAnsi="Arial"/>
                <w:sz w:val="16"/>
                <w:szCs w:val="16"/>
                <w:color w:val="auto"/>
              </w:rPr>
              <w:t>Lic. No. 300454</w:t>
            </w:r>
          </w:p>
        </w:tc>
        <w:tc>
          <w:tcPr>
            <w:tcW w:w="0" w:type="dxa"/>
            <w:vAlign w:val="bottom"/>
          </w:tcPr>
          <w:p>
            <w:pPr>
              <w:spacing w:after="0"/>
              <w:rPr>
                <w:sz w:val="1"/>
                <w:szCs w:val="1"/>
                <w:color w:val="auto"/>
              </w:rPr>
            </w:pPr>
          </w:p>
        </w:tc>
      </w:tr>
      <w:tr>
        <w:trPr>
          <w:trHeight w:val="294"/>
        </w:trPr>
        <w:tc>
          <w:tcPr>
            <w:tcW w:w="2680" w:type="dxa"/>
            <w:vAlign w:val="bottom"/>
            <w:vMerge w:val="restart"/>
          </w:tcPr>
          <w:p>
            <w:pPr>
              <w:ind w:left="380"/>
              <w:spacing w:after="0"/>
              <w:rPr>
                <w:sz w:val="20"/>
                <w:szCs w:val="20"/>
                <w:color w:val="auto"/>
              </w:rPr>
            </w:pPr>
            <w:r>
              <w:rPr>
                <w:rFonts w:ascii="Arial" w:cs="Arial" w:eastAsia="Arial" w:hAnsi="Arial"/>
                <w:sz w:val="22"/>
                <w:szCs w:val="22"/>
                <w:color w:val="2F2F2F"/>
              </w:rPr>
              <w:t>November16, 2011</w:t>
            </w:r>
          </w:p>
        </w:tc>
        <w:tc>
          <w:tcPr>
            <w:tcW w:w="8700" w:type="dxa"/>
            <w:vAlign w:val="bottom"/>
          </w:tcPr>
          <w:p>
            <w:pPr>
              <w:jc w:val="right"/>
              <w:spacing w:after="0"/>
              <w:rPr>
                <w:sz w:val="20"/>
                <w:szCs w:val="20"/>
                <w:color w:val="auto"/>
              </w:rPr>
            </w:pPr>
            <w:r>
              <w:rPr>
                <w:rFonts w:ascii="Arial" w:cs="Arial" w:eastAsia="Arial" w:hAnsi="Arial"/>
                <w:sz w:val="22"/>
                <w:szCs w:val="22"/>
                <w:color w:val="2F2F2F"/>
              </w:rPr>
              <w:t>www.vilaconstruction</w:t>
            </w:r>
            <w:r>
              <w:rPr>
                <w:rFonts w:ascii="Arial" w:cs="Arial" w:eastAsia="Arial" w:hAnsi="Arial"/>
                <w:sz w:val="22"/>
                <w:szCs w:val="22"/>
                <w:color w:val="1F1F1F"/>
              </w:rPr>
              <w:t>.</w:t>
            </w:r>
            <w:r>
              <w:rPr>
                <w:rFonts w:ascii="Arial" w:cs="Arial" w:eastAsia="Arial" w:hAnsi="Arial"/>
                <w:sz w:val="22"/>
                <w:szCs w:val="22"/>
                <w:color w:val="2F2F2F"/>
              </w:rPr>
              <w:t>com</w:t>
            </w:r>
          </w:p>
        </w:tc>
        <w:tc>
          <w:tcPr>
            <w:tcW w:w="0" w:type="dxa"/>
            <w:vAlign w:val="bottom"/>
          </w:tcPr>
          <w:p>
            <w:pPr>
              <w:spacing w:after="0"/>
              <w:rPr>
                <w:sz w:val="1"/>
                <w:szCs w:val="1"/>
                <w:color w:val="auto"/>
              </w:rPr>
            </w:pPr>
          </w:p>
        </w:tc>
      </w:tr>
      <w:tr>
        <w:trPr>
          <w:trHeight w:val="257"/>
        </w:trPr>
        <w:tc>
          <w:tcPr>
            <w:tcW w:w="2680" w:type="dxa"/>
            <w:vAlign w:val="bottom"/>
            <w:vMerge w:val="continue"/>
          </w:tcPr>
          <w:p>
            <w:pPr>
              <w:spacing w:after="0"/>
              <w:rPr>
                <w:sz w:val="22"/>
                <w:szCs w:val="22"/>
                <w:color w:val="auto"/>
              </w:rPr>
            </w:pPr>
          </w:p>
        </w:tc>
        <w:tc>
          <w:tcPr>
            <w:tcW w:w="8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00"/>
        <w:spacing w:after="0"/>
        <w:rPr>
          <w:sz w:val="20"/>
          <w:szCs w:val="20"/>
          <w:color w:val="auto"/>
        </w:rPr>
      </w:pPr>
      <w:r>
        <w:rPr>
          <w:rFonts w:ascii="Arial" w:cs="Arial" w:eastAsia="Arial" w:hAnsi="Arial"/>
          <w:sz w:val="22"/>
          <w:szCs w:val="22"/>
          <w:color w:val="2F2F2F"/>
        </w:rPr>
        <w:t>Basin Street Properties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1383 North McDowell Blvd., suite 200</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Peta</w:t>
      </w:r>
      <w:r>
        <w:rPr>
          <w:rFonts w:ascii="Arial" w:cs="Arial" w:eastAsia="Arial" w:hAnsi="Arial"/>
          <w:sz w:val="22"/>
          <w:szCs w:val="22"/>
          <w:color w:val="3F3F3F"/>
        </w:rPr>
        <w:t>l</w:t>
      </w:r>
      <w:r>
        <w:rPr>
          <w:rFonts w:ascii="Arial" w:cs="Arial" w:eastAsia="Arial" w:hAnsi="Arial"/>
          <w:sz w:val="22"/>
          <w:szCs w:val="22"/>
          <w:color w:val="2F2F2F"/>
        </w:rPr>
        <w:t>uma, CA 94954</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Attn: M</w:t>
      </w:r>
      <w:r>
        <w:rPr>
          <w:rFonts w:ascii="Arial" w:cs="Arial" w:eastAsia="Arial" w:hAnsi="Arial"/>
          <w:sz w:val="22"/>
          <w:szCs w:val="22"/>
          <w:color w:val="3F3F3F"/>
        </w:rPr>
        <w:t>a</w:t>
      </w:r>
      <w:r>
        <w:rPr>
          <w:rFonts w:ascii="Arial" w:cs="Arial" w:eastAsia="Arial" w:hAnsi="Arial"/>
          <w:sz w:val="22"/>
          <w:szCs w:val="22"/>
          <w:color w:val="2F2F2F"/>
        </w:rPr>
        <w:t>tt Sherrill</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Arial" w:cs="Arial" w:eastAsia="Arial" w:hAnsi="Arial"/>
          <w:sz w:val="22"/>
          <w:szCs w:val="22"/>
          <w:color w:val="2F2F2F"/>
        </w:rPr>
        <w:t xml:space="preserve">RE: Enphase </w:t>
      </w:r>
      <w:r>
        <w:rPr>
          <w:rFonts w:ascii="Arial" w:cs="Arial" w:eastAsia="Arial" w:hAnsi="Arial"/>
          <w:sz w:val="22"/>
          <w:szCs w:val="22"/>
          <w:color w:val="3F3F3F"/>
        </w:rPr>
        <w:t>T</w:t>
      </w:r>
      <w:r>
        <w:rPr>
          <w:rFonts w:ascii="Arial" w:cs="Arial" w:eastAsia="Arial" w:hAnsi="Arial"/>
          <w:sz w:val="22"/>
          <w:szCs w:val="22"/>
          <w:color w:val="2F2F2F"/>
        </w:rPr>
        <w:t xml:space="preserve">enant </w:t>
      </w:r>
      <w:r>
        <w:rPr>
          <w:rFonts w:ascii="Arial" w:cs="Arial" w:eastAsia="Arial" w:hAnsi="Arial"/>
          <w:sz w:val="22"/>
          <w:szCs w:val="22"/>
          <w:color w:val="3F3F3F"/>
        </w:rPr>
        <w:t>I</w:t>
      </w:r>
      <w:r>
        <w:rPr>
          <w:rFonts w:ascii="Arial" w:cs="Arial" w:eastAsia="Arial" w:hAnsi="Arial"/>
          <w:sz w:val="22"/>
          <w:szCs w:val="22"/>
          <w:color w:val="2F2F2F"/>
        </w:rPr>
        <w:t>mprovement</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22"/>
          <w:szCs w:val="22"/>
          <w:color w:val="2F2F2F"/>
        </w:rPr>
        <w:t>1400 / 1420 North McDowell</w:t>
      </w:r>
    </w:p>
    <w:p>
      <w:pPr>
        <w:spacing w:after="0" w:line="17" w:lineRule="exact"/>
        <w:rPr>
          <w:sz w:val="20"/>
          <w:szCs w:val="20"/>
          <w:color w:val="auto"/>
        </w:rPr>
      </w:pPr>
    </w:p>
    <w:p>
      <w:pPr>
        <w:ind w:left="780"/>
        <w:spacing w:after="0"/>
        <w:rPr>
          <w:sz w:val="20"/>
          <w:szCs w:val="20"/>
          <w:color w:val="auto"/>
        </w:rPr>
      </w:pPr>
      <w:r>
        <w:rPr>
          <w:rFonts w:ascii="Arial" w:cs="Arial" w:eastAsia="Arial" w:hAnsi="Arial"/>
          <w:sz w:val="22"/>
          <w:szCs w:val="22"/>
          <w:color w:val="2F2F2F"/>
        </w:rPr>
        <w:t>Petaluma, CA</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2"/>
          <w:szCs w:val="22"/>
          <w:color w:val="2F2F2F"/>
        </w:rPr>
        <w:t>Matt,</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9"/>
          <w:szCs w:val="19"/>
          <w:color w:val="2F2F2F"/>
        </w:rPr>
        <w:t>Th</w:t>
      </w:r>
      <w:r>
        <w:rPr>
          <w:rFonts w:ascii="Arial" w:cs="Arial" w:eastAsia="Arial" w:hAnsi="Arial"/>
          <w:sz w:val="19"/>
          <w:szCs w:val="19"/>
          <w:color w:val="3F3F3F"/>
        </w:rPr>
        <w:t>e</w:t>
      </w:r>
      <w:r>
        <w:rPr>
          <w:rFonts w:ascii="Arial" w:cs="Arial" w:eastAsia="Arial" w:hAnsi="Arial"/>
          <w:sz w:val="19"/>
          <w:szCs w:val="19"/>
          <w:color w:val="2F2F2F"/>
        </w:rPr>
        <w:t xml:space="preserve"> followinq is Our Cost Br</w:t>
      </w:r>
      <w:r>
        <w:rPr>
          <w:rFonts w:ascii="Arial" w:cs="Arial" w:eastAsia="Arial" w:hAnsi="Arial"/>
          <w:sz w:val="19"/>
          <w:szCs w:val="19"/>
          <w:color w:val="3F3F3F"/>
        </w:rPr>
        <w:t>ea</w:t>
      </w:r>
      <w:r>
        <w:rPr>
          <w:rFonts w:ascii="Arial" w:cs="Arial" w:eastAsia="Arial" w:hAnsi="Arial"/>
          <w:sz w:val="19"/>
          <w:szCs w:val="19"/>
          <w:color w:val="2F2F2F"/>
        </w:rPr>
        <w:t>kdo</w:t>
      </w:r>
      <w:r>
        <w:rPr>
          <w:rFonts w:ascii="Arial" w:cs="Arial" w:eastAsia="Arial" w:hAnsi="Arial"/>
          <w:sz w:val="19"/>
          <w:szCs w:val="19"/>
          <w:color w:val="3F3F3F"/>
        </w:rPr>
        <w:t>w</w:t>
      </w:r>
      <w:r>
        <w:rPr>
          <w:rFonts w:ascii="Arial" w:cs="Arial" w:eastAsia="Arial" w:hAnsi="Arial"/>
          <w:sz w:val="19"/>
          <w:szCs w:val="19"/>
          <w:color w:val="2F2F2F"/>
        </w:rPr>
        <w:t>n for the Enphase Tenan</w:t>
      </w:r>
      <w:r>
        <w:rPr>
          <w:rFonts w:ascii="Arial" w:cs="Arial" w:eastAsia="Arial" w:hAnsi="Arial"/>
          <w:sz w:val="19"/>
          <w:szCs w:val="19"/>
          <w:color w:val="3F3F3F"/>
        </w:rPr>
        <w:t>t I</w:t>
      </w:r>
      <w:r>
        <w:rPr>
          <w:rFonts w:ascii="Arial" w:cs="Arial" w:eastAsia="Arial" w:hAnsi="Arial"/>
          <w:sz w:val="19"/>
          <w:szCs w:val="19"/>
          <w:color w:val="2F2F2F"/>
        </w:rPr>
        <w:t xml:space="preserve">mprovement at 1400/1420 </w:t>
      </w:r>
      <w:r>
        <w:rPr>
          <w:rFonts w:ascii="Arial" w:cs="Arial" w:eastAsia="Arial" w:hAnsi="Arial"/>
          <w:sz w:val="19"/>
          <w:szCs w:val="19"/>
          <w:color w:val="3F3F3F"/>
        </w:rPr>
        <w:t>N</w:t>
      </w:r>
      <w:r>
        <w:rPr>
          <w:rFonts w:ascii="Arial" w:cs="Arial" w:eastAsia="Arial" w:hAnsi="Arial"/>
          <w:sz w:val="19"/>
          <w:szCs w:val="19"/>
          <w:color w:val="2F2F2F"/>
        </w:rPr>
        <w:t>o</w:t>
      </w:r>
      <w:r>
        <w:rPr>
          <w:rFonts w:ascii="Arial" w:cs="Arial" w:eastAsia="Arial" w:hAnsi="Arial"/>
          <w:sz w:val="19"/>
          <w:szCs w:val="19"/>
          <w:color w:val="3F3F3F"/>
        </w:rPr>
        <w:t>rth</w:t>
      </w:r>
      <w:r>
        <w:rPr>
          <w:rFonts w:ascii="Arial" w:cs="Arial" w:eastAsia="Arial" w:hAnsi="Arial"/>
          <w:sz w:val="19"/>
          <w:szCs w:val="19"/>
          <w:color w:val="2F2F2F"/>
        </w:rPr>
        <w:t xml:space="preserve"> McDowe</w:t>
      </w:r>
      <w:r>
        <w:rPr>
          <w:rFonts w:ascii="Arial" w:cs="Arial" w:eastAsia="Arial" w:hAnsi="Arial"/>
          <w:sz w:val="19"/>
          <w:szCs w:val="19"/>
          <w:color w:val="3F3F3F"/>
        </w:rPr>
        <w:t>ll</w:t>
      </w:r>
      <w:r>
        <w:rPr>
          <w:rFonts w:ascii="Arial" w:cs="Arial" w:eastAsia="Arial" w:hAnsi="Arial"/>
          <w:sz w:val="19"/>
          <w:szCs w:val="19"/>
          <w:color w:val="2F2F2F"/>
        </w:rPr>
        <w:t xml:space="preserve"> Blvd</w:t>
      </w:r>
      <w:r>
        <w:rPr>
          <w:rFonts w:ascii="Arial" w:cs="Arial" w:eastAsia="Arial" w:hAnsi="Arial"/>
          <w:sz w:val="19"/>
          <w:szCs w:val="19"/>
          <w:color w:val="3F3F3F"/>
        </w:rPr>
        <w:t>.</w:t>
      </w:r>
      <w:r>
        <w:rPr>
          <w:rFonts w:ascii="Arial" w:cs="Arial" w:eastAsia="Arial" w:hAnsi="Arial"/>
          <w:sz w:val="19"/>
          <w:szCs w:val="19"/>
          <w:color w:val="2F2F2F"/>
        </w:rPr>
        <w:t>, Petaluma</w:t>
      </w:r>
      <w:r>
        <w:rPr>
          <w:rFonts w:ascii="Arial" w:cs="Arial" w:eastAsia="Arial" w:hAnsi="Arial"/>
          <w:sz w:val="19"/>
          <w:szCs w:val="19"/>
          <w:color w:val="3F3F3F"/>
        </w:rPr>
        <w:t>.</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22"/>
          <w:szCs w:val="22"/>
          <w:color w:val="2F2F2F"/>
        </w:rPr>
        <w:t>Th</w:t>
      </w:r>
      <w:r>
        <w:rPr>
          <w:rFonts w:ascii="Arial" w:cs="Arial" w:eastAsia="Arial" w:hAnsi="Arial"/>
          <w:sz w:val="22"/>
          <w:szCs w:val="22"/>
          <w:color w:val="3F3F3F"/>
        </w:rPr>
        <w:t>e</w:t>
      </w:r>
      <w:r>
        <w:rPr>
          <w:rFonts w:ascii="Arial" w:cs="Arial" w:eastAsia="Arial" w:hAnsi="Arial"/>
          <w:sz w:val="22"/>
          <w:szCs w:val="22"/>
          <w:color w:val="2F2F2F"/>
        </w:rPr>
        <w:t xml:space="preserve"> costs a</w:t>
      </w:r>
      <w:r>
        <w:rPr>
          <w:rFonts w:ascii="Arial" w:cs="Arial" w:eastAsia="Arial" w:hAnsi="Arial"/>
          <w:sz w:val="22"/>
          <w:szCs w:val="22"/>
          <w:color w:val="3F3F3F"/>
        </w:rPr>
        <w:t>re</w:t>
      </w:r>
      <w:r>
        <w:rPr>
          <w:rFonts w:ascii="Arial" w:cs="Arial" w:eastAsia="Arial" w:hAnsi="Arial"/>
          <w:sz w:val="22"/>
          <w:szCs w:val="22"/>
          <w:color w:val="2F2F2F"/>
        </w:rPr>
        <w:t xml:space="preserve"> based o</w:t>
      </w:r>
      <w:r>
        <w:rPr>
          <w:rFonts w:ascii="Arial" w:cs="Arial" w:eastAsia="Arial" w:hAnsi="Arial"/>
          <w:sz w:val="22"/>
          <w:szCs w:val="22"/>
          <w:color w:val="3F3F3F"/>
        </w:rPr>
        <w:t>n</w:t>
      </w:r>
      <w:r>
        <w:rPr>
          <w:rFonts w:ascii="Arial" w:cs="Arial" w:eastAsia="Arial" w:hAnsi="Arial"/>
          <w:sz w:val="22"/>
          <w:szCs w:val="22"/>
          <w:color w:val="2F2F2F"/>
        </w:rPr>
        <w:t xml:space="preserve"> the Construction Documents from AXIA Architects, </w:t>
      </w:r>
      <w:r>
        <w:rPr>
          <w:rFonts w:ascii="Arial" w:cs="Arial" w:eastAsia="Arial" w:hAnsi="Arial"/>
          <w:sz w:val="22"/>
          <w:szCs w:val="22"/>
          <w:color w:val="3F3F3F"/>
        </w:rPr>
        <w:t>da</w:t>
      </w:r>
      <w:r>
        <w:rPr>
          <w:rFonts w:ascii="Arial" w:cs="Arial" w:eastAsia="Arial" w:hAnsi="Arial"/>
          <w:sz w:val="22"/>
          <w:szCs w:val="22"/>
          <w:color w:val="2F2F2F"/>
        </w:rPr>
        <w:t>ted 5eptem</w:t>
      </w:r>
      <w:r>
        <w:rPr>
          <w:rFonts w:ascii="Arial" w:cs="Arial" w:eastAsia="Arial" w:hAnsi="Arial"/>
          <w:sz w:val="22"/>
          <w:szCs w:val="22"/>
          <w:color w:val="3F3F3F"/>
        </w:rPr>
        <w:t>be</w:t>
      </w:r>
      <w:r>
        <w:rPr>
          <w:rFonts w:ascii="Arial" w:cs="Arial" w:eastAsia="Arial" w:hAnsi="Arial"/>
          <w:sz w:val="22"/>
          <w:szCs w:val="22"/>
          <w:color w:val="2F2F2F"/>
        </w:rPr>
        <w:t>r7, 2011</w:t>
      </w:r>
      <w:r>
        <w:rPr>
          <w:rFonts w:ascii="Arial" w:cs="Arial" w:eastAsia="Arial" w:hAnsi="Arial"/>
          <w:sz w:val="22"/>
          <w:szCs w:val="22"/>
          <w:color w:val="3F3F3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80" w:top="83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1.</w:t>
            </w:r>
          </w:p>
        </w:tc>
        <w:tc>
          <w:tcPr>
            <w:tcW w:w="4620" w:type="dxa"/>
            <w:vAlign w:val="bottom"/>
          </w:tcPr>
          <w:p>
            <w:pPr>
              <w:ind w:left="80"/>
              <w:spacing w:after="0"/>
              <w:rPr>
                <w:sz w:val="20"/>
                <w:szCs w:val="20"/>
                <w:color w:val="auto"/>
              </w:rPr>
            </w:pPr>
            <w:r>
              <w:rPr>
                <w:rFonts w:ascii="Arial" w:cs="Arial" w:eastAsia="Arial" w:hAnsi="Arial"/>
                <w:sz w:val="22"/>
                <w:szCs w:val="22"/>
                <w:color w:val="auto"/>
              </w:rPr>
              <w:t>General Conditions</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173,600.00</w:t>
            </w:r>
          </w:p>
        </w:tc>
        <w:tc>
          <w:tcPr>
            <w:tcW w:w="152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w:t>
            </w:r>
          </w:p>
        </w:tc>
        <w:tc>
          <w:tcPr>
            <w:tcW w:w="4620" w:type="dxa"/>
            <w:vAlign w:val="bottom"/>
          </w:tcPr>
          <w:p>
            <w:pPr>
              <w:ind w:left="80"/>
              <w:spacing w:after="0"/>
              <w:rPr>
                <w:sz w:val="20"/>
                <w:szCs w:val="20"/>
                <w:color w:val="auto"/>
              </w:rPr>
            </w:pPr>
            <w:r>
              <w:rPr>
                <w:rFonts w:ascii="Arial" w:cs="Arial" w:eastAsia="Arial" w:hAnsi="Arial"/>
                <w:sz w:val="22"/>
                <w:szCs w:val="22"/>
                <w:color w:val="auto"/>
              </w:rPr>
              <w:t>Demo 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118,203.00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w:t>
            </w:r>
          </w:p>
        </w:tc>
        <w:tc>
          <w:tcPr>
            <w:tcW w:w="4620" w:type="dxa"/>
            <w:vAlign w:val="bottom"/>
          </w:tcPr>
          <w:p>
            <w:pPr>
              <w:ind w:left="80"/>
              <w:spacing w:after="0"/>
              <w:rPr>
                <w:sz w:val="20"/>
                <w:szCs w:val="20"/>
                <w:color w:val="auto"/>
              </w:rPr>
            </w:pPr>
            <w:r>
              <w:rPr>
                <w:rFonts w:ascii="Arial" w:cs="Arial" w:eastAsia="Arial" w:hAnsi="Arial"/>
                <w:sz w:val="22"/>
                <w:szCs w:val="22"/>
                <w:color w:val="auto"/>
              </w:rPr>
              <w:t>Concrete 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5,940.00</w:t>
            </w:r>
          </w:p>
        </w:tc>
        <w:tc>
          <w:tcPr>
            <w:tcW w:w="1520" w:type="dxa"/>
            <w:vAlign w:val="bottom"/>
          </w:tcPr>
          <w:p>
            <w:pPr>
              <w:spacing w:after="0"/>
              <w:rPr>
                <w:sz w:val="24"/>
                <w:szCs w:val="24"/>
                <w:color w:val="auto"/>
              </w:rPr>
            </w:pPr>
          </w:p>
        </w:tc>
      </w:tr>
      <w:tr>
        <w:trPr>
          <w:trHeight w:val="320"/>
        </w:trPr>
        <w:tc>
          <w:tcPr>
            <w:tcW w:w="360" w:type="dxa"/>
            <w:vAlign w:val="bottom"/>
          </w:tcPr>
          <w:p>
            <w:pPr>
              <w:spacing w:after="0"/>
              <w:rPr>
                <w:sz w:val="20"/>
                <w:szCs w:val="20"/>
                <w:color w:val="auto"/>
              </w:rPr>
            </w:pPr>
            <w:r>
              <w:rPr>
                <w:rFonts w:ascii="Arial" w:cs="Arial" w:eastAsia="Arial" w:hAnsi="Arial"/>
                <w:sz w:val="22"/>
                <w:szCs w:val="22"/>
                <w:color w:val="auto"/>
              </w:rPr>
              <w:t>4.</w:t>
            </w:r>
          </w:p>
        </w:tc>
        <w:tc>
          <w:tcPr>
            <w:tcW w:w="4620" w:type="dxa"/>
            <w:vAlign w:val="bottom"/>
          </w:tcPr>
          <w:p>
            <w:pPr>
              <w:ind w:left="80"/>
              <w:spacing w:after="0"/>
              <w:rPr>
                <w:sz w:val="20"/>
                <w:szCs w:val="20"/>
                <w:color w:val="auto"/>
              </w:rPr>
            </w:pPr>
            <w:r>
              <w:rPr>
                <w:rFonts w:ascii="Arial" w:cs="Arial" w:eastAsia="Arial" w:hAnsi="Arial"/>
                <w:sz w:val="22"/>
                <w:szCs w:val="22"/>
                <w:color w:val="auto"/>
              </w:rPr>
              <w:t>Pre Cast Concrete Countertops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65,112.00</w:t>
            </w:r>
          </w:p>
        </w:tc>
        <w:tc>
          <w:tcPr>
            <w:tcW w:w="1520" w:type="dxa"/>
            <w:vAlign w:val="bottom"/>
          </w:tcPr>
          <w:p>
            <w:pPr>
              <w:ind w:left="20"/>
              <w:spacing w:after="0" w:line="320" w:lineRule="exact"/>
              <w:rPr>
                <w:sz w:val="20"/>
                <w:szCs w:val="20"/>
                <w:color w:val="auto"/>
              </w:rPr>
            </w:pPr>
            <w:r>
              <w:rPr>
                <w:rFonts w:ascii="Arial" w:cs="Arial" w:eastAsia="Arial" w:hAnsi="Arial"/>
                <w:sz w:val="28"/>
                <w:szCs w:val="28"/>
                <w:color w:val="auto"/>
                <w:w w:val="87"/>
                <w:vertAlign w:val="superscript"/>
              </w:rPr>
              <w:t>*</w:t>
            </w:r>
            <w:r>
              <w:rPr>
                <w:rFonts w:ascii="Arial" w:cs="Arial" w:eastAsia="Arial" w:hAnsi="Arial"/>
                <w:sz w:val="22"/>
                <w:szCs w:val="22"/>
                <w:color w:val="auto"/>
                <w:w w:val="87"/>
              </w:rPr>
              <w:t>see Line item 34</w:t>
            </w:r>
          </w:p>
        </w:tc>
      </w:t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5.</w:t>
            </w:r>
          </w:p>
        </w:tc>
        <w:tc>
          <w:tcPr>
            <w:tcW w:w="4620" w:type="dxa"/>
            <w:vAlign w:val="bottom"/>
          </w:tcPr>
          <w:p>
            <w:pPr>
              <w:ind w:left="80"/>
              <w:spacing w:after="0"/>
              <w:rPr>
                <w:sz w:val="20"/>
                <w:szCs w:val="20"/>
                <w:color w:val="auto"/>
              </w:rPr>
            </w:pPr>
            <w:r>
              <w:rPr>
                <w:rFonts w:ascii="Arial" w:cs="Arial" w:eastAsia="Arial" w:hAnsi="Arial"/>
                <w:sz w:val="22"/>
                <w:szCs w:val="22"/>
                <w:color w:val="auto"/>
              </w:rPr>
              <w:t>Structural Steel / Metal Fabrications</w:t>
            </w:r>
          </w:p>
        </w:tc>
        <w:tc>
          <w:tcPr>
            <w:tcW w:w="94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164,814.00</w:t>
            </w:r>
          </w:p>
        </w:tc>
        <w:tc>
          <w:tcPr>
            <w:tcW w:w="152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w:t>
            </w:r>
          </w:p>
        </w:tc>
        <w:tc>
          <w:tcPr>
            <w:tcW w:w="4620" w:type="dxa"/>
            <w:vAlign w:val="bottom"/>
          </w:tcPr>
          <w:p>
            <w:pPr>
              <w:ind w:left="80"/>
              <w:spacing w:after="0"/>
              <w:rPr>
                <w:sz w:val="20"/>
                <w:szCs w:val="20"/>
                <w:color w:val="auto"/>
              </w:rPr>
            </w:pPr>
            <w:r>
              <w:rPr>
                <w:rFonts w:ascii="Arial" w:cs="Arial" w:eastAsia="Arial" w:hAnsi="Arial"/>
                <w:sz w:val="22"/>
                <w:szCs w:val="22"/>
                <w:color w:val="auto"/>
              </w:rPr>
              <w:t>Carpentry</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90,000.00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7.</w:t>
            </w:r>
          </w:p>
        </w:tc>
        <w:tc>
          <w:tcPr>
            <w:tcW w:w="4620" w:type="dxa"/>
            <w:vAlign w:val="bottom"/>
          </w:tcPr>
          <w:p>
            <w:pPr>
              <w:ind w:left="80"/>
              <w:spacing w:after="0"/>
              <w:rPr>
                <w:sz w:val="20"/>
                <w:szCs w:val="20"/>
                <w:color w:val="auto"/>
              </w:rPr>
            </w:pPr>
            <w:r>
              <w:rPr>
                <w:rFonts w:ascii="Arial" w:cs="Arial" w:eastAsia="Arial" w:hAnsi="Arial"/>
                <w:sz w:val="22"/>
                <w:szCs w:val="22"/>
                <w:color w:val="auto"/>
              </w:rPr>
              <w:t>Millwork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77,085.00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4620" w:type="dxa"/>
            <w:vAlign w:val="bottom"/>
          </w:tcPr>
          <w:p>
            <w:pPr>
              <w:ind w:left="80"/>
              <w:spacing w:after="0"/>
              <w:rPr>
                <w:sz w:val="20"/>
                <w:szCs w:val="20"/>
                <w:color w:val="auto"/>
              </w:rPr>
            </w:pPr>
            <w:r>
              <w:rPr>
                <w:rFonts w:ascii="Arial" w:cs="Arial" w:eastAsia="Arial" w:hAnsi="Arial"/>
                <w:sz w:val="22"/>
                <w:szCs w:val="22"/>
                <w:color w:val="auto"/>
              </w:rPr>
              <w:t>Wood Veneer Paneling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47,522.00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4620" w:type="dxa"/>
            <w:vAlign w:val="bottom"/>
          </w:tcPr>
          <w:p>
            <w:pPr>
              <w:ind w:left="80"/>
              <w:spacing w:after="0"/>
              <w:rPr>
                <w:sz w:val="20"/>
                <w:szCs w:val="20"/>
                <w:color w:val="auto"/>
              </w:rPr>
            </w:pPr>
            <w:r>
              <w:rPr>
                <w:rFonts w:ascii="Arial" w:cs="Arial" w:eastAsia="Arial" w:hAnsi="Arial"/>
                <w:sz w:val="22"/>
                <w:szCs w:val="22"/>
                <w:color w:val="auto"/>
              </w:rPr>
              <w:t>Roof Patching (allowance)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20,000.00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4620" w:type="dxa"/>
            <w:vAlign w:val="bottom"/>
          </w:tcPr>
          <w:p>
            <w:pPr>
              <w:ind w:left="80"/>
              <w:spacing w:after="0"/>
              <w:rPr>
                <w:sz w:val="20"/>
                <w:szCs w:val="20"/>
                <w:color w:val="auto"/>
              </w:rPr>
            </w:pPr>
            <w:r>
              <w:rPr>
                <w:rFonts w:ascii="Arial" w:cs="Arial" w:eastAsia="Arial" w:hAnsi="Arial"/>
                <w:sz w:val="22"/>
                <w:szCs w:val="22"/>
                <w:color w:val="auto"/>
              </w:rPr>
              <w:t>Doors, Frames, Hardware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132,768.00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11.</w:t>
            </w:r>
          </w:p>
        </w:tc>
        <w:tc>
          <w:tcPr>
            <w:tcW w:w="4620" w:type="dxa"/>
            <w:vAlign w:val="bottom"/>
          </w:tcPr>
          <w:p>
            <w:pPr>
              <w:ind w:left="80"/>
              <w:spacing w:after="0"/>
              <w:rPr>
                <w:sz w:val="20"/>
                <w:szCs w:val="20"/>
                <w:color w:val="auto"/>
              </w:rPr>
            </w:pPr>
            <w:r>
              <w:rPr>
                <w:rFonts w:ascii="Arial" w:cs="Arial" w:eastAsia="Arial" w:hAnsi="Arial"/>
                <w:sz w:val="22"/>
                <w:szCs w:val="22"/>
                <w:color w:val="auto"/>
              </w:rPr>
              <w:t>Glass/Glazing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264,000.00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12.</w:t>
            </w:r>
          </w:p>
        </w:tc>
        <w:tc>
          <w:tcPr>
            <w:tcW w:w="4620" w:type="dxa"/>
            <w:vAlign w:val="bottom"/>
          </w:tcPr>
          <w:p>
            <w:pPr>
              <w:ind w:left="80"/>
              <w:spacing w:after="0"/>
              <w:rPr>
                <w:sz w:val="20"/>
                <w:szCs w:val="20"/>
                <w:color w:val="auto"/>
              </w:rPr>
            </w:pPr>
            <w:r>
              <w:rPr>
                <w:rFonts w:ascii="Arial" w:cs="Arial" w:eastAsia="Arial" w:hAnsi="Arial"/>
                <w:sz w:val="22"/>
                <w:szCs w:val="22"/>
                <w:color w:val="auto"/>
              </w:rPr>
              <w:t>Glass/ Stainless Steel Railings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80,360.00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13.</w:t>
            </w:r>
          </w:p>
        </w:tc>
        <w:tc>
          <w:tcPr>
            <w:tcW w:w="4620" w:type="dxa"/>
            <w:vAlign w:val="bottom"/>
          </w:tcPr>
          <w:p>
            <w:pPr>
              <w:ind w:left="80"/>
              <w:spacing w:after="0"/>
              <w:rPr>
                <w:sz w:val="20"/>
                <w:szCs w:val="20"/>
                <w:color w:val="auto"/>
              </w:rPr>
            </w:pPr>
            <w:r>
              <w:rPr>
                <w:rFonts w:ascii="Arial" w:cs="Arial" w:eastAsia="Arial" w:hAnsi="Arial"/>
                <w:sz w:val="22"/>
                <w:szCs w:val="22"/>
                <w:color w:val="auto"/>
              </w:rPr>
              <w:t>Accordian Door</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19,930.00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14.</w:t>
            </w:r>
          </w:p>
        </w:tc>
        <w:tc>
          <w:tcPr>
            <w:tcW w:w="4620" w:type="dxa"/>
            <w:vAlign w:val="bottom"/>
          </w:tcPr>
          <w:p>
            <w:pPr>
              <w:ind w:left="80"/>
              <w:spacing w:after="0"/>
              <w:rPr>
                <w:sz w:val="20"/>
                <w:szCs w:val="20"/>
                <w:color w:val="auto"/>
              </w:rPr>
            </w:pPr>
            <w:r>
              <w:rPr>
                <w:rFonts w:ascii="Arial" w:cs="Arial" w:eastAsia="Arial" w:hAnsi="Arial"/>
                <w:sz w:val="22"/>
                <w:szCs w:val="22"/>
                <w:color w:val="auto"/>
              </w:rPr>
              <w:t>Gypsum Board</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587,917.00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15.</w:t>
            </w:r>
          </w:p>
        </w:tc>
        <w:tc>
          <w:tcPr>
            <w:tcW w:w="4620" w:type="dxa"/>
            <w:vAlign w:val="bottom"/>
          </w:tcPr>
          <w:p>
            <w:pPr>
              <w:ind w:left="80"/>
              <w:spacing w:after="0"/>
              <w:rPr>
                <w:sz w:val="20"/>
                <w:szCs w:val="20"/>
                <w:color w:val="auto"/>
              </w:rPr>
            </w:pPr>
            <w:r>
              <w:rPr>
                <w:rFonts w:ascii="Arial" w:cs="Arial" w:eastAsia="Arial" w:hAnsi="Arial"/>
                <w:sz w:val="22"/>
                <w:szCs w:val="22"/>
                <w:color w:val="auto"/>
              </w:rPr>
              <w:t>Ceramic Tile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65,049.00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16.</w:t>
            </w:r>
          </w:p>
        </w:tc>
        <w:tc>
          <w:tcPr>
            <w:tcW w:w="4620" w:type="dxa"/>
            <w:vAlign w:val="bottom"/>
          </w:tcPr>
          <w:p>
            <w:pPr>
              <w:ind w:left="80"/>
              <w:spacing w:after="0"/>
              <w:rPr>
                <w:sz w:val="20"/>
                <w:szCs w:val="20"/>
                <w:color w:val="auto"/>
              </w:rPr>
            </w:pPr>
            <w:r>
              <w:rPr>
                <w:rFonts w:ascii="Arial" w:cs="Arial" w:eastAsia="Arial" w:hAnsi="Arial"/>
                <w:sz w:val="22"/>
                <w:szCs w:val="22"/>
                <w:color w:val="auto"/>
              </w:rPr>
              <w:t>Acoustical Ceilings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58,995.00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17.</w:t>
            </w:r>
          </w:p>
        </w:tc>
        <w:tc>
          <w:tcPr>
            <w:tcW w:w="4620" w:type="dxa"/>
            <w:vAlign w:val="bottom"/>
          </w:tcPr>
          <w:p>
            <w:pPr>
              <w:ind w:left="80"/>
              <w:spacing w:after="0"/>
              <w:rPr>
                <w:sz w:val="20"/>
                <w:szCs w:val="20"/>
                <w:color w:val="auto"/>
              </w:rPr>
            </w:pPr>
            <w:r>
              <w:rPr>
                <w:rFonts w:ascii="Arial" w:cs="Arial" w:eastAsia="Arial" w:hAnsi="Arial"/>
                <w:sz w:val="22"/>
                <w:szCs w:val="22"/>
                <w:color w:val="auto"/>
              </w:rPr>
              <w:t>Floor Covering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490,385.00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18</w:t>
            </w:r>
          </w:p>
        </w:tc>
        <w:tc>
          <w:tcPr>
            <w:tcW w:w="4620" w:type="dxa"/>
            <w:vAlign w:val="bottom"/>
          </w:tcPr>
          <w:p>
            <w:pPr>
              <w:ind w:left="80"/>
              <w:spacing w:after="0"/>
              <w:rPr>
                <w:sz w:val="20"/>
                <w:szCs w:val="20"/>
                <w:color w:val="auto"/>
              </w:rPr>
            </w:pPr>
            <w:r>
              <w:rPr>
                <w:rFonts w:ascii="Arial" w:cs="Arial" w:eastAsia="Arial" w:hAnsi="Arial"/>
                <w:sz w:val="22"/>
                <w:szCs w:val="22"/>
                <w:color w:val="auto"/>
              </w:rPr>
              <w:t>Painting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163,652.00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19.</w:t>
            </w:r>
          </w:p>
        </w:tc>
        <w:tc>
          <w:tcPr>
            <w:tcW w:w="4620" w:type="dxa"/>
            <w:vAlign w:val="bottom"/>
          </w:tcPr>
          <w:p>
            <w:pPr>
              <w:ind w:left="80"/>
              <w:spacing w:after="0"/>
              <w:rPr>
                <w:sz w:val="20"/>
                <w:szCs w:val="20"/>
                <w:color w:val="auto"/>
              </w:rPr>
            </w:pPr>
            <w:r>
              <w:rPr>
                <w:rFonts w:ascii="Arial" w:cs="Arial" w:eastAsia="Arial" w:hAnsi="Arial"/>
                <w:sz w:val="22"/>
                <w:szCs w:val="22"/>
                <w:color w:val="auto"/>
              </w:rPr>
              <w:t>Whiteboards (backing only)</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2,850.00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20.</w:t>
            </w:r>
          </w:p>
        </w:tc>
        <w:tc>
          <w:tcPr>
            <w:tcW w:w="4620" w:type="dxa"/>
            <w:vAlign w:val="bottom"/>
          </w:tcPr>
          <w:p>
            <w:pPr>
              <w:ind w:left="80"/>
              <w:spacing w:after="0"/>
              <w:rPr>
                <w:sz w:val="20"/>
                <w:szCs w:val="20"/>
                <w:color w:val="auto"/>
              </w:rPr>
            </w:pPr>
            <w:r>
              <w:rPr>
                <w:rFonts w:ascii="Arial" w:cs="Arial" w:eastAsia="Arial" w:hAnsi="Arial"/>
                <w:sz w:val="22"/>
                <w:szCs w:val="22"/>
                <w:color w:val="auto"/>
              </w:rPr>
              <w:t>Toilet Partitions/Accesories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29,060.00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21.</w:t>
            </w:r>
          </w:p>
        </w:tc>
        <w:tc>
          <w:tcPr>
            <w:tcW w:w="4620" w:type="dxa"/>
            <w:vAlign w:val="bottom"/>
          </w:tcPr>
          <w:p>
            <w:pPr>
              <w:ind w:left="80"/>
              <w:spacing w:after="0"/>
              <w:rPr>
                <w:sz w:val="20"/>
                <w:szCs w:val="20"/>
                <w:color w:val="auto"/>
              </w:rPr>
            </w:pPr>
            <w:r>
              <w:rPr>
                <w:rFonts w:ascii="Arial" w:cs="Arial" w:eastAsia="Arial" w:hAnsi="Arial"/>
                <w:sz w:val="22"/>
                <w:szCs w:val="22"/>
                <w:color w:val="auto"/>
              </w:rPr>
              <w:t>Projector Mounts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21,688.00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22.</w:t>
            </w:r>
          </w:p>
        </w:tc>
        <w:tc>
          <w:tcPr>
            <w:tcW w:w="4620" w:type="dxa"/>
            <w:vAlign w:val="bottom"/>
          </w:tcPr>
          <w:p>
            <w:pPr>
              <w:ind w:left="80"/>
              <w:spacing w:after="0"/>
              <w:rPr>
                <w:sz w:val="20"/>
                <w:szCs w:val="20"/>
                <w:color w:val="auto"/>
              </w:rPr>
            </w:pPr>
            <w:r>
              <w:rPr>
                <w:rFonts w:ascii="Arial" w:cs="Arial" w:eastAsia="Arial" w:hAnsi="Arial"/>
                <w:sz w:val="22"/>
                <w:szCs w:val="22"/>
                <w:color w:val="auto"/>
              </w:rPr>
              <w:t>Access Floor Repair</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20,130.00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23.</w:t>
            </w:r>
          </w:p>
        </w:tc>
        <w:tc>
          <w:tcPr>
            <w:tcW w:w="4620" w:type="dxa"/>
            <w:vAlign w:val="bottom"/>
          </w:tcPr>
          <w:p>
            <w:pPr>
              <w:ind w:left="80"/>
              <w:spacing w:after="0"/>
              <w:rPr>
                <w:sz w:val="20"/>
                <w:szCs w:val="20"/>
                <w:color w:val="auto"/>
              </w:rPr>
            </w:pPr>
            <w:r>
              <w:rPr>
                <w:rFonts w:ascii="Arial" w:cs="Arial" w:eastAsia="Arial" w:hAnsi="Arial"/>
                <w:sz w:val="22"/>
                <w:szCs w:val="22"/>
                <w:color w:val="auto"/>
              </w:rPr>
              <w:t>Signage</w:t>
            </w:r>
          </w:p>
        </w:tc>
        <w:tc>
          <w:tcPr>
            <w:tcW w:w="940" w:type="dxa"/>
            <w:vAlign w:val="bottom"/>
          </w:tcPr>
          <w:p>
            <w:pPr>
              <w:ind w:left="20"/>
              <w:spacing w:after="0"/>
              <w:rPr>
                <w:sz w:val="20"/>
                <w:szCs w:val="20"/>
                <w:color w:val="auto"/>
              </w:rPr>
            </w:pPr>
            <w:r>
              <w:rPr>
                <w:rFonts w:ascii="Arial" w:cs="Arial" w:eastAsia="Arial" w:hAnsi="Arial"/>
                <w:sz w:val="22"/>
                <w:szCs w:val="22"/>
                <w:color w:val="auto"/>
                <w:w w:val="99"/>
              </w:rPr>
              <w:t>by tenant</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Page 2</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0"/>
                <w:szCs w:val="20"/>
                <w:color w:val="auto"/>
              </w:rPr>
            </w:pPr>
            <w:r>
              <w:rPr>
                <w:rFonts w:ascii="Arial" w:cs="Arial" w:eastAsia="Arial" w:hAnsi="Arial"/>
                <w:sz w:val="22"/>
                <w:szCs w:val="22"/>
                <w:color w:val="auto"/>
              </w:rPr>
              <w:t>24.</w:t>
            </w:r>
          </w:p>
        </w:tc>
        <w:tc>
          <w:tcPr>
            <w:tcW w:w="4620" w:type="dxa"/>
            <w:vAlign w:val="bottom"/>
          </w:tcPr>
          <w:p>
            <w:pPr>
              <w:ind w:left="80"/>
              <w:spacing w:after="0"/>
              <w:rPr>
                <w:sz w:val="20"/>
                <w:szCs w:val="20"/>
                <w:color w:val="auto"/>
              </w:rPr>
            </w:pPr>
            <w:r>
              <w:rPr>
                <w:rFonts w:ascii="Arial" w:cs="Arial" w:eastAsia="Arial" w:hAnsi="Arial"/>
                <w:sz w:val="22"/>
                <w:szCs w:val="22"/>
                <w:color w:val="auto"/>
              </w:rPr>
              <w:t>Interior Blinds/Motorized Shades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33,599.00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25.</w:t>
            </w:r>
          </w:p>
        </w:tc>
        <w:tc>
          <w:tcPr>
            <w:tcW w:w="4620" w:type="dxa"/>
            <w:vAlign w:val="bottom"/>
          </w:tcPr>
          <w:p>
            <w:pPr>
              <w:ind w:left="80"/>
              <w:spacing w:after="0"/>
              <w:rPr>
                <w:sz w:val="20"/>
                <w:szCs w:val="20"/>
                <w:color w:val="auto"/>
              </w:rPr>
            </w:pPr>
            <w:r>
              <w:rPr>
                <w:rFonts w:ascii="Arial" w:cs="Arial" w:eastAsia="Arial" w:hAnsi="Arial"/>
                <w:sz w:val="22"/>
                <w:szCs w:val="22"/>
                <w:color w:val="auto"/>
              </w:rPr>
              <w:t>Roof Hatches/Ships Ladders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24,114.00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26.</w:t>
            </w:r>
          </w:p>
        </w:tc>
        <w:tc>
          <w:tcPr>
            <w:tcW w:w="4620" w:type="dxa"/>
            <w:vAlign w:val="bottom"/>
          </w:tcPr>
          <w:p>
            <w:pPr>
              <w:ind w:left="80"/>
              <w:spacing w:after="0"/>
              <w:rPr>
                <w:sz w:val="20"/>
                <w:szCs w:val="20"/>
                <w:color w:val="auto"/>
              </w:rPr>
            </w:pPr>
            <w:r>
              <w:rPr>
                <w:rFonts w:ascii="Arial" w:cs="Arial" w:eastAsia="Arial" w:hAnsi="Arial"/>
                <w:sz w:val="22"/>
                <w:szCs w:val="22"/>
                <w:color w:val="auto"/>
              </w:rPr>
              <w:t>Elevator Upgrades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5,940.00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27.</w:t>
            </w:r>
          </w:p>
        </w:tc>
        <w:tc>
          <w:tcPr>
            <w:tcW w:w="4620" w:type="dxa"/>
            <w:vAlign w:val="bottom"/>
          </w:tcPr>
          <w:p>
            <w:pPr>
              <w:ind w:left="80"/>
              <w:spacing w:after="0"/>
              <w:rPr>
                <w:sz w:val="20"/>
                <w:szCs w:val="20"/>
                <w:color w:val="auto"/>
              </w:rPr>
            </w:pPr>
            <w:r>
              <w:rPr>
                <w:rFonts w:ascii="Arial" w:cs="Arial" w:eastAsia="Arial" w:hAnsi="Arial"/>
                <w:sz w:val="22"/>
                <w:szCs w:val="22"/>
                <w:color w:val="auto"/>
              </w:rPr>
              <w:t>Fire Sprinklers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65,308.00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28.</w:t>
            </w:r>
          </w:p>
        </w:tc>
        <w:tc>
          <w:tcPr>
            <w:tcW w:w="4620" w:type="dxa"/>
            <w:vAlign w:val="bottom"/>
          </w:tcPr>
          <w:p>
            <w:pPr>
              <w:ind w:left="80"/>
              <w:spacing w:after="0"/>
              <w:rPr>
                <w:sz w:val="20"/>
                <w:szCs w:val="20"/>
                <w:color w:val="auto"/>
              </w:rPr>
            </w:pPr>
            <w:r>
              <w:rPr>
                <w:rFonts w:ascii="Arial" w:cs="Arial" w:eastAsia="Arial" w:hAnsi="Arial"/>
                <w:sz w:val="22"/>
                <w:szCs w:val="22"/>
                <w:color w:val="auto"/>
              </w:rPr>
              <w:t>HVAC</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981,776.00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29.</w:t>
            </w:r>
          </w:p>
        </w:tc>
        <w:tc>
          <w:tcPr>
            <w:tcW w:w="4620" w:type="dxa"/>
            <w:vAlign w:val="bottom"/>
          </w:tcPr>
          <w:p>
            <w:pPr>
              <w:ind w:left="80"/>
              <w:spacing w:after="0"/>
              <w:rPr>
                <w:sz w:val="20"/>
                <w:szCs w:val="20"/>
                <w:color w:val="auto"/>
              </w:rPr>
            </w:pPr>
            <w:r>
              <w:rPr>
                <w:rFonts w:ascii="Arial" w:cs="Arial" w:eastAsia="Arial" w:hAnsi="Arial"/>
                <w:sz w:val="22"/>
                <w:szCs w:val="22"/>
                <w:color w:val="auto"/>
              </w:rPr>
              <w:t>Hydronic Piping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18,590.00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30.</w:t>
            </w:r>
          </w:p>
        </w:tc>
        <w:tc>
          <w:tcPr>
            <w:tcW w:w="4620" w:type="dxa"/>
            <w:vAlign w:val="bottom"/>
          </w:tcPr>
          <w:p>
            <w:pPr>
              <w:ind w:left="80"/>
              <w:spacing w:after="0"/>
              <w:rPr>
                <w:sz w:val="20"/>
                <w:szCs w:val="20"/>
                <w:color w:val="auto"/>
              </w:rPr>
            </w:pPr>
            <w:r>
              <w:rPr>
                <w:rFonts w:ascii="Arial" w:cs="Arial" w:eastAsia="Arial" w:hAnsi="Arial"/>
                <w:sz w:val="22"/>
                <w:szCs w:val="22"/>
                <w:color w:val="auto"/>
              </w:rPr>
              <w:t>Plumbing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59,205.00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31</w:t>
            </w:r>
          </w:p>
        </w:tc>
        <w:tc>
          <w:tcPr>
            <w:tcW w:w="4620" w:type="dxa"/>
            <w:vAlign w:val="bottom"/>
          </w:tcPr>
          <w:p>
            <w:pPr>
              <w:ind w:left="80"/>
              <w:spacing w:after="0"/>
              <w:rPr>
                <w:sz w:val="20"/>
                <w:szCs w:val="20"/>
                <w:color w:val="auto"/>
              </w:rPr>
            </w:pPr>
            <w:r>
              <w:rPr>
                <w:rFonts w:ascii="Arial" w:cs="Arial" w:eastAsia="Arial" w:hAnsi="Arial"/>
                <w:sz w:val="22"/>
                <w:szCs w:val="22"/>
                <w:color w:val="auto"/>
              </w:rPr>
              <w:t>Electric</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1,534,862.00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32.</w:t>
            </w:r>
          </w:p>
        </w:tc>
        <w:tc>
          <w:tcPr>
            <w:tcW w:w="4620" w:type="dxa"/>
            <w:vAlign w:val="bottom"/>
          </w:tcPr>
          <w:p>
            <w:pPr>
              <w:ind w:left="80"/>
              <w:spacing w:after="0"/>
              <w:rPr>
                <w:sz w:val="20"/>
                <w:szCs w:val="20"/>
                <w:color w:val="auto"/>
              </w:rPr>
            </w:pPr>
            <w:r>
              <w:rPr>
                <w:rFonts w:ascii="Arial" w:cs="Arial" w:eastAsia="Arial" w:hAnsi="Arial"/>
                <w:sz w:val="22"/>
                <w:szCs w:val="22"/>
                <w:color w:val="auto"/>
              </w:rPr>
              <w:t>Fire Alarm System</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41,095.00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33.</w:t>
            </w:r>
          </w:p>
        </w:tc>
        <w:tc>
          <w:tcPr>
            <w:tcW w:w="4620" w:type="dxa"/>
            <w:vAlign w:val="bottom"/>
          </w:tcPr>
          <w:p>
            <w:pPr>
              <w:ind w:left="80"/>
              <w:spacing w:after="0"/>
              <w:rPr>
                <w:sz w:val="20"/>
                <w:szCs w:val="20"/>
                <w:color w:val="auto"/>
              </w:rPr>
            </w:pPr>
            <w:r>
              <w:rPr>
                <w:rFonts w:ascii="Arial" w:cs="Arial" w:eastAsia="Arial" w:hAnsi="Arial"/>
                <w:sz w:val="22"/>
                <w:szCs w:val="22"/>
                <w:color w:val="auto"/>
              </w:rPr>
              <w:t>Wire Mesh Ceiling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120,248.00</w:t>
            </w:r>
          </w:p>
        </w:tc>
        <w:tc>
          <w:tcPr>
            <w:tcW w:w="1520" w:type="dxa"/>
            <w:vAlign w:val="bottom"/>
          </w:tcPr>
          <w:p>
            <w:pPr>
              <w:spacing w:after="0"/>
              <w:rPr>
                <w:sz w:val="24"/>
                <w:szCs w:val="24"/>
                <w:color w:val="auto"/>
              </w:rPr>
            </w:pPr>
          </w:p>
        </w:tc>
      </w:tr>
      <w:tr>
        <w:trPr>
          <w:trHeight w:val="321"/>
        </w:trPr>
        <w:tc>
          <w:tcPr>
            <w:tcW w:w="360" w:type="dxa"/>
            <w:vAlign w:val="bottom"/>
          </w:tcPr>
          <w:p>
            <w:pPr>
              <w:spacing w:after="0"/>
              <w:rPr>
                <w:sz w:val="20"/>
                <w:szCs w:val="20"/>
                <w:color w:val="auto"/>
              </w:rPr>
            </w:pPr>
            <w:r>
              <w:rPr>
                <w:rFonts w:ascii="Arial" w:cs="Arial" w:eastAsia="Arial" w:hAnsi="Arial"/>
                <w:sz w:val="22"/>
                <w:szCs w:val="22"/>
                <w:color w:val="auto"/>
              </w:rPr>
              <w:t>34.</w:t>
            </w:r>
          </w:p>
        </w:tc>
        <w:tc>
          <w:tcPr>
            <w:tcW w:w="4620" w:type="dxa"/>
            <w:vAlign w:val="bottom"/>
          </w:tcPr>
          <w:p>
            <w:pPr>
              <w:ind w:left="80"/>
              <w:spacing w:after="0"/>
              <w:rPr>
                <w:sz w:val="20"/>
                <w:szCs w:val="20"/>
                <w:color w:val="auto"/>
              </w:rPr>
            </w:pPr>
            <w:r>
              <w:rPr>
                <w:rFonts w:ascii="Arial" w:cs="Arial" w:eastAsia="Arial" w:hAnsi="Arial"/>
                <w:sz w:val="22"/>
                <w:szCs w:val="22"/>
                <w:color w:val="auto"/>
              </w:rPr>
              <w:t>Granite Stone, Lobbles &amp; Stairs 1&amp;2</w:t>
            </w: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51,336.00</w:t>
            </w:r>
          </w:p>
        </w:tc>
        <w:tc>
          <w:tcPr>
            <w:tcW w:w="152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Sub Total</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5,635,133.00</w:t>
            </w:r>
          </w:p>
        </w:tc>
        <w:tc>
          <w:tcPr>
            <w:tcW w:w="1520" w:type="dxa"/>
            <w:vAlign w:val="bottom"/>
          </w:tcPr>
          <w:p>
            <w:pPr>
              <w:spacing w:after="0"/>
              <w:rPr>
                <w:sz w:val="24"/>
                <w:szCs w:val="24"/>
                <w:color w:val="auto"/>
              </w:rPr>
            </w:pPr>
          </w:p>
        </w:tc>
      </w:tr>
      <w:tr>
        <w:trPr>
          <w:trHeight w:val="321"/>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OH &amp; P</w:t>
            </w: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366,284.00</w:t>
            </w:r>
          </w:p>
        </w:tc>
        <w:tc>
          <w:tcPr>
            <w:tcW w:w="152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TOTAL LINE ITEMS</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6,001,417.00</w:t>
            </w: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0"/>
                <w:szCs w:val="20"/>
                <w:color w:val="auto"/>
              </w:rPr>
            </w:pPr>
            <w:r>
              <w:rPr>
                <w:rFonts w:ascii="Arial" w:cs="Arial" w:eastAsia="Arial" w:hAnsi="Arial"/>
                <w:sz w:val="22"/>
                <w:szCs w:val="22"/>
                <w:color w:val="auto"/>
              </w:rPr>
              <w:t>34.</w:t>
            </w:r>
          </w:p>
        </w:tc>
        <w:tc>
          <w:tcPr>
            <w:tcW w:w="4620" w:type="dxa"/>
            <w:vAlign w:val="bottom"/>
          </w:tcPr>
          <w:p>
            <w:pPr>
              <w:ind w:left="80"/>
              <w:spacing w:after="0"/>
              <w:rPr>
                <w:sz w:val="20"/>
                <w:szCs w:val="20"/>
                <w:color w:val="auto"/>
              </w:rPr>
            </w:pPr>
            <w:r>
              <w:rPr>
                <w:rFonts w:ascii="Arial" w:cs="Arial" w:eastAsia="Arial" w:hAnsi="Arial"/>
                <w:sz w:val="22"/>
                <w:szCs w:val="22"/>
                <w:color w:val="auto"/>
              </w:rPr>
              <w:t>COR #6</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2,205.00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35.</w:t>
            </w:r>
          </w:p>
        </w:tc>
        <w:tc>
          <w:tcPr>
            <w:tcW w:w="4620" w:type="dxa"/>
            <w:vAlign w:val="bottom"/>
          </w:tcPr>
          <w:p>
            <w:pPr>
              <w:ind w:left="80"/>
              <w:spacing w:after="0"/>
              <w:rPr>
                <w:sz w:val="20"/>
                <w:szCs w:val="20"/>
                <w:color w:val="auto"/>
              </w:rPr>
            </w:pPr>
            <w:r>
              <w:rPr>
                <w:rFonts w:ascii="Arial" w:cs="Arial" w:eastAsia="Arial" w:hAnsi="Arial"/>
                <w:sz w:val="22"/>
                <w:szCs w:val="22"/>
                <w:color w:val="auto"/>
              </w:rPr>
              <w:t>COR #8</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2,327.00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36.</w:t>
            </w:r>
          </w:p>
        </w:tc>
        <w:tc>
          <w:tcPr>
            <w:tcW w:w="4620" w:type="dxa"/>
            <w:vAlign w:val="bottom"/>
          </w:tcPr>
          <w:p>
            <w:pPr>
              <w:ind w:left="80"/>
              <w:spacing w:after="0"/>
              <w:rPr>
                <w:sz w:val="20"/>
                <w:szCs w:val="20"/>
                <w:color w:val="auto"/>
              </w:rPr>
            </w:pPr>
            <w:r>
              <w:rPr>
                <w:rFonts w:ascii="Arial" w:cs="Arial" w:eastAsia="Arial" w:hAnsi="Arial"/>
                <w:sz w:val="22"/>
                <w:szCs w:val="22"/>
                <w:color w:val="auto"/>
              </w:rPr>
              <w:t>COR #9</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7,326.00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37.</w:t>
            </w:r>
          </w:p>
        </w:tc>
        <w:tc>
          <w:tcPr>
            <w:tcW w:w="4620" w:type="dxa"/>
            <w:vAlign w:val="bottom"/>
          </w:tcPr>
          <w:p>
            <w:pPr>
              <w:ind w:left="80"/>
              <w:spacing w:after="0"/>
              <w:rPr>
                <w:sz w:val="20"/>
                <w:szCs w:val="20"/>
                <w:color w:val="auto"/>
              </w:rPr>
            </w:pPr>
            <w:r>
              <w:rPr>
                <w:rFonts w:ascii="Arial" w:cs="Arial" w:eastAsia="Arial" w:hAnsi="Arial"/>
                <w:sz w:val="22"/>
                <w:szCs w:val="22"/>
                <w:color w:val="auto"/>
              </w:rPr>
              <w:t>COR #12</w:t>
            </w:r>
          </w:p>
        </w:tc>
        <w:tc>
          <w:tcPr>
            <w:tcW w:w="9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(7,743.00)</w:t>
            </w:r>
          </w:p>
        </w:tc>
        <w:tc>
          <w:tcPr>
            <w:tcW w:w="1520" w:type="dxa"/>
            <w:vAlign w:val="bottom"/>
          </w:tcPr>
          <w:p>
            <w:pPr>
              <w:spacing w:after="0"/>
              <w:rPr>
                <w:sz w:val="24"/>
                <w:szCs w:val="24"/>
                <w:color w:val="auto"/>
              </w:rPr>
            </w:pPr>
          </w:p>
        </w:tc>
      </w:tr>
      <w:tr>
        <w:trPr>
          <w:trHeight w:val="476"/>
        </w:trPr>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12</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179"/>
          </w:cols>
          <w:pgMar w:left="280" w:top="1063"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38.</w:t>
            </w:r>
          </w:p>
        </w:tc>
        <w:tc>
          <w:tcPr>
            <w:tcW w:w="4620" w:type="dxa"/>
            <w:vAlign w:val="bottom"/>
          </w:tcPr>
          <w:p>
            <w:pPr>
              <w:ind w:left="80"/>
              <w:spacing w:after="0"/>
              <w:rPr>
                <w:sz w:val="20"/>
                <w:szCs w:val="20"/>
                <w:color w:val="auto"/>
              </w:rPr>
            </w:pPr>
            <w:r>
              <w:rPr>
                <w:rFonts w:ascii="Arial" w:cs="Arial" w:eastAsia="Arial" w:hAnsi="Arial"/>
                <w:sz w:val="22"/>
                <w:szCs w:val="22"/>
                <w:color w:val="auto"/>
              </w:rPr>
              <w:t>COR #19</w:t>
            </w:r>
          </w:p>
        </w:tc>
        <w:tc>
          <w:tcPr>
            <w:tcW w:w="9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145.00</w:t>
            </w:r>
          </w:p>
        </w:tc>
        <w:tc>
          <w:tcPr>
            <w:tcW w:w="266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39.</w:t>
            </w:r>
          </w:p>
        </w:tc>
        <w:tc>
          <w:tcPr>
            <w:tcW w:w="4620" w:type="dxa"/>
            <w:vAlign w:val="bottom"/>
          </w:tcPr>
          <w:p>
            <w:pPr>
              <w:ind w:left="80"/>
              <w:spacing w:after="0"/>
              <w:rPr>
                <w:sz w:val="20"/>
                <w:szCs w:val="20"/>
                <w:color w:val="auto"/>
              </w:rPr>
            </w:pPr>
            <w:r>
              <w:rPr>
                <w:rFonts w:ascii="Arial" w:cs="Arial" w:eastAsia="Arial" w:hAnsi="Arial"/>
                <w:sz w:val="22"/>
                <w:szCs w:val="22"/>
                <w:color w:val="auto"/>
              </w:rPr>
              <w:t>COR #21</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2660" w:type="dxa"/>
            <w:vAlign w:val="bottom"/>
          </w:tcPr>
          <w:p>
            <w:pPr>
              <w:ind w:left="20"/>
              <w:spacing w:after="0"/>
              <w:rPr>
                <w:sz w:val="20"/>
                <w:szCs w:val="20"/>
                <w:color w:val="auto"/>
              </w:rPr>
            </w:pPr>
            <w:r>
              <w:rPr>
                <w:rFonts w:ascii="Arial" w:cs="Arial" w:eastAsia="Arial" w:hAnsi="Arial"/>
                <w:sz w:val="22"/>
                <w:szCs w:val="22"/>
                <w:color w:val="auto"/>
              </w:rPr>
              <w:t>pending engineering</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40</w:t>
            </w:r>
          </w:p>
        </w:tc>
        <w:tc>
          <w:tcPr>
            <w:tcW w:w="4620" w:type="dxa"/>
            <w:vAlign w:val="bottom"/>
          </w:tcPr>
          <w:p>
            <w:pPr>
              <w:ind w:left="80"/>
              <w:spacing w:after="0"/>
              <w:rPr>
                <w:sz w:val="20"/>
                <w:szCs w:val="20"/>
                <w:color w:val="auto"/>
              </w:rPr>
            </w:pPr>
            <w:r>
              <w:rPr>
                <w:rFonts w:ascii="Arial" w:cs="Arial" w:eastAsia="Arial" w:hAnsi="Arial"/>
                <w:sz w:val="22"/>
                <w:szCs w:val="22"/>
                <w:color w:val="auto"/>
              </w:rPr>
              <w:t>COR #22</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2660" w:type="dxa"/>
            <w:vAlign w:val="bottom"/>
          </w:tcPr>
          <w:p>
            <w:pPr>
              <w:ind w:left="20"/>
              <w:spacing w:after="0"/>
              <w:rPr>
                <w:sz w:val="20"/>
                <w:szCs w:val="20"/>
                <w:color w:val="auto"/>
              </w:rPr>
            </w:pPr>
            <w:r>
              <w:rPr>
                <w:rFonts w:ascii="Arial" w:cs="Arial" w:eastAsia="Arial" w:hAnsi="Arial"/>
                <w:sz w:val="22"/>
                <w:szCs w:val="22"/>
                <w:color w:val="auto"/>
              </w:rPr>
              <w:t>pending re-design</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41.</w:t>
            </w:r>
          </w:p>
        </w:tc>
        <w:tc>
          <w:tcPr>
            <w:tcW w:w="4620" w:type="dxa"/>
            <w:vAlign w:val="bottom"/>
          </w:tcPr>
          <w:p>
            <w:pPr>
              <w:ind w:left="80"/>
              <w:spacing w:after="0"/>
              <w:rPr>
                <w:sz w:val="20"/>
                <w:szCs w:val="20"/>
                <w:color w:val="auto"/>
              </w:rPr>
            </w:pPr>
            <w:r>
              <w:rPr>
                <w:rFonts w:ascii="Arial" w:cs="Arial" w:eastAsia="Arial" w:hAnsi="Arial"/>
                <w:sz w:val="22"/>
                <w:szCs w:val="22"/>
                <w:color w:val="auto"/>
              </w:rPr>
              <w:t>COR #23</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3,972.00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42.</w:t>
            </w:r>
          </w:p>
        </w:tc>
        <w:tc>
          <w:tcPr>
            <w:tcW w:w="4620" w:type="dxa"/>
            <w:vAlign w:val="bottom"/>
          </w:tcPr>
          <w:p>
            <w:pPr>
              <w:ind w:left="80"/>
              <w:spacing w:after="0"/>
              <w:rPr>
                <w:sz w:val="20"/>
                <w:szCs w:val="20"/>
                <w:color w:val="auto"/>
              </w:rPr>
            </w:pPr>
            <w:r>
              <w:rPr>
                <w:rFonts w:ascii="Arial" w:cs="Arial" w:eastAsia="Arial" w:hAnsi="Arial"/>
                <w:sz w:val="22"/>
                <w:szCs w:val="22"/>
                <w:color w:val="auto"/>
              </w:rPr>
              <w:t>COR #24</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817.00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43.</w:t>
            </w:r>
          </w:p>
        </w:tc>
        <w:tc>
          <w:tcPr>
            <w:tcW w:w="4620" w:type="dxa"/>
            <w:vAlign w:val="bottom"/>
          </w:tcPr>
          <w:p>
            <w:pPr>
              <w:ind w:left="80"/>
              <w:spacing w:after="0"/>
              <w:rPr>
                <w:sz w:val="20"/>
                <w:szCs w:val="20"/>
                <w:color w:val="auto"/>
              </w:rPr>
            </w:pPr>
            <w:r>
              <w:rPr>
                <w:rFonts w:ascii="Arial" w:cs="Arial" w:eastAsia="Arial" w:hAnsi="Arial"/>
                <w:sz w:val="22"/>
                <w:szCs w:val="22"/>
                <w:color w:val="auto"/>
              </w:rPr>
              <w:t>COR #26</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(4,350.00)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44.</w:t>
            </w:r>
          </w:p>
        </w:tc>
        <w:tc>
          <w:tcPr>
            <w:tcW w:w="4620" w:type="dxa"/>
            <w:vAlign w:val="bottom"/>
          </w:tcPr>
          <w:p>
            <w:pPr>
              <w:ind w:left="80"/>
              <w:spacing w:after="0"/>
              <w:rPr>
                <w:sz w:val="20"/>
                <w:szCs w:val="20"/>
                <w:color w:val="auto"/>
              </w:rPr>
            </w:pPr>
            <w:r>
              <w:rPr>
                <w:rFonts w:ascii="Arial" w:cs="Arial" w:eastAsia="Arial" w:hAnsi="Arial"/>
                <w:sz w:val="22"/>
                <w:szCs w:val="22"/>
                <w:color w:val="auto"/>
              </w:rPr>
              <w:t>COR #28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(134,519.00)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45.</w:t>
            </w:r>
          </w:p>
        </w:tc>
        <w:tc>
          <w:tcPr>
            <w:tcW w:w="4620" w:type="dxa"/>
            <w:vAlign w:val="bottom"/>
          </w:tcPr>
          <w:p>
            <w:pPr>
              <w:ind w:left="80"/>
              <w:spacing w:after="0"/>
              <w:rPr>
                <w:sz w:val="20"/>
                <w:szCs w:val="20"/>
                <w:color w:val="auto"/>
              </w:rPr>
            </w:pPr>
            <w:r>
              <w:rPr>
                <w:rFonts w:ascii="Arial" w:cs="Arial" w:eastAsia="Arial" w:hAnsi="Arial"/>
                <w:sz w:val="22"/>
                <w:szCs w:val="22"/>
                <w:color w:val="auto"/>
              </w:rPr>
              <w:t>COR #37</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(8,288.00)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46.</w:t>
            </w:r>
          </w:p>
        </w:tc>
        <w:tc>
          <w:tcPr>
            <w:tcW w:w="4620" w:type="dxa"/>
            <w:vAlign w:val="bottom"/>
          </w:tcPr>
          <w:p>
            <w:pPr>
              <w:ind w:left="80"/>
              <w:spacing w:after="0"/>
              <w:rPr>
                <w:sz w:val="20"/>
                <w:szCs w:val="20"/>
                <w:color w:val="auto"/>
              </w:rPr>
            </w:pPr>
            <w:r>
              <w:rPr>
                <w:rFonts w:ascii="Arial" w:cs="Arial" w:eastAsia="Arial" w:hAnsi="Arial"/>
                <w:sz w:val="22"/>
                <w:szCs w:val="22"/>
                <w:color w:val="auto"/>
              </w:rPr>
              <w:t>COR #38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(34,340.00)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47.</w:t>
            </w:r>
          </w:p>
        </w:tc>
        <w:tc>
          <w:tcPr>
            <w:tcW w:w="4620" w:type="dxa"/>
            <w:vAlign w:val="bottom"/>
          </w:tcPr>
          <w:p>
            <w:pPr>
              <w:ind w:left="80"/>
              <w:spacing w:after="0"/>
              <w:rPr>
                <w:sz w:val="20"/>
                <w:szCs w:val="20"/>
                <w:color w:val="auto"/>
              </w:rPr>
            </w:pPr>
            <w:r>
              <w:rPr>
                <w:rFonts w:ascii="Arial" w:cs="Arial" w:eastAsia="Arial" w:hAnsi="Arial"/>
                <w:sz w:val="22"/>
                <w:szCs w:val="22"/>
                <w:color w:val="auto"/>
              </w:rPr>
              <w:t>COR #39</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(18,813.00)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48.</w:t>
            </w:r>
          </w:p>
        </w:tc>
        <w:tc>
          <w:tcPr>
            <w:tcW w:w="4620" w:type="dxa"/>
            <w:vAlign w:val="bottom"/>
          </w:tcPr>
          <w:p>
            <w:pPr>
              <w:ind w:left="80"/>
              <w:spacing w:after="0"/>
              <w:rPr>
                <w:sz w:val="20"/>
                <w:szCs w:val="20"/>
                <w:color w:val="auto"/>
              </w:rPr>
            </w:pPr>
            <w:r>
              <w:rPr>
                <w:rFonts w:ascii="Arial" w:cs="Arial" w:eastAsia="Arial" w:hAnsi="Arial"/>
                <w:sz w:val="22"/>
                <w:szCs w:val="22"/>
                <w:color w:val="auto"/>
              </w:rPr>
              <w:t>COR #40</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(14,377.00)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49.</w:t>
            </w:r>
          </w:p>
        </w:tc>
        <w:tc>
          <w:tcPr>
            <w:tcW w:w="4620" w:type="dxa"/>
            <w:vAlign w:val="bottom"/>
          </w:tcPr>
          <w:p>
            <w:pPr>
              <w:ind w:left="80"/>
              <w:spacing w:after="0"/>
              <w:rPr>
                <w:sz w:val="20"/>
                <w:szCs w:val="20"/>
                <w:color w:val="auto"/>
              </w:rPr>
            </w:pPr>
            <w:r>
              <w:rPr>
                <w:rFonts w:ascii="Arial" w:cs="Arial" w:eastAsia="Arial" w:hAnsi="Arial"/>
                <w:sz w:val="22"/>
                <w:szCs w:val="22"/>
                <w:color w:val="auto"/>
              </w:rPr>
              <w:t>COR #41</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(69,522.00)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50.</w:t>
            </w:r>
          </w:p>
        </w:tc>
        <w:tc>
          <w:tcPr>
            <w:tcW w:w="4620" w:type="dxa"/>
            <w:vAlign w:val="bottom"/>
          </w:tcPr>
          <w:p>
            <w:pPr>
              <w:ind w:left="80"/>
              <w:spacing w:after="0"/>
              <w:rPr>
                <w:sz w:val="20"/>
                <w:szCs w:val="20"/>
                <w:color w:val="auto"/>
              </w:rPr>
            </w:pPr>
            <w:r>
              <w:rPr>
                <w:rFonts w:ascii="Arial" w:cs="Arial" w:eastAsia="Arial" w:hAnsi="Arial"/>
                <w:sz w:val="22"/>
                <w:szCs w:val="22"/>
                <w:color w:val="auto"/>
              </w:rPr>
              <w:t>COR #43</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(35,770.00)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51.</w:t>
            </w:r>
          </w:p>
        </w:tc>
        <w:tc>
          <w:tcPr>
            <w:tcW w:w="4620" w:type="dxa"/>
            <w:vAlign w:val="bottom"/>
          </w:tcPr>
          <w:p>
            <w:pPr>
              <w:ind w:left="80"/>
              <w:spacing w:after="0"/>
              <w:rPr>
                <w:sz w:val="20"/>
                <w:szCs w:val="20"/>
                <w:color w:val="auto"/>
              </w:rPr>
            </w:pPr>
            <w:r>
              <w:rPr>
                <w:rFonts w:ascii="Arial" w:cs="Arial" w:eastAsia="Arial" w:hAnsi="Arial"/>
                <w:sz w:val="22"/>
                <w:szCs w:val="22"/>
                <w:color w:val="auto"/>
              </w:rPr>
              <w:t>COR #44</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(2,455.00)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52.</w:t>
            </w:r>
          </w:p>
        </w:tc>
        <w:tc>
          <w:tcPr>
            <w:tcW w:w="4620" w:type="dxa"/>
            <w:vAlign w:val="bottom"/>
          </w:tcPr>
          <w:p>
            <w:pPr>
              <w:ind w:left="80"/>
              <w:spacing w:after="0"/>
              <w:rPr>
                <w:sz w:val="20"/>
                <w:szCs w:val="20"/>
                <w:color w:val="auto"/>
              </w:rPr>
            </w:pPr>
            <w:r>
              <w:rPr>
                <w:rFonts w:ascii="Arial" w:cs="Arial" w:eastAsia="Arial" w:hAnsi="Arial"/>
                <w:sz w:val="22"/>
                <w:szCs w:val="22"/>
                <w:color w:val="auto"/>
              </w:rPr>
              <w:t>COR #45</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(5,242.00)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53</w:t>
            </w:r>
          </w:p>
        </w:tc>
        <w:tc>
          <w:tcPr>
            <w:tcW w:w="4620" w:type="dxa"/>
            <w:vAlign w:val="bottom"/>
          </w:tcPr>
          <w:p>
            <w:pPr>
              <w:ind w:left="80"/>
              <w:spacing w:after="0"/>
              <w:rPr>
                <w:sz w:val="20"/>
                <w:szCs w:val="20"/>
                <w:color w:val="auto"/>
              </w:rPr>
            </w:pPr>
            <w:r>
              <w:rPr>
                <w:rFonts w:ascii="Arial" w:cs="Arial" w:eastAsia="Arial" w:hAnsi="Arial"/>
                <w:sz w:val="22"/>
                <w:szCs w:val="22"/>
                <w:color w:val="auto"/>
              </w:rPr>
              <w:t>COR #48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(25,246.00)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53.</w:t>
            </w:r>
          </w:p>
        </w:tc>
        <w:tc>
          <w:tcPr>
            <w:tcW w:w="4620" w:type="dxa"/>
            <w:vAlign w:val="bottom"/>
          </w:tcPr>
          <w:p>
            <w:pPr>
              <w:ind w:left="80"/>
              <w:spacing w:after="0"/>
              <w:rPr>
                <w:sz w:val="20"/>
                <w:szCs w:val="20"/>
                <w:color w:val="auto"/>
              </w:rPr>
            </w:pPr>
            <w:r>
              <w:rPr>
                <w:rFonts w:ascii="Arial" w:cs="Arial" w:eastAsia="Arial" w:hAnsi="Arial"/>
                <w:sz w:val="22"/>
                <w:szCs w:val="22"/>
                <w:color w:val="auto"/>
              </w:rPr>
              <w:t>COR #59</w:t>
            </w:r>
          </w:p>
        </w:tc>
        <w:tc>
          <w:tcPr>
            <w:tcW w:w="4960" w:type="dxa"/>
            <w:vAlign w:val="bottom"/>
            <w:gridSpan w:val="3"/>
          </w:tcPr>
          <w:p>
            <w:pPr>
              <w:ind w:left="20"/>
              <w:spacing w:after="0"/>
              <w:rPr>
                <w:sz w:val="20"/>
                <w:szCs w:val="20"/>
                <w:color w:val="auto"/>
              </w:rPr>
            </w:pPr>
            <w:r>
              <w:rPr>
                <w:rFonts w:ascii="Arial" w:cs="Arial" w:eastAsia="Arial" w:hAnsi="Arial"/>
                <w:sz w:val="22"/>
                <w:szCs w:val="22"/>
                <w:color w:val="auto"/>
                <w:w w:val="89"/>
              </w:rPr>
              <w:t>deducted $12,100 from the electric line item (both bldgs)</w:t>
            </w:r>
          </w:p>
        </w:tc>
      </w:tr>
      <w:tr>
        <w:trPr>
          <w:trHeight w:val="321"/>
        </w:trPr>
        <w:tc>
          <w:tcPr>
            <w:tcW w:w="360" w:type="dxa"/>
            <w:vAlign w:val="bottom"/>
          </w:tcPr>
          <w:p>
            <w:pPr>
              <w:spacing w:after="0"/>
              <w:rPr>
                <w:sz w:val="20"/>
                <w:szCs w:val="20"/>
                <w:color w:val="auto"/>
              </w:rPr>
            </w:pPr>
            <w:r>
              <w:rPr>
                <w:rFonts w:ascii="Arial" w:cs="Arial" w:eastAsia="Arial" w:hAnsi="Arial"/>
                <w:sz w:val="22"/>
                <w:szCs w:val="22"/>
                <w:color w:val="auto"/>
              </w:rPr>
              <w:t>54.</w:t>
            </w:r>
          </w:p>
        </w:tc>
        <w:tc>
          <w:tcPr>
            <w:tcW w:w="4620" w:type="dxa"/>
            <w:vAlign w:val="bottom"/>
          </w:tcPr>
          <w:p>
            <w:pPr>
              <w:ind w:left="80"/>
              <w:spacing w:after="0"/>
              <w:rPr>
                <w:sz w:val="20"/>
                <w:szCs w:val="20"/>
                <w:color w:val="auto"/>
              </w:rPr>
            </w:pPr>
            <w:r>
              <w:rPr>
                <w:rFonts w:ascii="Arial" w:cs="Arial" w:eastAsia="Arial" w:hAnsi="Arial"/>
                <w:sz w:val="22"/>
                <w:szCs w:val="22"/>
                <w:color w:val="auto"/>
              </w:rPr>
              <w:t>COR #63 (allowance)</w:t>
            </w: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266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Sub Total</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(339,873.00)</w:t>
            </w:r>
          </w:p>
        </w:tc>
        <w:tc>
          <w:tcPr>
            <w:tcW w:w="2660" w:type="dxa"/>
            <w:vAlign w:val="bottom"/>
          </w:tcPr>
          <w:p>
            <w:pPr>
              <w:spacing w:after="0"/>
              <w:rPr>
                <w:sz w:val="24"/>
                <w:szCs w:val="24"/>
                <w:color w:val="auto"/>
              </w:rPr>
            </w:pPr>
          </w:p>
        </w:tc>
      </w:tr>
      <w:tr>
        <w:trPr>
          <w:trHeight w:val="321"/>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OH &amp; P</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included</w:t>
            </w:r>
          </w:p>
        </w:tc>
        <w:tc>
          <w:tcPr>
            <w:tcW w:w="138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TOTAL COR’s</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339,873.00</w:t>
            </w:r>
          </w:p>
        </w:tc>
        <w:tc>
          <w:tcPr>
            <w:tcW w:w="2660" w:type="dxa"/>
            <w:vAlign w:val="bottom"/>
          </w:tcPr>
          <w:p>
            <w:pPr>
              <w:spacing w:after="0"/>
              <w:rPr>
                <w:sz w:val="24"/>
                <w:szCs w:val="24"/>
                <w:color w:val="auto"/>
              </w:rPr>
            </w:pPr>
          </w:p>
        </w:tc>
      </w:tr>
      <w:tr>
        <w:trPr>
          <w:trHeight w:val="621"/>
        </w:trPr>
        <w:tc>
          <w:tcPr>
            <w:tcW w:w="36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GRAND TOTAL</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w w:val="96"/>
              </w:rPr>
              <w:t>5,661,544.00</w:t>
            </w:r>
          </w:p>
        </w:tc>
        <w:tc>
          <w:tcPr>
            <w:tcW w:w="2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79"/>
          </w:cols>
          <w:pgMar w:left="280" w:top="739" w:right="1440"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Page 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Clarifications &amp; Alternates</w:t>
      </w:r>
    </w:p>
    <w:p>
      <w:pPr>
        <w:spacing w:after="0" w:line="77"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We do not Include any permit, architectural, or utility company fees.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80" w:right="2079" w:hanging="272"/>
        <w:spacing w:after="0" w:line="327" w:lineRule="auto"/>
        <w:tabs>
          <w:tab w:leader="none" w:pos="22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alternate listed below are Just a few obvious ones. We can review all VE options in our meeting.</w:t>
      </w:r>
    </w:p>
    <w:p>
      <w:pPr>
        <w:spacing w:after="0" w:line="283" w:lineRule="exact"/>
        <w:rPr>
          <w:rFonts w:ascii="Arial" w:cs="Arial" w:eastAsia="Arial" w:hAnsi="Arial"/>
          <w:sz w:val="22"/>
          <w:szCs w:val="22"/>
          <w:color w:val="auto"/>
        </w:rPr>
      </w:pPr>
    </w:p>
    <w:p>
      <w:pPr>
        <w:ind w:left="220" w:hanging="212"/>
        <w:spacing w:after="0"/>
        <w:tabs>
          <w:tab w:leader="none" w:pos="2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Alternate#1; Per the specification, Install R·11 insulation above the acoustical ceiling; ADD $6,805.00</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220" w:hanging="212"/>
        <w:spacing w:after="0"/>
        <w:tabs>
          <w:tab w:leader="none" w:pos="2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Alternate #2; Provide and install a FM 200 fire System In the Server Room; ADD $37,625.00</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220" w:hanging="212"/>
        <w:spacing w:after="0"/>
        <w:tabs>
          <w:tab w:leader="none" w:pos="2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We have not Included changing the wall texture in the exterior stairwells.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20" w:hanging="212"/>
        <w:spacing w:after="0"/>
        <w:tabs>
          <w:tab w:leader="none" w:pos="2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Electrical Items not Included in above costs, without GC markup;</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342"/>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1.</w:t>
            </w:r>
          </w:p>
        </w:tc>
        <w:tc>
          <w:tcPr>
            <w:tcW w:w="4880" w:type="dxa"/>
            <w:vAlign w:val="bottom"/>
          </w:tcPr>
          <w:p>
            <w:pPr>
              <w:ind w:left="340"/>
              <w:spacing w:after="0"/>
              <w:rPr>
                <w:sz w:val="20"/>
                <w:szCs w:val="20"/>
                <w:color w:val="auto"/>
              </w:rPr>
            </w:pPr>
            <w:r>
              <w:rPr>
                <w:rFonts w:ascii="Arial" w:cs="Arial" w:eastAsia="Arial" w:hAnsi="Arial"/>
                <w:sz w:val="22"/>
                <w:szCs w:val="22"/>
                <w:color w:val="auto"/>
              </w:rPr>
              <w:t>Restroom lighting over sinks, 1420, allowance</w:t>
            </w:r>
          </w:p>
        </w:tc>
        <w:tc>
          <w:tcPr>
            <w:tcW w:w="1120" w:type="dxa"/>
            <w:vAlign w:val="bottom"/>
          </w:tcPr>
          <w:p>
            <w:pPr>
              <w:ind w:left="540"/>
              <w:spacing w:after="0"/>
              <w:rPr>
                <w:sz w:val="20"/>
                <w:szCs w:val="20"/>
                <w:color w:val="auto"/>
              </w:rPr>
            </w:pPr>
            <w:r>
              <w:rPr>
                <w:rFonts w:ascii="Arial" w:cs="Arial" w:eastAsia="Arial" w:hAnsi="Arial"/>
                <w:sz w:val="18"/>
                <w:szCs w:val="18"/>
                <w:color w:val="auto"/>
              </w:rPr>
              <w:t>$2,600</w:t>
            </w:r>
          </w:p>
        </w:tc>
      </w:tr>
      <w:tr>
        <w:trPr>
          <w:trHeight w:val="689"/>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2.</w:t>
            </w:r>
          </w:p>
        </w:tc>
        <w:tc>
          <w:tcPr>
            <w:tcW w:w="4880" w:type="dxa"/>
            <w:vAlign w:val="bottom"/>
          </w:tcPr>
          <w:p>
            <w:pPr>
              <w:ind w:left="340"/>
              <w:spacing w:after="0"/>
              <w:rPr>
                <w:sz w:val="20"/>
                <w:szCs w:val="20"/>
                <w:color w:val="auto"/>
              </w:rPr>
            </w:pPr>
            <w:r>
              <w:rPr>
                <w:rFonts w:ascii="Arial" w:cs="Arial" w:eastAsia="Arial" w:hAnsi="Arial"/>
                <w:sz w:val="22"/>
                <w:szCs w:val="22"/>
                <w:color w:val="auto"/>
              </w:rPr>
              <w:t>Training Room Upgrades</w:t>
            </w:r>
          </w:p>
        </w:tc>
        <w:tc>
          <w:tcPr>
            <w:tcW w:w="1120" w:type="dxa"/>
            <w:vAlign w:val="bottom"/>
          </w:tcPr>
          <w:p>
            <w:pPr>
              <w:ind w:left="540"/>
              <w:spacing w:after="0"/>
              <w:rPr>
                <w:sz w:val="20"/>
                <w:szCs w:val="20"/>
                <w:color w:val="auto"/>
              </w:rPr>
            </w:pPr>
            <w:r>
              <w:rPr>
                <w:rFonts w:ascii="Arial" w:cs="Arial" w:eastAsia="Arial" w:hAnsi="Arial"/>
                <w:sz w:val="18"/>
                <w:szCs w:val="18"/>
                <w:color w:val="auto"/>
              </w:rPr>
              <w:t>$8,000</w:t>
            </w:r>
          </w:p>
        </w:tc>
      </w:tr>
      <w:tr>
        <w:trPr>
          <w:trHeight w:val="689"/>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3.</w:t>
            </w:r>
          </w:p>
        </w:tc>
        <w:tc>
          <w:tcPr>
            <w:tcW w:w="4880" w:type="dxa"/>
            <w:vAlign w:val="bottom"/>
          </w:tcPr>
          <w:p>
            <w:pPr>
              <w:ind w:left="340"/>
              <w:spacing w:after="0"/>
              <w:rPr>
                <w:sz w:val="20"/>
                <w:szCs w:val="20"/>
                <w:color w:val="auto"/>
              </w:rPr>
            </w:pPr>
            <w:r>
              <w:rPr>
                <w:rFonts w:ascii="Arial" w:cs="Arial" w:eastAsia="Arial" w:hAnsi="Arial"/>
                <w:sz w:val="22"/>
                <w:szCs w:val="22"/>
                <w:color w:val="auto"/>
              </w:rPr>
              <w:t>Fire alarm system boxes, conduit, &amp; cabling</w:t>
            </w: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$55,000</w:t>
            </w:r>
          </w:p>
        </w:tc>
      </w:tr>
    </w:tbl>
    <w:p>
      <w:pPr>
        <w:spacing w:after="0" w:line="90"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22"/>
          <w:szCs w:val="22"/>
          <w:i w:val="1"/>
          <w:iCs w:val="1"/>
          <w:color w:val="auto"/>
        </w:rPr>
      </w:pPr>
      <w:r>
        <w:rPr>
          <w:rFonts w:ascii="Arial" w:cs="Arial" w:eastAsia="Arial" w:hAnsi="Arial"/>
          <w:sz w:val="22"/>
          <w:szCs w:val="22"/>
          <w:color w:val="auto"/>
        </w:rPr>
        <w:t>Cleaning of the existing mini blinds on the exterior windows is NIC.</w:t>
      </w:r>
    </w:p>
    <w:p>
      <w:pPr>
        <w:spacing w:after="0" w:line="395" w:lineRule="exact"/>
        <w:rPr>
          <w:rFonts w:ascii="Arial" w:cs="Arial" w:eastAsia="Arial" w:hAnsi="Arial"/>
          <w:sz w:val="22"/>
          <w:szCs w:val="22"/>
          <w:i w:val="1"/>
          <w:iCs w:val="1"/>
          <w:color w:val="auto"/>
        </w:rPr>
      </w:pPr>
    </w:p>
    <w:p>
      <w:pPr>
        <w:ind w:left="220" w:hanging="212"/>
        <w:spacing w:after="0"/>
        <w:tabs>
          <w:tab w:leader="none" w:pos="220" w:val="left"/>
        </w:tabs>
        <w:numPr>
          <w:ilvl w:val="0"/>
          <w:numId w:val="40"/>
        </w:numPr>
        <w:rPr>
          <w:rFonts w:ascii="Arial" w:cs="Arial" w:eastAsia="Arial" w:hAnsi="Arial"/>
          <w:sz w:val="22"/>
          <w:szCs w:val="22"/>
          <w:color w:val="333333"/>
        </w:rPr>
      </w:pPr>
      <w:r>
        <w:rPr>
          <w:rFonts w:ascii="Arial" w:cs="Arial" w:eastAsia="Arial" w:hAnsi="Arial"/>
          <w:sz w:val="22"/>
          <w:szCs w:val="22"/>
          <w:color w:val="333333"/>
        </w:rPr>
        <w:t>Alternate #3; Fire alarm check, if required:Add $4,260.00</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333333"/>
        </w:rPr>
        <w:t>Respectfully Submitted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333333"/>
        </w:rPr>
        <w:t>VILA CONSTRUCTION COMPANY</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Robert P. Vila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591"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25"/>
          <w:szCs w:val="25"/>
          <w:b w:val="1"/>
          <w:bCs w:val="1"/>
          <w:u w:val="single" w:color="auto"/>
          <w:color w:val="auto"/>
        </w:rPr>
        <w:t>EXHIBIT 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LIST OF CHANGE ORDER REQUESTS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57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9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Vila Bld</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96"/>
        </w:trPr>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95"/>
              </w:rPr>
              <w:t>Letter</w:t>
            </w:r>
          </w:p>
        </w:tc>
        <w:tc>
          <w:tcPr>
            <w:tcW w:w="360" w:type="dxa"/>
            <w:vAlign w:val="bottom"/>
          </w:tcPr>
          <w:p>
            <w:pPr>
              <w:spacing w:after="0"/>
              <w:rPr>
                <w:sz w:val="17"/>
                <w:szCs w:val="17"/>
                <w:color w:val="auto"/>
              </w:rPr>
            </w:pPr>
          </w:p>
        </w:tc>
        <w:tc>
          <w:tcPr>
            <w:tcW w:w="1220" w:type="dxa"/>
            <w:vAlign w:val="bottom"/>
            <w:gridSpan w:val="3"/>
          </w:tcPr>
          <w:p>
            <w:pPr>
              <w:jc w:val="center"/>
              <w:ind w:left="90"/>
              <w:spacing w:after="0" w:line="196" w:lineRule="exact"/>
              <w:rPr>
                <w:sz w:val="20"/>
                <w:szCs w:val="20"/>
                <w:color w:val="auto"/>
              </w:rPr>
            </w:pPr>
            <w:r>
              <w:rPr>
                <w:rFonts w:ascii="Arial" w:cs="Arial" w:eastAsia="Arial" w:hAnsi="Arial"/>
                <w:sz w:val="18"/>
                <w:szCs w:val="18"/>
                <w:b w:val="1"/>
                <w:bCs w:val="1"/>
                <w:color w:val="auto"/>
                <w:w w:val="88"/>
              </w:rPr>
              <w:t>Accepted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6"/>
              </w:rPr>
              <w:t>Line #</w:t>
            </w:r>
          </w:p>
        </w:tc>
        <w:tc>
          <w:tcPr>
            <w:tcW w:w="4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CORs #</w:t>
            </w: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rPr>
              <w:t>Description</w:t>
            </w:r>
          </w:p>
        </w:tc>
        <w:tc>
          <w:tcPr>
            <w:tcW w:w="10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COR Cost</w:t>
            </w:r>
          </w:p>
        </w:tc>
        <w:tc>
          <w:tcPr>
            <w:tcW w:w="37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move sprinkler valves in lobby</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2,205.00</w:t>
            </w: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expose steel beam @ Stairs 3 and 4</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2,327.00</w:t>
            </w:r>
          </w:p>
        </w:tc>
        <w:tc>
          <w:tcPr>
            <w:tcW w:w="22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89"/>
              </w:rPr>
              <w:t>remove sheet rock from steel beam and paint steel</w:t>
            </w: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sheet rock over small windows at Stair #4</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7,326.00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Remove sheet rock from exterior columns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(7,743.00)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5"/>
              </w:rPr>
              <w:t>remove sheet rock from inter. Column @wnd</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floor stair #2</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145.00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21</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increase air flow at relocated board room</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700" w:type="dxa"/>
            <w:vAlign w:val="bottom"/>
          </w:tcPr>
          <w:p>
            <w:pPr>
              <w:ind w:left="80"/>
              <w:spacing w:after="0"/>
              <w:rPr>
                <w:sz w:val="20"/>
                <w:szCs w:val="20"/>
                <w:color w:val="auto"/>
              </w:rPr>
            </w:pPr>
            <w:r>
              <w:rPr>
                <w:rFonts w:ascii="Arial" w:cs="Arial" w:eastAsia="Arial" w:hAnsi="Arial"/>
                <w:sz w:val="18"/>
                <w:szCs w:val="18"/>
                <w:color w:val="auto"/>
              </w:rPr>
              <w:t>pending engineering</w:t>
            </w: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2"/>
              </w:rPr>
              <w:t>rotate sodering area and move against Row A</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700" w:type="dxa"/>
            <w:vAlign w:val="bottom"/>
          </w:tcPr>
          <w:p>
            <w:pPr>
              <w:ind w:left="80"/>
              <w:spacing w:after="0"/>
              <w:rPr>
                <w:sz w:val="20"/>
                <w:szCs w:val="20"/>
                <w:color w:val="auto"/>
              </w:rPr>
            </w:pPr>
            <w:r>
              <w:rPr>
                <w:rFonts w:ascii="Arial" w:cs="Arial" w:eastAsia="Arial" w:hAnsi="Arial"/>
                <w:sz w:val="18"/>
                <w:szCs w:val="18"/>
                <w:color w:val="auto"/>
              </w:rPr>
              <w:t>pending re-design</w:t>
            </w: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4"/>
              </w:rPr>
              <w:t>change wall at gridline C @ gridline 2-5 to full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23</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height wall</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3,972.00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Add 230V/50Hz outlet in Engineering</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Chambers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817.00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26</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Remove sheet rock from interior columns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(4,350.00)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3"/>
              </w:rPr>
              <w:t>This will delete new toilet partitions, replacement</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of plumbing fixtures and new tile work. ADA</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new toilet partitions and tile work</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w w:val="95"/>
              </w:rPr>
              <w:t>(134,519.00)</w:t>
            </w:r>
          </w:p>
        </w:tc>
        <w:tc>
          <w:tcPr>
            <w:tcW w:w="3700" w:type="dxa"/>
            <w:vAlign w:val="bottom"/>
          </w:tcPr>
          <w:p>
            <w:pPr>
              <w:ind w:left="80"/>
              <w:spacing w:after="0"/>
              <w:rPr>
                <w:sz w:val="20"/>
                <w:szCs w:val="20"/>
                <w:color w:val="auto"/>
              </w:rPr>
            </w:pPr>
            <w:r>
              <w:rPr>
                <w:rFonts w:ascii="Arial" w:cs="Arial" w:eastAsia="Arial" w:hAnsi="Arial"/>
                <w:sz w:val="18"/>
                <w:szCs w:val="18"/>
                <w:color w:val="auto"/>
              </w:rPr>
              <w:t>shower will remain</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1"/>
              </w:rPr>
              <w:t>this will delete the custom metal mesh ceiling and</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89"/>
              </w:rPr>
              <w:t>add metal mesh panels in t-bar grid; new means to</w:t>
            </w:r>
          </w:p>
        </w:tc>
      </w:tr>
      <w:tr>
        <w:trPr>
          <w:trHeight w:val="230"/>
        </w:trPr>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1"/>
              </w:rPr>
              <w:t>Delete steel mesh ceiling and install grid mesh</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(73,748.00)</w:t>
            </w:r>
          </w:p>
        </w:tc>
        <w:tc>
          <w:tcPr>
            <w:tcW w:w="3700" w:type="dxa"/>
            <w:vAlign w:val="bottom"/>
          </w:tcPr>
          <w:p>
            <w:pPr>
              <w:ind w:left="80"/>
              <w:spacing w:after="0"/>
              <w:rPr>
                <w:sz w:val="20"/>
                <w:szCs w:val="20"/>
                <w:color w:val="auto"/>
              </w:rPr>
            </w:pPr>
            <w:r>
              <w:rPr>
                <w:rFonts w:ascii="Arial" w:cs="Arial" w:eastAsia="Arial" w:hAnsi="Arial"/>
                <w:sz w:val="18"/>
                <w:szCs w:val="18"/>
                <w:color w:val="auto"/>
              </w:rPr>
              <w:t>support glass wall is required</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this changes the roof hatch door (1 only) to a</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manual operation in lieu of having an electric</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change roof hatch to manual</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(8,288.00)</w:t>
            </w:r>
          </w:p>
        </w:tc>
        <w:tc>
          <w:tcPr>
            <w:tcW w:w="2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motor and switch</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0"/>
              </w:rPr>
              <w:t>this will delete the precast concrete countertops at</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9"/>
              </w:rPr>
              <w:t>change precast concrete counters to p-lam</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(34,340.00)</w:t>
            </w:r>
          </w:p>
        </w:tc>
        <w:tc>
          <w:tcPr>
            <w:tcW w:w="3700" w:type="dxa"/>
            <w:vAlign w:val="bottom"/>
          </w:tcPr>
          <w:p>
            <w:pPr>
              <w:ind w:left="80"/>
              <w:spacing w:after="0"/>
              <w:rPr>
                <w:sz w:val="20"/>
                <w:szCs w:val="20"/>
                <w:color w:val="auto"/>
              </w:rPr>
            </w:pPr>
            <w:r>
              <w:rPr>
                <w:rFonts w:ascii="Arial" w:cs="Arial" w:eastAsia="Arial" w:hAnsi="Arial"/>
                <w:sz w:val="18"/>
                <w:szCs w:val="18"/>
                <w:color w:val="auto"/>
              </w:rPr>
              <w:t>restroom replace them with P-lam</w:t>
            </w:r>
          </w:p>
        </w:tc>
      </w:tr>
      <w:tr>
        <w:trPr>
          <w:trHeight w:val="567"/>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change door hardware to Dorma</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(18,813.00)</w:t>
            </w:r>
          </w:p>
        </w:tc>
        <w:tc>
          <w:tcPr>
            <w:tcW w:w="37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6"/>
              </w:rPr>
              <w:t>this will delete the decorative trim at sheet rock</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2"/>
              </w:rPr>
              <w:t>Delete fry reglet and use L metal at sheet rock</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(14,377.00)</w:t>
            </w:r>
          </w:p>
        </w:tc>
        <w:tc>
          <w:tcPr>
            <w:tcW w:w="3700" w:type="dxa"/>
            <w:vAlign w:val="bottom"/>
          </w:tcPr>
          <w:p>
            <w:pPr>
              <w:ind w:left="80"/>
              <w:spacing w:after="0"/>
              <w:rPr>
                <w:sz w:val="20"/>
                <w:szCs w:val="20"/>
                <w:color w:val="auto"/>
              </w:rPr>
            </w:pPr>
            <w:r>
              <w:rPr>
                <w:rFonts w:ascii="Arial" w:cs="Arial" w:eastAsia="Arial" w:hAnsi="Arial"/>
                <w:sz w:val="18"/>
                <w:szCs w:val="18"/>
                <w:color w:val="auto"/>
              </w:rPr>
              <w:t>locations</w:t>
            </w:r>
          </w:p>
        </w:tc>
      </w:tr>
      <w:tr>
        <w:trPr>
          <w:trHeight w:val="567"/>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steel canopy at Entry</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(69,522.00)</w:t>
            </w:r>
          </w:p>
        </w:tc>
        <w:tc>
          <w:tcPr>
            <w:tcW w:w="37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drywall trim detail at steel bin and</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this will delete work shown on Axia SK-1 at</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metal kickers at exterior walls;run</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(35,770.00)</w:t>
            </w:r>
          </w:p>
        </w:tc>
        <w:tc>
          <w:tcPr>
            <w:tcW w:w="3700" w:type="dxa"/>
            <w:vAlign w:val="bottom"/>
          </w:tcPr>
          <w:p>
            <w:pPr>
              <w:ind w:left="80"/>
              <w:spacing w:after="0"/>
              <w:rPr>
                <w:sz w:val="20"/>
                <w:szCs w:val="20"/>
                <w:color w:val="auto"/>
              </w:rPr>
            </w:pPr>
            <w:r>
              <w:rPr>
                <w:rFonts w:ascii="Arial" w:cs="Arial" w:eastAsia="Arial" w:hAnsi="Arial"/>
                <w:sz w:val="18"/>
                <w:szCs w:val="18"/>
                <w:color w:val="auto"/>
              </w:rPr>
              <w:t>perimeter walls</w:t>
            </w:r>
          </w:p>
        </w:tc>
      </w:tr>
    </w:tbl>
    <w:p>
      <w:pPr>
        <w:spacing w:after="0" w:line="4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drywall straight up wall behind beam</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540" w:top="1026" w:right="8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auto"/>
                <w:w w:val="98"/>
              </w:rPr>
              <w:t>Paint corridor walls above metal ceiling and</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8"/>
              </w:rPr>
              <w:t>this will eliminate patching of fire caulking and</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51</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44</w:t>
            </w:r>
          </w:p>
        </w:tc>
        <w:tc>
          <w:tcPr>
            <w:tcW w:w="3480" w:type="dxa"/>
            <w:vAlign w:val="bottom"/>
          </w:tcPr>
          <w:p>
            <w:pPr>
              <w:ind w:left="60"/>
              <w:spacing w:after="0"/>
              <w:rPr>
                <w:sz w:val="20"/>
                <w:szCs w:val="20"/>
                <w:color w:val="auto"/>
              </w:rPr>
            </w:pPr>
            <w:r>
              <w:rPr>
                <w:rFonts w:ascii="Arial" w:cs="Arial" w:eastAsia="Arial" w:hAnsi="Arial"/>
                <w:sz w:val="18"/>
                <w:szCs w:val="18"/>
                <w:color w:val="auto"/>
              </w:rPr>
              <w:t>eliminate patching of corridor walls</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(2,455.00)</w:t>
            </w:r>
          </w:p>
        </w:tc>
        <w:tc>
          <w:tcPr>
            <w:tcW w:w="3660" w:type="dxa"/>
            <w:vAlign w:val="bottom"/>
          </w:tcPr>
          <w:p>
            <w:pPr>
              <w:ind w:left="40"/>
              <w:spacing w:after="0"/>
              <w:rPr>
                <w:sz w:val="20"/>
                <w:szCs w:val="20"/>
                <w:color w:val="auto"/>
              </w:rPr>
            </w:pPr>
            <w:r>
              <w:rPr>
                <w:rFonts w:ascii="Arial" w:cs="Arial" w:eastAsia="Arial" w:hAnsi="Arial"/>
                <w:sz w:val="18"/>
                <w:szCs w:val="18"/>
                <w:color w:val="auto"/>
              </w:rPr>
              <w:t>penetrators</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this will change the motorized shades at the</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52</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45</w:t>
            </w:r>
          </w:p>
        </w:tc>
        <w:tc>
          <w:tcPr>
            <w:tcW w:w="3480" w:type="dxa"/>
            <w:vAlign w:val="bottom"/>
          </w:tcPr>
          <w:p>
            <w:pPr>
              <w:ind w:left="60"/>
              <w:spacing w:after="0"/>
              <w:rPr>
                <w:sz w:val="20"/>
                <w:szCs w:val="20"/>
                <w:color w:val="auto"/>
              </w:rPr>
            </w:pPr>
            <w:r>
              <w:rPr>
                <w:rFonts w:ascii="Arial" w:cs="Arial" w:eastAsia="Arial" w:hAnsi="Arial"/>
                <w:sz w:val="18"/>
                <w:szCs w:val="18"/>
                <w:color w:val="auto"/>
              </w:rPr>
              <w:t>change motorized shades to manual</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(5,242.00)</w:t>
            </w:r>
          </w:p>
        </w:tc>
        <w:tc>
          <w:tcPr>
            <w:tcW w:w="3660" w:type="dxa"/>
            <w:vAlign w:val="bottom"/>
          </w:tcPr>
          <w:p>
            <w:pPr>
              <w:ind w:left="40"/>
              <w:spacing w:after="0"/>
              <w:rPr>
                <w:sz w:val="20"/>
                <w:szCs w:val="20"/>
                <w:color w:val="auto"/>
              </w:rPr>
            </w:pPr>
            <w:r>
              <w:rPr>
                <w:rFonts w:ascii="Arial" w:cs="Arial" w:eastAsia="Arial" w:hAnsi="Arial"/>
                <w:sz w:val="18"/>
                <w:szCs w:val="18"/>
                <w:color w:val="auto"/>
              </w:rPr>
              <w:t>Training room to manually operated</w:t>
            </w:r>
          </w:p>
        </w:tc>
        <w:tc>
          <w:tcPr>
            <w:tcW w:w="0" w:type="dxa"/>
            <w:vAlign w:val="bottom"/>
          </w:tcPr>
          <w:p>
            <w:pPr>
              <w:spacing w:after="0"/>
              <w:rPr>
                <w:sz w:val="1"/>
                <w:szCs w:val="1"/>
                <w:color w:val="auto"/>
              </w:rPr>
            </w:pPr>
          </w:p>
        </w:tc>
      </w:tr>
      <w:tr>
        <w:trPr>
          <w:trHeight w:val="567"/>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53</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48</w:t>
            </w:r>
          </w:p>
        </w:tc>
        <w:tc>
          <w:tcPr>
            <w:tcW w:w="3480" w:type="dxa"/>
            <w:vAlign w:val="bottom"/>
          </w:tcPr>
          <w:p>
            <w:pPr>
              <w:ind w:left="60"/>
              <w:spacing w:after="0"/>
              <w:rPr>
                <w:sz w:val="20"/>
                <w:szCs w:val="20"/>
                <w:color w:val="auto"/>
              </w:rPr>
            </w:pPr>
            <w:r>
              <w:rPr>
                <w:rFonts w:ascii="Arial" w:cs="Arial" w:eastAsia="Arial" w:hAnsi="Arial"/>
                <w:sz w:val="18"/>
                <w:szCs w:val="18"/>
                <w:color w:val="auto"/>
                <w:w w:val="98"/>
              </w:rPr>
              <w:t>delete 1 roof latch and ships ladder at 1400</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(25,246.00)</w:t>
            </w:r>
          </w:p>
        </w:tc>
        <w:tc>
          <w:tcPr>
            <w:tcW w:w="3660" w:type="dxa"/>
            <w:vAlign w:val="bottom"/>
          </w:tcPr>
          <w:p>
            <w:pPr>
              <w:ind w:left="40"/>
              <w:spacing w:after="0"/>
              <w:rPr>
                <w:sz w:val="20"/>
                <w:szCs w:val="20"/>
                <w:color w:val="auto"/>
              </w:rPr>
            </w:pPr>
            <w:r>
              <w:rPr>
                <w:rFonts w:ascii="Arial" w:cs="Arial" w:eastAsia="Arial" w:hAnsi="Arial"/>
                <w:sz w:val="18"/>
                <w:szCs w:val="18"/>
                <w:color w:val="auto"/>
              </w:rPr>
              <w:t>this will delete roof access at 1400</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1"/>
              </w:rPr>
              <w:t>deducted $12,100 from the electric line item (both</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53</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59</w:t>
            </w:r>
          </w:p>
        </w:tc>
        <w:tc>
          <w:tcPr>
            <w:tcW w:w="3480" w:type="dxa"/>
            <w:vAlign w:val="bottom"/>
          </w:tcPr>
          <w:p>
            <w:pPr>
              <w:ind w:left="60"/>
              <w:spacing w:after="0"/>
              <w:rPr>
                <w:sz w:val="20"/>
                <w:szCs w:val="20"/>
                <w:color w:val="auto"/>
              </w:rPr>
            </w:pPr>
            <w:r>
              <w:rPr>
                <w:rFonts w:ascii="Arial" w:cs="Arial" w:eastAsia="Arial" w:hAnsi="Arial"/>
                <w:sz w:val="18"/>
                <w:szCs w:val="18"/>
                <w:color w:val="auto"/>
              </w:rPr>
              <w:t>cable tray</w:t>
            </w:r>
          </w:p>
        </w:tc>
        <w:tc>
          <w:tcPr>
            <w:tcW w:w="4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n/a</w:t>
            </w:r>
          </w:p>
        </w:tc>
        <w:tc>
          <w:tcPr>
            <w:tcW w:w="3660" w:type="dxa"/>
            <w:vAlign w:val="bottom"/>
          </w:tcPr>
          <w:p>
            <w:pPr>
              <w:ind w:left="40"/>
              <w:spacing w:after="0"/>
              <w:rPr>
                <w:sz w:val="20"/>
                <w:szCs w:val="20"/>
                <w:color w:val="auto"/>
              </w:rPr>
            </w:pPr>
            <w:r>
              <w:rPr>
                <w:rFonts w:ascii="Arial" w:cs="Arial" w:eastAsia="Arial" w:hAnsi="Arial"/>
                <w:sz w:val="18"/>
                <w:szCs w:val="18"/>
                <w:color w:val="auto"/>
              </w:rPr>
              <w:t>bldgs)</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62</w:t>
            </w:r>
          </w:p>
        </w:tc>
        <w:tc>
          <w:tcPr>
            <w:tcW w:w="3480" w:type="dxa"/>
            <w:vAlign w:val="bottom"/>
          </w:tcPr>
          <w:p>
            <w:pPr>
              <w:ind w:left="60"/>
              <w:spacing w:after="0"/>
              <w:rPr>
                <w:sz w:val="20"/>
                <w:szCs w:val="20"/>
                <w:color w:val="auto"/>
              </w:rPr>
            </w:pPr>
            <w:r>
              <w:rPr>
                <w:rFonts w:ascii="Arial" w:cs="Arial" w:eastAsia="Arial" w:hAnsi="Arial"/>
                <w:sz w:val="18"/>
                <w:szCs w:val="18"/>
                <w:color w:val="auto"/>
                <w:w w:val="94"/>
              </w:rPr>
              <w:t>change the fire alarm scope to code minimus</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(43,766.00)</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color w:val="auto"/>
              </w:rPr>
              <w:t>4,000.00</w:t>
            </w:r>
          </w:p>
        </w:tc>
        <w:tc>
          <w:tcPr>
            <w:tcW w:w="3660" w:type="dxa"/>
            <w:vAlign w:val="bottom"/>
          </w:tcPr>
          <w:p>
            <w:pPr>
              <w:ind w:left="40"/>
              <w:spacing w:after="0"/>
              <w:rPr>
                <w:sz w:val="20"/>
                <w:szCs w:val="20"/>
                <w:color w:val="auto"/>
              </w:rPr>
            </w:pPr>
            <w:r>
              <w:rPr>
                <w:rFonts w:ascii="Arial" w:cs="Arial" w:eastAsia="Arial" w:hAnsi="Arial"/>
                <w:sz w:val="18"/>
                <w:szCs w:val="18"/>
                <w:color w:val="auto"/>
                <w:w w:val="95"/>
              </w:rPr>
              <w:t>Allowance; add structural steel to roof for chiller</w:t>
            </w:r>
          </w:p>
        </w:tc>
        <w:tc>
          <w:tcPr>
            <w:tcW w:w="0" w:type="dxa"/>
            <w:vAlign w:val="bottom"/>
          </w:tcPr>
          <w:p>
            <w:pPr>
              <w:spacing w:after="0"/>
              <w:rPr>
                <w:sz w:val="1"/>
                <w:szCs w:val="1"/>
                <w:color w:val="auto"/>
              </w:rPr>
            </w:pPr>
          </w:p>
        </w:tc>
      </w:tr>
      <w:tr>
        <w:trPr>
          <w:trHeight w:val="256"/>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54</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63</w:t>
            </w:r>
          </w:p>
        </w:tc>
        <w:tc>
          <w:tcPr>
            <w:tcW w:w="3480" w:type="dxa"/>
            <w:vAlign w:val="bottom"/>
          </w:tcPr>
          <w:p>
            <w:pPr>
              <w:ind w:left="60"/>
              <w:spacing w:after="0"/>
              <w:rPr>
                <w:sz w:val="20"/>
                <w:szCs w:val="20"/>
                <w:color w:val="auto"/>
              </w:rPr>
            </w:pPr>
            <w:r>
              <w:rPr>
                <w:rFonts w:ascii="Arial" w:cs="Arial" w:eastAsia="Arial" w:hAnsi="Arial"/>
                <w:sz w:val="18"/>
                <w:szCs w:val="18"/>
                <w:color w:val="auto"/>
              </w:rPr>
              <w:t>Add structural steel to roof for chiller</w:t>
            </w:r>
          </w:p>
        </w:tc>
        <w:tc>
          <w:tcPr>
            <w:tcW w:w="1080" w:type="dxa"/>
            <w:vAlign w:val="bottom"/>
            <w:tcBorders>
              <w:bottom w:val="single" w:sz="8" w:color="auto"/>
            </w:tcBorders>
            <w:gridSpan w:val="3"/>
            <w:vMerge w:val="continue"/>
          </w:tcPr>
          <w:p>
            <w:pPr>
              <w:spacing w:after="0"/>
              <w:rPr>
                <w:sz w:val="21"/>
                <w:szCs w:val="21"/>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paint</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88"/>
              </w:rPr>
              <w:t>Sub Total</w:t>
            </w:r>
          </w:p>
        </w:tc>
        <w:tc>
          <w:tcPr>
            <w:tcW w:w="3480" w:type="dxa"/>
            <w:vAlign w:val="bottom"/>
          </w:tcPr>
          <w:p>
            <w:pPr>
              <w:spacing w:after="0"/>
              <w:rPr>
                <w:sz w:val="21"/>
                <w:szCs w:val="21"/>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9"/>
              </w:rPr>
              <w:t>(457,387.00)</w:t>
            </w: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8"/>
              </w:rPr>
              <w:t>OH &amp; P</w:t>
            </w:r>
          </w:p>
        </w:tc>
        <w:tc>
          <w:tcPr>
            <w:tcW w:w="3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included</w:t>
            </w:r>
          </w:p>
        </w:tc>
        <w:tc>
          <w:tcPr>
            <w:tcW w:w="4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6"/>
              </w:rPr>
              <w:t>TOTAL COR’s</w:t>
            </w:r>
          </w:p>
        </w:tc>
        <w:tc>
          <w:tcPr>
            <w:tcW w:w="34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0"/>
              </w:rPr>
              <w:t>$(457,387.00)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30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760" w:top="1043" w:right="839" w:bottom="1440" w:gutter="0" w:footer="0" w:header="0"/>
        </w:sectPr>
      </w:pPr>
    </w:p>
    <w:bookmarkStart w:id="98" w:name="page99"/>
    <w:bookmarkEnd w:id="98"/>
    <w:p>
      <w:pPr>
        <w:jc w:val="center"/>
        <w:ind w:right="-179"/>
        <w:spacing w:after="0"/>
        <w:rPr>
          <w:sz w:val="20"/>
          <w:szCs w:val="20"/>
          <w:color w:val="auto"/>
        </w:rPr>
      </w:pPr>
      <w:r>
        <w:rPr>
          <w:rFonts w:ascii="Arial" w:cs="Arial" w:eastAsia="Arial" w:hAnsi="Arial"/>
          <w:sz w:val="25"/>
          <w:szCs w:val="25"/>
          <w:b w:val="1"/>
          <w:bCs w:val="1"/>
          <w:u w:val="single" w:color="auto"/>
          <w:color w:val="auto"/>
        </w:rPr>
        <w:t>EXHIBIT D</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Rent and CAM</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Labs on Ground Floor - 162 day delay/2=81 days</w:t>
      </w:r>
    </w:p>
    <w:p>
      <w:pPr>
        <w:sectPr>
          <w:pgSz w:w="11900" w:h="16838" w:orient="portrait"/>
          <w:cols w:equalWidth="0" w:num="1">
            <w:col w:w="11260"/>
          </w:cols>
          <w:pgMar w:left="240" w:top="57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Bldg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Sq. 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0"/>
        <w:spacing w:after="0"/>
        <w:rPr>
          <w:sz w:val="20"/>
          <w:szCs w:val="20"/>
          <w:color w:val="auto"/>
        </w:rPr>
      </w:pPr>
      <w:r>
        <w:rPr>
          <w:rFonts w:ascii="Arial" w:cs="Arial" w:eastAsia="Arial" w:hAnsi="Arial"/>
          <w:sz w:val="15"/>
          <w:szCs w:val="15"/>
          <w:b w:val="1"/>
          <w:bCs w:val="1"/>
          <w:color w:val="auto"/>
        </w:rPr>
        <w:t>Base 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Rent + Cam per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40"/>
        <w:spacing w:after="0" w:line="347" w:lineRule="auto"/>
        <w:rPr>
          <w:sz w:val="20"/>
          <w:szCs w:val="20"/>
          <w:color w:val="auto"/>
        </w:rPr>
      </w:pPr>
      <w:r>
        <w:rPr>
          <w:rFonts w:ascii="Arial" w:cs="Arial" w:eastAsia="Arial" w:hAnsi="Arial"/>
          <w:sz w:val="16"/>
          <w:szCs w:val="16"/>
          <w:b w:val="1"/>
          <w:bCs w:val="1"/>
          <w:color w:val="auto"/>
        </w:rPr>
        <w:t>Office Base Rent and CAM Owed Now</w:t>
      </w:r>
    </w:p>
    <w:p>
      <w:pPr>
        <w:spacing w:after="0" w:line="200" w:lineRule="exact"/>
        <w:rPr>
          <w:sz w:val="20"/>
          <w:szCs w:val="20"/>
          <w:color w:val="auto"/>
        </w:rPr>
      </w:pPr>
    </w:p>
    <w:p>
      <w:pPr>
        <w:sectPr>
          <w:pgSz w:w="11900" w:h="16838" w:orient="portrait"/>
          <w:cols w:equalWidth="0" w:num="6">
            <w:col w:w="1760" w:space="720"/>
            <w:col w:w="1020" w:space="720"/>
            <w:col w:w="1380" w:space="720"/>
            <w:col w:w="640" w:space="720"/>
            <w:col w:w="1580" w:space="320"/>
            <w:col w:w="1680"/>
          </w:cols>
          <w:pgMar w:left="240" w:top="576" w:right="399" w:bottom="1440" w:gutter="0" w:footer="0" w:header="0"/>
          <w:type w:val="continuous"/>
        </w:sectPr>
      </w:pPr>
    </w:p>
    <w:p>
      <w:pPr>
        <w:spacing w:after="0" w:line="7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1,400</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24,000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1.10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0.28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1,088.88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88,199.01</w:t>
      </w:r>
    </w:p>
    <w:p>
      <w:pPr>
        <w:spacing w:after="0" w:line="211" w:lineRule="exact"/>
        <w:rPr>
          <w:sz w:val="20"/>
          <w:szCs w:val="20"/>
          <w:color w:val="auto"/>
        </w:rPr>
      </w:pPr>
    </w:p>
    <w:p>
      <w:pPr>
        <w:sectPr>
          <w:pgSz w:w="11900" w:h="16838" w:orient="portrait"/>
          <w:cols w:equalWidth="0" w:num="6">
            <w:col w:w="2320" w:space="720"/>
            <w:col w:w="1380" w:space="720"/>
            <w:col w:w="1220" w:space="720"/>
            <w:col w:w="900" w:space="720"/>
            <w:col w:w="1120" w:space="720"/>
            <w:col w:w="720"/>
          </w:cols>
          <w:pgMar w:left="240" w:top="576" w:right="399" w:bottom="1440" w:gutter="0" w:footer="0" w:header="0"/>
          <w:type w:val="continuous"/>
        </w:sectPr>
      </w:pPr>
    </w:p>
    <w:p>
      <w:pPr>
        <w:spacing w:after="0" w:line="199"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Total Rent and CAM Owed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88,199.01</w:t>
      </w:r>
    </w:p>
    <w:p>
      <w:pPr>
        <w:spacing w:after="0" w:line="211" w:lineRule="exact"/>
        <w:rPr>
          <w:sz w:val="20"/>
          <w:szCs w:val="20"/>
          <w:color w:val="auto"/>
        </w:rPr>
      </w:pPr>
    </w:p>
    <w:p>
      <w:pPr>
        <w:sectPr>
          <w:pgSz w:w="11900" w:h="16838" w:orient="portrait"/>
          <w:cols w:equalWidth="0" w:num="3">
            <w:col w:w="8740" w:space="720"/>
            <w:col w:w="360" w:space="720"/>
            <w:col w:w="720"/>
          </w:cols>
          <w:pgMar w:left="240" w:top="576" w:right="399" w:bottom="1440" w:gutter="0" w:footer="0" w:header="0"/>
          <w:type w:val="continuous"/>
        </w:sect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576" w:right="39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044"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10.09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 N. McDowell Blvd.)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THIS SECOND AMENDMENT TO LEASE </w:t>
      </w:r>
      <w:r>
        <w:rPr>
          <w:rFonts w:ascii="Arial" w:cs="Arial" w:eastAsia="Arial" w:hAnsi="Arial"/>
          <w:sz w:val="18"/>
          <w:szCs w:val="18"/>
          <w:color w:val="auto"/>
        </w:rPr>
        <w:t>(this “Amendment”) dated January 13, 2014, is entered into between SEQUOIA CENTER LLC, 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limited liability company (“Landlord”) and ENPHASE ENERGY, INC., a Delaware corporation (“Tenant”).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THE PARTIES ENTER INTO THIS AMENDMENT </w:t>
      </w:r>
      <w:r>
        <w:rPr>
          <w:rFonts w:ascii="Arial" w:cs="Arial" w:eastAsia="Arial" w:hAnsi="Arial"/>
          <w:sz w:val="18"/>
          <w:szCs w:val="18"/>
          <w:color w:val="auto"/>
        </w:rPr>
        <w:t>based upon the following facts, understandings and intentions:</w:t>
      </w:r>
    </w:p>
    <w:p>
      <w:pPr>
        <w:spacing w:after="0" w:line="256" w:lineRule="exact"/>
        <w:rPr>
          <w:sz w:val="20"/>
          <w:szCs w:val="20"/>
          <w:color w:val="auto"/>
        </w:rPr>
      </w:pPr>
    </w:p>
    <w:p>
      <w:pPr>
        <w:ind w:right="220" w:firstLine="656"/>
        <w:spacing w:after="0" w:line="306"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Landlord and Tenant previously entered into that certain Redwood Business Park NNN Lease dated as of June 3, 2011 and that certain First Amendment to Lease dated as of June 12, 2012 (collectively, the “Lease”) pursuant to which Tenant leases from Landlord 24,000 rentable square feet of space in the building commonly known as 1400 N. McDowell Boulevard, Petaluma, California. Capitalized terms used herein and not defined herein shall have the meanings set forth in the Lease in connection therewith.</w:t>
      </w:r>
    </w:p>
    <w:p>
      <w:pPr>
        <w:spacing w:after="0" w:line="159" w:lineRule="exact"/>
        <w:rPr>
          <w:rFonts w:ascii="Arial" w:cs="Arial" w:eastAsia="Arial" w:hAnsi="Arial"/>
          <w:sz w:val="18"/>
          <w:szCs w:val="18"/>
          <w:color w:val="auto"/>
        </w:rPr>
      </w:pPr>
    </w:p>
    <w:p>
      <w:pPr>
        <w:ind w:left="1000" w:hanging="344"/>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Landlord and Tenant desire to amend the Lease as provided herein.</w:t>
      </w:r>
    </w:p>
    <w:p>
      <w:pPr>
        <w:spacing w:after="0" w:line="22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promises of the parties,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89" w:lineRule="exact"/>
        <w:rPr>
          <w:sz w:val="20"/>
          <w:szCs w:val="20"/>
          <w:color w:val="auto"/>
        </w:rPr>
      </w:pPr>
    </w:p>
    <w:p>
      <w:pPr>
        <w:ind w:right="200" w:firstLine="656"/>
        <w:spacing w:after="0" w:line="356" w:lineRule="auto"/>
        <w:tabs>
          <w:tab w:leader="none" w:pos="110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Storage Space</w:t>
      </w:r>
      <w:r>
        <w:rPr>
          <w:rFonts w:ascii="Arial" w:cs="Arial" w:eastAsia="Arial" w:hAnsi="Arial"/>
          <w:sz w:val="16"/>
          <w:szCs w:val="16"/>
          <w:color w:val="auto"/>
        </w:rPr>
        <w:t>. Landlord hereby grants to Tenant a revocable license (the “Storage License”) to use the storage space located on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floor of the Building depicted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“Storage Space”). Tenant’s use of the Storage Space shall be limited solely to the storage of Tenant’s belongings, and Landlord shall not be required to provide utility, HVAC or janitorial service to the Storage Space. Except as provided in this Amendment, Tenant’s use of the Storage Space shall be subject to the terms and conditions of the Lease as if the Storage Space were a part of the Premises.</w:t>
      </w:r>
    </w:p>
    <w:p>
      <w:pPr>
        <w:spacing w:after="0" w:line="123" w:lineRule="exact"/>
        <w:rPr>
          <w:rFonts w:ascii="Arial" w:cs="Arial" w:eastAsia="Arial" w:hAnsi="Arial"/>
          <w:sz w:val="16"/>
          <w:szCs w:val="16"/>
          <w:b w:val="1"/>
          <w:bCs w:val="1"/>
          <w:color w:val="auto"/>
        </w:rPr>
      </w:pPr>
    </w:p>
    <w:p>
      <w:pPr>
        <w:ind w:right="80" w:firstLine="656"/>
        <w:spacing w:after="0" w:line="295" w:lineRule="auto"/>
        <w:tabs>
          <w:tab w:leader="none" w:pos="963"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Antennae License</w:t>
      </w:r>
      <w:r>
        <w:rPr>
          <w:rFonts w:ascii="Arial" w:cs="Arial" w:eastAsia="Arial" w:hAnsi="Arial"/>
          <w:sz w:val="16"/>
          <w:szCs w:val="16"/>
          <w:color w:val="auto"/>
        </w:rPr>
        <w:t>. Landlord hereby grants to Tenant a revocable license (the “Antennae License”) (but only to the extent permitted by the City</w:t>
      </w:r>
      <w:r>
        <w:rPr>
          <w:rFonts w:ascii="Arial" w:cs="Arial" w:eastAsia="Arial" w:hAnsi="Arial"/>
          <w:sz w:val="16"/>
          <w:szCs w:val="16"/>
          <w:b w:val="1"/>
          <w:bCs w:val="1"/>
          <w:color w:val="auto"/>
        </w:rPr>
        <w:t xml:space="preserve"> </w:t>
      </w:r>
      <w:r>
        <w:rPr>
          <w:rFonts w:ascii="Arial" w:cs="Arial" w:eastAsia="Arial" w:hAnsi="Arial"/>
          <w:sz w:val="16"/>
          <w:szCs w:val="16"/>
          <w:color w:val="auto"/>
        </w:rPr>
        <w:t>of Petaluma and all agencies and governmental authorities having jurisdiction thereof), at Tenant’s sole cost and expense, to install and operate two (2) antennas (“Antennas”) along with any necessary cables (“Cables”) on a portion of the roof of the Building to be designated by Landlord (“Roof Space”) (the Antennas and Cables are hereinafter collectively referred to as the “Antenna Equipment”) solely for Tenant’s internal, administrative purposes in the Project, and Tenant shall not use the Antenna Equipment for the provision of data transmission or telecommunications services to any third party or as a part of a telecommunications network that is used to provide data transmission or telecommunications services to any third party. Tenant shall not re-sell or lease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10.09</w:t>
      </w:r>
    </w:p>
    <w:p>
      <w:pPr>
        <w:spacing w:after="0" w:line="200" w:lineRule="exact"/>
        <w:rPr>
          <w:sz w:val="20"/>
          <w:szCs w:val="20"/>
          <w:color w:val="auto"/>
        </w:rPr>
      </w:pPr>
    </w:p>
    <w:p>
      <w:pPr>
        <w:spacing w:after="0" w:line="27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communications capacity of the Antenna Equipment to any provider of data transmission or telecommunications services, nor shall Tenant co-locate any additional telecommunications facilities or capacity within the Roof Space. The precise location, size and configuration of the Antenna Equipment shall (a) be subject to Landlord’s prior written approval, not to be unreasonably withheld and (b) promote the safety, aesthetics and efficiency of the Antenna Equipment; provided, all of the Antenna Equipment and any maintenance or modifications thereto or placement thereof and all utilities used in connection therewith shall be at Tenant’s sole cost and expense, contained visually within a roof screen, installed and operated to Landlord’s reasonable specifications, and installed, maintained, operated and removed in accordance with the terms of the Lease, all applicable federal, state and local laws, regulations, ordinances, rules, orders, and requirements (collectively, “Laws”), any and all documents, easements, covenants, conditions and restrictions, and similar instruments, together with any and all amendments and supplements thereto made from time to time, each of which has been or hereafter is recorded in any official or public records with respect to the Building or any other portion of the Project (collectively, the “Recorded Matters”), and the prior rights of any other Tenant, Tenant or occupant in the Project. In no event shall Tenant puncture the roof membrane, impair the integrity of the roof system or invalidate any warranty related to the roof of the Building when installing, maintaining, repairing, modifying, operating or taking any other action with respect to the Antenna Equipment or Roof Space. Tenant shall, at its sole cost and expense, obtain all licenses and permits necessary to install and operate the Antenna Equipment within the Roof Space prior to performing any work related to the Antenna Equipment or Roof Space. Landlord shall cooperate reasonably with Tenant to modify the roof screen placement (subject to all applicable Laws, Recorded Matters and the prior rights of any other Tenant, Tenant or other occupant of the Project) if required for signal quality, reconfiguration due to the installation of any HVAC systems and other reasonable considerations; provided, the cost of all such modifications shall be the sole and exclusive responsibility of Tenant. All modifications to the Building, including the Roof Space, if any, shall be reasonably approved by Landlord in writing prior to commencement of any work or maintenance with respect to the Antenna Equipment. Tenant shall be solely responsible to pay for all utilities, including without limitation electricity, used in connection with the Antenna Equipment and Roof Space. The Antenna Equipment shall remain the property of Tenant and Tenant shall remove the Antenna Equipment upon the expiration or earlier termination of the Lease. Tenant shall restore the Roof Space and any other portion of the Building affected by the Antenna Equipment to its original condition upon the removal of the Antenna Equipment, excepting ordinary wear and tear. Tenant shall promptly repair any damage to the Building caused by Tenant or the use, operation, installation, repair, maintenance, alteration or removal of the Antenna Equipment. Tenant may not assign, lease, rent, sublet or otherwise transfer any of its interest in the Roof Space or the Antenna Equipment. The Antenna Equipment shall comply with all-non-interference rules of the Federal Communications Commission. If applicable, Tenant shall provide to Landlord a copy of (x) the Federal Communications Commission (or other agency) grant which has awarded frequencies to Tenant and (y) a list of Tenant’s frequencies. Anything to the contrary contained herein notwithstanding, if, during the Term, as such Term may be extended, Landlord, in its reasonable judgment,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10.09</w:t>
      </w:r>
    </w:p>
    <w:p>
      <w:pPr>
        <w:spacing w:after="0" w:line="200" w:lineRule="exact"/>
        <w:rPr>
          <w:sz w:val="20"/>
          <w:szCs w:val="20"/>
          <w:color w:val="auto"/>
        </w:rPr>
      </w:pPr>
    </w:p>
    <w:p>
      <w:pPr>
        <w:spacing w:after="0" w:line="2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believes that the Antenna Equipment poses a human health or environmental hazard that cannot be remediated or has not been remediated within ten (10) days after Tenant has been notified thereof, then Tenant shall immediately cease all operation of the Antenna Equipment and Tenant shall remove all of the Antenna Equipment within thirty (30) days thereafter. To the best of Tenant’s knowledge, Tenant represents to Landlord that the Antenna Equipment shall not emit any electro-magnetic fields which pose a human health or environmental hazard. Tenant shall not use the Antenna Equipment, the Roof Space or any other portion of the Project in any way which interferes with the use of the Project by Landlord, or other Tenants or Tenants of Landlord or any other occupant of the Building or Project. Such interference shall be deemed a material breach by the Tenant under the Lease, and Tenant shall, within five (5) days of written notice from Landlord, be responsible for terminating said interference. In the event any such interference does not cease within five (5) days of Landlord’s written notice, Tenant acknowledges that continuing interference may cause irreparable injury and, Tenant shall immediately cease all operation of the Antenna Equipment and Tenant shall remove all of the Antenna Equipment within thirty (30) days thereafter. In addition, Tenant shall be responsible for insuring the Antenna Equipment and Landlord shall have no responsibility therefor. Tenant shall indemnify, defend (by counsel reasonably acceptable to Landlord) and hold harmless Landlord and Landlord’s officers, directors, partners, employees, joint venturers, members, trustees, owners, shareholders, principals, agents, representatives successors and assigns (collectively, “Landlord’s Parties”) from any and all claims, demands, liabilities, damages, judgments, costs and expenses (including reasonable attorneys’ fees) any of such Landlord’s Parties may suffer or incur arising out of or related to the installation, use, operation, maintenance, modification, replacement and/or removal of the Antenna Equipment or any portion thereof.</w:t>
      </w:r>
    </w:p>
    <w:p>
      <w:pPr>
        <w:spacing w:after="0" w:line="168" w:lineRule="exact"/>
        <w:rPr>
          <w:sz w:val="20"/>
          <w:szCs w:val="20"/>
          <w:color w:val="auto"/>
        </w:rPr>
      </w:pPr>
    </w:p>
    <w:p>
      <w:pPr>
        <w:jc w:val="both"/>
        <w:ind w:right="80" w:firstLine="656"/>
        <w:spacing w:after="0" w:line="261" w:lineRule="auto"/>
        <w:tabs>
          <w:tab w:leader="none" w:pos="96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Fees; Duration of Licenses</w:t>
      </w:r>
      <w:r>
        <w:rPr>
          <w:rFonts w:ascii="Arial" w:cs="Arial" w:eastAsia="Arial" w:hAnsi="Arial"/>
          <w:sz w:val="18"/>
          <w:szCs w:val="18"/>
          <w:color w:val="auto"/>
        </w:rPr>
        <w:t>. Tenant shall to pay to Landlord three hundred fifty dollars ($350.00) per month for the Antennae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and one thousand two hundred dollars ($1,200.00) per month for the Storage License. No additional fees shall apply, and Tenant’s Building Percentage Share shall not increase as a result of the Antennae License or the Storage License. Either party may terminate the Antennae License or the Storage License upon fifteen (15) days prior written notice to the other party.</w:t>
      </w:r>
    </w:p>
    <w:p>
      <w:pPr>
        <w:spacing w:after="0" w:line="180" w:lineRule="exact"/>
        <w:rPr>
          <w:rFonts w:ascii="Arial" w:cs="Arial" w:eastAsia="Arial" w:hAnsi="Arial"/>
          <w:sz w:val="18"/>
          <w:szCs w:val="18"/>
          <w:b w:val="1"/>
          <w:bCs w:val="1"/>
          <w:color w:val="auto"/>
        </w:rPr>
      </w:pPr>
    </w:p>
    <w:p>
      <w:pPr>
        <w:ind w:right="100" w:firstLine="656"/>
        <w:spacing w:after="0" w:line="281" w:lineRule="auto"/>
        <w:tabs>
          <w:tab w:leader="none" w:pos="96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 of Roof Space and Storage Space</w:t>
      </w:r>
      <w:r>
        <w:rPr>
          <w:rFonts w:ascii="Arial" w:cs="Arial" w:eastAsia="Arial" w:hAnsi="Arial"/>
          <w:sz w:val="17"/>
          <w:szCs w:val="17"/>
          <w:color w:val="auto"/>
        </w:rPr>
        <w:t>. Tenant accepts the Roof Space and the Storage Space in their current “AS-IS” and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FAULTS” condition. Except with respect to any representations or warranties that may be expressly set forth herein, Tenant acknowledges that neither Landlord nor any agent of Landlord has made any representations or warranties, express or implied, with respect to the Roof Space or the Storage Space, including, without limitation, the suitability or fitness of the same for the conduct of Tenant’s activities or for any other purpose.</w:t>
      </w:r>
    </w:p>
    <w:p>
      <w:pPr>
        <w:spacing w:after="0" w:line="164" w:lineRule="exact"/>
        <w:rPr>
          <w:rFonts w:ascii="Arial" w:cs="Arial" w:eastAsia="Arial" w:hAnsi="Arial"/>
          <w:sz w:val="17"/>
          <w:szCs w:val="17"/>
          <w:b w:val="1"/>
          <w:bCs w:val="1"/>
          <w:color w:val="auto"/>
        </w:rPr>
      </w:pPr>
    </w:p>
    <w:p>
      <w:pPr>
        <w:ind w:right="120" w:firstLine="656"/>
        <w:spacing w:after="0" w:line="266" w:lineRule="auto"/>
        <w:tabs>
          <w:tab w:leader="none" w:pos="96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represents the entire understanding between Landlord and Tenant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 are no understandings or agreements between them relating to the Lease, the Premises, the Roof Space or the Storage Space not set forth in writing and signed by the parties hereto. No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10.09</w:t>
      </w:r>
    </w:p>
    <w:p>
      <w:pPr>
        <w:spacing w:after="0" w:line="200" w:lineRule="exact"/>
        <w:rPr>
          <w:sz w:val="20"/>
          <w:szCs w:val="20"/>
          <w:color w:val="auto"/>
        </w:rPr>
      </w:pPr>
    </w:p>
    <w:p>
      <w:pPr>
        <w:spacing w:after="0" w:line="2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party hereto has relied upon any representation, warranty or understanding not set forth herein, either oral or written, as an inducement to enter into this Amendment.</w:t>
      </w:r>
    </w:p>
    <w:p>
      <w:pPr>
        <w:spacing w:after="0" w:line="166" w:lineRule="exact"/>
        <w:rPr>
          <w:sz w:val="20"/>
          <w:szCs w:val="20"/>
          <w:color w:val="auto"/>
        </w:rPr>
      </w:pPr>
    </w:p>
    <w:p>
      <w:pPr>
        <w:ind w:right="200" w:firstLine="656"/>
        <w:spacing w:after="0" w:line="347" w:lineRule="auto"/>
        <w:tabs>
          <w:tab w:leader="none" w:pos="963"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“TENANT”</w:t>
            </w:r>
          </w:p>
        </w:tc>
      </w:tr>
      <w:tr>
        <w:trPr>
          <w:trHeight w:val="918"/>
        </w:trPr>
        <w:tc>
          <w:tcPr>
            <w:tcW w:w="464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174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464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174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G&amp;W Ventures, LLC,</w:t>
            </w:r>
          </w:p>
        </w:tc>
        <w:tc>
          <w:tcPr>
            <w:tcW w:w="17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Paul Nahi</w:t>
            </w:r>
          </w:p>
        </w:tc>
      </w:tr>
      <w:tr>
        <w:trPr>
          <w:trHeight w:val="27"/>
        </w:trPr>
        <w:tc>
          <w:tcPr>
            <w:tcW w:w="54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a California limited liability company,</w:t>
            </w: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540" w:type="dxa"/>
            <w:vAlign w:val="bottom"/>
          </w:tcPr>
          <w:p>
            <w:pPr>
              <w:spacing w:after="0"/>
              <w:rPr>
                <w:sz w:val="23"/>
                <w:szCs w:val="23"/>
                <w:color w:val="auto"/>
              </w:rPr>
            </w:pP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its Manager</w:t>
            </w: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918"/>
        </w:trPr>
        <w:tc>
          <w:tcPr>
            <w:tcW w:w="5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306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702"/>
        </w:trPr>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ectPr>
          <w:pgSz w:w="11900" w:h="16838" w:orient="portrait"/>
          <w:cols w:equalWidth="0" w:num="1">
            <w:col w:w="11380"/>
          </w:cols>
          <w:pgMar w:left="280" w:top="33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DEPICTION OF STORAGE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329565</wp:posOffset>
            </wp:positionV>
            <wp:extent cx="4922520" cy="3807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1098"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 N. McDowell Blvd.)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THIS THIRD AMENDMENT TO LEASE </w:t>
      </w:r>
      <w:r>
        <w:rPr>
          <w:rFonts w:ascii="Arial" w:cs="Arial" w:eastAsia="Arial" w:hAnsi="Arial"/>
          <w:sz w:val="18"/>
          <w:szCs w:val="18"/>
          <w:color w:val="auto"/>
        </w:rPr>
        <w:t>(this "Amendment") dated September 25, 2014, is entered into between SEQUOIA CENTER LLC, 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ENPHASE ENERGY,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THE PARTIES ENTER INTO THIS AMENDMENT </w:t>
      </w:r>
      <w:r>
        <w:rPr>
          <w:rFonts w:ascii="Arial" w:cs="Arial" w:eastAsia="Arial" w:hAnsi="Arial"/>
          <w:sz w:val="18"/>
          <w:szCs w:val="18"/>
          <w:color w:val="auto"/>
        </w:rPr>
        <w:t>based upon the following facts, understandings and intentions:</w:t>
      </w:r>
    </w:p>
    <w:p>
      <w:pPr>
        <w:spacing w:after="0" w:line="256" w:lineRule="exact"/>
        <w:rPr>
          <w:sz w:val="20"/>
          <w:szCs w:val="20"/>
          <w:color w:val="auto"/>
        </w:rPr>
      </w:pPr>
    </w:p>
    <w:p>
      <w:pPr>
        <w:ind w:right="40" w:firstLine="656"/>
        <w:spacing w:after="0" w:line="304"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 and Tenant previously entered into that certain Redwood Business Park NNN Lease dated as of June 3, 2011, as amended by that certain First Amendment to Lease dated as of June 12, 2012 and as amended by that certain Second Amendment to Lease dated January 13, 2014 (collectively,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Tenant leases from Landlord 24,000 rentable square feet of space in the building commonly known as 1400 N. McDowell Boulevard, Petaluma, California. Capitalized terms used herein and not defined herein shall have the meanings set forth in the Lease in connection therewith.</w:t>
      </w:r>
    </w:p>
    <w:p>
      <w:pPr>
        <w:spacing w:after="0" w:line="161" w:lineRule="exact"/>
        <w:rPr>
          <w:rFonts w:ascii="Arial" w:cs="Arial" w:eastAsia="Arial" w:hAnsi="Arial"/>
          <w:sz w:val="18"/>
          <w:szCs w:val="18"/>
          <w:color w:val="auto"/>
        </w:rPr>
      </w:pPr>
    </w:p>
    <w:p>
      <w:pPr>
        <w:ind w:left="1000" w:hanging="344"/>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 and Tenant desire to amend the Lease as provided herein.</w:t>
      </w:r>
    </w:p>
    <w:p>
      <w:pPr>
        <w:spacing w:after="0" w:line="22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promises of the parties,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89" w:lineRule="exact"/>
        <w:rPr>
          <w:sz w:val="20"/>
          <w:szCs w:val="20"/>
          <w:color w:val="auto"/>
        </w:rPr>
      </w:pPr>
    </w:p>
    <w:p>
      <w:pPr>
        <w:ind w:right="60" w:firstLine="656"/>
        <w:spacing w:after="0" w:line="313" w:lineRule="auto"/>
        <w:tabs>
          <w:tab w:leader="none" w:pos="110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 of Premises</w:t>
      </w:r>
      <w:r>
        <w:rPr>
          <w:rFonts w:ascii="Arial" w:cs="Arial" w:eastAsia="Arial" w:hAnsi="Arial"/>
          <w:sz w:val="18"/>
          <w:szCs w:val="18"/>
          <w:color w:val="auto"/>
        </w:rPr>
        <w:t>. Tenant agrees to add to the Premises and lease from Landlord, and Landlord agrees to add to the Premises and lease</w:t>
      </w:r>
      <w:r>
        <w:rPr>
          <w:rFonts w:ascii="Arial" w:cs="Arial" w:eastAsia="Arial" w:hAnsi="Arial"/>
          <w:sz w:val="18"/>
          <w:szCs w:val="18"/>
          <w:b w:val="1"/>
          <w:bCs w:val="1"/>
          <w:color w:val="auto"/>
        </w:rPr>
        <w:t xml:space="preserve"> </w:t>
      </w:r>
      <w:r>
        <w:rPr>
          <w:rFonts w:ascii="Arial" w:cs="Arial" w:eastAsia="Arial" w:hAnsi="Arial"/>
          <w:sz w:val="18"/>
          <w:szCs w:val="18"/>
          <w:color w:val="auto"/>
        </w:rPr>
        <w:t>to Tenant, on the terms and conditions set forth in the Lease as modified by this Amendment, an additional 24,000 rentable square feet of space on the second floor of the Building (the “</w:t>
      </w:r>
      <w:r>
        <w:rPr>
          <w:rFonts w:ascii="Arial" w:cs="Arial" w:eastAsia="Arial" w:hAnsi="Arial"/>
          <w:sz w:val="18"/>
          <w:szCs w:val="18"/>
          <w:b w:val="1"/>
          <w:bCs w:val="1"/>
          <w:color w:val="auto"/>
        </w:rPr>
        <w:t>Expansion Space</w:t>
      </w:r>
      <w:r>
        <w:rPr>
          <w:rFonts w:ascii="Arial" w:cs="Arial" w:eastAsia="Arial" w:hAnsi="Arial"/>
          <w:sz w:val="18"/>
          <w:szCs w:val="18"/>
          <w:color w:val="auto"/>
        </w:rPr>
        <w:t xml:space="preserve">”)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49" w:lineRule="exact"/>
        <w:rPr>
          <w:rFonts w:ascii="Arial" w:cs="Arial" w:eastAsia="Arial" w:hAnsi="Arial"/>
          <w:sz w:val="18"/>
          <w:szCs w:val="18"/>
          <w:b w:val="1"/>
          <w:bCs w:val="1"/>
          <w:color w:val="auto"/>
        </w:rPr>
      </w:pPr>
    </w:p>
    <w:p>
      <w:pPr>
        <w:ind w:right="40" w:firstLine="656"/>
        <w:spacing w:after="0" w:line="261" w:lineRule="auto"/>
        <w:tabs>
          <w:tab w:leader="none" w:pos="963"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Expansion Space; Condition</w:t>
      </w:r>
      <w:r>
        <w:rPr>
          <w:rFonts w:ascii="Arial" w:cs="Arial" w:eastAsia="Arial" w:hAnsi="Arial"/>
          <w:sz w:val="18"/>
          <w:szCs w:val="18"/>
          <w:color w:val="auto"/>
        </w:rPr>
        <w:t>. Landlord shall deliver the Expansion Space to Tenant upon the mutual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Tenant has inspected the Expansion Space and, except for any obligations of Landlord under this Amendment and the Work Letter Agreement referenced in Section 4 below, agrees to accept the Expansion Space in its existing "as is" condition, with all faults and defects and without any representation or warranty of any kind, express or implied.</w:t>
      </w:r>
    </w:p>
    <w:p>
      <w:pPr>
        <w:spacing w:after="0" w:line="180" w:lineRule="exact"/>
        <w:rPr>
          <w:rFonts w:ascii="Arial" w:cs="Arial" w:eastAsia="Arial" w:hAnsi="Arial"/>
          <w:sz w:val="18"/>
          <w:szCs w:val="18"/>
          <w:b w:val="1"/>
          <w:bCs w:val="1"/>
          <w:color w:val="auto"/>
        </w:rPr>
      </w:pPr>
    </w:p>
    <w:p>
      <w:pPr>
        <w:ind w:right="360" w:firstLine="656"/>
        <w:spacing w:after="0" w:line="289" w:lineRule="auto"/>
        <w:tabs>
          <w:tab w:leader="none" w:pos="963"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Work Letter Agreement</w:t>
      </w:r>
      <w:r>
        <w:rPr>
          <w:rFonts w:ascii="Arial" w:cs="Arial" w:eastAsia="Arial" w:hAnsi="Arial"/>
          <w:sz w:val="17"/>
          <w:szCs w:val="17"/>
          <w:color w:val="auto"/>
        </w:rPr>
        <w:t>. Landlord and Tenant shall each perform the work required to be performed by it as described in the Work Letter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regarding the construction of Landlord Work in the lobby, and the Tenant Improvements in the Expansion Space. Landlord and Tenant shall each perform such work in accordance with the terms and conditions contained therein.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656"/>
        <w:spacing w:after="0" w:line="314" w:lineRule="auto"/>
        <w:tabs>
          <w:tab w:leader="none" w:pos="963"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Expansion Space Rent Commencement</w:t>
      </w:r>
      <w:r>
        <w:rPr>
          <w:rFonts w:ascii="Arial" w:cs="Arial" w:eastAsia="Arial" w:hAnsi="Arial"/>
          <w:sz w:val="16"/>
          <w:szCs w:val="16"/>
          <w:color w:val="auto"/>
        </w:rPr>
        <w:t>. With respect to the Expansion Space, Tenant’s obligation to pay Rent shall commence on the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earlier</w:t>
      </w:r>
      <w:r>
        <w:rPr>
          <w:rFonts w:ascii="Arial" w:cs="Arial" w:eastAsia="Arial" w:hAnsi="Arial"/>
          <w:sz w:val="16"/>
          <w:szCs w:val="16"/>
          <w:b w:val="1"/>
          <w:bCs w:val="1"/>
          <w:color w:val="auto"/>
        </w:rPr>
        <w:t xml:space="preserve"> </w:t>
      </w:r>
      <w:r>
        <w:rPr>
          <w:rFonts w:ascii="Arial" w:cs="Arial" w:eastAsia="Arial" w:hAnsi="Arial"/>
          <w:sz w:val="16"/>
          <w:szCs w:val="16"/>
          <w:color w:val="auto"/>
        </w:rPr>
        <w:t>to occur of (a) the date the Tenant Improvements constructed pursuant to the Work Letter Agreement are substantially completed in the Expansion Space except for minor punch list work, and (b) April 1, 2015 (such earlier date being referred to herein as the “</w:t>
      </w:r>
      <w:r>
        <w:rPr>
          <w:rFonts w:ascii="Arial" w:cs="Arial" w:eastAsia="Arial" w:hAnsi="Arial"/>
          <w:sz w:val="16"/>
          <w:szCs w:val="16"/>
          <w:b w:val="1"/>
          <w:bCs w:val="1"/>
          <w:color w:val="auto"/>
        </w:rPr>
        <w:t>ES Rent Commencement Date</w:t>
      </w:r>
      <w:r>
        <w:rPr>
          <w:rFonts w:ascii="Arial" w:cs="Arial" w:eastAsia="Arial" w:hAnsi="Arial"/>
          <w:sz w:val="16"/>
          <w:szCs w:val="16"/>
          <w:color w:val="auto"/>
        </w:rPr>
        <w:t>”).</w:t>
      </w:r>
    </w:p>
    <w:p>
      <w:pPr>
        <w:spacing w:after="0" w:line="142" w:lineRule="exact"/>
        <w:rPr>
          <w:rFonts w:ascii="Arial" w:cs="Arial" w:eastAsia="Arial" w:hAnsi="Arial"/>
          <w:sz w:val="16"/>
          <w:szCs w:val="16"/>
          <w:b w:val="1"/>
          <w:bCs w:val="1"/>
          <w:color w:val="auto"/>
        </w:rPr>
      </w:pPr>
    </w:p>
    <w:p>
      <w:pPr>
        <w:ind w:right="20" w:firstLine="656"/>
        <w:spacing w:after="0" w:line="282" w:lineRule="auto"/>
        <w:tabs>
          <w:tab w:leader="none" w:pos="963"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 Space Base Rent</w:t>
      </w:r>
      <w:r>
        <w:rPr>
          <w:rFonts w:ascii="Arial" w:cs="Arial" w:eastAsia="Arial" w:hAnsi="Arial"/>
          <w:sz w:val="18"/>
          <w:szCs w:val="18"/>
          <w:color w:val="auto"/>
        </w:rPr>
        <w:t>. Commencing on the ES Rent Commencement Date, the Base Rent for the Expansion Space shall be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chart below:</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9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34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3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Monthly Base Rent</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940" w:type="dxa"/>
            <w:vAlign w:val="bottom"/>
            <w:tcBorders>
              <w:left w:val="single" w:sz="8" w:color="00000A"/>
              <w:right w:val="single" w:sz="8" w:color="00000A"/>
            </w:tcBorders>
          </w:tcPr>
          <w:p>
            <w:pPr>
              <w:ind w:left="1180"/>
              <w:spacing w:after="0"/>
              <w:rPr>
                <w:sz w:val="20"/>
                <w:szCs w:val="20"/>
                <w:color w:val="auto"/>
              </w:rPr>
            </w:pPr>
            <w:r>
              <w:rPr>
                <w:rFonts w:ascii="Arial" w:cs="Arial" w:eastAsia="Arial" w:hAnsi="Arial"/>
                <w:sz w:val="18"/>
                <w:szCs w:val="18"/>
                <w:color w:val="auto"/>
              </w:rPr>
              <w:t>ES Rent Commence-</w:t>
            </w:r>
          </w:p>
        </w:tc>
        <w:tc>
          <w:tcPr>
            <w:tcW w:w="3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88"/>
              </w:rPr>
              <w:t>$1.17</w:t>
            </w:r>
          </w:p>
        </w:tc>
        <w:tc>
          <w:tcPr>
            <w:tcW w:w="3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88"/>
              </w:rPr>
              <w:t>$28,080.00</w:t>
            </w:r>
          </w:p>
        </w:tc>
        <w:tc>
          <w:tcPr>
            <w:tcW w:w="0" w:type="dxa"/>
            <w:vAlign w:val="bottom"/>
          </w:tcPr>
          <w:p>
            <w:pPr>
              <w:spacing w:after="0"/>
              <w:rPr>
                <w:sz w:val="1"/>
                <w:szCs w:val="1"/>
                <w:color w:val="auto"/>
              </w:rPr>
            </w:pPr>
          </w:p>
        </w:tc>
      </w:tr>
      <w:tr>
        <w:trPr>
          <w:trHeight w:val="122"/>
        </w:trPr>
        <w:tc>
          <w:tcPr>
            <w:tcW w:w="394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0"/>
              </w:rPr>
              <w:t>ment Date – 4/30/15</w:t>
            </w:r>
          </w:p>
        </w:tc>
        <w:tc>
          <w:tcPr>
            <w:tcW w:w="3440" w:type="dxa"/>
            <w:vAlign w:val="bottom"/>
            <w:tcBorders>
              <w:right w:val="single" w:sz="8" w:color="00000A"/>
            </w:tcBorders>
            <w:vMerge w:val="continue"/>
          </w:tcPr>
          <w:p>
            <w:pPr>
              <w:spacing w:after="0"/>
              <w:rPr>
                <w:sz w:val="10"/>
                <w:szCs w:val="10"/>
                <w:color w:val="auto"/>
              </w:rPr>
            </w:pPr>
          </w:p>
        </w:tc>
        <w:tc>
          <w:tcPr>
            <w:tcW w:w="34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40" w:type="dxa"/>
            <w:vAlign w:val="bottom"/>
            <w:tcBorders>
              <w:left w:val="single" w:sz="8" w:color="00000A"/>
              <w:right w:val="single" w:sz="8" w:color="00000A"/>
            </w:tcBorders>
            <w:vMerge w:val="continue"/>
          </w:tcPr>
          <w:p>
            <w:pPr>
              <w:spacing w:after="0"/>
              <w:rPr>
                <w:sz w:val="9"/>
                <w:szCs w:val="9"/>
                <w:color w:val="auto"/>
              </w:rPr>
            </w:pPr>
          </w:p>
        </w:tc>
        <w:tc>
          <w:tcPr>
            <w:tcW w:w="3440" w:type="dxa"/>
            <w:vAlign w:val="bottom"/>
            <w:tcBorders>
              <w:right w:val="single" w:sz="8" w:color="00000A"/>
            </w:tcBorders>
          </w:tcPr>
          <w:p>
            <w:pPr>
              <w:spacing w:after="0"/>
              <w:rPr>
                <w:sz w:val="9"/>
                <w:szCs w:val="9"/>
                <w:color w:val="auto"/>
              </w:rPr>
            </w:pPr>
          </w:p>
        </w:tc>
        <w:tc>
          <w:tcPr>
            <w:tcW w:w="34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5/1/2015 – 4/30/16</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$1.20</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$28,800.00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5/1/2016 – 4/30/17</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$1.24</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$29,760.00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5/1/2017 – 4/30/18</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$1.27</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$30,480.00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5/1/2018 – 4/30/19</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$1.31</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$31,440.00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5/1/2019 – 4/30/20</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$1.35</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$32,400.00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5/1/2020 – 4/30/21</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$1.39</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$33,360.00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5/1/2021 – 4/30/22</w:t>
            </w:r>
          </w:p>
        </w:tc>
        <w:tc>
          <w:tcPr>
            <w:tcW w:w="3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$1.43</w:t>
            </w:r>
          </w:p>
        </w:tc>
        <w:tc>
          <w:tcPr>
            <w:tcW w:w="3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$34,320.00</w:t>
            </w:r>
          </w:p>
        </w:tc>
        <w:tc>
          <w:tcPr>
            <w:tcW w:w="0" w:type="dxa"/>
            <w:vAlign w:val="bottom"/>
          </w:tcPr>
          <w:p>
            <w:pPr>
              <w:spacing w:after="0"/>
              <w:rPr>
                <w:sz w:val="1"/>
                <w:szCs w:val="1"/>
                <w:color w:val="auto"/>
              </w:rPr>
            </w:pPr>
          </w:p>
        </w:tc>
      </w:tr>
      <w:tr>
        <w:trPr>
          <w:trHeight w:val="27"/>
        </w:trPr>
        <w:tc>
          <w:tcPr>
            <w:tcW w:w="3940" w:type="dxa"/>
            <w:vAlign w:val="bottom"/>
            <w:tcBorders>
              <w:left w:val="single" w:sz="8" w:color="00000A"/>
              <w:bottom w:val="single" w:sz="8" w:color="00000A"/>
              <w:right w:val="single" w:sz="8" w:color="00000A"/>
            </w:tcBorders>
          </w:tcPr>
          <w:p>
            <w:pPr>
              <w:spacing w:after="0"/>
              <w:rPr>
                <w:sz w:val="2"/>
                <w:szCs w:val="2"/>
                <w:color w:val="auto"/>
              </w:rPr>
            </w:pPr>
          </w:p>
        </w:tc>
        <w:tc>
          <w:tcPr>
            <w:tcW w:w="344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Base Rent for the original Premises shall remain as set forth in Section 23 of the Lease.</w:t>
      </w:r>
    </w:p>
    <w:p>
      <w:pPr>
        <w:spacing w:after="0" w:line="221" w:lineRule="exact"/>
        <w:rPr>
          <w:sz w:val="20"/>
          <w:szCs w:val="20"/>
          <w:color w:val="auto"/>
        </w:rPr>
      </w:pPr>
    </w:p>
    <w:p>
      <w:pPr>
        <w:ind w:right="200" w:firstLine="656"/>
        <w:spacing w:after="0" w:line="282" w:lineRule="auto"/>
        <w:tabs>
          <w:tab w:leader="none" w:pos="96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Building Percentage Share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on the ES Rent Commencement Date, "</w:t>
      </w:r>
      <w:r>
        <w:rPr>
          <w:rFonts w:ascii="Arial" w:cs="Arial" w:eastAsia="Arial" w:hAnsi="Arial"/>
          <w:sz w:val="18"/>
          <w:szCs w:val="18"/>
          <w:b w:val="1"/>
          <w:bCs w:val="1"/>
          <w:color w:val="auto"/>
        </w:rPr>
        <w:t>Tenant's Building Percentage Share</w:t>
      </w:r>
      <w:r>
        <w:rPr>
          <w:rFonts w:ascii="Arial" w:cs="Arial" w:eastAsia="Arial" w:hAnsi="Arial"/>
          <w:sz w:val="18"/>
          <w:szCs w:val="18"/>
          <w:color w:val="auto"/>
        </w:rPr>
        <w:t>" shall be 66.67</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 (i.e., 48,000 rsf / 72,000 rsf = 66.67%), subject to further changes pursuant to Section 1.9 of the Lease.</w:t>
      </w:r>
    </w:p>
    <w:p>
      <w:pPr>
        <w:spacing w:after="0" w:line="161" w:lineRule="exact"/>
        <w:rPr>
          <w:rFonts w:ascii="Arial" w:cs="Arial" w:eastAsia="Arial" w:hAnsi="Arial"/>
          <w:sz w:val="18"/>
          <w:szCs w:val="18"/>
          <w:b w:val="1"/>
          <w:bCs w:val="1"/>
          <w:color w:val="auto"/>
        </w:rPr>
      </w:pPr>
    </w:p>
    <w:p>
      <w:pPr>
        <w:ind w:firstLine="656"/>
        <w:spacing w:after="0" w:line="277" w:lineRule="auto"/>
        <w:tabs>
          <w:tab w:leader="none" w:pos="96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Grid-Tied Photovoltaic System</w:t>
      </w:r>
      <w:r>
        <w:rPr>
          <w:rFonts w:ascii="Arial" w:cs="Arial" w:eastAsia="Arial" w:hAnsi="Arial"/>
          <w:sz w:val="17"/>
          <w:szCs w:val="17"/>
          <w:color w:val="auto"/>
        </w:rPr>
        <w:t>. Tenant wishes to install a Grid-Tied photovoltaic system on the roof the Building consisting of two (2) arrays</w:t>
      </w:r>
      <w:r>
        <w:rPr>
          <w:rFonts w:ascii="Arial" w:cs="Arial" w:eastAsia="Arial" w:hAnsi="Arial"/>
          <w:sz w:val="17"/>
          <w:szCs w:val="17"/>
          <w:b w:val="1"/>
          <w:bCs w:val="1"/>
          <w:color w:val="auto"/>
        </w:rPr>
        <w:t xml:space="preserve"> </w:t>
      </w:r>
      <w:r>
        <w:rPr>
          <w:rFonts w:ascii="Arial" w:cs="Arial" w:eastAsia="Arial" w:hAnsi="Arial"/>
          <w:sz w:val="17"/>
          <w:szCs w:val="17"/>
          <w:color w:val="auto"/>
        </w:rPr>
        <w:t>totaling 262 solar modules and related equipment (collectively, the “</w:t>
      </w:r>
      <w:r>
        <w:rPr>
          <w:rFonts w:ascii="Arial" w:cs="Arial" w:eastAsia="Arial" w:hAnsi="Arial"/>
          <w:sz w:val="17"/>
          <w:szCs w:val="17"/>
          <w:b w:val="1"/>
          <w:bCs w:val="1"/>
          <w:color w:val="auto"/>
        </w:rPr>
        <w:t>Photovoltaic System</w:t>
      </w:r>
      <w:r>
        <w:rPr>
          <w:rFonts w:ascii="Arial" w:cs="Arial" w:eastAsia="Arial" w:hAnsi="Arial"/>
          <w:sz w:val="17"/>
          <w:szCs w:val="17"/>
          <w:color w:val="auto"/>
        </w:rPr>
        <w:t>”), as more fully described in (i) the plans prepared by Realgoods Solar dated April 2, 2014 containing sheets PV-000, PVA01, PV-A01A, PV-A02, PV-A03, PV-A04, PV-E01, PV-E02, (System Placards), PV-E02 (Electrical Calcs) and PV-G01 or such other plans as may be approved in writing by Landlord, and (ii) the plans from ZFA Structural Engineers, which shall approved by Landlord in writing prior to commencement of construction (collectively, the “</w:t>
      </w:r>
      <w:r>
        <w:rPr>
          <w:rFonts w:ascii="Arial" w:cs="Arial" w:eastAsia="Arial" w:hAnsi="Arial"/>
          <w:sz w:val="17"/>
          <w:szCs w:val="17"/>
          <w:b w:val="1"/>
          <w:bCs w:val="1"/>
          <w:color w:val="auto"/>
        </w:rPr>
        <w:t>Specifications</w:t>
      </w:r>
      <w:r>
        <w:rPr>
          <w:rFonts w:ascii="Arial" w:cs="Arial" w:eastAsia="Arial" w:hAnsi="Arial"/>
          <w:sz w:val="17"/>
          <w:szCs w:val="17"/>
          <w:color w:val="auto"/>
        </w:rPr>
        <w:t>”).</w:t>
      </w:r>
    </w:p>
    <w:p>
      <w:pPr>
        <w:spacing w:after="0" w:line="344" w:lineRule="exact"/>
        <w:rPr>
          <w:rFonts w:ascii="Arial" w:cs="Arial" w:eastAsia="Arial" w:hAnsi="Arial"/>
          <w:sz w:val="17"/>
          <w:szCs w:val="17"/>
          <w:b w:val="1"/>
          <w:bCs w:val="1"/>
          <w:color w:val="auto"/>
        </w:rPr>
      </w:pPr>
    </w:p>
    <w:p>
      <w:pPr>
        <w:ind w:right="80" w:firstLine="656"/>
        <w:spacing w:after="0" w:line="282" w:lineRule="auto"/>
        <w:tabs>
          <w:tab w:leader="none" w:pos="96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consents the installation of the Photovoltaic System and the Roof Coating (defined below) on the roof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Building on the terms and conditions set forth in this Amendment.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Terms and Conditions</w:t>
      </w:r>
      <w:r>
        <w:rPr>
          <w:rFonts w:ascii="Arial" w:cs="Arial" w:eastAsia="Arial" w:hAnsi="Arial"/>
          <w:sz w:val="17"/>
          <w:szCs w:val="17"/>
          <w:color w:val="auto"/>
        </w:rPr>
        <w:t>. The following terms and conditions shall apply to the work contemplated in Section 7 and 8 of this Amendment:</w:t>
      </w:r>
    </w:p>
    <w:p>
      <w:pPr>
        <w:spacing w:after="0" w:line="237"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Permits</w:t>
      </w:r>
      <w:r>
        <w:rPr>
          <w:rFonts w:ascii="Arial" w:cs="Arial" w:eastAsia="Arial" w:hAnsi="Arial"/>
          <w:sz w:val="18"/>
          <w:szCs w:val="18"/>
          <w:color w:val="auto"/>
        </w:rPr>
        <w:t>. Tenant shall obtain all permits required for the work contemplated Sections 7 and 8 above; provided that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cooperate in procuring such permits at no cost to Landlord.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Silicone Roof Coating</w:t>
      </w:r>
      <w:r>
        <w:rPr>
          <w:rFonts w:ascii="Arial" w:cs="Arial" w:eastAsia="Arial" w:hAnsi="Arial"/>
          <w:sz w:val="16"/>
          <w:szCs w:val="16"/>
          <w:color w:val="auto"/>
        </w:rPr>
        <w:t>. In connection with the installation of the Photovoltaic System, Tenant shall install a silicone roof coating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Roof Coating</w:t>
      </w:r>
      <w:r>
        <w:rPr>
          <w:rFonts w:ascii="Arial" w:cs="Arial" w:eastAsia="Arial" w:hAnsi="Arial"/>
          <w:sz w:val="16"/>
          <w:szCs w:val="16"/>
          <w:color w:val="auto"/>
        </w:rPr>
        <w:t>”) over the entire roof of the Building in accordance with the specifications set forth in the proposal from Petersen Dean contractors dated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 2014 containing two pages, plus walking pads for the protection of the Roof Coating (the “</w:t>
      </w:r>
      <w:r>
        <w:rPr>
          <w:rFonts w:ascii="Arial" w:cs="Arial" w:eastAsia="Arial" w:hAnsi="Arial"/>
          <w:sz w:val="17"/>
          <w:szCs w:val="17"/>
          <w:b w:val="1"/>
          <w:bCs w:val="1"/>
          <w:color w:val="auto"/>
        </w:rPr>
        <w:t>Walking Pads</w:t>
      </w:r>
      <w:r>
        <w:rPr>
          <w:rFonts w:ascii="Arial" w:cs="Arial" w:eastAsia="Arial" w:hAnsi="Arial"/>
          <w:sz w:val="17"/>
          <w:szCs w:val="17"/>
          <w:color w:val="auto"/>
        </w:rPr>
        <w:t>”) in locations and with specifications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by Landlord, which approval shall not be unreasonably withheld, conditioned or delayed (and failure to respond with five (5) business days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for consent shall be deemed approval). Such coating and Walking Pads are required to (i) prevent leaks in the roof of the Building following numerous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penetrations to the roof membrane that will occur in connection with the installation of the Photovoltaic System and (ii) extend the life of the roof system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after the Photovoltaic System installation would be very expensive to replace. Tenant shall use best efforts to limit its activities on the roof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Walking Pads to protect the Roof Coating.</w:t>
      </w:r>
    </w:p>
    <w:p>
      <w:pPr>
        <w:spacing w:after="0" w:line="207"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Maintenance</w:t>
      </w:r>
      <w:r>
        <w:rPr>
          <w:rFonts w:ascii="Arial" w:cs="Arial" w:eastAsia="Arial" w:hAnsi="Arial"/>
          <w:sz w:val="16"/>
          <w:szCs w:val="16"/>
          <w:color w:val="auto"/>
        </w:rPr>
        <w:t>. Tenant shall maintain the Photovoltaic System in good condition and repair at its sole cost and expense. By installing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Photovoltaic System, Tenant will be: (i) creating numerous penetrations of the roof membrane, (ii) adding substantial weight on the roof of the Building and</w:t>
      </w:r>
    </w:p>
    <w:p>
      <w:pPr>
        <w:spacing w:after="0" w:line="1" w:lineRule="exact"/>
        <w:rPr>
          <w:sz w:val="20"/>
          <w:szCs w:val="20"/>
          <w:color w:val="auto"/>
        </w:rPr>
      </w:pPr>
    </w:p>
    <w:p>
      <w:pPr>
        <w:ind w:right="40" w:firstLine="8"/>
        <w:spacing w:after="0" w:line="25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accessing the roof on a more frequent basis to monitor, adjust. maintain or modify the Photovoltaic System. Tenant acknowledges that all maintenance, repair and replacement costs with respect to the roof, the Roof Coating, the roof membrane and the roof structure incurred by Landlord in connection with the installation, use, modification or removal of the Photovoltaic System will constitute Operating Expenses under the Lease. The foregoing is not intended to and shall not limit Tenant’s indemnity under Section 27 of the Lease.</w:t>
      </w:r>
    </w:p>
    <w:p>
      <w:pPr>
        <w:spacing w:after="0" w:line="186" w:lineRule="exact"/>
        <w:rPr>
          <w:sz w:val="20"/>
          <w:szCs w:val="20"/>
          <w:color w:val="auto"/>
        </w:rPr>
      </w:pPr>
    </w:p>
    <w:p>
      <w:pPr>
        <w:jc w:val="both"/>
        <w:ind w:right="420" w:firstLine="1297"/>
        <w:spacing w:after="0" w:line="303"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u w:val="single" w:color="auto"/>
          <w:color w:val="auto"/>
        </w:rPr>
        <w:t>Costs</w:t>
      </w:r>
      <w:r>
        <w:rPr>
          <w:rFonts w:ascii="Arial" w:cs="Arial" w:eastAsia="Arial" w:hAnsi="Arial"/>
          <w:sz w:val="16"/>
          <w:szCs w:val="16"/>
          <w:color w:val="auto"/>
        </w:rPr>
        <w:t>. Landlord shall reimburse Tenant for the out-of-pocket cost of installing the Roof Coating up to a maximum of seventy-five</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dollars (75,000.00). Such reimbursement shall be paid within thirty (30) days following Landlord’s receipt of invoices or other documentation reasonably requested by Landlord evidencing such costs. Tenant shall be responsible for all other costs and expenses of the work performed pursuant to Section 7 and Section 8 of this Amendment, including without limitation all design, permitting, construction, maintenance, repair and replacement costs.</w:t>
      </w:r>
    </w:p>
    <w:p>
      <w:pPr>
        <w:spacing w:after="0" w:line="151" w:lineRule="exact"/>
        <w:rPr>
          <w:sz w:val="20"/>
          <w:szCs w:val="20"/>
          <w:color w:val="auto"/>
        </w:rPr>
      </w:pPr>
    </w:p>
    <w:p>
      <w:pPr>
        <w:jc w:val="both"/>
        <w:ind w:right="480" w:firstLine="1297"/>
        <w:spacing w:after="0" w:line="266"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Applicability of Lease Section 10.2</w:t>
      </w:r>
      <w:r>
        <w:rPr>
          <w:rFonts w:ascii="Arial" w:cs="Arial" w:eastAsia="Arial" w:hAnsi="Arial"/>
          <w:sz w:val="18"/>
          <w:szCs w:val="18"/>
          <w:color w:val="auto"/>
        </w:rPr>
        <w:t>. Section 10.2 of the Lease shall apply to the work contemplated in this Amendment.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the foregoing, Tenant shall remove the Photovoltaic System, but shall have no obligation to remove the Roof Coating, at the end of the Term in accordance with Section 10.2.6 of the Lease.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b w:val="1"/>
          <w:bCs w:val="1"/>
          <w:u w:val="single" w:color="auto"/>
          <w:color w:val="auto"/>
        </w:rPr>
        <w:t>Applicability of Lease Section 27</w:t>
      </w:r>
      <w:r>
        <w:rPr>
          <w:rFonts w:ascii="Arial" w:cs="Arial" w:eastAsia="Arial" w:hAnsi="Arial"/>
          <w:sz w:val="18"/>
          <w:szCs w:val="18"/>
          <w:color w:val="auto"/>
        </w:rPr>
        <w:t>. Section 27 of the Lease, including without limitation the indemnity set forth therein, shall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contemplated in Section 7 and Section 8 of this Amendment. The Photovoltaic System and the Roof Coating shall constitute “</w:t>
      </w:r>
      <w:r>
        <w:rPr>
          <w:rFonts w:ascii="Arial" w:cs="Arial" w:eastAsia="Arial" w:hAnsi="Arial"/>
          <w:sz w:val="18"/>
          <w:szCs w:val="18"/>
          <w:b w:val="1"/>
          <w:bCs w:val="1"/>
          <w:color w:val="auto"/>
        </w:rPr>
        <w:t>Equipment</w:t>
      </w:r>
      <w:r>
        <w:rPr>
          <w:rFonts w:ascii="Arial" w:cs="Arial" w:eastAsia="Arial" w:hAnsi="Arial"/>
          <w:sz w:val="18"/>
          <w:szCs w:val="18"/>
          <w:color w:val="auto"/>
        </w:rPr>
        <w:t xml:space="preserve">” under Section 27 of the Lease;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maintenance of the Roof Coating shall be performed by Landlord pursuant to Section 9.3 above and provided further that Tenant shall have no obligation to remove the Roof Coating at the end of the Term.</w:t>
      </w:r>
    </w:p>
    <w:p>
      <w:pPr>
        <w:spacing w:after="0" w:line="180"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b w:val="1"/>
          <w:bCs w:val="1"/>
          <w:u w:val="single" w:color="auto"/>
          <w:color w:val="auto"/>
        </w:rPr>
        <w:t>Changes</w:t>
      </w:r>
      <w:r>
        <w:rPr>
          <w:rFonts w:ascii="Arial" w:cs="Arial" w:eastAsia="Arial" w:hAnsi="Arial"/>
          <w:sz w:val="17"/>
          <w:szCs w:val="17"/>
          <w:color w:val="auto"/>
        </w:rPr>
        <w:t>. Any changes to the Photovoltaic System, the Roof Coating or the Specifications shall require the prior written approval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which approval shall not be unreasonably withheld, conditioned or delayed, and if Landlord fails to respond within five (5) business days of a written request for approval and Tenant provides Landlord with written notice of such failure (a “Response Notice”), then such request shall be deemed approved unless Landlord responds to Tenant’s request within two (2) business days following receipt of the Response Notice. Without limiting the foregoing, no Equipment (except for the Roof Coating) shall be permitted within six (6) feet of the edge of the roof of the Building.</w:t>
      </w:r>
    </w:p>
    <w:p>
      <w:pPr>
        <w:spacing w:after="0" w:line="168" w:lineRule="exact"/>
        <w:rPr>
          <w:sz w:val="20"/>
          <w:szCs w:val="20"/>
          <w:color w:val="auto"/>
        </w:rPr>
      </w:pPr>
    </w:p>
    <w:p>
      <w:pPr>
        <w:ind w:firstLine="656"/>
        <w:spacing w:after="0" w:line="261" w:lineRule="auto"/>
        <w:tabs>
          <w:tab w:leader="none" w:pos="105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represents the entire understanding between Landlord and Tenant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 are no understandings or agreements between them relating to the Lease, the Premises, or the Expansion Space not set forth in writing and signed by the parties hereto. No party hereto has relied upon any representation, warranty or understanding not set forth herein, either oral or written, as an inducement to enter into this Amendment.</w:t>
      </w:r>
    </w:p>
    <w:p>
      <w:pPr>
        <w:spacing w:after="0" w:line="180" w:lineRule="exact"/>
        <w:rPr>
          <w:rFonts w:ascii="Arial" w:cs="Arial" w:eastAsia="Arial" w:hAnsi="Arial"/>
          <w:sz w:val="18"/>
          <w:szCs w:val="18"/>
          <w:b w:val="1"/>
          <w:bCs w:val="1"/>
          <w:color w:val="auto"/>
        </w:rPr>
      </w:pPr>
    </w:p>
    <w:p>
      <w:pPr>
        <w:ind w:right="120" w:firstLine="656"/>
        <w:spacing w:after="0" w:line="347" w:lineRule="auto"/>
        <w:tabs>
          <w:tab w:leader="none" w:pos="1043"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480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b w:val="1"/>
                <w:bCs w:val="1"/>
                <w:color w:val="auto"/>
              </w:rPr>
              <w:t>“TENANT”</w:t>
            </w:r>
          </w:p>
        </w:tc>
      </w:tr>
      <w:tr>
        <w:trPr>
          <w:trHeight w:val="918"/>
        </w:trPr>
        <w:tc>
          <w:tcPr>
            <w:tcW w:w="638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638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G&amp;W Ventures, LLC,</w:t>
            </w:r>
          </w:p>
        </w:tc>
        <w:tc>
          <w:tcPr>
            <w:tcW w:w="680" w:type="dxa"/>
            <w:vAlign w:val="bottom"/>
          </w:tcPr>
          <w:p>
            <w:pPr>
              <w:ind w:left="4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Paul Nahi</w:t>
            </w:r>
          </w:p>
        </w:tc>
      </w:tr>
      <w:tr>
        <w:trPr>
          <w:trHeight w:val="27"/>
        </w:trPr>
        <w:tc>
          <w:tcPr>
            <w:tcW w:w="54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a California limited liability company,</w:t>
            </w: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540" w:type="dxa"/>
            <w:vAlign w:val="bottom"/>
          </w:tcPr>
          <w:p>
            <w:pPr>
              <w:spacing w:after="0"/>
              <w:rPr>
                <w:sz w:val="23"/>
                <w:szCs w:val="23"/>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its Manager</w:t>
            </w:r>
          </w:p>
        </w:tc>
        <w:tc>
          <w:tcPr>
            <w:tcW w:w="6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594"/>
        </w:trPr>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Name: Kris Sennesael</w:t>
            </w:r>
          </w:p>
        </w:tc>
      </w:tr>
      <w:tr>
        <w:trPr>
          <w:trHeight w:val="27"/>
        </w:trPr>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CFO</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EXPANSION SPACE</w:t>
      </w:r>
    </w:p>
    <w:p>
      <w:pPr>
        <w:sectPr>
          <w:pgSz w:w="11900" w:h="16838" w:orient="portrait"/>
          <w:cols w:equalWidth="0" w:num="1">
            <w:col w:w="11380"/>
          </w:cols>
          <w:pgMar w:left="280" w:top="337" w:right="2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4922520" cy="6071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922520" cy="607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WORK LETTER</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WORK LETTER AGREEMENT supplements that certain Third Amendment to Lease (the “</w:t>
      </w:r>
      <w:r>
        <w:rPr>
          <w:rFonts w:ascii="Arial" w:cs="Arial" w:eastAsia="Arial" w:hAnsi="Arial"/>
          <w:sz w:val="19"/>
          <w:szCs w:val="19"/>
          <w:b w:val="1"/>
          <w:bCs w:val="1"/>
          <w:color w:val="auto"/>
        </w:rPr>
        <w:t>Amendment</w:t>
      </w:r>
      <w:r>
        <w:rPr>
          <w:rFonts w:ascii="Arial" w:cs="Arial" w:eastAsia="Arial" w:hAnsi="Arial"/>
          <w:sz w:val="19"/>
          <w:szCs w:val="19"/>
          <w:color w:val="auto"/>
        </w:rPr>
        <w:t>”) dated</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 2014, executed by SEQUOIA CENTER LLC, a California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and</w:t>
      </w:r>
    </w:p>
    <w:p>
      <w:pPr>
        <w:spacing w:after="0" w:line="15"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ENPHASE ENERGY,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All capitalized terms not otherwise defined herein shall have the same meaning as those capitalized terms contained in the Amendment or the Lease.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1</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LANDLORD'S WORK.</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w:t>
      </w:r>
      <w:r>
        <w:rPr>
          <w:rFonts w:ascii="Arial" w:cs="Arial" w:eastAsia="Arial" w:hAnsi="Arial"/>
          <w:sz w:val="22"/>
          <w:szCs w:val="22"/>
          <w:b w:val="1"/>
          <w:bCs w:val="1"/>
          <w:color w:val="auto"/>
        </w:rPr>
        <w:t>Landlord Work</w:t>
      </w:r>
      <w:r>
        <w:rPr>
          <w:rFonts w:ascii="Arial" w:cs="Arial" w:eastAsia="Arial" w:hAnsi="Arial"/>
          <w:sz w:val="22"/>
          <w:szCs w:val="22"/>
          <w:color w:val="auto"/>
        </w:rPr>
        <w:t>” shall include the work set forth below.</w:t>
      </w:r>
    </w:p>
    <w:p>
      <w:pPr>
        <w:spacing w:after="0" w:line="220" w:lineRule="exact"/>
        <w:rPr>
          <w:sz w:val="20"/>
          <w:szCs w:val="20"/>
          <w:color w:val="auto"/>
        </w:rPr>
      </w:pPr>
    </w:p>
    <w:p>
      <w:pPr>
        <w:ind w:right="160" w:firstLine="648"/>
        <w:spacing w:after="0" w:line="268"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Lobby Remodel.</w:t>
      </w:r>
      <w:r>
        <w:rPr>
          <w:rFonts w:ascii="Arial" w:cs="Arial" w:eastAsia="Arial" w:hAnsi="Arial"/>
          <w:sz w:val="21"/>
          <w:szCs w:val="21"/>
          <w:color w:val="auto"/>
        </w:rPr>
        <w:t xml:space="preserve"> Landlord shall make upgrades to the lobby of the Building in accordance with the plans and specifications set forth on </w:t>
      </w:r>
      <w:r>
        <w:rPr>
          <w:rFonts w:ascii="Arial" w:cs="Arial" w:eastAsia="Arial" w:hAnsi="Arial"/>
          <w:sz w:val="21"/>
          <w:szCs w:val="21"/>
          <w:u w:val="single" w:color="auto"/>
          <w:color w:val="auto"/>
        </w:rPr>
        <w:t>Exhibit B-1</w:t>
      </w:r>
      <w:r>
        <w:rPr>
          <w:rFonts w:ascii="Arial" w:cs="Arial" w:eastAsia="Arial" w:hAnsi="Arial"/>
          <w:sz w:val="21"/>
          <w:szCs w:val="21"/>
          <w:color w:val="auto"/>
        </w:rPr>
        <w:t xml:space="preserve"> at Landlord’s sole cost and expense;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costs and expenses of the lobby upgrade work in excess of $150,000.00 shall be paid by Tenant;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plans and specifications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1 are preliminary, and the final scope of work, materials and finishes for the lobby work are subject to the review and approval of Tenant, which approval shall not be unreasonably withheld.</w:t>
      </w:r>
    </w:p>
    <w:p>
      <w:pPr>
        <w:spacing w:after="0" w:line="16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u w:val="single" w:color="auto"/>
          <w:color w:val="auto"/>
        </w:rPr>
        <w:t>HVAC</w:t>
      </w:r>
      <w:r>
        <w:rPr>
          <w:rFonts w:ascii="Arial" w:cs="Arial" w:eastAsia="Arial" w:hAnsi="Arial"/>
          <w:sz w:val="19"/>
          <w:szCs w:val="19"/>
          <w:color w:val="auto"/>
        </w:rPr>
        <w:t>. Within three (3) business days following the mutual execution and delivery of this Work Letter Agreement, Landlord shall retain John Petro with Indoor Environmental Services (the “</w:t>
      </w:r>
      <w:r>
        <w:rPr>
          <w:rFonts w:ascii="Arial" w:cs="Arial" w:eastAsia="Arial" w:hAnsi="Arial"/>
          <w:sz w:val="19"/>
          <w:szCs w:val="19"/>
          <w:b w:val="1"/>
          <w:bCs w:val="1"/>
          <w:color w:val="auto"/>
        </w:rPr>
        <w:t>HVAC Inspector</w:t>
      </w:r>
      <w:r>
        <w:rPr>
          <w:rFonts w:ascii="Arial" w:cs="Arial" w:eastAsia="Arial" w:hAnsi="Arial"/>
          <w:sz w:val="19"/>
          <w:szCs w:val="19"/>
          <w:color w:val="auto"/>
        </w:rPr>
        <w:t xml:space="preserve">”) to perform a thorough inspection of the HVAC system serving the Expansion Space, the scope of such inspection and accompanying report to be subject to the reasonable prior review and approval of Tenant. Landlord at its sole cost and expense shall promptly cause all repairs and replacements recommended by the HVAC Inspector (the </w:t>
      </w:r>
      <w:r>
        <w:rPr>
          <w:rFonts w:ascii="Arial" w:cs="Arial" w:eastAsia="Arial" w:hAnsi="Arial"/>
          <w:sz w:val="19"/>
          <w:szCs w:val="19"/>
          <w:b w:val="1"/>
          <w:bCs w:val="1"/>
          <w:color w:val="auto"/>
        </w:rPr>
        <w:t>“HVAC Work”</w:t>
      </w:r>
      <w:r>
        <w:rPr>
          <w:rFonts w:ascii="Arial" w:cs="Arial" w:eastAsia="Arial" w:hAnsi="Arial"/>
          <w:sz w:val="19"/>
          <w:szCs w:val="19"/>
          <w:color w:val="auto"/>
        </w:rPr>
        <w:t>) to be performed by an HVAC repair consultant (the</w:t>
      </w:r>
    </w:p>
    <w:p>
      <w:pPr>
        <w:sectPr>
          <w:pgSz w:w="11900" w:h="16908" w:orient="portrait"/>
          <w:cols w:equalWidth="0" w:num="1">
            <w:col w:w="11360"/>
          </w:cols>
          <w:pgMar w:left="240" w:top="1440" w:right="299" w:bottom="0" w:gutter="0" w:footer="0" w:header="0"/>
        </w:sectPr>
      </w:pPr>
    </w:p>
    <w:bookmarkStart w:id="112" w:name="page113"/>
    <w:bookmarkEnd w:id="112"/>
    <w:p>
      <w:pPr>
        <w:ind w:right="60"/>
        <w:spacing w:after="0" w:line="304" w:lineRule="auto"/>
        <w:rPr>
          <w:sz w:val="20"/>
          <w:szCs w:val="20"/>
          <w:color w:val="auto"/>
        </w:rPr>
      </w:pPr>
      <w:r>
        <w:rPr>
          <w:rFonts w:ascii="Arial" w:cs="Arial" w:eastAsia="Arial" w:hAnsi="Arial"/>
          <w:sz w:val="19"/>
          <w:szCs w:val="19"/>
          <w:b w:val="1"/>
          <w:bCs w:val="1"/>
          <w:color w:val="auto"/>
        </w:rPr>
        <w:t>“HVAC Repair Contractor</w:t>
      </w:r>
      <w:r>
        <w:rPr>
          <w:rFonts w:ascii="Arial" w:cs="Arial" w:eastAsia="Arial" w:hAnsi="Arial"/>
          <w:sz w:val="19"/>
          <w:szCs w:val="19"/>
          <w:color w:val="auto"/>
        </w:rPr>
        <w:t>”) selected by Landlord subject to approval by Tenant, which approval shall not be unreasonably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Landlord shall cause the HVAC Inspector to certify to Tenant in writing (the “</w:t>
      </w:r>
      <w:r>
        <w:rPr>
          <w:rFonts w:ascii="Arial" w:cs="Arial" w:eastAsia="Arial" w:hAnsi="Arial"/>
          <w:sz w:val="19"/>
          <w:szCs w:val="19"/>
          <w:b w:val="1"/>
          <w:bCs w:val="1"/>
          <w:color w:val="auto"/>
        </w:rPr>
        <w:t>HVAC Certificate”)</w:t>
      </w:r>
      <w:r>
        <w:rPr>
          <w:rFonts w:ascii="Arial" w:cs="Arial" w:eastAsia="Arial" w:hAnsi="Arial"/>
          <w:sz w:val="19"/>
          <w:szCs w:val="19"/>
          <w:color w:val="auto"/>
        </w:rPr>
        <w:t xml:space="preserve"> that the HVAC Work has been completed by the HVAC Repair Contractor in good and workmanlike manner and in compliance with all applicable laws. Landlord shall warranty the HVAC Work for a period of twelve months after substantial completion of the HVAC Work.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2</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TENANT'S WORK</w:t>
      </w:r>
    </w:p>
    <w:p>
      <w:pPr>
        <w:spacing w:after="0" w:line="22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Selection of Tenant's Architect</w:t>
      </w:r>
      <w:r>
        <w:rPr>
          <w:rFonts w:ascii="Arial" w:cs="Arial" w:eastAsia="Arial" w:hAnsi="Arial"/>
          <w:sz w:val="21"/>
          <w:szCs w:val="21"/>
          <w:color w:val="auto"/>
        </w:rPr>
        <w:t>. With respect to Tenant's construction of any improvements that are to be permanently affixed to the Expansion Space (collectively, the "</w:t>
      </w:r>
      <w:r>
        <w:rPr>
          <w:rFonts w:ascii="Arial" w:cs="Arial" w:eastAsia="Arial" w:hAnsi="Arial"/>
          <w:sz w:val="21"/>
          <w:szCs w:val="21"/>
          <w:b w:val="1"/>
          <w:bCs w:val="1"/>
          <w:color w:val="auto"/>
        </w:rPr>
        <w:t>Tenant Improvements</w:t>
      </w:r>
      <w:r>
        <w:rPr>
          <w:rFonts w:ascii="Arial" w:cs="Arial" w:eastAsia="Arial" w:hAnsi="Arial"/>
          <w:sz w:val="21"/>
          <w:szCs w:val="21"/>
          <w:color w:val="auto"/>
        </w:rPr>
        <w:t>"), Tenant shall retain an architect ("</w:t>
      </w:r>
      <w:r>
        <w:rPr>
          <w:rFonts w:ascii="Arial" w:cs="Arial" w:eastAsia="Arial" w:hAnsi="Arial"/>
          <w:sz w:val="21"/>
          <w:szCs w:val="21"/>
          <w:b w:val="1"/>
          <w:bCs w:val="1"/>
          <w:color w:val="auto"/>
        </w:rPr>
        <w:t>Tenant's Architect</w:t>
      </w:r>
      <w:r>
        <w:rPr>
          <w:rFonts w:ascii="Arial" w:cs="Arial" w:eastAsia="Arial" w:hAnsi="Arial"/>
          <w:sz w:val="21"/>
          <w:szCs w:val="21"/>
          <w:color w:val="auto"/>
        </w:rPr>
        <w:t>") approved by Landlord (which approval shall not be unreasonably withheld, conditioned or delayed and failure to respond within five (5) business days to a request for approval shall be deemed approval) to prepare a complete set of architectural, structural, mechanical, electrical and plumbing working drawings for the Expansion Space (collectively, the "</w:t>
      </w:r>
      <w:r>
        <w:rPr>
          <w:rFonts w:ascii="Arial" w:cs="Arial" w:eastAsia="Arial" w:hAnsi="Arial"/>
          <w:sz w:val="21"/>
          <w:szCs w:val="21"/>
          <w:b w:val="1"/>
          <w:bCs w:val="1"/>
          <w:color w:val="auto"/>
        </w:rPr>
        <w:t>Working Drawings</w:t>
      </w:r>
      <w:r>
        <w:rPr>
          <w:rFonts w:ascii="Arial" w:cs="Arial" w:eastAsia="Arial" w:hAnsi="Arial"/>
          <w:sz w:val="21"/>
          <w:szCs w:val="21"/>
          <w:color w:val="auto"/>
        </w:rPr>
        <w:t>"). Landlord hereby approves Ross Drulis Cusenberry as Tenant's Architect.</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Development Drawings</w:t>
      </w:r>
      <w:r>
        <w:rPr>
          <w:rFonts w:ascii="Arial" w:cs="Arial" w:eastAsia="Arial" w:hAnsi="Arial"/>
          <w:sz w:val="19"/>
          <w:szCs w:val="19"/>
          <w:color w:val="auto"/>
        </w:rPr>
        <w:t>. Tenant shall arrange for Tenant's Architect to prepare and deliver to Landlord two (2) copies of Tenant's preliminary floor plan for the Expansion Space (the "</w:t>
      </w:r>
      <w:r>
        <w:rPr>
          <w:rFonts w:ascii="Arial" w:cs="Arial" w:eastAsia="Arial" w:hAnsi="Arial"/>
          <w:sz w:val="19"/>
          <w:szCs w:val="19"/>
          <w:b w:val="1"/>
          <w:bCs w:val="1"/>
          <w:color w:val="auto"/>
        </w:rPr>
        <w:t>Development Drawings</w:t>
      </w:r>
      <w:r>
        <w:rPr>
          <w:rFonts w:ascii="Arial" w:cs="Arial" w:eastAsia="Arial" w:hAnsi="Arial"/>
          <w:sz w:val="19"/>
          <w:szCs w:val="19"/>
          <w:color w:val="auto"/>
        </w:rPr>
        <w:t>") prior to preparing any architectural working drawings or engineering drawings. The Development Drawings shall include a layout and designation of all offices, rooms and other partitioning, their intended use, and equipment to be contained therein. Landlord shall approve (which approval shall not be unreasonably withheld or conditioned) or disapprove of the Development Drawings by written notice to Tenant within five (5) business days after Landlord's receipt of the Development Drawings, and if Landlord fails to respond within such five (5) business day period and Tenant provides Landlord with written notice of such failure (a “Response Notice”), then the Development Drawings shall be deemed approved by Landlord unless Landlord disapproves the Development Drawings within two (2) business days following receipt of the Response Notice. If Landlord disapproves of the Development Drawings, Tenant shall promptly (i) cause the Development Drawings to be revised to correct any deficiencies or address any other matters to which Landlord has reasonably objected, and (ii) deliver the revised Development Drawings to Landlord for its review and approval. Landlord shall approve (which approval shall not be unreasonably withheld or conditioned) or disapprove of the revised Development Drawings by written notice to Tenant within five (5) business days after Landlord's receipt of the revised Development Drawings, and if Landlord fails to respond within such five (5) business day period and Tenant provides Landlord with a Response Notice regarding such failure, then the revised Development Drawings shall be deemed approved by Landlord unless Landlord disapproves the revised Development Drawings within two (2) business days following receipt of the Response Notice. The Development Drawings approved by Landlord are hereinafter referred to as the "</w:t>
      </w:r>
      <w:r>
        <w:rPr>
          <w:rFonts w:ascii="Arial" w:cs="Arial" w:eastAsia="Arial" w:hAnsi="Arial"/>
          <w:sz w:val="19"/>
          <w:szCs w:val="19"/>
          <w:b w:val="1"/>
          <w:bCs w:val="1"/>
          <w:color w:val="auto"/>
        </w:rPr>
        <w:t>Approved Development Drawings</w:t>
      </w:r>
      <w:r>
        <w:rPr>
          <w:rFonts w:ascii="Arial" w:cs="Arial" w:eastAsia="Arial" w:hAnsi="Arial"/>
          <w:sz w:val="19"/>
          <w:szCs w:val="19"/>
          <w:color w:val="auto"/>
        </w:rPr>
        <w:t>".</w:t>
      </w:r>
    </w:p>
    <w:p>
      <w:pPr>
        <w:spacing w:after="0" w:line="168"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Working Drawings</w:t>
      </w:r>
      <w:r>
        <w:rPr>
          <w:rFonts w:ascii="Arial" w:cs="Arial" w:eastAsia="Arial" w:hAnsi="Arial"/>
          <w:sz w:val="19"/>
          <w:szCs w:val="19"/>
          <w:color w:val="auto"/>
        </w:rPr>
        <w:t>. After Landlord has approved the Development Drawings, Tenant shall promptly cause Tenant's Architect to complete the architectural and engineering drawings for the Expansion Space, and cause Tenant's Architect to compile a fully coordinated set of architectural, structural, mechanical, electrical and plumbing working drawings for the Expansion Space (collectively, the "</w:t>
      </w:r>
      <w:r>
        <w:rPr>
          <w:rFonts w:ascii="Arial" w:cs="Arial" w:eastAsia="Arial" w:hAnsi="Arial"/>
          <w:sz w:val="19"/>
          <w:szCs w:val="19"/>
          <w:b w:val="1"/>
          <w:bCs w:val="1"/>
          <w:color w:val="auto"/>
        </w:rPr>
        <w:t>Working Drawings</w:t>
      </w:r>
      <w:r>
        <w:rPr>
          <w:rFonts w:ascii="Arial" w:cs="Arial" w:eastAsia="Arial" w:hAnsi="Arial"/>
          <w:sz w:val="19"/>
          <w:szCs w:val="19"/>
          <w:color w:val="auto"/>
        </w:rPr>
        <w:t>"). The Working Drawings shall be consistent with the Approved Development Drawings. Tenant shall deliver to Landlord two (2) copies of the Working Drawings for Landlord's review and approval. Landlord shall approve or disapprove of the Working Drawings by written notice to Tenant within ten (10) business days after Landlord's receipt of the Working Drawings. If Landlord disapproves of the Working Drawings, Tenant shall promptly (i) cause the Working Drawings to be revised to correct any deficiencies or address any other matters to which Landlord has objected, and (ii) deliver the revised Working Drawings to Landlord for its review and approval. The Working Drawings approved by Landlord are hereinafter referred to as the "</w:t>
      </w:r>
      <w:r>
        <w:rPr>
          <w:rFonts w:ascii="Arial" w:cs="Arial" w:eastAsia="Arial" w:hAnsi="Arial"/>
          <w:sz w:val="19"/>
          <w:szCs w:val="19"/>
          <w:b w:val="1"/>
          <w:bCs w:val="1"/>
          <w:color w:val="auto"/>
        </w:rPr>
        <w:t>Approved Working Drawings</w:t>
      </w:r>
      <w:r>
        <w:rPr>
          <w:rFonts w:ascii="Arial" w:cs="Arial" w:eastAsia="Arial" w:hAnsi="Arial"/>
          <w:sz w:val="19"/>
          <w:szCs w:val="19"/>
          <w:color w:val="auto"/>
        </w:rPr>
        <w:t>".</w:t>
      </w:r>
    </w:p>
    <w:p>
      <w:pPr>
        <w:spacing w:after="0" w:line="160"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Approved Working Drawings</w:t>
      </w:r>
      <w:r>
        <w:rPr>
          <w:rFonts w:ascii="Arial" w:cs="Arial" w:eastAsia="Arial" w:hAnsi="Arial"/>
          <w:sz w:val="19"/>
          <w:szCs w:val="19"/>
          <w:color w:val="auto"/>
        </w:rPr>
        <w:t>. After Landlord has approved the Working Drawings, Tenant shall promptly submit the same to the appropriate governmental agency or department for all applicable building permits. Tenant hereby agrees that neither Landlord nor Landlord's consultants shall be responsible for obtaining any building permit or certificate of occupancy for the Expansion Space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to the Approved Working Drawings (including without limitation those changes, if any, required by the applicable governmental agency or department as a condition to issuing the required building permit, it being the intent of the parties that Landlord shall have an opportunity to review and reasonably dispute such required changes in good faith) may be made without the prior written consent of Landlord, which consent shall not be unreasonably withheld or conditioned, and if Landlord fails to respond within five (5) business days following receipt of a written request to approve change(s) and Tenant provides Landlord with a Response Notice regarding such failure, then the requested changes to the Approved Working Drawings shall be deemed approved by Landlord unless Landlord disapproves the requested change(s) within two (2) business days following receipt of the Response Notice.</w:t>
      </w:r>
    </w:p>
    <w:p>
      <w:pPr>
        <w:spacing w:after="0" w:line="167" w:lineRule="exact"/>
        <w:rPr>
          <w:sz w:val="20"/>
          <w:szCs w:val="20"/>
          <w:color w:val="auto"/>
        </w:rPr>
      </w:pPr>
    </w:p>
    <w:p>
      <w:pPr>
        <w:jc w:val="both"/>
        <w:ind w:right="420" w:firstLine="648"/>
        <w:spacing w:after="0" w:line="271"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No Liability</w:t>
      </w:r>
      <w:r>
        <w:rPr>
          <w:rFonts w:ascii="Arial" w:cs="Arial" w:eastAsia="Arial" w:hAnsi="Arial"/>
          <w:sz w:val="21"/>
          <w:szCs w:val="21"/>
          <w:color w:val="auto"/>
        </w:rPr>
        <w:t>. Landlord's review of the Development Drawings and the Working Drawings is solely for Landlord's purpose. Accordingly, Landlord shall have no liability whatsoever in connection therewith and shall not be responsible for any omissions or errors contained in the Development Drawings or the Construction Drawings.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3</w:t>
      </w:r>
    </w:p>
    <w:p>
      <w:pPr>
        <w:sectPr>
          <w:pgSz w:w="11900" w:h="16838" w:orient="portrait"/>
          <w:cols w:equalWidth="0" w:num="1">
            <w:col w:w="11380"/>
          </w:cols>
          <w:pgMar w:left="240" w:top="126" w:right="279" w:bottom="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u w:val="single" w:color="auto"/>
          <w:color w:val="auto"/>
        </w:rPr>
        <w:t>CONSTRUCTION OF THE TENANT IMPROVEMENTS</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Tenant's Contractor and Tenant's Agents</w:t>
      </w:r>
      <w:r>
        <w:rPr>
          <w:rFonts w:ascii="Arial" w:cs="Arial" w:eastAsia="Arial" w:hAnsi="Arial"/>
          <w:sz w:val="19"/>
          <w:szCs w:val="19"/>
          <w:color w:val="auto"/>
        </w:rPr>
        <w:t>.</w:t>
      </w:r>
    </w:p>
    <w:p>
      <w:pPr>
        <w:spacing w:after="0" w:line="227" w:lineRule="exact"/>
        <w:rPr>
          <w:sz w:val="20"/>
          <w:szCs w:val="20"/>
          <w:color w:val="auto"/>
        </w:rPr>
      </w:pPr>
    </w:p>
    <w:p>
      <w:pPr>
        <w:ind w:right="60" w:firstLine="1297"/>
        <w:spacing w:after="0" w:line="309"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Tenant's Contractor</w:t>
      </w:r>
      <w:r>
        <w:rPr>
          <w:rFonts w:ascii="Arial" w:cs="Arial" w:eastAsia="Arial" w:hAnsi="Arial"/>
          <w:sz w:val="19"/>
          <w:szCs w:val="19"/>
          <w:color w:val="auto"/>
        </w:rPr>
        <w:t>. Tenant shall retain a general contractor ("</w:t>
      </w:r>
      <w:r>
        <w:rPr>
          <w:rFonts w:ascii="Arial" w:cs="Arial" w:eastAsia="Arial" w:hAnsi="Arial"/>
          <w:sz w:val="19"/>
          <w:szCs w:val="19"/>
          <w:b w:val="1"/>
          <w:bCs w:val="1"/>
          <w:color w:val="auto"/>
        </w:rPr>
        <w:t>Tenant's Contractor</w:t>
      </w:r>
      <w:r>
        <w:rPr>
          <w:rFonts w:ascii="Arial" w:cs="Arial" w:eastAsia="Arial" w:hAnsi="Arial"/>
          <w:sz w:val="19"/>
          <w:szCs w:val="19"/>
          <w:color w:val="auto"/>
        </w:rPr>
        <w:t>") approved in writing by Landlord to construct the Tenant Improvements. Landlord shall not unreasonably withhold, condition or delay its approval of Tenant's Contractor (and failure to respond within five (5) business days to a request for approval shall be deemed approval). Landlord hereby accepts Vila Construction, Kirby Construction or BBS Construction as Tenant's Contractor.</w:t>
      </w:r>
    </w:p>
    <w:p>
      <w:pPr>
        <w:spacing w:after="0" w:line="137" w:lineRule="exact"/>
        <w:rPr>
          <w:sz w:val="20"/>
          <w:szCs w:val="20"/>
          <w:color w:val="auto"/>
        </w:rPr>
      </w:pPr>
    </w:p>
    <w:p>
      <w:pPr>
        <w:ind w:right="320" w:firstLine="1297"/>
        <w:spacing w:after="0" w:line="260"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Tenant's Agents</w:t>
      </w:r>
      <w:r>
        <w:rPr>
          <w:rFonts w:ascii="Arial" w:cs="Arial" w:eastAsia="Arial" w:hAnsi="Arial"/>
          <w:sz w:val="22"/>
          <w:szCs w:val="22"/>
          <w:color w:val="auto"/>
        </w:rPr>
        <w:t>. Tenant shall provide Landlord with a list of all subcontractors, laborers, materialmen and suppliers used by Tenant (such subcontractors, laborers, materialmen and suppliers, together with Tenant's Contractor, are collectively referred to as "</w:t>
      </w:r>
      <w:r>
        <w:rPr>
          <w:rFonts w:ascii="Arial" w:cs="Arial" w:eastAsia="Arial" w:hAnsi="Arial"/>
          <w:sz w:val="22"/>
          <w:szCs w:val="22"/>
          <w:b w:val="1"/>
          <w:bCs w:val="1"/>
          <w:color w:val="auto"/>
        </w:rPr>
        <w:t>Tenant's Agents"</w:t>
      </w:r>
      <w:r>
        <w:rPr>
          <w:rFonts w:ascii="Arial" w:cs="Arial" w:eastAsia="Arial" w:hAnsi="Arial"/>
          <w:sz w:val="22"/>
          <w:szCs w:val="22"/>
          <w:color w:val="auto"/>
        </w:rPr>
        <w: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Construction of Tenant Improvements</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8"/>
          <w:szCs w:val="18"/>
          <w:u w:val="single" w:color="auto"/>
          <w:color w:val="auto"/>
        </w:rPr>
        <w:t>Tenant's Agents</w:t>
      </w:r>
      <w:r>
        <w:rPr>
          <w:rFonts w:ascii="Arial" w:cs="Arial" w:eastAsia="Arial" w:hAnsi="Arial"/>
          <w:sz w:val="18"/>
          <w:szCs w:val="18"/>
          <w:color w:val="auto"/>
        </w:rPr>
        <w:t>.</w:t>
      </w:r>
    </w:p>
    <w:p>
      <w:pPr>
        <w:spacing w:after="0" w:line="233" w:lineRule="exact"/>
        <w:rPr>
          <w:sz w:val="20"/>
          <w:szCs w:val="20"/>
          <w:color w:val="auto"/>
        </w:rPr>
      </w:pPr>
    </w:p>
    <w:p>
      <w:pPr>
        <w:ind w:right="140" w:firstLine="1945"/>
        <w:spacing w:after="0" w:line="250" w:lineRule="auto"/>
        <w:rPr>
          <w:sz w:val="20"/>
          <w:szCs w:val="20"/>
          <w:color w:val="auto"/>
        </w:rPr>
      </w:pPr>
      <w:r>
        <w:rPr>
          <w:rFonts w:ascii="Arial" w:cs="Arial" w:eastAsia="Arial" w:hAnsi="Arial"/>
          <w:sz w:val="22"/>
          <w:szCs w:val="22"/>
          <w:color w:val="auto"/>
        </w:rPr>
        <w:t xml:space="preserve">3.2.1.1 </w:t>
      </w:r>
      <w:r>
        <w:rPr>
          <w:rFonts w:ascii="Arial" w:cs="Arial" w:eastAsia="Arial" w:hAnsi="Arial"/>
          <w:sz w:val="22"/>
          <w:szCs w:val="22"/>
          <w:u w:val="single" w:color="auto"/>
          <w:color w:val="auto"/>
        </w:rPr>
        <w:t>Landlord's General Conditions</w:t>
      </w:r>
      <w:r>
        <w:rPr>
          <w:rFonts w:ascii="Arial" w:cs="Arial" w:eastAsia="Arial" w:hAnsi="Arial"/>
          <w:sz w:val="22"/>
          <w:szCs w:val="22"/>
          <w:color w:val="auto"/>
        </w:rPr>
        <w:t xml:space="preserve">. Tenant's and Tenant's Agents' construction of the Tenant Improvements shall comply with the following: (i) the Tenant Improvements shall be constructed in strict accordance with the Approved Working Drawings; and (ii) Tenant shall abide by all of Landlord's commercially reasonable rules with respect to the storage of materials, coordination of work with the contractors of other tenants, and any other matter in connection with this Work Letter Agreement, including, without limitation, the construction of the Tenant Improvements. A copy of Landlord’s current construction rules are attached hereto as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88" w:lineRule="exact"/>
        <w:rPr>
          <w:sz w:val="20"/>
          <w:szCs w:val="20"/>
          <w:color w:val="auto"/>
        </w:rPr>
      </w:pPr>
    </w:p>
    <w:p>
      <w:pPr>
        <w:ind w:right="60" w:firstLine="1945"/>
        <w:spacing w:after="0" w:line="307" w:lineRule="auto"/>
        <w:rPr>
          <w:sz w:val="20"/>
          <w:szCs w:val="20"/>
          <w:color w:val="auto"/>
        </w:rPr>
      </w:pPr>
      <w:r>
        <w:rPr>
          <w:rFonts w:ascii="Arial" w:cs="Arial" w:eastAsia="Arial" w:hAnsi="Arial"/>
          <w:sz w:val="19"/>
          <w:szCs w:val="19"/>
          <w:color w:val="auto"/>
        </w:rPr>
        <w:t xml:space="preserve">3.2.1.2 </w:t>
      </w:r>
      <w:r>
        <w:rPr>
          <w:rFonts w:ascii="Arial" w:cs="Arial" w:eastAsia="Arial" w:hAnsi="Arial"/>
          <w:sz w:val="19"/>
          <w:szCs w:val="19"/>
          <w:u w:val="single" w:color="auto"/>
          <w:color w:val="auto"/>
        </w:rPr>
        <w:t>Indemnity</w:t>
      </w:r>
      <w:r>
        <w:rPr>
          <w:rFonts w:ascii="Arial" w:cs="Arial" w:eastAsia="Arial" w:hAnsi="Arial"/>
          <w:sz w:val="19"/>
          <w:szCs w:val="19"/>
          <w:color w:val="auto"/>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w:t>
      </w:r>
    </w:p>
    <w:p>
      <w:pPr>
        <w:spacing w:after="0" w:line="138"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3.2.1.3</w:t>
      </w:r>
      <w:r>
        <w:rPr>
          <w:sz w:val="20"/>
          <w:szCs w:val="20"/>
          <w:color w:val="auto"/>
        </w:rPr>
        <w:tab/>
      </w:r>
      <w:r>
        <w:rPr>
          <w:rFonts w:ascii="Arial" w:cs="Arial" w:eastAsia="Arial" w:hAnsi="Arial"/>
          <w:sz w:val="19"/>
          <w:szCs w:val="19"/>
          <w:u w:val="single" w:color="auto"/>
          <w:color w:val="auto"/>
        </w:rPr>
        <w:t>Insurance Requirements</w:t>
      </w:r>
      <w:r>
        <w:rPr>
          <w:rFonts w:ascii="Arial" w:cs="Arial" w:eastAsia="Arial" w:hAnsi="Arial"/>
          <w:sz w:val="19"/>
          <w:szCs w:val="19"/>
          <w:color w:val="auto"/>
        </w:rPr>
        <w:t>.</w:t>
      </w:r>
    </w:p>
    <w:p>
      <w:pPr>
        <w:spacing w:after="0" w:line="233" w:lineRule="exact"/>
        <w:rPr>
          <w:sz w:val="20"/>
          <w:szCs w:val="20"/>
          <w:color w:val="auto"/>
        </w:rPr>
      </w:pPr>
    </w:p>
    <w:p>
      <w:pPr>
        <w:ind w:right="200" w:firstLine="2593"/>
        <w:spacing w:after="0" w:line="254" w:lineRule="auto"/>
        <w:rPr>
          <w:sz w:val="20"/>
          <w:szCs w:val="20"/>
          <w:color w:val="auto"/>
        </w:rPr>
      </w:pPr>
      <w:r>
        <w:rPr>
          <w:rFonts w:ascii="Arial" w:cs="Arial" w:eastAsia="Arial" w:hAnsi="Arial"/>
          <w:sz w:val="22"/>
          <w:szCs w:val="22"/>
          <w:color w:val="auto"/>
        </w:rPr>
        <w:t xml:space="preserve">3.2.1.3.1 </w:t>
      </w:r>
      <w:r>
        <w:rPr>
          <w:rFonts w:ascii="Arial" w:cs="Arial" w:eastAsia="Arial" w:hAnsi="Arial"/>
          <w:sz w:val="22"/>
          <w:szCs w:val="22"/>
          <w:u w:val="single" w:color="auto"/>
          <w:color w:val="auto"/>
        </w:rPr>
        <w:t>General Coverages</w:t>
      </w:r>
      <w:r>
        <w:rPr>
          <w:rFonts w:ascii="Arial" w:cs="Arial" w:eastAsia="Arial" w:hAnsi="Arial"/>
          <w:sz w:val="22"/>
          <w:szCs w:val="22"/>
          <w:color w:val="auto"/>
        </w:rPr>
        <w:t>. Tenant's Contractor shall carry worker's compensation insurance covering all of its respective employees and shall also carry public liability insurance, all with limits, in form and with companies as are reasonably required by Landlord, and Tenant shall require its Contractor to require its subcontractors, materialmen and suppliers to do the same.</w:t>
      </w:r>
    </w:p>
    <w:p>
      <w:pPr>
        <w:spacing w:after="0" w:line="185" w:lineRule="exact"/>
        <w:rPr>
          <w:sz w:val="20"/>
          <w:szCs w:val="20"/>
          <w:color w:val="auto"/>
        </w:rPr>
      </w:pPr>
    </w:p>
    <w:p>
      <w:pPr>
        <w:ind w:firstLine="2593"/>
        <w:spacing w:after="0" w:line="290" w:lineRule="auto"/>
        <w:rPr>
          <w:sz w:val="20"/>
          <w:szCs w:val="20"/>
          <w:color w:val="auto"/>
        </w:rPr>
      </w:pPr>
      <w:r>
        <w:rPr>
          <w:rFonts w:ascii="Arial" w:cs="Arial" w:eastAsia="Arial" w:hAnsi="Arial"/>
          <w:sz w:val="19"/>
          <w:szCs w:val="19"/>
          <w:color w:val="auto"/>
        </w:rPr>
        <w:t xml:space="preserve">3.2.1.3.2 </w:t>
      </w:r>
      <w:r>
        <w:rPr>
          <w:rFonts w:ascii="Arial" w:cs="Arial" w:eastAsia="Arial" w:hAnsi="Arial"/>
          <w:sz w:val="19"/>
          <w:szCs w:val="19"/>
          <w:u w:val="single" w:color="auto"/>
          <w:color w:val="auto"/>
        </w:rPr>
        <w:t>General Terms</w:t>
      </w:r>
      <w:r>
        <w:rPr>
          <w:rFonts w:ascii="Arial" w:cs="Arial" w:eastAsia="Arial" w:hAnsi="Arial"/>
          <w:sz w:val="19"/>
          <w:szCs w:val="19"/>
          <w:color w:val="auto"/>
        </w:rPr>
        <w:t>. Tenant shall deliver to Landlord certificates for all insurance required to be carried by Tenant or Tenant's Contractor pursuant to this Section 3.2.1.3 prior to the commencement of construction of the Tenant Improvements and before the Tenant's Contractor's equipment is moved onto the site. Tenant shall use commercially reasonable efforts to cause all such policies of insurance to contain a provision that the company writing said policy will give Landlord thirty</w:t>
      </w:r>
    </w:p>
    <w:p>
      <w:pPr>
        <w:spacing w:after="0" w:line="2" w:lineRule="exact"/>
        <w:rPr>
          <w:sz w:val="20"/>
          <w:szCs w:val="20"/>
          <w:color w:val="auto"/>
        </w:rPr>
      </w:pPr>
    </w:p>
    <w:p>
      <w:pPr>
        <w:ind w:right="120" w:firstLine="8"/>
        <w:spacing w:after="0" w:line="290" w:lineRule="auto"/>
        <w:tabs>
          <w:tab w:leader="none" w:pos="414" w:val="left"/>
        </w:tabs>
        <w:numPr>
          <w:ilvl w:val="0"/>
          <w:numId w:val="52"/>
        </w:numPr>
        <w:rPr>
          <w:rFonts w:ascii="Arial" w:cs="Arial" w:eastAsia="Arial" w:hAnsi="Arial"/>
          <w:sz w:val="19"/>
          <w:szCs w:val="19"/>
          <w:color w:val="auto"/>
        </w:rPr>
      </w:pPr>
      <w:r>
        <w:rPr>
          <w:rFonts w:ascii="Arial" w:cs="Arial" w:eastAsia="Arial" w:hAnsi="Arial"/>
          <w:sz w:val="19"/>
          <w:szCs w:val="19"/>
          <w:color w:val="auto"/>
        </w:rPr>
        <w:t>days' prior written notice of any cancellation or lapse of the effective date or any reduction in the amounts of such insurance. All policies carried under this Section 3.2.1.3 shall insure Landlord, Basin Street Properties and Tenant, as their interests may appear, as well as Tenant's Contractor, as applicable. Such insurance shall provide that it is primary insurance as respects the Landlord and Basin Street Properties and that any other insurance maintained by Landlord or Basin Street Properties is excess and noncontributing with the insurance required hereunder. The requirements for the foregoing insurance shall not be construed to modify the provisions for indemnification of Landlord by Tenant under this Work Letter Agreement.</w:t>
      </w:r>
    </w:p>
    <w:p>
      <w:pPr>
        <w:spacing w:after="0" w:line="154" w:lineRule="exact"/>
        <w:rPr>
          <w:sz w:val="20"/>
          <w:szCs w:val="20"/>
          <w:color w:val="auto"/>
        </w:rPr>
      </w:pPr>
    </w:p>
    <w:p>
      <w:pPr>
        <w:ind w:right="200" w:firstLine="1297"/>
        <w:spacing w:after="0" w:line="276"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Governmental Compliance</w:t>
      </w:r>
      <w:r>
        <w:rPr>
          <w:rFonts w:ascii="Arial" w:cs="Arial" w:eastAsia="Arial" w:hAnsi="Arial"/>
          <w:sz w:val="22"/>
          <w:szCs w:val="22"/>
          <w:color w:val="auto"/>
        </w:rPr>
        <w:t>. The Tenant Improvements shall comply in all respects with all applicable laws, building codes, ordinances and regulations.</w:t>
      </w:r>
    </w:p>
    <w:p>
      <w:pPr>
        <w:spacing w:after="0" w:line="161" w:lineRule="exact"/>
        <w:rPr>
          <w:sz w:val="20"/>
          <w:szCs w:val="20"/>
          <w:color w:val="auto"/>
        </w:rPr>
      </w:pPr>
    </w:p>
    <w:p>
      <w:pPr>
        <w:ind w:right="20" w:firstLine="1297"/>
        <w:spacing w:after="0" w:line="262" w:lineRule="auto"/>
        <w:rPr>
          <w:sz w:val="20"/>
          <w:szCs w:val="20"/>
          <w:color w:val="auto"/>
        </w:rPr>
      </w:pPr>
      <w:r>
        <w:rPr>
          <w:rFonts w:ascii="Arial" w:cs="Arial" w:eastAsia="Arial" w:hAnsi="Arial"/>
          <w:sz w:val="21"/>
          <w:szCs w:val="21"/>
          <w:color w:val="auto"/>
        </w:rPr>
        <w:t xml:space="preserve">3.2.3 </w:t>
      </w:r>
      <w:r>
        <w:rPr>
          <w:rFonts w:ascii="Arial" w:cs="Arial" w:eastAsia="Arial" w:hAnsi="Arial"/>
          <w:sz w:val="21"/>
          <w:szCs w:val="21"/>
          <w:u w:val="single" w:color="auto"/>
          <w:color w:val="auto"/>
        </w:rPr>
        <w:t>Inspection by Landlord</w:t>
      </w:r>
      <w:r>
        <w:rPr>
          <w:rFonts w:ascii="Arial" w:cs="Arial" w:eastAsia="Arial" w:hAnsi="Arial"/>
          <w:sz w:val="21"/>
          <w:szCs w:val="21"/>
          <w:color w:val="auto"/>
        </w:rPr>
        <w:t>. Landlord shall have the right to inspect the Tenant Improvements at all times, and provided further that Landlord shall not unreasonably interfere with the performance of the Tenant Improvements,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in, or deviations from the Approved Working Drawings by the Tenant Improvements, shall be rectified by Tenant at no expense to Landlord.</w:t>
      </w:r>
    </w:p>
    <w:p>
      <w:pPr>
        <w:spacing w:after="0" w:line="18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Notice of Completion; Copy of Plans</w:t>
      </w:r>
      <w:r>
        <w:rPr>
          <w:rFonts w:ascii="Arial" w:cs="Arial" w:eastAsia="Arial" w:hAnsi="Arial"/>
          <w:sz w:val="19"/>
          <w:szCs w:val="19"/>
          <w:color w:val="auto"/>
        </w:rPr>
        <w:t>. Within ten (10) Business days after the Tenant Improvement are completed, Tenant shall cause a Notice of Completion to be recorded in the office of the Recorder of the County in which the Building is located in accordance with Section 3093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Tenant shall cause Tenant's Architect and Tenant's Contractor to update the Approved Working Drawings as necessary to reflect all changes made to</w:t>
      </w:r>
    </w:p>
    <w:p>
      <w:pPr>
        <w:sectPr>
          <w:pgSz w:w="11900" w:h="16838" w:orient="portrait"/>
          <w:cols w:equalWidth="0" w:num="1">
            <w:col w:w="11400"/>
          </w:cols>
          <w:pgMar w:left="240" w:top="125" w:right="259" w:bottom="2" w:gutter="0" w:footer="0" w:header="0"/>
        </w:sectPr>
      </w:pPr>
    </w:p>
    <w:bookmarkStart w:id="114" w:name="page115"/>
    <w:bookmarkEnd w:id="114"/>
    <w:p>
      <w:pPr>
        <w:spacing w:after="0" w:line="66" w:lineRule="exact"/>
        <w:rPr>
          <w:sz w:val="20"/>
          <w:szCs w:val="20"/>
          <w:color w:val="auto"/>
        </w:rPr>
      </w:pPr>
    </w:p>
    <w:p>
      <w:pPr>
        <w:ind w:right="920"/>
        <w:spacing w:after="0" w:line="287" w:lineRule="auto"/>
        <w:rPr>
          <w:sz w:val="20"/>
          <w:szCs w:val="20"/>
          <w:color w:val="auto"/>
        </w:rPr>
      </w:pPr>
      <w:r>
        <w:rPr>
          <w:rFonts w:ascii="Arial" w:cs="Arial" w:eastAsia="Arial" w:hAnsi="Arial"/>
          <w:sz w:val="21"/>
          <w:szCs w:val="21"/>
          <w:color w:val="auto"/>
        </w:rPr>
        <w:t>the Approved Working Drawings during the course of construction and deliver to Landlord a set of the updated permitted Approved Working Drawings, in both paper and electronic formats as reasonably required by Landlord.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Tenant's Representative</w:t>
      </w:r>
      <w:r>
        <w:rPr>
          <w:rFonts w:ascii="Arial" w:cs="Arial" w:eastAsia="Arial" w:hAnsi="Arial"/>
          <w:sz w:val="22"/>
          <w:szCs w:val="22"/>
          <w:color w:val="auto"/>
        </w:rPr>
        <w:t>. Tenant has designated Matt Rudie as its sole representative with respect to the matters set forth in this Work Letter Agreement, who shall have full authority and responsibility to act on behalf of Tenant as required in this Work Letter Agreement.</w:t>
      </w:r>
    </w:p>
    <w:p>
      <w:pPr>
        <w:spacing w:after="0" w:line="1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Landlord's Representative</w:t>
      </w:r>
      <w:r>
        <w:rPr>
          <w:rFonts w:ascii="Arial" w:cs="Arial" w:eastAsia="Arial" w:hAnsi="Arial"/>
          <w:sz w:val="22"/>
          <w:szCs w:val="22"/>
          <w:color w:val="auto"/>
        </w:rPr>
        <w:t>. Landlord has designated Matt Sherrill as its sole representative with respect to the matters set forth in this Work Letter Agreement, who, until further notice to Tenant, shall have full authority and responsibility to act on behalf of Landlord as required in this Work Letter Agreement.</w:t>
      </w:r>
    </w:p>
    <w:p>
      <w:pPr>
        <w:spacing w:after="0" w:line="171" w:lineRule="exact"/>
        <w:rPr>
          <w:sz w:val="20"/>
          <w:szCs w:val="20"/>
          <w:color w:val="auto"/>
        </w:rPr>
      </w:pPr>
    </w:p>
    <w:p>
      <w:pPr>
        <w:ind w:right="20" w:firstLine="648"/>
        <w:spacing w:after="0" w:line="32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Time of the Essence in This Work Letter Agreement</w:t>
      </w:r>
      <w:r>
        <w:rPr>
          <w:rFonts w:ascii="Arial" w:cs="Arial" w:eastAsia="Arial" w:hAnsi="Arial"/>
          <w:sz w:val="19"/>
          <w:szCs w:val="19"/>
          <w:color w:val="auto"/>
        </w:rPr>
        <w:t>. Unless otherwise indicated, all references herein to a "</w:t>
      </w:r>
      <w:r>
        <w:rPr>
          <w:rFonts w:ascii="Arial" w:cs="Arial" w:eastAsia="Arial" w:hAnsi="Arial"/>
          <w:sz w:val="19"/>
          <w:szCs w:val="19"/>
          <w:b w:val="1"/>
          <w:bCs w:val="1"/>
          <w:color w:val="auto"/>
        </w:rPr>
        <w:t>number of</w:t>
      </w:r>
      <w:r>
        <w:rPr>
          <w:rFonts w:ascii="Arial" w:cs="Arial" w:eastAsia="Arial" w:hAnsi="Arial"/>
          <w:sz w:val="19"/>
          <w:szCs w:val="19"/>
          <w:color w:val="auto"/>
        </w:rPr>
        <w:t xml:space="preserve"> </w:t>
      </w:r>
      <w:r>
        <w:rPr>
          <w:rFonts w:ascii="Arial" w:cs="Arial" w:eastAsia="Arial" w:hAnsi="Arial"/>
          <w:sz w:val="19"/>
          <w:szCs w:val="19"/>
          <w:b w:val="1"/>
          <w:bCs w:val="1"/>
          <w:color w:val="auto"/>
        </w:rPr>
        <w:t>days</w:t>
      </w:r>
      <w:r>
        <w:rPr>
          <w:rFonts w:ascii="Arial" w:cs="Arial" w:eastAsia="Arial" w:hAnsi="Arial"/>
          <w:sz w:val="19"/>
          <w:szCs w:val="19"/>
          <w:color w:val="auto"/>
        </w:rPr>
        <w:t>" shall mean and refer to calendar days. If any item requiring approval is timely disapproved by Landlord, the procedure for</w:t>
      </w:r>
      <w:r>
        <w:rPr>
          <w:rFonts w:ascii="Arial" w:cs="Arial" w:eastAsia="Arial" w:hAnsi="Arial"/>
          <w:sz w:val="19"/>
          <w:szCs w:val="19"/>
          <w:b w:val="1"/>
          <w:bCs w:val="1"/>
          <w:color w:val="auto"/>
        </w:rPr>
        <w:t xml:space="preserve"> </w:t>
      </w:r>
      <w:r>
        <w:rPr>
          <w:rFonts w:ascii="Arial" w:cs="Arial" w:eastAsia="Arial" w:hAnsi="Arial"/>
          <w:sz w:val="19"/>
          <w:szCs w:val="19"/>
          <w:color w:val="auto"/>
        </w:rPr>
        <w:t>preparation of the document and approval thereof shall be repeated until the document is approved by Landlord.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5</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 IMPROVEMENT ALLOWANCE</w:t>
      </w:r>
    </w:p>
    <w:p>
      <w:pPr>
        <w:spacing w:after="0" w:line="220"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Tenant Improvement Allowance</w:t>
      </w:r>
      <w:r>
        <w:rPr>
          <w:rFonts w:ascii="Arial" w:cs="Arial" w:eastAsia="Arial" w:hAnsi="Arial"/>
          <w:sz w:val="19"/>
          <w:szCs w:val="19"/>
          <w:color w:val="auto"/>
        </w:rPr>
        <w:t>. Tenant shall be entitled to a one-time tenant improvement allowance (the "</w:t>
      </w:r>
      <w:r>
        <w:rPr>
          <w:rFonts w:ascii="Arial" w:cs="Arial" w:eastAsia="Arial" w:hAnsi="Arial"/>
          <w:sz w:val="19"/>
          <w:szCs w:val="19"/>
          <w:b w:val="1"/>
          <w:bCs w:val="1"/>
          <w:color w:val="auto"/>
        </w:rPr>
        <w:t>Tenant</w:t>
      </w:r>
      <w:r>
        <w:rPr>
          <w:rFonts w:ascii="Arial" w:cs="Arial" w:eastAsia="Arial" w:hAnsi="Arial"/>
          <w:sz w:val="19"/>
          <w:szCs w:val="19"/>
          <w:color w:val="auto"/>
        </w:rPr>
        <w:t xml:space="preserve"> </w:t>
      </w:r>
      <w:r>
        <w:rPr>
          <w:rFonts w:ascii="Arial" w:cs="Arial" w:eastAsia="Arial" w:hAnsi="Arial"/>
          <w:sz w:val="19"/>
          <w:szCs w:val="19"/>
          <w:b w:val="1"/>
          <w:bCs w:val="1"/>
          <w:color w:val="auto"/>
        </w:rPr>
        <w:t>Improvement Allowance</w:t>
      </w:r>
      <w:r>
        <w:rPr>
          <w:rFonts w:ascii="Arial" w:cs="Arial" w:eastAsia="Arial" w:hAnsi="Arial"/>
          <w:sz w:val="19"/>
          <w:szCs w:val="19"/>
          <w:color w:val="auto"/>
        </w:rPr>
        <w:t>") of $40.00 per rentable square foot of the Expansion Space ($40.00 X 24,000 = $960,000.00)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costs relating to the design and construction of the Tenant Improvements; provided, however, that Landlord shall have no obligation to disburse all or any portion of the Tenant Improvement Allowance to Tenant unless Tenant makes a request for disbursement pursuant to the terms and conditions of Section 5.2 below prior to that date which is twelve (12) months after the Commencement Date. In no event shall Landlord be obligated to make disbursements pursuant to this Work Letter Agreement in a total amount which exceeds the Tenant Improvement Allowance. Tenant shall not be entitled to receive any cash payment or credit against Rent or otherwise for any unused portion of the Tenant Improvement Allowance which is not used to pay for the Tenant Improvement Allowance Items (as such term is defined below).</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Disbursement of the Tenant Improvement Allowance</w:t>
      </w:r>
      <w:r>
        <w:rPr>
          <w:rFonts w:ascii="Arial" w:cs="Arial" w:eastAsia="Arial" w:hAnsi="Arial"/>
          <w:sz w:val="19"/>
          <w:szCs w:val="19"/>
          <w:color w:val="auto"/>
        </w:rPr>
        <w:t>.</w:t>
      </w:r>
    </w:p>
    <w:p>
      <w:pPr>
        <w:spacing w:after="0" w:line="233" w:lineRule="exact"/>
        <w:rPr>
          <w:sz w:val="20"/>
          <w:szCs w:val="20"/>
          <w:color w:val="auto"/>
        </w:rPr>
      </w:pPr>
    </w:p>
    <w:p>
      <w:pPr>
        <w:ind w:right="300" w:firstLine="1297"/>
        <w:spacing w:after="0" w:line="260" w:lineRule="auto"/>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u w:val="single" w:color="auto"/>
          <w:color w:val="auto"/>
        </w:rPr>
        <w:t>Tenant Improvement Allowance Items</w:t>
      </w:r>
      <w:r>
        <w:rPr>
          <w:rFonts w:ascii="Arial" w:cs="Arial" w:eastAsia="Arial" w:hAnsi="Arial"/>
          <w:sz w:val="22"/>
          <w:szCs w:val="22"/>
          <w:color w:val="auto"/>
        </w:rPr>
        <w:t>. Except as otherwise set forth in this Work Letter Agreement, the Tenant Improvement Allowance shall be disbursed by Landlord only for the following items and costs (collectively, the "</w:t>
      </w:r>
      <w:r>
        <w:rPr>
          <w:rFonts w:ascii="Arial" w:cs="Arial" w:eastAsia="Arial" w:hAnsi="Arial"/>
          <w:sz w:val="22"/>
          <w:szCs w:val="22"/>
          <w:b w:val="1"/>
          <w:bCs w:val="1"/>
          <w:color w:val="auto"/>
        </w:rPr>
        <w:t>Tenant</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 Allowance Items</w:t>
      </w:r>
      <w:r>
        <w:rPr>
          <w:rFonts w:ascii="Arial" w:cs="Arial" w:eastAsia="Arial" w:hAnsi="Arial"/>
          <w:sz w:val="22"/>
          <w:szCs w:val="22"/>
          <w:color w:val="auto"/>
        </w:rPr>
        <w:t>"):</w:t>
      </w:r>
    </w:p>
    <w:p>
      <w:pPr>
        <w:spacing w:after="0" w:line="177"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5.2.1.1</w:t>
      </w:r>
      <w:r>
        <w:rPr>
          <w:sz w:val="20"/>
          <w:szCs w:val="20"/>
          <w:color w:val="auto"/>
        </w:rPr>
        <w:tab/>
      </w:r>
      <w:r>
        <w:rPr>
          <w:rFonts w:ascii="Arial" w:cs="Arial" w:eastAsia="Arial" w:hAnsi="Arial"/>
          <w:sz w:val="19"/>
          <w:szCs w:val="19"/>
          <w:color w:val="auto"/>
        </w:rPr>
        <w:t>Payment of the fees of Tenant's Architect and the Engineers;</w:t>
      </w:r>
    </w:p>
    <w:p>
      <w:pPr>
        <w:spacing w:after="0" w:line="233"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5.2.1.2</w:t>
      </w:r>
      <w:r>
        <w:rPr>
          <w:sz w:val="20"/>
          <w:szCs w:val="20"/>
          <w:color w:val="auto"/>
        </w:rPr>
        <w:tab/>
      </w:r>
      <w:r>
        <w:rPr>
          <w:rFonts w:ascii="Arial" w:cs="Arial" w:eastAsia="Arial" w:hAnsi="Arial"/>
          <w:sz w:val="19"/>
          <w:szCs w:val="19"/>
          <w:color w:val="auto"/>
        </w:rPr>
        <w:t>The payment of plan check, permit and license fees relating to construction of the Tenant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Improvements;</w:t>
      </w:r>
    </w:p>
    <w:p>
      <w:pPr>
        <w:spacing w:after="0" w:line="215" w:lineRule="exact"/>
        <w:rPr>
          <w:sz w:val="20"/>
          <w:szCs w:val="20"/>
          <w:color w:val="auto"/>
        </w:rPr>
      </w:pPr>
    </w:p>
    <w:p>
      <w:pPr>
        <w:ind w:firstLine="1945"/>
        <w:spacing w:after="0" w:line="278" w:lineRule="auto"/>
        <w:rPr>
          <w:sz w:val="20"/>
          <w:szCs w:val="20"/>
          <w:color w:val="auto"/>
        </w:rPr>
      </w:pPr>
      <w:r>
        <w:rPr>
          <w:rFonts w:ascii="Arial" w:cs="Arial" w:eastAsia="Arial" w:hAnsi="Arial"/>
          <w:sz w:val="21"/>
          <w:szCs w:val="21"/>
          <w:color w:val="auto"/>
        </w:rPr>
        <w:t>5.2.1.3 The cost of construction of the Tenant Improvements, including, without limitation, contractors' fees and general conditions, testing and inspection costs, costs of utilities, trash removal, parking and hoists, (Landlord hereby covenants that there will be no cost or expenses charged to Tenant for after-hours freight elevator usage);</w:t>
      </w:r>
    </w:p>
    <w:p>
      <w:pPr>
        <w:spacing w:after="0" w:line="160"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5.2.1.4</w:t>
      </w:r>
      <w:r>
        <w:rPr>
          <w:sz w:val="20"/>
          <w:szCs w:val="20"/>
          <w:color w:val="auto"/>
        </w:rPr>
        <w:tab/>
      </w:r>
      <w:r>
        <w:rPr>
          <w:rFonts w:ascii="Arial" w:cs="Arial" w:eastAsia="Arial" w:hAnsi="Arial"/>
          <w:sz w:val="19"/>
          <w:szCs w:val="19"/>
          <w:color w:val="auto"/>
        </w:rPr>
        <w:t>The cost of any changes to the Working Drawings or Tenant Improvements required by Code;</w:t>
      </w:r>
    </w:p>
    <w:p>
      <w:pPr>
        <w:spacing w:after="0" w:line="233" w:lineRule="exact"/>
        <w:rPr>
          <w:sz w:val="20"/>
          <w:szCs w:val="20"/>
          <w:color w:val="auto"/>
        </w:rPr>
      </w:pPr>
    </w:p>
    <w:p>
      <w:pPr>
        <w:jc w:val="both"/>
        <w:ind w:right="400" w:firstLine="1945"/>
        <w:spacing w:after="0" w:line="278" w:lineRule="auto"/>
        <w:rPr>
          <w:sz w:val="20"/>
          <w:szCs w:val="20"/>
          <w:color w:val="auto"/>
        </w:rPr>
      </w:pPr>
      <w:r>
        <w:rPr>
          <w:rFonts w:ascii="Arial" w:cs="Arial" w:eastAsia="Arial" w:hAnsi="Arial"/>
          <w:sz w:val="21"/>
          <w:szCs w:val="21"/>
          <w:color w:val="auto"/>
        </w:rPr>
        <w:t>5.2.1.5 Sales and use taxes and Title 24 fees imposed solely as a result of the construction of the Tenant Improvements (it being understood and agreed that the provisions of the Lease regarding compliance with laws shall govern all other costs, expenses or fees payable as a result of the application of Title 24); and</w:t>
      </w:r>
    </w:p>
    <w:p>
      <w:pPr>
        <w:spacing w:after="0" w:line="160"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5.2.1.6</w:t>
      </w:r>
      <w:r>
        <w:rPr>
          <w:sz w:val="20"/>
          <w:szCs w:val="20"/>
          <w:color w:val="auto"/>
        </w:rPr>
        <w:tab/>
      </w:r>
      <w:r>
        <w:rPr>
          <w:rFonts w:ascii="Arial" w:cs="Arial" w:eastAsia="Arial" w:hAnsi="Arial"/>
          <w:sz w:val="19"/>
          <w:szCs w:val="19"/>
          <w:color w:val="auto"/>
        </w:rPr>
        <w:t>Any other costs paid to Landlord in connection with the construction of the Tenant Improvements.</w:t>
      </w:r>
    </w:p>
    <w:p>
      <w:pPr>
        <w:spacing w:after="0" w:line="233" w:lineRule="exact"/>
        <w:rPr>
          <w:sz w:val="20"/>
          <w:szCs w:val="20"/>
          <w:color w:val="auto"/>
        </w:rPr>
      </w:pPr>
    </w:p>
    <w:p>
      <w:pPr>
        <w:ind w:right="300" w:firstLine="1297"/>
        <w:spacing w:after="0" w:line="254" w:lineRule="auto"/>
        <w:rPr>
          <w:sz w:val="20"/>
          <w:szCs w:val="20"/>
          <w:color w:val="auto"/>
        </w:rPr>
      </w:pPr>
      <w:r>
        <w:rPr>
          <w:rFonts w:ascii="Arial" w:cs="Arial" w:eastAsia="Arial" w:hAnsi="Arial"/>
          <w:sz w:val="22"/>
          <w:szCs w:val="22"/>
          <w:color w:val="auto"/>
        </w:rPr>
        <w:t xml:space="preserve">5.2.2 </w:t>
      </w:r>
      <w:r>
        <w:rPr>
          <w:rFonts w:ascii="Arial" w:cs="Arial" w:eastAsia="Arial" w:hAnsi="Arial"/>
          <w:sz w:val="22"/>
          <w:szCs w:val="22"/>
          <w:u w:val="single" w:color="auto"/>
          <w:color w:val="auto"/>
        </w:rPr>
        <w:t>Disbursement of Tenant Improvement Allowance</w:t>
      </w:r>
      <w:r>
        <w:rPr>
          <w:rFonts w:ascii="Arial" w:cs="Arial" w:eastAsia="Arial" w:hAnsi="Arial"/>
          <w:sz w:val="22"/>
          <w:szCs w:val="22"/>
          <w:color w:val="auto"/>
        </w:rPr>
        <w:t>. Subject to Section 5.1 above,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spacing w:after="0" w:line="185" w:lineRule="exact"/>
        <w:rPr>
          <w:sz w:val="20"/>
          <w:szCs w:val="20"/>
          <w:color w:val="auto"/>
        </w:rPr>
      </w:pPr>
    </w:p>
    <w:p>
      <w:pPr>
        <w:ind w:right="260" w:firstLine="1945"/>
        <w:spacing w:after="0" w:line="300" w:lineRule="auto"/>
        <w:rPr>
          <w:sz w:val="20"/>
          <w:szCs w:val="20"/>
          <w:color w:val="auto"/>
        </w:rPr>
      </w:pPr>
      <w:r>
        <w:rPr>
          <w:rFonts w:ascii="Arial" w:cs="Arial" w:eastAsia="Arial" w:hAnsi="Arial"/>
          <w:sz w:val="19"/>
          <w:szCs w:val="19"/>
          <w:color w:val="auto"/>
        </w:rPr>
        <w:t xml:space="preserve">5.2.2.1 </w:t>
      </w:r>
      <w:r>
        <w:rPr>
          <w:rFonts w:ascii="Arial" w:cs="Arial" w:eastAsia="Arial" w:hAnsi="Arial"/>
          <w:sz w:val="19"/>
          <w:szCs w:val="19"/>
          <w:u w:val="single" w:color="auto"/>
          <w:color w:val="auto"/>
        </w:rPr>
        <w:t>Monthly Disbursements</w:t>
      </w:r>
      <w:r>
        <w:rPr>
          <w:rFonts w:ascii="Arial" w:cs="Arial" w:eastAsia="Arial" w:hAnsi="Arial"/>
          <w:sz w:val="19"/>
          <w:szCs w:val="19"/>
          <w:color w:val="auto"/>
        </w:rPr>
        <w:t>. On or before the tenth (10th) day of each calendar month during the construction of the Tenant Improvements, Tenant shall deliver to Landlord: (i) a request for payment, in a form to be provided by Landlord, showing the schedule, by trade, of percentage of completion of the Tenant Improvements in the Expansion Space, detailing the portion of the work completed and the portion not completed; (ii) invoices from all of Tenant's Agents for labor rendered and materials delivered to the Expansion Space; (iii) executed mechanic's lien releases (conditional for current invoices</w:t>
      </w:r>
    </w:p>
    <w:p>
      <w:pPr>
        <w:sectPr>
          <w:pgSz w:w="11900" w:h="16905" w:orient="portrait"/>
          <w:cols w:equalWidth="0" w:num="1">
            <w:col w:w="11420"/>
          </w:cols>
          <w:pgMar w:left="240" w:top="132" w:right="239" w:bottom="0" w:gutter="0" w:footer="0" w:header="0"/>
        </w:sectPr>
      </w:pPr>
    </w:p>
    <w:bookmarkStart w:id="115" w:name="page116"/>
    <w:bookmarkEnd w:id="115"/>
    <w:p>
      <w:pPr>
        <w:ind w:right="120"/>
        <w:spacing w:after="0" w:line="288" w:lineRule="auto"/>
        <w:rPr>
          <w:sz w:val="20"/>
          <w:szCs w:val="20"/>
          <w:color w:val="auto"/>
        </w:rPr>
      </w:pPr>
      <w:r>
        <w:rPr>
          <w:rFonts w:ascii="Arial" w:cs="Arial" w:eastAsia="Arial" w:hAnsi="Arial"/>
          <w:sz w:val="19"/>
          <w:szCs w:val="19"/>
          <w:color w:val="auto"/>
        </w:rPr>
        <w:t>and unconditional for prior paid invoices) from all of Tenant's Agents which shall comply with the appropriate provisions, as reasonably determined by Landlord, of California Civil Code Section 3262(d); and (iv) all other information reasonably requested by Landlord. Tenant's request for payment shall be deemed Tenant's acceptance and approval of the work furnished and/or the materials supplied as set forth in Tenant's payment request. On or before the tenth (10th) day of the following calendar month, Landlord shall deliver a check to Tenant made payable to Tenant's Contractor in payment of the lesser of (A) the amounts so requested by Tenant, as set forth in this Section 5.2.2.1, above, less a ten percent (10%) retention (the aggregate amount of such retentions to be known as the "</w:t>
      </w:r>
      <w:r>
        <w:rPr>
          <w:rFonts w:ascii="Arial" w:cs="Arial" w:eastAsia="Arial" w:hAnsi="Arial"/>
          <w:sz w:val="19"/>
          <w:szCs w:val="19"/>
          <w:b w:val="1"/>
          <w:bCs w:val="1"/>
          <w:color w:val="auto"/>
        </w:rPr>
        <w:t>Final Retention</w:t>
      </w:r>
      <w:r>
        <w:rPr>
          <w:rFonts w:ascii="Arial" w:cs="Arial" w:eastAsia="Arial" w:hAnsi="Arial"/>
          <w:sz w:val="19"/>
          <w:szCs w:val="19"/>
          <w:color w:val="auto"/>
        </w:rPr>
        <w:t>") and (B) the balance of any remaining available portion of the Tenant Improvement Allowance (not including the Final Retention), provided that Landlord does not reasonably dispute any request for payment based on non-compliance of any work with the Approved Working Drawings, or due to any substandard work, or for any other reason. Landlord's payment of such amounts shall not be deemed Landlord's approval or acceptance of the work furnished or materials supplied as set forth in Tenant's payment request.</w:t>
      </w:r>
    </w:p>
    <w:p>
      <w:pPr>
        <w:spacing w:after="0" w:line="155" w:lineRule="exact"/>
        <w:rPr>
          <w:sz w:val="20"/>
          <w:szCs w:val="20"/>
          <w:color w:val="auto"/>
        </w:rPr>
      </w:pPr>
    </w:p>
    <w:p>
      <w:pPr>
        <w:ind w:right="80" w:firstLine="1945"/>
        <w:spacing w:after="0" w:line="261" w:lineRule="auto"/>
        <w:rPr>
          <w:sz w:val="20"/>
          <w:szCs w:val="20"/>
          <w:color w:val="auto"/>
        </w:rPr>
      </w:pPr>
      <w:r>
        <w:rPr>
          <w:rFonts w:ascii="Arial" w:cs="Arial" w:eastAsia="Arial" w:hAnsi="Arial"/>
          <w:sz w:val="21"/>
          <w:szCs w:val="21"/>
          <w:color w:val="auto"/>
        </w:rPr>
        <w:t xml:space="preserve">5.2.2.2 </w:t>
      </w:r>
      <w:r>
        <w:rPr>
          <w:rFonts w:ascii="Arial" w:cs="Arial" w:eastAsia="Arial" w:hAnsi="Arial"/>
          <w:sz w:val="21"/>
          <w:szCs w:val="21"/>
          <w:u w:val="single" w:color="auto"/>
          <w:color w:val="auto"/>
        </w:rPr>
        <w:t>Final Retention</w:t>
      </w:r>
      <w:r>
        <w:rPr>
          <w:rFonts w:ascii="Arial" w:cs="Arial" w:eastAsia="Arial" w:hAnsi="Arial"/>
          <w:sz w:val="21"/>
          <w:szCs w:val="21"/>
          <w:color w:val="auto"/>
        </w:rPr>
        <w:t>. Subject to the provisions of this Work Letter Agreement, a check for the Final Retention payable jointly to Tenant and Tenant's Contractor shall be delivered by Landlord to Tenant following the completion of construction of the Tenant Improvements in the Expansion Space, provided that (i) Tenant delivers to Landlord properly executed mechanics lien releases in compliance with both California Civil Code Section 3262(d)(2) and either Section 3262(d)(3) or Section 3262(d)(4), and (ii) Landlord has determined that no substandard work exists in the Tenant Improvements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spacing w:after="0" w:line="181" w:lineRule="exact"/>
        <w:rPr>
          <w:sz w:val="20"/>
          <w:szCs w:val="20"/>
          <w:color w:val="auto"/>
        </w:rPr>
      </w:pPr>
    </w:p>
    <w:p>
      <w:pPr>
        <w:ind w:firstLine="1945"/>
        <w:spacing w:after="0" w:line="276" w:lineRule="auto"/>
        <w:rPr>
          <w:sz w:val="20"/>
          <w:szCs w:val="20"/>
          <w:color w:val="auto"/>
        </w:rPr>
      </w:pPr>
      <w:r>
        <w:rPr>
          <w:rFonts w:ascii="Arial" w:cs="Arial" w:eastAsia="Arial" w:hAnsi="Arial"/>
          <w:sz w:val="22"/>
          <w:szCs w:val="22"/>
          <w:color w:val="auto"/>
        </w:rPr>
        <w:t xml:space="preserve">5.2.2.3 </w:t>
      </w:r>
      <w:r>
        <w:rPr>
          <w:rFonts w:ascii="Arial" w:cs="Arial" w:eastAsia="Arial" w:hAnsi="Arial"/>
          <w:sz w:val="22"/>
          <w:szCs w:val="22"/>
          <w:u w:val="single" w:color="auto"/>
          <w:color w:val="auto"/>
        </w:rPr>
        <w:t>Other Terms</w:t>
      </w:r>
      <w:r>
        <w:rPr>
          <w:rFonts w:ascii="Arial" w:cs="Arial" w:eastAsia="Arial" w:hAnsi="Arial"/>
          <w:sz w:val="22"/>
          <w:szCs w:val="22"/>
          <w:color w:val="auto"/>
        </w:rPr>
        <w:t>. Landlord shall only be obligated to make disbursements from the Tenant Improvement Allowance to the extent costs are incurred by Tenant for Tenant Improvement Allowance Items.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800" w:type="dxa"/>
            <w:vAlign w:val="bottom"/>
            <w:gridSpan w:val="3"/>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w:t>
            </w:r>
          </w:p>
        </w:tc>
        <w:tc>
          <w:tcPr>
            <w:tcW w:w="3480" w:type="dxa"/>
            <w:vAlign w:val="bottom"/>
            <w:gridSpan w:val="3"/>
          </w:tcPr>
          <w:p>
            <w:pPr>
              <w:ind w:left="1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w:t>
            </w:r>
          </w:p>
        </w:tc>
      </w:tr>
      <w:tr>
        <w:trPr>
          <w:trHeight w:val="455"/>
        </w:trPr>
        <w:tc>
          <w:tcPr>
            <w:tcW w:w="4800" w:type="dxa"/>
            <w:vAlign w:val="bottom"/>
            <w:gridSpan w:val="3"/>
          </w:tcPr>
          <w:p>
            <w:pPr>
              <w:spacing w:after="0"/>
              <w:rPr>
                <w:sz w:val="20"/>
                <w:szCs w:val="20"/>
                <w:color w:val="auto"/>
              </w:rPr>
            </w:pPr>
            <w:r>
              <w:rPr>
                <w:rFonts w:ascii="Arial" w:cs="Arial" w:eastAsia="Arial" w:hAnsi="Arial"/>
                <w:sz w:val="22"/>
                <w:szCs w:val="22"/>
                <w:color w:val="auto"/>
              </w:rPr>
              <w:t>SEQUOIA CENTER LLC,</w:t>
            </w:r>
          </w:p>
        </w:tc>
        <w:tc>
          <w:tcPr>
            <w:tcW w:w="3480" w:type="dxa"/>
            <w:vAlign w:val="bottom"/>
            <w:gridSpan w:val="3"/>
          </w:tcPr>
          <w:p>
            <w:pPr>
              <w:ind w:left="1020"/>
              <w:spacing w:after="0"/>
              <w:rPr>
                <w:sz w:val="20"/>
                <w:szCs w:val="20"/>
                <w:color w:val="auto"/>
              </w:rPr>
            </w:pPr>
            <w:r>
              <w:rPr>
                <w:rFonts w:ascii="Arial" w:cs="Arial" w:eastAsia="Arial" w:hAnsi="Arial"/>
                <w:sz w:val="22"/>
                <w:szCs w:val="22"/>
                <w:color w:val="auto"/>
                <w:w w:val="91"/>
              </w:rPr>
              <w:t>ENPHASE ENERGY, INC.,</w:t>
            </w:r>
          </w:p>
        </w:tc>
      </w:tr>
      <w:tr>
        <w:trPr>
          <w:trHeight w:val="275"/>
        </w:trPr>
        <w:tc>
          <w:tcPr>
            <w:tcW w:w="4800" w:type="dxa"/>
            <w:vAlign w:val="bottom"/>
            <w:gridSpan w:val="3"/>
          </w:tcPr>
          <w:p>
            <w:pPr>
              <w:spacing w:after="0"/>
              <w:rPr>
                <w:sz w:val="20"/>
                <w:szCs w:val="20"/>
                <w:color w:val="auto"/>
              </w:rPr>
            </w:pPr>
            <w:r>
              <w:rPr>
                <w:rFonts w:ascii="Arial" w:cs="Arial" w:eastAsia="Arial" w:hAnsi="Arial"/>
                <w:sz w:val="22"/>
                <w:szCs w:val="22"/>
                <w:color w:val="auto"/>
              </w:rPr>
              <w:t>a California limited liability company</w:t>
            </w:r>
          </w:p>
        </w:tc>
        <w:tc>
          <w:tcPr>
            <w:tcW w:w="3480" w:type="dxa"/>
            <w:vAlign w:val="bottom"/>
            <w:gridSpan w:val="3"/>
          </w:tcPr>
          <w:p>
            <w:pPr>
              <w:ind w:left="1020"/>
              <w:spacing w:after="0"/>
              <w:rPr>
                <w:sz w:val="20"/>
                <w:szCs w:val="20"/>
                <w:color w:val="auto"/>
              </w:rPr>
            </w:pPr>
            <w:r>
              <w:rPr>
                <w:rFonts w:ascii="Arial" w:cs="Arial" w:eastAsia="Arial" w:hAnsi="Arial"/>
                <w:sz w:val="22"/>
                <w:szCs w:val="22"/>
                <w:color w:val="auto"/>
              </w:rPr>
              <w:t>a Delaware corporation</w:t>
            </w:r>
          </w:p>
        </w:tc>
      </w:tr>
      <w:tr>
        <w:trPr>
          <w:trHeight w:val="455"/>
        </w:trPr>
        <w:tc>
          <w:tcPr>
            <w:tcW w:w="4800" w:type="dxa"/>
            <w:vAlign w:val="bottom"/>
            <w:gridSpan w:val="3"/>
          </w:tcPr>
          <w:p>
            <w:pPr>
              <w:spacing w:after="0"/>
              <w:rPr>
                <w:sz w:val="20"/>
                <w:szCs w:val="20"/>
                <w:color w:val="auto"/>
              </w:rPr>
            </w:pPr>
            <w:r>
              <w:rPr>
                <w:rFonts w:ascii="Arial" w:cs="Arial" w:eastAsia="Arial" w:hAnsi="Arial"/>
                <w:sz w:val="22"/>
                <w:szCs w:val="22"/>
                <w:color w:val="auto"/>
              </w:rPr>
              <w:t>By: G&amp;W Ventures, LLC,</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80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a California limited liability company,</w:t>
            </w:r>
          </w:p>
        </w:tc>
        <w:tc>
          <w:tcPr>
            <w:tcW w:w="1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4"/>
        </w:trPr>
        <w:tc>
          <w:tcPr>
            <w:tcW w:w="4800" w:type="dxa"/>
            <w:vAlign w:val="bottom"/>
            <w:gridSpan w:val="3"/>
          </w:tcPr>
          <w:p>
            <w:pPr>
              <w:ind w:left="160"/>
              <w:spacing w:after="0" w:line="224" w:lineRule="exact"/>
              <w:rPr>
                <w:sz w:val="20"/>
                <w:szCs w:val="20"/>
                <w:color w:val="auto"/>
              </w:rPr>
            </w:pPr>
            <w:r>
              <w:rPr>
                <w:rFonts w:ascii="Arial" w:cs="Arial" w:eastAsia="Arial" w:hAnsi="Arial"/>
                <w:sz w:val="22"/>
                <w:szCs w:val="22"/>
                <w:color w:val="auto"/>
              </w:rPr>
              <w:t>its Manager</w:t>
            </w:r>
          </w:p>
        </w:tc>
        <w:tc>
          <w:tcPr>
            <w:tcW w:w="1380" w:type="dxa"/>
            <w:vAlign w:val="bottom"/>
          </w:tcPr>
          <w:p>
            <w:pPr>
              <w:ind w:left="1020"/>
              <w:spacing w:after="0" w:line="224" w:lineRule="exact"/>
              <w:rPr>
                <w:sz w:val="20"/>
                <w:szCs w:val="20"/>
                <w:color w:val="auto"/>
              </w:rPr>
            </w:pPr>
            <w:r>
              <w:rPr>
                <w:rFonts w:ascii="Arial" w:cs="Arial" w:eastAsia="Arial" w:hAnsi="Arial"/>
                <w:sz w:val="22"/>
                <w:szCs w:val="22"/>
                <w:color w:val="auto"/>
              </w:rPr>
              <w:t>By:</w:t>
            </w:r>
          </w:p>
        </w:tc>
        <w:tc>
          <w:tcPr>
            <w:tcW w:w="8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r>
      <w:tr>
        <w:trPr>
          <w:trHeight w:val="242"/>
        </w:trPr>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480" w:type="dxa"/>
            <w:vAlign w:val="bottom"/>
            <w:gridSpan w:val="3"/>
          </w:tcPr>
          <w:p>
            <w:pPr>
              <w:ind w:left="1180"/>
              <w:spacing w:after="0" w:line="242" w:lineRule="exact"/>
              <w:rPr>
                <w:sz w:val="20"/>
                <w:szCs w:val="20"/>
                <w:color w:val="auto"/>
              </w:rPr>
            </w:pPr>
            <w:r>
              <w:rPr>
                <w:rFonts w:ascii="Arial" w:cs="Arial" w:eastAsia="Arial" w:hAnsi="Arial"/>
                <w:sz w:val="22"/>
                <w:szCs w:val="22"/>
                <w:color w:val="auto"/>
              </w:rPr>
              <w:t>Name: Paul Nahi</w:t>
            </w:r>
          </w:p>
        </w:tc>
      </w:tr>
      <w:tr>
        <w:trPr>
          <w:trHeight w:val="275"/>
        </w:trPr>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480" w:type="dxa"/>
            <w:vAlign w:val="bottom"/>
            <w:gridSpan w:val="3"/>
          </w:tcPr>
          <w:p>
            <w:pPr>
              <w:ind w:left="1180"/>
              <w:spacing w:after="0"/>
              <w:rPr>
                <w:sz w:val="20"/>
                <w:szCs w:val="20"/>
                <w:color w:val="auto"/>
              </w:rPr>
            </w:pPr>
            <w:r>
              <w:rPr>
                <w:rFonts w:ascii="Arial" w:cs="Arial" w:eastAsia="Arial" w:hAnsi="Arial"/>
                <w:sz w:val="22"/>
                <w:szCs w:val="22"/>
                <w:color w:val="auto"/>
              </w:rPr>
              <w:t>Its: President/CEO</w:t>
            </w:r>
          </w:p>
        </w:tc>
      </w:tr>
      <w:tr>
        <w:trPr>
          <w:trHeight w:val="301"/>
        </w:trPr>
        <w:tc>
          <w:tcPr>
            <w:tcW w:w="580" w:type="dxa"/>
            <w:vAlign w:val="bottom"/>
          </w:tcPr>
          <w:p>
            <w:pPr>
              <w:ind w:left="160"/>
              <w:spacing w:after="0"/>
              <w:rPr>
                <w:sz w:val="20"/>
                <w:szCs w:val="20"/>
                <w:color w:val="auto"/>
              </w:rPr>
            </w:pPr>
            <w:r>
              <w:rPr>
                <w:rFonts w:ascii="Arial" w:cs="Arial" w:eastAsia="Arial" w:hAnsi="Arial"/>
                <w:sz w:val="22"/>
                <w:szCs w:val="22"/>
                <w:color w:val="auto"/>
              </w:rPr>
              <w:t>By :</w:t>
            </w:r>
          </w:p>
        </w:tc>
        <w:tc>
          <w:tcPr>
            <w:tcW w:w="80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580" w:type="dxa"/>
            <w:vAlign w:val="bottom"/>
          </w:tcPr>
          <w:p>
            <w:pPr>
              <w:spacing w:after="0"/>
              <w:rPr>
                <w:sz w:val="23"/>
                <w:szCs w:val="23"/>
                <w:color w:val="auto"/>
              </w:rPr>
            </w:pPr>
          </w:p>
        </w:tc>
        <w:tc>
          <w:tcPr>
            <w:tcW w:w="4220" w:type="dxa"/>
            <w:vAlign w:val="bottom"/>
            <w:gridSpan w:val="2"/>
          </w:tcPr>
          <w:p>
            <w:pPr>
              <w:ind w:left="760"/>
              <w:spacing w:after="0"/>
              <w:rPr>
                <w:sz w:val="20"/>
                <w:szCs w:val="20"/>
                <w:color w:val="auto"/>
              </w:rPr>
            </w:pPr>
            <w:r>
              <w:rPr>
                <w:rFonts w:ascii="Arial" w:cs="Arial" w:eastAsia="Arial" w:hAnsi="Arial"/>
                <w:sz w:val="22"/>
                <w:szCs w:val="22"/>
                <w:color w:val="auto"/>
              </w:rPr>
              <w:t>Matthew T. White, Manager</w:t>
            </w:r>
          </w:p>
        </w:tc>
        <w:tc>
          <w:tcPr>
            <w:tcW w:w="1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B-1</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Lobby Plans and Specifications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be attached]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Construction Rules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be attached]</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2" w:right="2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 N. McDowell Blvd.)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THIS FOURTH AMENDMENT TO LEASE </w:t>
      </w:r>
      <w:r>
        <w:rPr>
          <w:rFonts w:ascii="Arial" w:cs="Arial" w:eastAsia="Arial" w:hAnsi="Arial"/>
          <w:sz w:val="18"/>
          <w:szCs w:val="18"/>
          <w:color w:val="auto"/>
        </w:rPr>
        <w:t>(this “Amendment”) dated December 30, 2014, is entered into between SEQUOIA CENTER LLC, 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ENPHASE ENERGY,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THE PARTIES ENTER INTO THIS AMENDMENT </w:t>
      </w:r>
      <w:r>
        <w:rPr>
          <w:rFonts w:ascii="Arial" w:cs="Arial" w:eastAsia="Arial" w:hAnsi="Arial"/>
          <w:sz w:val="18"/>
          <w:szCs w:val="18"/>
          <w:color w:val="auto"/>
        </w:rPr>
        <w:t>based upon the following facts, understandings and intentions:</w:t>
      </w:r>
    </w:p>
    <w:p>
      <w:pPr>
        <w:spacing w:after="0" w:line="256" w:lineRule="exact"/>
        <w:rPr>
          <w:sz w:val="20"/>
          <w:szCs w:val="20"/>
          <w:color w:val="auto"/>
        </w:rPr>
      </w:pPr>
    </w:p>
    <w:p>
      <w:pPr>
        <w:ind w:right="220" w:firstLine="656"/>
        <w:spacing w:after="0" w:line="349"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Landlord and Tenant previously entered into that certain Redwood Business Park NNN Lease dated as of June 3, 2011, as amended by that certain First Amendment to Lease dated as of June 12, 2012, as amended by that certain Second Amendment to Lease dated January 13, 2014, and as amended by that certain Third Amendment to Lease (the “</w:t>
      </w:r>
      <w:r>
        <w:rPr>
          <w:rFonts w:ascii="Arial" w:cs="Arial" w:eastAsia="Arial" w:hAnsi="Arial"/>
          <w:sz w:val="16"/>
          <w:szCs w:val="16"/>
          <w:b w:val="1"/>
          <w:bCs w:val="1"/>
          <w:color w:val="auto"/>
        </w:rPr>
        <w:t>Third Amendment</w:t>
      </w:r>
      <w:r>
        <w:rPr>
          <w:rFonts w:ascii="Arial" w:cs="Arial" w:eastAsia="Arial" w:hAnsi="Arial"/>
          <w:sz w:val="16"/>
          <w:szCs w:val="16"/>
          <w:color w:val="auto"/>
        </w:rPr>
        <w:t>”) dated September 25, 2014 (collectively, the “</w:t>
      </w:r>
      <w:r>
        <w:rPr>
          <w:rFonts w:ascii="Arial" w:cs="Arial" w:eastAsia="Arial" w:hAnsi="Arial"/>
          <w:sz w:val="16"/>
          <w:szCs w:val="16"/>
          <w:b w:val="1"/>
          <w:bCs w:val="1"/>
          <w:color w:val="auto"/>
        </w:rPr>
        <w:t>Lease</w:t>
      </w:r>
      <w:r>
        <w:rPr>
          <w:rFonts w:ascii="Arial" w:cs="Arial" w:eastAsia="Arial" w:hAnsi="Arial"/>
          <w:sz w:val="16"/>
          <w:szCs w:val="16"/>
          <w:color w:val="auto"/>
        </w:rPr>
        <w:t>”) pursuant to which Tenant leases from Landlord 48,000 rentable square feet of space in the building commonly known as 1400 N. McDowell Boulevard, Petaluma, California. Capitalized terms used herein and not defined herein shall have the meanings set forth in the Lease in connection therewith.</w:t>
      </w:r>
    </w:p>
    <w:p>
      <w:pPr>
        <w:spacing w:after="0" w:line="134" w:lineRule="exact"/>
        <w:rPr>
          <w:rFonts w:ascii="Arial" w:cs="Arial" w:eastAsia="Arial" w:hAnsi="Arial"/>
          <w:sz w:val="16"/>
          <w:szCs w:val="16"/>
          <w:color w:val="auto"/>
        </w:rPr>
      </w:pPr>
    </w:p>
    <w:p>
      <w:pPr>
        <w:ind w:left="1000" w:hanging="344"/>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and Tenant desire to amend the Lease as provided herein.</w:t>
      </w:r>
    </w:p>
    <w:p>
      <w:pPr>
        <w:spacing w:after="0" w:line="22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promises of the parties,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89" w:lineRule="exact"/>
        <w:rPr>
          <w:sz w:val="20"/>
          <w:szCs w:val="20"/>
          <w:color w:val="auto"/>
        </w:rPr>
      </w:pPr>
    </w:p>
    <w:p>
      <w:pPr>
        <w:jc w:val="both"/>
        <w:ind w:right="320" w:firstLine="656"/>
        <w:spacing w:after="0" w:line="356" w:lineRule="auto"/>
        <w:tabs>
          <w:tab w:leader="none" w:pos="110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 Letter Agreement</w:t>
      </w:r>
      <w:r>
        <w:rPr>
          <w:rFonts w:ascii="Arial" w:cs="Arial" w:eastAsia="Arial" w:hAnsi="Arial"/>
          <w:sz w:val="16"/>
          <w:szCs w:val="16"/>
          <w:color w:val="auto"/>
        </w:rPr>
        <w:t>. Section 1.1 (Lobby Remodel) of the Work Letter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Third Amendment (the “Work</w:t>
      </w:r>
      <w:r>
        <w:rPr>
          <w:rFonts w:ascii="Arial" w:cs="Arial" w:eastAsia="Arial" w:hAnsi="Arial"/>
          <w:sz w:val="16"/>
          <w:szCs w:val="16"/>
          <w:b w:val="1"/>
          <w:bCs w:val="1"/>
          <w:color w:val="auto"/>
        </w:rPr>
        <w:t xml:space="preserve"> </w:t>
      </w:r>
      <w:r>
        <w:rPr>
          <w:rFonts w:ascii="Arial" w:cs="Arial" w:eastAsia="Arial" w:hAnsi="Arial"/>
          <w:sz w:val="16"/>
          <w:szCs w:val="16"/>
          <w:color w:val="auto"/>
        </w:rPr>
        <w:t>Letter”) is hereby deleted in its entirety and shall not be replaced. Tenant acknowledges that Landlord is not required to perform or pay for any work in connection with the Third Amendment or the Work Letter, except that Landlord shall perform and pay for the work set forth in Section 1.2 (HVAC) of the Work Letter and shall provide the Tenant Improvement Allowance in accordance with Section 5.1 of the Work Letter as modified by Section 1.2 below.</w:t>
      </w:r>
    </w:p>
    <w:p>
      <w:pPr>
        <w:spacing w:after="0" w:line="150" w:lineRule="exact"/>
        <w:rPr>
          <w:rFonts w:ascii="Arial" w:cs="Arial" w:eastAsia="Arial" w:hAnsi="Arial"/>
          <w:sz w:val="16"/>
          <w:szCs w:val="16"/>
          <w:b w:val="1"/>
          <w:bCs w:val="1"/>
          <w:color w:val="auto"/>
        </w:rPr>
      </w:pPr>
    </w:p>
    <w:p>
      <w:pPr>
        <w:ind w:right="20" w:firstLine="656"/>
        <w:spacing w:after="0" w:line="329" w:lineRule="auto"/>
        <w:tabs>
          <w:tab w:leader="none" w:pos="1107"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Improvement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Tenant Improvement Allowance is hereby increased to a total of one million one hundred ten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($1,110,000.00), which is based on the following allocations:</w:t>
      </w:r>
    </w:p>
    <w:p>
      <w:pPr>
        <w:spacing w:after="0" w:line="138" w:lineRule="exact"/>
        <w:rPr>
          <w:rFonts w:ascii="Arial" w:cs="Arial" w:eastAsia="Arial" w:hAnsi="Arial"/>
          <w:sz w:val="18"/>
          <w:szCs w:val="18"/>
          <w:color w:val="auto"/>
        </w:rPr>
      </w:pPr>
    </w:p>
    <w:p>
      <w:pPr>
        <w:ind w:left="1620" w:hanging="315"/>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$960,000.00 original amount per Section 5.1 of the Work Letter; and</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$150,000.00 additional contribution toward lobby upgrades*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portion of the Tenant Improvement Allowance identified as item b above must be used for the purpose of lobby upgrades, and such allocated amounts of the Tenant Improvement Allowance shall not be used for any other purpose.</w:t>
      </w:r>
    </w:p>
    <w:p>
      <w:pPr>
        <w:spacing w:after="0" w:line="166" w:lineRule="exact"/>
        <w:rPr>
          <w:sz w:val="20"/>
          <w:szCs w:val="20"/>
          <w:color w:val="auto"/>
        </w:rPr>
      </w:pPr>
    </w:p>
    <w:p>
      <w:pPr>
        <w:ind w:firstLine="656"/>
        <w:spacing w:after="0" w:line="261" w:lineRule="auto"/>
        <w:tabs>
          <w:tab w:leader="none" w:pos="96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represents the entire understanding between Landlord and Tenant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 are no understandings or agreements between them relating to the Lease, the Premises, or the Expansion Space not set forth in writing and signed by the parties hereto. No party hereto has relied upon any representations, warranty or understanding not set forth herein, either oral or written, as an inducement to enter into this Amendment.</w:t>
      </w:r>
    </w:p>
    <w:p>
      <w:pPr>
        <w:spacing w:after="0" w:line="180" w:lineRule="exact"/>
        <w:rPr>
          <w:rFonts w:ascii="Arial" w:cs="Arial" w:eastAsia="Arial" w:hAnsi="Arial"/>
          <w:sz w:val="18"/>
          <w:szCs w:val="18"/>
          <w:b w:val="1"/>
          <w:bCs w:val="1"/>
          <w:color w:val="auto"/>
        </w:rPr>
      </w:pPr>
    </w:p>
    <w:p>
      <w:pPr>
        <w:ind w:right="200" w:firstLine="656"/>
        <w:spacing w:after="0" w:line="347" w:lineRule="auto"/>
        <w:tabs>
          <w:tab w:leader="none" w:pos="96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as of the day and year first above written.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480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b w:val="1"/>
                <w:bCs w:val="1"/>
                <w:color w:val="auto"/>
              </w:rPr>
              <w:t>“TENANT”</w:t>
            </w:r>
          </w:p>
        </w:tc>
      </w:tr>
      <w:tr>
        <w:trPr>
          <w:trHeight w:val="918"/>
        </w:trPr>
        <w:tc>
          <w:tcPr>
            <w:tcW w:w="638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638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G&amp;W Ventures, LLC,</w:t>
            </w:r>
          </w:p>
        </w:tc>
        <w:tc>
          <w:tcPr>
            <w:tcW w:w="680" w:type="dxa"/>
            <w:vAlign w:val="bottom"/>
          </w:tcPr>
          <w:p>
            <w:pPr>
              <w:ind w:left="4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Paul Nahi</w:t>
            </w:r>
          </w:p>
        </w:tc>
      </w:tr>
      <w:tr>
        <w:trPr>
          <w:trHeight w:val="27"/>
        </w:trPr>
        <w:tc>
          <w:tcPr>
            <w:tcW w:w="54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a California limited liability company,</w:t>
            </w: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540" w:type="dxa"/>
            <w:vAlign w:val="bottom"/>
          </w:tcPr>
          <w:p>
            <w:pPr>
              <w:spacing w:after="0"/>
              <w:rPr>
                <w:sz w:val="23"/>
                <w:szCs w:val="23"/>
                <w:color w:val="auto"/>
              </w:rPr>
            </w:pP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its Manager</w:t>
            </w:r>
          </w:p>
        </w:tc>
        <w:tc>
          <w:tcPr>
            <w:tcW w:w="6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918"/>
        </w:trPr>
        <w:tc>
          <w:tcPr>
            <w:tcW w:w="5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680" w:type="dxa"/>
            <w:vAlign w:val="bottom"/>
          </w:tcPr>
          <w:p>
            <w:pPr>
              <w:spacing w:after="0"/>
              <w:rPr>
                <w:sz w:val="20"/>
                <w:szCs w:val="20"/>
                <w:color w:val="auto"/>
              </w:rPr>
            </w:pPr>
          </w:p>
        </w:tc>
        <w:tc>
          <w:tcPr>
            <w:tcW w:w="4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55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w:t>
      </w:r>
      <w:r>
        <w:rPr>
          <w:rFonts w:ascii="Arial" w:cs="Arial" w:eastAsia="Arial" w:hAnsi="Arial"/>
          <w:sz w:val="18"/>
          <w:szCs w:val="18"/>
          <w:b w:val="1"/>
          <w:bCs w:val="1"/>
          <w:color w:val="3D3D3D"/>
        </w:rPr>
        <w:t>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D2D2D"/>
        </w:rPr>
        <w:t>AMENDMENT TO 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D2D2D"/>
        </w:rPr>
        <w:t>(1420 N</w:t>
      </w:r>
      <w:r>
        <w:rPr>
          <w:rFonts w:ascii="Arial" w:cs="Arial" w:eastAsia="Arial" w:hAnsi="Arial"/>
          <w:sz w:val="18"/>
          <w:szCs w:val="18"/>
          <w:color w:val="3D3D3D"/>
        </w:rPr>
        <w:t>.</w:t>
      </w:r>
      <w:r>
        <w:rPr>
          <w:rFonts w:ascii="Arial" w:cs="Arial" w:eastAsia="Arial" w:hAnsi="Arial"/>
          <w:sz w:val="18"/>
          <w:szCs w:val="18"/>
          <w:color w:val="2D2D2D"/>
        </w:rPr>
        <w:t xml:space="preserve"> McDowell Blvd.)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THIS FIRST AMENDMENT TO LEASE (this “Amendment”) dated as of January 12, 2012, is entered into between SEQUOIA CENTER LLC, a California limited liability company (“Landlord”) and ENPHASE ENERGY, INC., a Delaware corporation (“Tenant”).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PARTIES ENTER INTO THIS AMENDMENT based upon the following facts, understandings and intentions:</w:t>
      </w:r>
    </w:p>
    <w:p>
      <w:pPr>
        <w:spacing w:after="0" w:line="225"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 Landlord and Tenant previously entered into that certain Redwood Business Park NNN Lease dated as of June 3, 2011 (together with all exhibits thereto, the “Lease”) pursuant to which Tenant leases from Landlord the first floor of the building commonly known as 1200 N. McDowell Boulevard, Petaluma, California. Capitalized terms used herein and not defined herein shall have the meanings set forth in the Lease (including the Work Letter Agreement attached as Exhibit B thereto) in connection therewith.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Landlord and Tenant desire to make certain changes to the Lease as further provided herein.</w:t>
      </w:r>
    </w:p>
    <w:p>
      <w:pPr>
        <w:spacing w:after="0" w:line="22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NOW, THEREFORE, IN CONSIDERATION of the mutual covenants and promises of the parties, the receipt and adequacy of which are hereby acknowledged, the parties hereto agree as follows:</w:t>
      </w:r>
    </w:p>
    <w:p>
      <w:pPr>
        <w:spacing w:after="0" w:line="166" w:lineRule="exact"/>
        <w:rPr>
          <w:sz w:val="20"/>
          <w:szCs w:val="20"/>
          <w:color w:val="auto"/>
        </w:rPr>
      </w:pPr>
    </w:p>
    <w:p>
      <w:pPr>
        <w:ind w:firstLine="494"/>
        <w:spacing w:after="0" w:line="287" w:lineRule="auto"/>
        <w:tabs>
          <w:tab w:leader="none" w:pos="66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Estimated Commencement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Estimated Commencement Date is hereby extended to (i) February 15, 2012 with respect to the second and</w:t>
      </w:r>
      <w:r>
        <w:rPr>
          <w:rFonts w:ascii="Arial" w:cs="Arial" w:eastAsia="Arial" w:hAnsi="Arial"/>
          <w:sz w:val="16"/>
          <w:szCs w:val="16"/>
          <w:b w:val="1"/>
          <w:bCs w:val="1"/>
          <w:color w:val="auto"/>
        </w:rPr>
        <w:t xml:space="preserve"> </w:t>
      </w:r>
      <w:r>
        <w:rPr>
          <w:rFonts w:ascii="Arial" w:cs="Arial" w:eastAsia="Arial" w:hAnsi="Arial"/>
          <w:sz w:val="16"/>
          <w:szCs w:val="16"/>
          <w:color w:val="auto"/>
        </w:rPr>
        <w:t>third floors of the Building, and (ii) April 10, 2012 with respect to the first floor of the Building. Tenant acknowledges that Landlord may deliver the Premises to Tenant in the condition required by the Lease prior to the Estimated Commencement Date, and that in such event the Commencement Date shall occur prior to the Estimated Commencement Date on the date the Premises are Substantially Completed as defined in Section 13 of the Work Letter Agreement.</w:t>
      </w:r>
    </w:p>
    <w:p>
      <w:pPr>
        <w:spacing w:after="0" w:line="2"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b w:val="1"/>
          <w:bCs w:val="1"/>
          <w:color w:val="auto"/>
        </w:rPr>
      </w:pPr>
    </w:p>
    <w:p>
      <w:pPr>
        <w:ind w:right="40" w:firstLine="494"/>
        <w:spacing w:after="0" w:line="253" w:lineRule="auto"/>
        <w:tabs>
          <w:tab w:leader="none" w:pos="66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Approved Working Drawings</w:t>
      </w:r>
      <w:r>
        <w:rPr>
          <w:rFonts w:ascii="Arial" w:cs="Arial" w:eastAsia="Arial" w:hAnsi="Arial"/>
          <w:sz w:val="18"/>
          <w:szCs w:val="18"/>
          <w:color w:val="auto"/>
        </w:rPr>
        <w:t>. Landlord and Tenant hereby agree that the Working Drawings listed on Schedule 1 attached hereto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“Approved Working Drawings” under Section 2 of the Work Letter Agreement. Tenant shall either (a) modify the Approved Working Drawings to restore the roof access that would be eliminated per the Approved Working Drawings, or (b) install roof walking pads as reasonably determined by Landlord to allow full roof access from other access points, with such changes constituting a Tenant requested Change Order at Tenant's sole cost. Landlord shall have the right to direct changes to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t xml:space="preserve">Approved Working Drawings to effectuate the Change Order Requests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"COR's"). Such changes shall be subject to Tenant's approval, which shall not be unreasonably withheld, conditioned or delayed. Such changes directed by Landlord shall not constitute Tenant requested Change Orders. By way of example, Landlord shall specify the mesh material contemplated in COR No. 31, and Tenant may suggest alternative materials but may not require a material that does not result in the savings contemplated in COR No. 31 .</w:t>
      </w:r>
    </w:p>
    <w:p>
      <w:pPr>
        <w:spacing w:after="0" w:line="183" w:lineRule="exact"/>
        <w:rPr>
          <w:sz w:val="20"/>
          <w:szCs w:val="20"/>
          <w:color w:val="auto"/>
        </w:rPr>
      </w:pPr>
    </w:p>
    <w:p>
      <w:pPr>
        <w:ind w:right="20" w:firstLine="494"/>
        <w:spacing w:after="0" w:line="289" w:lineRule="auto"/>
        <w:tabs>
          <w:tab w:leader="none" w:pos="666"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Approved Budget</w:t>
      </w:r>
      <w:r>
        <w:rPr>
          <w:rFonts w:ascii="Arial" w:cs="Arial" w:eastAsia="Arial" w:hAnsi="Arial"/>
          <w:sz w:val="16"/>
          <w:szCs w:val="16"/>
          <w:color w:val="auto"/>
        </w:rPr>
        <w:t>. This Section 3 of this Amendment replaces and supersedes Section .3 of the Work Letter Agreement with respect to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budget approval for the Tenant Improvements to be constructed in the Premises, but the mechanism set forth in Section 3 of the Work Letter Agreement shall apply with respect to the construction of Tenant Improvements in the Expansion Space in the event Tenant exercises its expansion rights pursuant to Section 24 of the Lease. Tenant hereby approves the Tenant Improvement Summary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“Approved Budget”), which is based on the Proposal from Vila Construction dated November 16, 2011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Approved Working Drawings referenced therein, as modified by the COR's (as so modified, the “Contractor Proposal”). In no event shall Tenant's Contribution (defined below) be increased because the Tenant Improvement Summary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failed to include an item expressly and unambiguously required in the Approved Working Drawings, as modified by the COR's. For the purposes of clarity, the parties hereby agree that the Approved Working Drawings did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expressly and unambiguously require a water proofing membrane on the concrete slab on the first floor. The Approved Budget applies to the Premises as well as an additional 24,000 square feet of space located in the adjacent building having an address of 1400 N. McDowell Boulevard, Petaluma, California.</w:t>
      </w:r>
    </w:p>
    <w:p>
      <w:pPr>
        <w:spacing w:after="0" w:line="161" w:lineRule="exact"/>
        <w:rPr>
          <w:rFonts w:ascii="Arial" w:cs="Arial" w:eastAsia="Arial" w:hAnsi="Arial"/>
          <w:sz w:val="16"/>
          <w:szCs w:val="16"/>
          <w:b w:val="1"/>
          <w:bCs w:val="1"/>
          <w:color w:val="auto"/>
        </w:rPr>
      </w:pPr>
    </w:p>
    <w:p>
      <w:pPr>
        <w:ind w:firstLine="494"/>
        <w:spacing w:after="0" w:line="286" w:lineRule="auto"/>
        <w:tabs>
          <w:tab w:leader="none" w:pos="666"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 Payment for Tenant Improvements</w:t>
      </w:r>
      <w:r>
        <w:rPr>
          <w:rFonts w:ascii="Arial" w:cs="Arial" w:eastAsia="Arial" w:hAnsi="Arial"/>
          <w:sz w:val="16"/>
          <w:szCs w:val="16"/>
          <w:color w:val="auto"/>
        </w:rPr>
        <w:t>. Section 6 of the Work Letter Agreement is hereby deleted in its entirety and replaced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Tenant shall pay to Landlord $1,145,521.66, which represents Tenant's contribution to the portion of the Tenant Improvements described in the Approved Working Drawings and the COR's applicable to the Premises (i.e., 75% X $l,527,362.21) as more particularly set forth in the Approved Budget ("Tenant's Contribution"). Tenant shall pay such amount on the following schedule: 50% upon the mutual execution and delivery of this Amendment, 25% within ten (10) days following the delivery of the second and third floors of the Building to Tenant in the condition required by the Lease, and 25% within ten</w:t>
      </w:r>
    </w:p>
    <w:p>
      <w:pPr>
        <w:spacing w:after="0" w:line="2" w:lineRule="exact"/>
        <w:rPr>
          <w:rFonts w:ascii="Arial" w:cs="Arial" w:eastAsia="Arial" w:hAnsi="Arial"/>
          <w:sz w:val="16"/>
          <w:szCs w:val="16"/>
          <w:b w:val="1"/>
          <w:bCs w:val="1"/>
          <w:color w:val="auto"/>
        </w:rPr>
      </w:pPr>
    </w:p>
    <w:p>
      <w:pPr>
        <w:ind w:firstLine="8"/>
        <w:spacing w:after="0" w:line="269" w:lineRule="auto"/>
        <w:tabs>
          <w:tab w:leader="none" w:pos="3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days following the delivery of the first floor of the Building to Tenant in the condition required by the Lease. Notwithstanding anything to the contrary contained in the Work Letter Agreement, Landlord shall be responsible for any and all costs to perform such work in excess of Tenant's Contribution;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that (i) any changes by Tenant to the Approved Working Drawings or the COR's listed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including without limitation changes contemplated in change order requests previously approved by Tenant but not included in the COR's listed in </w:t>
      </w:r>
      <w:r>
        <w:rPr>
          <w:rFonts w:ascii="Arial" w:cs="Arial" w:eastAsia="Arial" w:hAnsi="Arial"/>
          <w:sz w:val="17"/>
          <w:szCs w:val="17"/>
          <w:u w:val="single" w:color="auto"/>
          <w:color w:val="auto"/>
        </w:rPr>
        <w:t>Exhibit C</w:t>
      </w:r>
      <w:r>
        <w:rPr>
          <w:rFonts w:ascii="Arial" w:cs="Arial" w:eastAsia="Arial" w:hAnsi="Arial"/>
          <w:sz w:val="17"/>
          <w:szCs w:val="17"/>
          <w:color w:val="auto"/>
        </w:rPr>
        <w:t>, and (ii) any additional costs resulting from errors or omissions in the Approved Working Drawings, shall constitute Change Orders per Section 8 of the Work Letter Agreement, and (b) that Tenant shall be solely responsible for the cost of procuring and installing any trade fixtures, equipment, appliances, furniture, furnishings, telephone or computer equipment or wiring or other personal property. As provided in Section 9 of the Work Letter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121" w:name="page122"/>
    <w:bookmarkEnd w:id="121"/>
    <w:p>
      <w:pPr>
        <w:spacing w:after="0" w:line="268" w:lineRule="auto"/>
        <w:rPr>
          <w:sz w:val="20"/>
          <w:szCs w:val="20"/>
          <w:color w:val="auto"/>
        </w:rPr>
      </w:pPr>
      <w:r>
        <w:rPr>
          <w:rFonts w:ascii="Arial" w:cs="Arial" w:eastAsia="Arial" w:hAnsi="Arial"/>
          <w:sz w:val="17"/>
          <w:szCs w:val="17"/>
          <w:color w:val="auto"/>
        </w:rPr>
        <w:t>Agreement, all delays in Substantial Completion of the Tenant Improvements beyond the Estimated Commencement Date caused by Tenant requested Change Orders (including Change Orders resulting from errors or omissions in the Approved Working Drawings) shall constitute Tenant Delays. Notwithstanding the foregoing, Landlord shall be responsible for delays and costs resulting from an error or omission in the Approved Working Drawings that both (A) would not have been avoided by a licensed architect applying the standard of care customary in the industry, and (B) Vila Construction, applying the standard of care customary in the industry, should have nonetheless taken into account when preparing the estimate reflected in the Approved Budget. As an example, the following omission in the COR's would be the responsibility of Landlord: COR No. 12 calls for the removal of perimeter column drywall encasements, which resulted in exposure of the window side of the columns to daylight. Due to the opaque quality of glass and the original condition of the drywall encasement having a dark paint finish, this condition was not contemplated by Axia as warranting application of finish paint to that side of the columns despite Axia exercising customary care in the industry with respect to such encasement removal. When direct daylight is applied, however, the columns are somewhat apparent from the exterior, and Vila Construction, exercising customary care in estimating the cost of COR No. 12, should have included (and did include) the painting of the backside of the columns. Haley Recio, Matt Rudie, Russ Sweeney and Paul Nahi shall have authority to approve Change Orders and any Change Order approved in writing or by email by any such representative shall be binding upon Tenant. As an accommodation to Tenant, Landlord shall require payment for Change Orders for which Tenant is responsible within five (5) days following Tenant's notice to proceed with a Change Order rather than requiring prepayment as previously required by the Work Letter Agreement.</w:t>
      </w:r>
    </w:p>
    <w:p>
      <w:pPr>
        <w:spacing w:after="0" w:line="181" w:lineRule="exact"/>
        <w:rPr>
          <w:sz w:val="20"/>
          <w:szCs w:val="20"/>
          <w:color w:val="auto"/>
        </w:rPr>
      </w:pPr>
    </w:p>
    <w:p>
      <w:pPr>
        <w:ind w:right="20" w:firstLine="494"/>
        <w:spacing w:after="0" w:line="282" w:lineRule="auto"/>
        <w:tabs>
          <w:tab w:leader="none" w:pos="666"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Circumstances</w:t>
      </w:r>
      <w:r>
        <w:rPr>
          <w:rFonts w:ascii="Arial" w:cs="Arial" w:eastAsia="Arial" w:hAnsi="Arial"/>
          <w:sz w:val="18"/>
          <w:szCs w:val="18"/>
          <w:color w:val="auto"/>
        </w:rPr>
        <w:t>. Notwithstanding the allocation of responsibilities for costs set forth in Section 4 above, Landlord and Tenant have 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costs as follows:</w:t>
      </w:r>
    </w:p>
    <w:p>
      <w:pPr>
        <w:spacing w:after="0" w:line="162" w:lineRule="exact"/>
        <w:rPr>
          <w:sz w:val="20"/>
          <w:szCs w:val="20"/>
          <w:color w:val="auto"/>
        </w:rPr>
      </w:pPr>
    </w:p>
    <w:p>
      <w:pPr>
        <w:ind w:left="660" w:right="300" w:firstLine="486"/>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Toilet Partitions</w:t>
      </w:r>
      <w:r>
        <w:rPr>
          <w:rFonts w:ascii="Arial" w:cs="Arial" w:eastAsia="Arial" w:hAnsi="Arial"/>
          <w:sz w:val="18"/>
          <w:szCs w:val="18"/>
          <w:color w:val="auto"/>
        </w:rPr>
        <w:t>. So long as Tenant does not make any improvements or other modifications to the restrooms serving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be responsible, at its sole cost, for all work in the restrooms required by the City of Petaluma to comply with the Americans with Disabilities Act (the "ADA"). If Tenant elects to make any improvements or other modifications to the restrooms that trigger any work to comply with ADA, such work shall constitute a Change Order at Tenant's sole cost.</w:t>
      </w:r>
    </w:p>
    <w:p>
      <w:pPr>
        <w:spacing w:after="0" w:line="180" w:lineRule="exact"/>
        <w:rPr>
          <w:sz w:val="20"/>
          <w:szCs w:val="20"/>
          <w:color w:val="auto"/>
        </w:rPr>
      </w:pPr>
    </w:p>
    <w:p>
      <w:pPr>
        <w:ind w:left="660" w:firstLine="486"/>
        <w:spacing w:after="0" w:line="281"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Stairway</w:t>
      </w:r>
      <w:r>
        <w:rPr>
          <w:rFonts w:ascii="Arial" w:cs="Arial" w:eastAsia="Arial" w:hAnsi="Arial"/>
          <w:sz w:val="17"/>
          <w:szCs w:val="17"/>
          <w:color w:val="auto"/>
        </w:rPr>
        <w:t>. The Contractor Proposal contemplates granite slab segmented treads with granite slab risers for the internal lobby stairway.</w:t>
      </w:r>
      <w:r>
        <w:rPr>
          <w:rFonts w:ascii="Arial" w:cs="Arial" w:eastAsia="Arial" w:hAnsi="Arial"/>
          <w:sz w:val="17"/>
          <w:szCs w:val="17"/>
          <w:b w:val="1"/>
          <w:bCs w:val="1"/>
          <w:color w:val="auto"/>
        </w:rPr>
        <w:t xml:space="preserve"> </w:t>
      </w:r>
      <w:r>
        <w:rPr>
          <w:rFonts w:ascii="Arial" w:cs="Arial" w:eastAsia="Arial" w:hAnsi="Arial"/>
          <w:sz w:val="17"/>
          <w:szCs w:val="17"/>
          <w:color w:val="auto"/>
        </w:rPr>
        <w:t>Any structural upgrades to the stairway required as a direct result of the granite treads and risers that are not included in the Contractor Proposal shall be at Landlord’s sole cost. Any additional structural upgrades required to accommodate stairway components or details different from those in the Contractor Proposal shall constitute Tenant requested Change Order at Tenant's sole cost.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22" w:name="page123"/>
    <w:bookmarkEnd w:id="122"/>
    <w:p>
      <w:pPr>
        <w:ind w:left="-20" w:firstLine="494"/>
        <w:spacing w:after="0" w:line="255" w:lineRule="auto"/>
        <w:tabs>
          <w:tab w:leader="none" w:pos="64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Drawings</w:t>
      </w:r>
      <w:r>
        <w:rPr>
          <w:rFonts w:ascii="Arial" w:cs="Arial" w:eastAsia="Arial" w:hAnsi="Arial"/>
          <w:sz w:val="18"/>
          <w:szCs w:val="18"/>
          <w:color w:val="auto"/>
        </w:rPr>
        <w:t>. On December 15, 2011, Tenant delivered to Landlord drawings and specifications dated December 13, 2011 prepared by</w:t>
      </w:r>
      <w:r>
        <w:rPr>
          <w:rFonts w:ascii="Arial" w:cs="Arial" w:eastAsia="Arial" w:hAnsi="Arial"/>
          <w:sz w:val="18"/>
          <w:szCs w:val="18"/>
          <w:b w:val="1"/>
          <w:bCs w:val="1"/>
          <w:color w:val="auto"/>
        </w:rPr>
        <w:t xml:space="preserve"> </w:t>
      </w:r>
      <w:r>
        <w:rPr>
          <w:rFonts w:ascii="Arial" w:cs="Arial" w:eastAsia="Arial" w:hAnsi="Arial"/>
          <w:sz w:val="18"/>
          <w:szCs w:val="18"/>
          <w:color w:val="auto"/>
        </w:rPr>
        <w:t>Axia Architects (the "December 13 Drawings"), subject to review and approval by Landlord in accordance with Section 2 of the Work Letter Agreement. Tenant acknowledges that, subject to Landlord's timely compliance with the provisions of the Work Letter Agreement requiring Landlord to respond to drawings and specifications submitted for approval, any delays in Substantial Completion of the Tenant Improvements beyond the Estimated Commencement Date caused by any changes from the Approved Working Drawings or COR's that are required in the December 13 Drawings or caused by errors or omissions in either the Approved Working Drawings or the December 13 Drawings shall constitute Tenant requested Change Orders as more fully set forth in Section 4 above.</w:t>
      </w:r>
    </w:p>
    <w:p>
      <w:pPr>
        <w:spacing w:after="0" w:line="189" w:lineRule="exact"/>
        <w:rPr>
          <w:rFonts w:ascii="Arial" w:cs="Arial" w:eastAsia="Arial" w:hAnsi="Arial"/>
          <w:sz w:val="18"/>
          <w:szCs w:val="18"/>
          <w:b w:val="1"/>
          <w:bCs w:val="1"/>
          <w:color w:val="auto"/>
        </w:rPr>
      </w:pPr>
    </w:p>
    <w:p>
      <w:pPr>
        <w:ind w:left="-20" w:firstLine="494"/>
        <w:spacing w:after="0" w:line="274" w:lineRule="auto"/>
        <w:tabs>
          <w:tab w:leader="none" w:pos="646"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Payment for Delay</w:t>
      </w:r>
      <w:r>
        <w:rPr>
          <w:rFonts w:ascii="Arial" w:cs="Arial" w:eastAsia="Arial" w:hAnsi="Arial"/>
          <w:sz w:val="17"/>
          <w:szCs w:val="17"/>
          <w:color w:val="auto"/>
        </w:rPr>
        <w:t>. Landlord and Tenant disagree as to who is responsible for the delay in the Estimated Commencement Date referenced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Section 1 above. Without either party admitting fault or liability, the parties have agreed to resolve such disagreement by Tenant paying to Landlord $184,824.99 concurrently with the execution and delivery of this Amendment. Such amount represents fifty percent (50%) of the rent that would have been payable under the Lease had the Commencement Date occurred on the original Estimated Commencement Date of November 1, 2012 rather than on the revised Estimated Commencement Date. Such calculation is set forth in </w:t>
      </w:r>
      <w:r>
        <w:rPr>
          <w:rFonts w:ascii="Arial" w:cs="Arial" w:eastAsia="Arial" w:hAnsi="Arial"/>
          <w:sz w:val="17"/>
          <w:szCs w:val="17"/>
          <w:u w:val="single" w:color="auto"/>
          <w:color w:val="auto"/>
        </w:rPr>
        <w:t>Exhibit D</w:t>
      </w:r>
      <w:r>
        <w:rPr>
          <w:rFonts w:ascii="Arial" w:cs="Arial" w:eastAsia="Arial" w:hAnsi="Arial"/>
          <w:sz w:val="17"/>
          <w:szCs w:val="17"/>
          <w:color w:val="auto"/>
        </w:rPr>
        <w:t>. Tenant acknowledges that such payment is a fixed amount and shall not be subject to change if Landlord delivers the Premises to Tenant prior to the Estimated Commencement Date.</w:t>
      </w:r>
    </w:p>
    <w:p>
      <w:pPr>
        <w:spacing w:after="0" w:line="173" w:lineRule="exact"/>
        <w:rPr>
          <w:rFonts w:ascii="Arial" w:cs="Arial" w:eastAsia="Arial" w:hAnsi="Arial"/>
          <w:sz w:val="17"/>
          <w:szCs w:val="17"/>
          <w:b w:val="1"/>
          <w:bCs w:val="1"/>
          <w:color w:val="auto"/>
        </w:rPr>
      </w:pPr>
    </w:p>
    <w:p>
      <w:pPr>
        <w:ind w:left="-20" w:right="40" w:firstLine="494"/>
        <w:spacing w:after="0" w:line="266" w:lineRule="auto"/>
        <w:tabs>
          <w:tab w:leader="none" w:pos="64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Payment of Advanced Base Rent</w:t>
      </w:r>
      <w:r>
        <w:rPr>
          <w:rFonts w:ascii="Arial" w:cs="Arial" w:eastAsia="Arial" w:hAnsi="Arial"/>
          <w:sz w:val="18"/>
          <w:szCs w:val="18"/>
          <w:color w:val="auto"/>
        </w:rPr>
        <w:t>. Tenant was required under Section 4.1 of the Lease to pay $72,000 in Advanced Base Rent concurrently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mutual execution and delivery of the Lease, but through an oversight did not pay such Advanced Base Rent to Landlord until January 6, 2012, and Landlord hereby accepts such payment and waives any default in connection with such late payment.</w:t>
      </w:r>
    </w:p>
    <w:p>
      <w:pPr>
        <w:spacing w:after="0" w:line="176" w:lineRule="exact"/>
        <w:rPr>
          <w:rFonts w:ascii="Arial" w:cs="Arial" w:eastAsia="Arial" w:hAnsi="Arial"/>
          <w:sz w:val="18"/>
          <w:szCs w:val="18"/>
          <w:b w:val="1"/>
          <w:bCs w:val="1"/>
          <w:color w:val="auto"/>
        </w:rPr>
      </w:pPr>
    </w:p>
    <w:p>
      <w:pPr>
        <w:ind w:left="-20" w:firstLine="494"/>
        <w:spacing w:after="0" w:line="292" w:lineRule="auto"/>
        <w:tabs>
          <w:tab w:leader="none" w:pos="64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Phased Termination of 201 1st Street Lease</w:t>
      </w:r>
      <w:r>
        <w:rPr>
          <w:rFonts w:ascii="Arial" w:cs="Arial" w:eastAsia="Arial" w:hAnsi="Arial"/>
          <w:sz w:val="16"/>
          <w:szCs w:val="16"/>
          <w:color w:val="auto"/>
        </w:rPr>
        <w:t>. At the time the Lease was executed, the parties anticipated Tenant relocating from its premises at 201</w:t>
      </w:r>
      <w:r>
        <w:rPr>
          <w:rFonts w:ascii="Arial" w:cs="Arial" w:eastAsia="Arial" w:hAnsi="Arial"/>
          <w:sz w:val="16"/>
          <w:szCs w:val="16"/>
          <w:b w:val="1"/>
          <w:bCs w:val="1"/>
          <w:color w:val="auto"/>
        </w:rPr>
        <w:t xml:space="preserve"> </w:t>
      </w:r>
      <w:r>
        <w:rPr>
          <w:rFonts w:ascii="Arial" w:cs="Arial" w:eastAsia="Arial" w:hAnsi="Arial"/>
          <w:sz w:val="16"/>
          <w:szCs w:val="16"/>
          <w:color w:val="auto"/>
        </w:rPr>
        <w:t>First Street in Petaluma, California (the “201 First Street Premises”) to the Premises and the Neighboring Building all at one time. With the staggered delivery of the Premises and portions of the Neighboring Building now anticipated, the parties anticipate Tenant moving from the 201 First Street Premises in two phases. Accordingly, Landlord shall, if requested by Tenant, deliver the termination agreement described in Section 3.1 of the Lease with respect to discrete portions of the 201 First Street Premises rather than the entire 201 First Street Premises. Portions of the 201 First Street Premises requested for termination shall be readily leasable to third parties with direct access to the common areas of the 201 First Street building and without the need for any demising walls. In the event that Landlord shall delay delivery of a fully executed termination agreement, Landlord shall pay Tenant's rent for the applicable portion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1013" w:right="259" w:bottom="1440" w:gutter="0" w:footer="0" w:header="0"/>
        </w:sectPr>
      </w:pPr>
    </w:p>
    <w:bookmarkStart w:id="123" w:name="page124"/>
    <w:bookmarkEnd w:id="123"/>
    <w:p>
      <w:pPr>
        <w:ind w:right="560"/>
        <w:spacing w:after="0" w:line="277" w:lineRule="auto"/>
        <w:rPr>
          <w:sz w:val="20"/>
          <w:szCs w:val="20"/>
          <w:color w:val="auto"/>
        </w:rPr>
      </w:pPr>
      <w:r>
        <w:rPr>
          <w:rFonts w:ascii="Arial" w:cs="Arial" w:eastAsia="Arial" w:hAnsi="Arial"/>
          <w:sz w:val="18"/>
          <w:szCs w:val="18"/>
          <w:color w:val="auto"/>
        </w:rPr>
        <w:t>of the 201 First Street Premises directly to the owner of such Premises on a day for day basis for each day Landlord's failure to deliver the termination agreement continues.</w:t>
      </w:r>
    </w:p>
    <w:p>
      <w:pPr>
        <w:spacing w:after="0" w:line="166" w:lineRule="exact"/>
        <w:rPr>
          <w:sz w:val="20"/>
          <w:szCs w:val="20"/>
          <w:color w:val="auto"/>
        </w:rPr>
      </w:pPr>
    </w:p>
    <w:p>
      <w:pPr>
        <w:ind w:firstLine="494"/>
        <w:spacing w:after="0" w:line="266" w:lineRule="auto"/>
        <w:tabs>
          <w:tab w:leader="none" w:pos="75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Precedent</w:t>
      </w:r>
      <w:r>
        <w:rPr>
          <w:rFonts w:ascii="Arial" w:cs="Arial" w:eastAsia="Arial" w:hAnsi="Arial"/>
          <w:sz w:val="18"/>
          <w:szCs w:val="18"/>
          <w:color w:val="auto"/>
        </w:rPr>
        <w:t>. Tenant making the payments required upon execution of this Amendment in Sections 4 and 7 above is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effectiveness of this Amendment, and this Amendment shall be of no force or effect if such payments are not delivered by Tenant concurrently with Landlord's delivery to Tenant of a fully executed original of this Amendment.</w:t>
      </w:r>
    </w:p>
    <w:p>
      <w:pPr>
        <w:spacing w:after="0" w:line="176" w:lineRule="exact"/>
        <w:rPr>
          <w:rFonts w:ascii="Arial" w:cs="Arial" w:eastAsia="Arial" w:hAnsi="Arial"/>
          <w:sz w:val="18"/>
          <w:szCs w:val="18"/>
          <w:b w:val="1"/>
          <w:bCs w:val="1"/>
          <w:color w:val="auto"/>
        </w:rPr>
      </w:pPr>
    </w:p>
    <w:p>
      <w:pPr>
        <w:ind w:right="140" w:firstLine="494"/>
        <w:spacing w:after="0" w:line="261" w:lineRule="auto"/>
        <w:tabs>
          <w:tab w:leader="none" w:pos="74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represents the entire understanding between Landlord and Tenant concerning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understandings or agreements between them relating to the Lease or the Premises not set forth in writing and signed by the parties hereto. No party hereto has relied upon any representation, warranty or understanding not set forth herein, either oral or written, as an inducement to enter into this Amendment.</w:t>
      </w:r>
    </w:p>
    <w:p>
      <w:pPr>
        <w:spacing w:after="0" w:line="180" w:lineRule="exact"/>
        <w:rPr>
          <w:rFonts w:ascii="Arial" w:cs="Arial" w:eastAsia="Arial" w:hAnsi="Arial"/>
          <w:sz w:val="18"/>
          <w:szCs w:val="18"/>
          <w:b w:val="1"/>
          <w:bCs w:val="1"/>
          <w:color w:val="auto"/>
        </w:rPr>
      </w:pPr>
    </w:p>
    <w:p>
      <w:pPr>
        <w:ind w:right="380" w:firstLine="494"/>
        <w:spacing w:after="0" w:line="347" w:lineRule="auto"/>
        <w:tabs>
          <w:tab w:leader="none" w:pos="756"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8"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day and year first above written.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2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"TENANT"</w:t>
            </w:r>
          </w:p>
        </w:tc>
      </w:tr>
      <w:tr>
        <w:trPr>
          <w:trHeight w:val="918"/>
        </w:trPr>
        <w:tc>
          <w:tcPr>
            <w:tcW w:w="418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418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G&amp;W Ventures, LLC,</w:t>
            </w:r>
          </w:p>
        </w:tc>
        <w:tc>
          <w:tcPr>
            <w:tcW w:w="138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Arial" w:cs="Arial" w:eastAsia="Arial" w:hAnsi="Arial"/>
                <w:sz w:val="18"/>
                <w:szCs w:val="18"/>
                <w:color w:val="auto"/>
                <w:w w:val="92"/>
              </w:rPr>
              <w:t>By:/s/ Paul Nahi</w:t>
            </w:r>
          </w:p>
        </w:tc>
      </w:tr>
      <w:tr>
        <w:trPr>
          <w:trHeight w:val="27"/>
        </w:trPr>
        <w:tc>
          <w:tcPr>
            <w:tcW w:w="4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a California limited liability company,</w:t>
            </w: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480" w:type="dxa"/>
            <w:vAlign w:val="bottom"/>
          </w:tcPr>
          <w:p>
            <w:pPr>
              <w:spacing w:after="0"/>
              <w:rPr>
                <w:sz w:val="23"/>
                <w:szCs w:val="23"/>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its Manager</w:t>
            </w:r>
          </w:p>
        </w:tc>
        <w:tc>
          <w:tcPr>
            <w:tcW w:w="1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918"/>
        </w:trPr>
        <w:tc>
          <w:tcPr>
            <w:tcW w:w="48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282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7"/>
        </w:trPr>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878"/>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9960"/>
          </w:cols>
          <w:pgMar w:left="980" w:top="1391" w:right="959" w:bottom="1440" w:gutter="0" w:footer="0" w:header="0"/>
        </w:sectPr>
      </w:pPr>
    </w:p>
    <w:bookmarkStart w:id="125" w:name="page126"/>
    <w:bookmarkEnd w:id="125"/>
    <w:p>
      <w:pPr>
        <w:jc w:val="center"/>
        <w:ind w:right="-371"/>
        <w:spacing w:after="0"/>
        <w:rPr>
          <w:sz w:val="20"/>
          <w:szCs w:val="20"/>
          <w:color w:val="auto"/>
        </w:rPr>
      </w:pPr>
      <w:r>
        <w:rPr>
          <w:rFonts w:ascii="Arial" w:cs="Arial" w:eastAsia="Arial" w:hAnsi="Arial"/>
          <w:sz w:val="22"/>
          <w:szCs w:val="22"/>
          <w:b w:val="1"/>
          <w:bCs w:val="1"/>
          <w:color w:val="auto"/>
        </w:rPr>
        <w:t>Schedule 1</w:t>
      </w:r>
    </w:p>
    <w:p>
      <w:pPr>
        <w:spacing w:after="0" w:line="260" w:lineRule="exact"/>
        <w:rPr>
          <w:sz w:val="20"/>
          <w:szCs w:val="20"/>
          <w:color w:val="auto"/>
        </w:rPr>
      </w:pPr>
    </w:p>
    <w:p>
      <w:pPr>
        <w:ind w:left="3452"/>
        <w:spacing w:after="0"/>
        <w:rPr>
          <w:sz w:val="20"/>
          <w:szCs w:val="20"/>
          <w:color w:val="auto"/>
        </w:rPr>
      </w:pPr>
      <w:r>
        <w:rPr>
          <w:rFonts w:ascii="Arial" w:cs="Arial" w:eastAsia="Arial" w:hAnsi="Arial"/>
          <w:sz w:val="22"/>
          <w:szCs w:val="22"/>
          <w:b w:val="1"/>
          <w:bCs w:val="1"/>
          <w:color w:val="auto"/>
        </w:rPr>
        <w:t>LIST OF APPROVED WORKING DRAWINGS</w:t>
      </w:r>
    </w:p>
    <w:p>
      <w:pPr>
        <w:spacing w:after="0" w:line="266"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sheets by Axia dated September 7, 2011</w:t>
      </w:r>
    </w:p>
    <w:p>
      <w:pPr>
        <w:spacing w:after="0" w:line="260"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T1,T2,T3,T4;A1.1,A1.2, A.2.0.1A, A2.0.2A,A2.1 A, A2.2 A, A2.3 A, A4.1 A,</w:t>
      </w:r>
    </w:p>
    <w:p>
      <w:pPr>
        <w:spacing w:after="0" w:line="2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A5.1 A, A.2.0.1B, A2.0.2B, A2.0.3B, A2.0.4B,A2.0.5B, A2.0.6B, A2.0.7B, A2.1</w:t>
      </w:r>
    </w:p>
    <w:p>
      <w:pPr>
        <w:spacing w:after="0" w:line="3" w:lineRule="exact"/>
        <w:rPr>
          <w:rFonts w:ascii="Arial" w:cs="Arial" w:eastAsia="Arial" w:hAnsi="Arial"/>
          <w:sz w:val="22"/>
          <w:szCs w:val="22"/>
          <w:color w:val="auto"/>
        </w:rPr>
      </w:pPr>
    </w:p>
    <w:p>
      <w:pPr>
        <w:ind w:left="652"/>
        <w:spacing w:after="0" w:line="246" w:lineRule="auto"/>
        <w:rPr>
          <w:rFonts w:ascii="Arial" w:cs="Arial" w:eastAsia="Arial" w:hAnsi="Arial"/>
          <w:sz w:val="22"/>
          <w:szCs w:val="22"/>
          <w:color w:val="auto"/>
        </w:rPr>
      </w:pPr>
      <w:r>
        <w:rPr>
          <w:rFonts w:ascii="Arial" w:cs="Arial" w:eastAsia="Arial" w:hAnsi="Arial"/>
          <w:sz w:val="22"/>
          <w:szCs w:val="22"/>
          <w:color w:val="auto"/>
        </w:rPr>
        <w:t>B, A2.2 B, A2.3 B, A3.3 B, A3.4 B, A3.5 B, A4.1 B, A4.2 B, A4.3 B, A4.4 B, A4.5 B, A4.6B, A4.7 B, A4.8 B, A4.9 B, A5.1 B, A5.2 B, A5.3 B, A5.4 B, A8.1, A9.1, A9.2, A9.3, A9.4, A9.5</w:t>
      </w:r>
    </w:p>
    <w:p>
      <w:pPr>
        <w:spacing w:after="0" w:line="233"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sheets by ATM Engineering dated August 31, 2011:</w:t>
      </w:r>
    </w:p>
    <w:p>
      <w:pPr>
        <w:spacing w:after="0" w:line="260"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S1.1, S2.1, S3.1, S3.2</w:t>
      </w:r>
    </w:p>
    <w:p>
      <w:pPr>
        <w:spacing w:after="0" w:line="260"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sheets by Indoor Environmental Services dated August 31, 2011:</w:t>
      </w:r>
    </w:p>
    <w:p>
      <w:pPr>
        <w:spacing w:after="0" w:line="260"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1"/>
          <w:szCs w:val="21"/>
          <w:color w:val="auto"/>
        </w:rPr>
        <w:t>M0.1, M0.2, M0.3, M0.4, M1.1A, M1.1B, M1.2A, M1.2B, M1.2A, M1.2B, M1.3A, M1.3B, M1.4A, M1.4B, M2.1</w:t>
      </w:r>
    </w:p>
    <w:p>
      <w:pPr>
        <w:spacing w:after="0" w:line="271"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sheets by O’Rourke Electric Inc. dated August 10 2011:</w:t>
      </w:r>
    </w:p>
    <w:p>
      <w:pPr>
        <w:spacing w:after="0" w:line="260"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E0.1, E2.1, E3.1, E6.1, E6.3, E6.4, E6.5, E6.6, E6.7, E2.2, E2.3, E2.4, E3.2</w:t>
      </w:r>
    </w:p>
    <w:p>
      <w:pPr>
        <w:spacing w:after="0" w:line="2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E3.3, E3.4, E6.2, E6.8, E6.11</w:t>
      </w:r>
    </w:p>
    <w:p>
      <w:pPr>
        <w:spacing w:after="0" w:line="242"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Responses to Requests for Information Nos. 1-10</w:t>
      </w:r>
    </w:p>
    <w:p>
      <w:pPr>
        <w:spacing w:after="0" w:line="200" w:lineRule="exact"/>
        <w:rPr>
          <w:sz w:val="20"/>
          <w:szCs w:val="20"/>
          <w:color w:val="auto"/>
        </w:rPr>
      </w:pPr>
    </w:p>
    <w:p>
      <w:pPr>
        <w:spacing w:after="0" w:line="297"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52"/>
          </w:cols>
          <w:pgMar w:left="248" w:top="585" w:right="5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5300"/>
              <w:spacing w:after="0"/>
              <w:rPr>
                <w:sz w:val="20"/>
                <w:szCs w:val="20"/>
                <w:color w:val="auto"/>
              </w:rPr>
            </w:pPr>
            <w:r>
              <w:rPr>
                <w:rFonts w:ascii="Arial" w:cs="Arial" w:eastAsia="Arial" w:hAnsi="Arial"/>
                <w:sz w:val="18"/>
                <w:szCs w:val="18"/>
                <w:b w:val="1"/>
                <w:bCs w:val="1"/>
                <w:color w:val="auto"/>
                <w:w w:val="93"/>
              </w:rPr>
              <w:t>Tenant Improvement Summary</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12/15/2011</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Enphase</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1400, 1420 N. McDowell Blvd.</w:t>
            </w:r>
          </w:p>
        </w:tc>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Square Foot</w:t>
            </w: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96,000</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Petaluma, CA 94954</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03"/>
        </w:trPr>
        <w:tc>
          <w:tcPr>
            <w:tcW w:w="7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Description TI Expansion Costs</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Cost</w:t>
            </w:r>
          </w:p>
        </w:tc>
      </w:tr>
      <w:tr>
        <w:trPr>
          <w:trHeight w:val="27"/>
        </w:trPr>
        <w:tc>
          <w:tcPr>
            <w:tcW w:w="7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61"/>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Tenant Improvements Per Vila’s 11.16.11 Bid Letter</w:t>
            </w:r>
          </w:p>
        </w:tc>
        <w:tc>
          <w:tcPr>
            <w:tcW w:w="136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6,001,417.00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Reductions for Approved COR’s: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COR’s #: 6,8,9,12,19,21,22,23,24,26,28,31,37,</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38,39,40,41,43,44,45,48,59,62,63</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(457,387.00)</w:t>
            </w:r>
          </w:p>
        </w:tc>
      </w:tr>
      <w:tr>
        <w:trPr>
          <w:trHeight w:val="30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Addition of “Code Only” Fire Alarm Work per Alternate:</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4,280.00</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Contact Amount</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5,548,290.00</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Less Overlaps from Prior Approvals: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Ceiling Tile Removal</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Demolition Costs</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113,203.00</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Adjustments, BSP to Pay:</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Power during construction: BSP to cover expense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(7,500.00)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Temporary toilets: BSP to cover expense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(2,400.00)</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Code only Fire alarm work</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(4,260.00)</w:t>
            </w:r>
          </w:p>
        </w:tc>
      </w:tr>
      <w:tr>
        <w:trPr>
          <w:trHeight w:val="59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2"/>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w w:val="89"/>
              </w:rPr>
              <w:t>BSP to perform landscape screening at transformers on balcony and one exterior considering unit</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(note: this cost is NOT included in the Bid Letter; no adjustment req;d)</w:t>
            </w:r>
          </w:p>
        </w:tc>
        <w:tc>
          <w:tcPr>
            <w:tcW w:w="13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2"/>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w w:val="96"/>
              </w:rPr>
              <w:t>EMON system work to be performed as part of future TI’s, 2nd and 3rd floor of 1400 as req’d</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(Note: this cost is not included in Bid Letter; no adjustment req’d)</w:t>
            </w:r>
          </w:p>
        </w:tc>
        <w:tc>
          <w:tcPr>
            <w:tcW w:w="13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Building Permit Fee - (Assumes no Impact Fees)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by Tenant</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CM Fee</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waived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1400 Handicap Parking Improvements - to be charged to</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2nd, 3rd Flr. TI Allowance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0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Structural Engineering Re -Design Proposal - Chiller</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2,700.00</w:t>
            </w:r>
          </w:p>
        </w:tc>
      </w:tr>
      <w:tr>
        <w:trPr>
          <w:trHeight w:val="243"/>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Costs, This Summary</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5,418,627.00</w:t>
            </w:r>
          </w:p>
        </w:tc>
      </w:tr>
      <w:tr>
        <w:trPr>
          <w:trHeight w:val="39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Prior Authorizations:</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10.20.11 1400 Demo, excl. Ceiling Tile Removal Direct Costs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Plan Check Fee</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Furniture Mock Up Costs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7.19.11 Ceiling Tile Removal/Slab Moisture Tests</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7.15.11 MEP Coordinator &amp; Structural Engineer</w:t>
            </w:r>
          </w:p>
        </w:tc>
        <w:tc>
          <w:tcPr>
            <w:tcW w:w="1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2"/>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7.28.11 Demo for 1420, excluding Cell Tile Removal Costs</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Approved Separately</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7.28.11 Demo Permit costs, w/o Mark up</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1,216.47</w:t>
            </w:r>
          </w:p>
        </w:tc>
      </w:tr>
      <w:tr>
        <w:trPr>
          <w:trHeight w:val="270"/>
        </w:trPr>
        <w:tc>
          <w:tcPr>
            <w:tcW w:w="7780" w:type="dxa"/>
            <w:vAlign w:val="bottom"/>
          </w:tcPr>
          <w:p>
            <w:pPr>
              <w:jc w:val="right"/>
              <w:spacing w:after="0"/>
              <w:rPr>
                <w:sz w:val="20"/>
                <w:szCs w:val="20"/>
                <w:color w:val="auto"/>
              </w:rPr>
            </w:pPr>
            <w:r>
              <w:rPr>
                <w:rFonts w:ascii="Arial" w:cs="Arial" w:eastAsia="Arial" w:hAnsi="Arial"/>
                <w:sz w:val="18"/>
                <w:szCs w:val="18"/>
                <w:b w:val="1"/>
                <w:bCs w:val="1"/>
                <w:color w:val="auto"/>
              </w:rPr>
              <w:t>Total TI Costs Approved to Date:</w:t>
            </w:r>
          </w:p>
        </w:tc>
        <w:tc>
          <w:tcPr>
            <w:tcW w:w="136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5,590,821.21</w:t>
            </w:r>
          </w:p>
        </w:tc>
      </w:tr>
      <w:tr>
        <w:trPr>
          <w:trHeight w:val="426"/>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Tenant Improvement Allowance: $40/sf</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3,840,000.00</w:t>
            </w:r>
          </w:p>
        </w:tc>
      </w:tr>
      <w:tr>
        <w:trPr>
          <w:trHeight w:val="513"/>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Amount Over Tenant Improvement Allowance</w:t>
            </w:r>
          </w:p>
        </w:tc>
        <w:tc>
          <w:tcPr>
            <w:tcW w:w="136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1,750,821.21</w:t>
            </w:r>
          </w:p>
        </w:tc>
      </w:tr>
      <w:tr>
        <w:trPr>
          <w:trHeight w:val="304"/>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Agreed Cost Sharing By BSP</w:t>
            </w:r>
          </w:p>
        </w:tc>
        <w:tc>
          <w:tcPr>
            <w:tcW w:w="136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(223,459.00)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Total Construction and Other Costs Payable</w:t>
            </w:r>
          </w:p>
        </w:tc>
        <w:tc>
          <w:tcPr>
            <w:tcW w:w="13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1,527,326.21</w:t>
            </w: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5"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2"/>
          <w:szCs w:val="22"/>
          <w:b w:val="1"/>
          <w:bCs w:val="1"/>
          <w:u w:val="single" w:color="auto"/>
          <w:color w:val="auto"/>
        </w:rPr>
        <w:t>EXHBIT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VILA PROPOSAL - 11/16/11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585"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71"/>
        </w:trPr>
        <w:tc>
          <w:tcPr>
            <w:tcW w:w="2220" w:type="dxa"/>
            <w:vAlign w:val="bottom"/>
          </w:tcPr>
          <w:p>
            <w:pPr>
              <w:spacing w:after="0"/>
              <w:rPr>
                <w:sz w:val="20"/>
                <w:szCs w:val="20"/>
                <w:color w:val="auto"/>
              </w:rPr>
            </w:pPr>
            <w:r>
              <w:rPr>
                <w:rFonts w:ascii="Arial" w:cs="Arial" w:eastAsia="Arial" w:hAnsi="Arial"/>
                <w:sz w:val="18"/>
                <w:szCs w:val="18"/>
                <w:color w:val="auto"/>
              </w:rPr>
              <w:t>Office Phone</w:t>
            </w:r>
          </w:p>
        </w:tc>
        <w:tc>
          <w:tcPr>
            <w:tcW w:w="5540" w:type="dxa"/>
            <w:vAlign w:val="bottom"/>
          </w:tcPr>
          <w:p>
            <w:pPr>
              <w:jc w:val="center"/>
              <w:ind w:left="1652"/>
              <w:spacing w:after="0"/>
              <w:rPr>
                <w:sz w:val="20"/>
                <w:szCs w:val="20"/>
                <w:color w:val="auto"/>
              </w:rPr>
            </w:pPr>
            <w:r>
              <w:rPr>
                <w:rFonts w:ascii="Arial" w:cs="Arial" w:eastAsia="Arial" w:hAnsi="Arial"/>
                <w:sz w:val="22"/>
                <w:szCs w:val="22"/>
                <w:b w:val="1"/>
                <w:bCs w:val="1"/>
                <w:color w:val="auto"/>
                <w:w w:val="94"/>
              </w:rPr>
              <w:t>Exh</w:t>
            </w:r>
            <w:r>
              <w:rPr>
                <w:rFonts w:ascii="Arial" w:cs="Arial" w:eastAsia="Arial" w:hAnsi="Arial"/>
                <w:sz w:val="22"/>
                <w:szCs w:val="22"/>
                <w:b w:val="1"/>
                <w:bCs w:val="1"/>
                <w:color w:val="1F1F1F"/>
                <w:w w:val="94"/>
              </w:rPr>
              <w:t>i</w:t>
            </w:r>
            <w:r>
              <w:rPr>
                <w:rFonts w:ascii="Arial" w:cs="Arial" w:eastAsia="Arial" w:hAnsi="Arial"/>
                <w:sz w:val="22"/>
                <w:szCs w:val="22"/>
                <w:b w:val="1"/>
                <w:bCs w:val="1"/>
                <w:color w:val="2F2F2F"/>
                <w:w w:val="94"/>
              </w:rPr>
              <w:t>bit B</w:t>
            </w:r>
          </w:p>
        </w:tc>
      </w:tr>
      <w:tr>
        <w:trPr>
          <w:trHeight w:val="303"/>
        </w:trPr>
        <w:tc>
          <w:tcPr>
            <w:tcW w:w="2220" w:type="dxa"/>
            <w:vAlign w:val="bottom"/>
          </w:tcPr>
          <w:p>
            <w:pPr>
              <w:spacing w:after="0"/>
              <w:rPr>
                <w:sz w:val="20"/>
                <w:szCs w:val="20"/>
                <w:color w:val="auto"/>
              </w:rPr>
            </w:pPr>
            <w:r>
              <w:rPr>
                <w:rFonts w:ascii="Arial" w:cs="Arial" w:eastAsia="Arial" w:hAnsi="Arial"/>
                <w:sz w:val="18"/>
                <w:szCs w:val="18"/>
                <w:color w:val="auto"/>
              </w:rPr>
              <w:t>(510) 236-9111</w:t>
            </w:r>
          </w:p>
        </w:tc>
        <w:tc>
          <w:tcPr>
            <w:tcW w:w="5540" w:type="dxa"/>
            <w:vAlign w:val="bottom"/>
          </w:tcPr>
          <w:p>
            <w:pPr>
              <w:jc w:val="center"/>
              <w:ind w:left="1652"/>
              <w:spacing w:after="0"/>
              <w:rPr>
                <w:sz w:val="20"/>
                <w:szCs w:val="20"/>
                <w:color w:val="auto"/>
              </w:rPr>
            </w:pPr>
            <w:r>
              <w:rPr>
                <w:rFonts w:ascii="Arial" w:cs="Arial" w:eastAsia="Arial" w:hAnsi="Arial"/>
                <w:sz w:val="22"/>
                <w:szCs w:val="22"/>
                <w:b w:val="1"/>
                <w:bCs w:val="1"/>
                <w:color w:val="3F3F3F"/>
                <w:w w:val="90"/>
              </w:rPr>
              <w:t>Vila Con</w:t>
            </w:r>
            <w:r>
              <w:rPr>
                <w:rFonts w:ascii="Arial" w:cs="Arial" w:eastAsia="Arial" w:hAnsi="Arial"/>
                <w:sz w:val="22"/>
                <w:szCs w:val="22"/>
                <w:b w:val="1"/>
                <w:bCs w:val="1"/>
                <w:color w:val="2F2F2F"/>
                <w:w w:val="90"/>
              </w:rPr>
              <w:t>s</w:t>
            </w:r>
            <w:r>
              <w:rPr>
                <w:rFonts w:ascii="Arial" w:cs="Arial" w:eastAsia="Arial" w:hAnsi="Arial"/>
                <w:sz w:val="22"/>
                <w:szCs w:val="22"/>
                <w:b w:val="1"/>
                <w:bCs w:val="1"/>
                <w:color w:val="3F3F3F"/>
                <w:w w:val="90"/>
              </w:rPr>
              <w:t>tru</w:t>
            </w:r>
            <w:r>
              <w:rPr>
                <w:rFonts w:ascii="Arial" w:cs="Arial" w:eastAsia="Arial" w:hAnsi="Arial"/>
                <w:sz w:val="22"/>
                <w:szCs w:val="22"/>
                <w:b w:val="1"/>
                <w:bCs w:val="1"/>
                <w:color w:val="2F2F2F"/>
                <w:w w:val="90"/>
              </w:rPr>
              <w:t>ctio</w:t>
            </w:r>
            <w:r>
              <w:rPr>
                <w:rFonts w:ascii="Arial" w:cs="Arial" w:eastAsia="Arial" w:hAnsi="Arial"/>
                <w:sz w:val="22"/>
                <w:szCs w:val="22"/>
                <w:b w:val="1"/>
                <w:bCs w:val="1"/>
                <w:color w:val="3F3F3F"/>
                <w:w w:val="90"/>
              </w:rPr>
              <w:t xml:space="preserve">n </w:t>
            </w:r>
            <w:r>
              <w:rPr>
                <w:rFonts w:ascii="Arial" w:cs="Arial" w:eastAsia="Arial" w:hAnsi="Arial"/>
                <w:sz w:val="22"/>
                <w:szCs w:val="22"/>
                <w:b w:val="1"/>
                <w:bCs w:val="1"/>
                <w:color w:val="2F2F2F"/>
                <w:w w:val="90"/>
              </w:rPr>
              <w:t>C</w:t>
            </w:r>
            <w:r>
              <w:rPr>
                <w:rFonts w:ascii="Arial" w:cs="Arial" w:eastAsia="Arial" w:hAnsi="Arial"/>
                <w:sz w:val="22"/>
                <w:szCs w:val="22"/>
                <w:b w:val="1"/>
                <w:bCs w:val="1"/>
                <w:color w:val="3F3F3F"/>
                <w:w w:val="90"/>
              </w:rPr>
              <w:t>o</w:t>
            </w:r>
            <w:r>
              <w:rPr>
                <w:rFonts w:ascii="Arial" w:cs="Arial" w:eastAsia="Arial" w:hAnsi="Arial"/>
                <w:sz w:val="22"/>
                <w:szCs w:val="22"/>
                <w:b w:val="1"/>
                <w:bCs w:val="1"/>
                <w:color w:val="2F2F2F"/>
                <w:w w:val="90"/>
              </w:rPr>
              <w:t>.</w:t>
            </w:r>
          </w:p>
        </w:tc>
      </w:tr>
      <w:tr>
        <w:trPr>
          <w:trHeight w:val="243"/>
        </w:trPr>
        <w:tc>
          <w:tcPr>
            <w:tcW w:w="2220" w:type="dxa"/>
            <w:vAlign w:val="bottom"/>
          </w:tcPr>
          <w:p>
            <w:pPr>
              <w:spacing w:after="0"/>
              <w:rPr>
                <w:sz w:val="21"/>
                <w:szCs w:val="21"/>
                <w:color w:val="auto"/>
              </w:rPr>
            </w:pPr>
          </w:p>
        </w:tc>
        <w:tc>
          <w:tcPr>
            <w:tcW w:w="5540" w:type="dxa"/>
            <w:vAlign w:val="bottom"/>
          </w:tcPr>
          <w:p>
            <w:pPr>
              <w:jc w:val="center"/>
              <w:ind w:left="1652"/>
              <w:spacing w:after="0" w:line="243" w:lineRule="exact"/>
              <w:rPr>
                <w:sz w:val="20"/>
                <w:szCs w:val="20"/>
                <w:color w:val="auto"/>
              </w:rPr>
            </w:pPr>
            <w:r>
              <w:rPr>
                <w:rFonts w:ascii="Arial" w:cs="Arial" w:eastAsia="Arial" w:hAnsi="Arial"/>
                <w:sz w:val="22"/>
                <w:szCs w:val="22"/>
                <w:color w:val="2F2F2F"/>
                <w:w w:val="93"/>
              </w:rPr>
              <w:t>GENERALCONTRACTORS</w:t>
            </w:r>
          </w:p>
        </w:tc>
      </w:tr>
      <w:tr>
        <w:trPr>
          <w:trHeight w:val="278"/>
        </w:trPr>
        <w:tc>
          <w:tcPr>
            <w:tcW w:w="2220" w:type="dxa"/>
            <w:vAlign w:val="bottom"/>
          </w:tcPr>
          <w:p>
            <w:pPr>
              <w:spacing w:after="0"/>
              <w:rPr>
                <w:sz w:val="20"/>
                <w:szCs w:val="20"/>
                <w:color w:val="auto"/>
              </w:rPr>
            </w:pPr>
            <w:r>
              <w:rPr>
                <w:rFonts w:ascii="Arial" w:cs="Arial" w:eastAsia="Arial" w:hAnsi="Arial"/>
                <w:sz w:val="18"/>
                <w:szCs w:val="18"/>
                <w:color w:val="auto"/>
              </w:rPr>
              <w:t>Fax</w:t>
            </w:r>
          </w:p>
        </w:tc>
        <w:tc>
          <w:tcPr>
            <w:tcW w:w="5540" w:type="dxa"/>
            <w:vAlign w:val="bottom"/>
          </w:tcPr>
          <w:p>
            <w:pPr>
              <w:ind w:left="1120"/>
              <w:spacing w:after="0"/>
              <w:rPr>
                <w:sz w:val="20"/>
                <w:szCs w:val="20"/>
                <w:color w:val="auto"/>
              </w:rPr>
            </w:pPr>
            <w:r>
              <w:rPr>
                <w:rFonts w:ascii="Arial" w:cs="Arial" w:eastAsia="Arial" w:hAnsi="Arial"/>
                <w:sz w:val="22"/>
                <w:szCs w:val="22"/>
                <w:color w:val="2F2F2F"/>
                <w:w w:val="89"/>
              </w:rPr>
              <w:t>590 South 33rd Street Richmond, California 94804</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(510) 236-4979</w:t>
            </w:r>
          </w:p>
        </w:tc>
        <w:tc>
          <w:tcPr>
            <w:tcW w:w="5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Contractor’s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Lic. No. 300454</w:t>
      </w:r>
    </w:p>
    <w:p>
      <w:pPr>
        <w:spacing w:after="0" w:line="72" w:lineRule="exact"/>
        <w:rPr>
          <w:sz w:val="20"/>
          <w:szCs w:val="20"/>
          <w:color w:val="auto"/>
        </w:rPr>
      </w:pPr>
    </w:p>
    <w:p>
      <w:pPr>
        <w:sectPr>
          <w:pgSz w:w="11900" w:h="16838" w:orient="portrait"/>
          <w:cols w:equalWidth="0" w:num="2">
            <w:col w:w="9300" w:space="720"/>
            <w:col w:w="1360"/>
          </w:cols>
          <w:pgMar w:left="280" w:top="1070" w:right="239" w:bottom="1440" w:gutter="0" w:footer="0" w:header="0"/>
        </w:sectPr>
      </w:pPr>
    </w:p>
    <w:p>
      <w:pPr>
        <w:jc w:val="right"/>
        <w:spacing w:after="0"/>
        <w:rPr>
          <w:sz w:val="20"/>
          <w:szCs w:val="20"/>
          <w:color w:val="auto"/>
        </w:rPr>
      </w:pPr>
      <w:r>
        <w:rPr>
          <w:rFonts w:ascii="Arial" w:cs="Arial" w:eastAsia="Arial" w:hAnsi="Arial"/>
          <w:sz w:val="22"/>
          <w:szCs w:val="22"/>
          <w:color w:val="2F2F2F"/>
        </w:rPr>
        <w:t>www.vilaconstruction</w:t>
      </w:r>
      <w:r>
        <w:rPr>
          <w:rFonts w:ascii="Arial" w:cs="Arial" w:eastAsia="Arial" w:hAnsi="Arial"/>
          <w:sz w:val="22"/>
          <w:szCs w:val="22"/>
          <w:color w:val="1F1F1F"/>
        </w:rPr>
        <w:t>.</w:t>
      </w:r>
      <w:r>
        <w:rPr>
          <w:rFonts w:ascii="Arial" w:cs="Arial" w:eastAsia="Arial" w:hAnsi="Arial"/>
          <w:sz w:val="22"/>
          <w:szCs w:val="22"/>
          <w:color w:val="2F2F2F"/>
        </w:rPr>
        <w:t>com</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November16, 2011</w:t>
      </w: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22"/>
          <w:szCs w:val="22"/>
          <w:color w:val="2F2F2F"/>
        </w:rPr>
        <w:t>Basin Street Properties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1383 North McDowell Blvd., suite 200</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Peta</w:t>
      </w:r>
      <w:r>
        <w:rPr>
          <w:rFonts w:ascii="Arial" w:cs="Arial" w:eastAsia="Arial" w:hAnsi="Arial"/>
          <w:sz w:val="22"/>
          <w:szCs w:val="22"/>
          <w:color w:val="3F3F3F"/>
        </w:rPr>
        <w:t>l</w:t>
      </w:r>
      <w:r>
        <w:rPr>
          <w:rFonts w:ascii="Arial" w:cs="Arial" w:eastAsia="Arial" w:hAnsi="Arial"/>
          <w:sz w:val="22"/>
          <w:szCs w:val="22"/>
          <w:color w:val="2F2F2F"/>
        </w:rPr>
        <w:t>uma, CA 94954</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2"/>
          <w:szCs w:val="22"/>
          <w:color w:val="2F2F2F"/>
        </w:rPr>
        <w:t>Attn: M</w:t>
      </w:r>
      <w:r>
        <w:rPr>
          <w:rFonts w:ascii="Arial" w:cs="Arial" w:eastAsia="Arial" w:hAnsi="Arial"/>
          <w:sz w:val="22"/>
          <w:szCs w:val="22"/>
          <w:color w:val="3F3F3F"/>
        </w:rPr>
        <w:t>a</w:t>
      </w:r>
      <w:r>
        <w:rPr>
          <w:rFonts w:ascii="Arial" w:cs="Arial" w:eastAsia="Arial" w:hAnsi="Arial"/>
          <w:sz w:val="22"/>
          <w:szCs w:val="22"/>
          <w:color w:val="2F2F2F"/>
        </w:rPr>
        <w:t>tt Sherrill</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Arial" w:cs="Arial" w:eastAsia="Arial" w:hAnsi="Arial"/>
          <w:sz w:val="22"/>
          <w:szCs w:val="22"/>
          <w:color w:val="2F2F2F"/>
        </w:rPr>
        <w:t xml:space="preserve">RE: Enphase </w:t>
      </w:r>
      <w:r>
        <w:rPr>
          <w:rFonts w:ascii="Arial" w:cs="Arial" w:eastAsia="Arial" w:hAnsi="Arial"/>
          <w:sz w:val="22"/>
          <w:szCs w:val="22"/>
          <w:color w:val="3F3F3F"/>
        </w:rPr>
        <w:t>T</w:t>
      </w:r>
      <w:r>
        <w:rPr>
          <w:rFonts w:ascii="Arial" w:cs="Arial" w:eastAsia="Arial" w:hAnsi="Arial"/>
          <w:sz w:val="22"/>
          <w:szCs w:val="22"/>
          <w:color w:val="2F2F2F"/>
        </w:rPr>
        <w:t xml:space="preserve">enant </w:t>
      </w:r>
      <w:r>
        <w:rPr>
          <w:rFonts w:ascii="Arial" w:cs="Arial" w:eastAsia="Arial" w:hAnsi="Arial"/>
          <w:sz w:val="22"/>
          <w:szCs w:val="22"/>
          <w:color w:val="3F3F3F"/>
        </w:rPr>
        <w:t>I</w:t>
      </w:r>
      <w:r>
        <w:rPr>
          <w:rFonts w:ascii="Arial" w:cs="Arial" w:eastAsia="Arial" w:hAnsi="Arial"/>
          <w:sz w:val="22"/>
          <w:szCs w:val="22"/>
          <w:color w:val="2F2F2F"/>
        </w:rPr>
        <w:t>mprovement</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22"/>
          <w:szCs w:val="22"/>
          <w:color w:val="2F2F2F"/>
        </w:rPr>
        <w:t>1400 / 1420 North McDowell</w:t>
      </w:r>
    </w:p>
    <w:p>
      <w:pPr>
        <w:spacing w:after="0" w:line="17" w:lineRule="exact"/>
        <w:rPr>
          <w:sz w:val="20"/>
          <w:szCs w:val="20"/>
          <w:color w:val="auto"/>
        </w:rPr>
      </w:pPr>
    </w:p>
    <w:p>
      <w:pPr>
        <w:ind w:left="780"/>
        <w:spacing w:after="0"/>
        <w:rPr>
          <w:sz w:val="20"/>
          <w:szCs w:val="20"/>
          <w:color w:val="auto"/>
        </w:rPr>
      </w:pPr>
      <w:r>
        <w:rPr>
          <w:rFonts w:ascii="Arial" w:cs="Arial" w:eastAsia="Arial" w:hAnsi="Arial"/>
          <w:sz w:val="22"/>
          <w:szCs w:val="22"/>
          <w:color w:val="2F2F2F"/>
        </w:rPr>
        <w:t>Petaluma, CA</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2"/>
          <w:szCs w:val="22"/>
          <w:color w:val="2F2F2F"/>
        </w:rPr>
        <w:t>Matt,</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9"/>
          <w:szCs w:val="19"/>
          <w:color w:val="2F2F2F"/>
        </w:rPr>
        <w:t>Th</w:t>
      </w:r>
      <w:r>
        <w:rPr>
          <w:rFonts w:ascii="Arial" w:cs="Arial" w:eastAsia="Arial" w:hAnsi="Arial"/>
          <w:sz w:val="19"/>
          <w:szCs w:val="19"/>
          <w:color w:val="3F3F3F"/>
        </w:rPr>
        <w:t>e</w:t>
      </w:r>
      <w:r>
        <w:rPr>
          <w:rFonts w:ascii="Arial" w:cs="Arial" w:eastAsia="Arial" w:hAnsi="Arial"/>
          <w:sz w:val="19"/>
          <w:szCs w:val="19"/>
          <w:color w:val="2F2F2F"/>
        </w:rPr>
        <w:t xml:space="preserve"> followinq is Our Cost Br</w:t>
      </w:r>
      <w:r>
        <w:rPr>
          <w:rFonts w:ascii="Arial" w:cs="Arial" w:eastAsia="Arial" w:hAnsi="Arial"/>
          <w:sz w:val="19"/>
          <w:szCs w:val="19"/>
          <w:color w:val="3F3F3F"/>
        </w:rPr>
        <w:t>ea</w:t>
      </w:r>
      <w:r>
        <w:rPr>
          <w:rFonts w:ascii="Arial" w:cs="Arial" w:eastAsia="Arial" w:hAnsi="Arial"/>
          <w:sz w:val="19"/>
          <w:szCs w:val="19"/>
          <w:color w:val="2F2F2F"/>
        </w:rPr>
        <w:t>kdo</w:t>
      </w:r>
      <w:r>
        <w:rPr>
          <w:rFonts w:ascii="Arial" w:cs="Arial" w:eastAsia="Arial" w:hAnsi="Arial"/>
          <w:sz w:val="19"/>
          <w:szCs w:val="19"/>
          <w:color w:val="3F3F3F"/>
        </w:rPr>
        <w:t>w</w:t>
      </w:r>
      <w:r>
        <w:rPr>
          <w:rFonts w:ascii="Arial" w:cs="Arial" w:eastAsia="Arial" w:hAnsi="Arial"/>
          <w:sz w:val="19"/>
          <w:szCs w:val="19"/>
          <w:color w:val="2F2F2F"/>
        </w:rPr>
        <w:t>n for the Enphase Tenan</w:t>
      </w:r>
      <w:r>
        <w:rPr>
          <w:rFonts w:ascii="Arial" w:cs="Arial" w:eastAsia="Arial" w:hAnsi="Arial"/>
          <w:sz w:val="19"/>
          <w:szCs w:val="19"/>
          <w:color w:val="3F3F3F"/>
        </w:rPr>
        <w:t>t I</w:t>
      </w:r>
      <w:r>
        <w:rPr>
          <w:rFonts w:ascii="Arial" w:cs="Arial" w:eastAsia="Arial" w:hAnsi="Arial"/>
          <w:sz w:val="19"/>
          <w:szCs w:val="19"/>
          <w:color w:val="2F2F2F"/>
        </w:rPr>
        <w:t xml:space="preserve">mprovement at 1400/1420 </w:t>
      </w:r>
      <w:r>
        <w:rPr>
          <w:rFonts w:ascii="Arial" w:cs="Arial" w:eastAsia="Arial" w:hAnsi="Arial"/>
          <w:sz w:val="19"/>
          <w:szCs w:val="19"/>
          <w:color w:val="3F3F3F"/>
        </w:rPr>
        <w:t>N</w:t>
      </w:r>
      <w:r>
        <w:rPr>
          <w:rFonts w:ascii="Arial" w:cs="Arial" w:eastAsia="Arial" w:hAnsi="Arial"/>
          <w:sz w:val="19"/>
          <w:szCs w:val="19"/>
          <w:color w:val="2F2F2F"/>
        </w:rPr>
        <w:t>o</w:t>
      </w:r>
      <w:r>
        <w:rPr>
          <w:rFonts w:ascii="Arial" w:cs="Arial" w:eastAsia="Arial" w:hAnsi="Arial"/>
          <w:sz w:val="19"/>
          <w:szCs w:val="19"/>
          <w:color w:val="3F3F3F"/>
        </w:rPr>
        <w:t>rth</w:t>
      </w:r>
      <w:r>
        <w:rPr>
          <w:rFonts w:ascii="Arial" w:cs="Arial" w:eastAsia="Arial" w:hAnsi="Arial"/>
          <w:sz w:val="19"/>
          <w:szCs w:val="19"/>
          <w:color w:val="2F2F2F"/>
        </w:rPr>
        <w:t xml:space="preserve"> McDowe</w:t>
      </w:r>
      <w:r>
        <w:rPr>
          <w:rFonts w:ascii="Arial" w:cs="Arial" w:eastAsia="Arial" w:hAnsi="Arial"/>
          <w:sz w:val="19"/>
          <w:szCs w:val="19"/>
          <w:color w:val="3F3F3F"/>
        </w:rPr>
        <w:t>ll</w:t>
      </w:r>
      <w:r>
        <w:rPr>
          <w:rFonts w:ascii="Arial" w:cs="Arial" w:eastAsia="Arial" w:hAnsi="Arial"/>
          <w:sz w:val="19"/>
          <w:szCs w:val="19"/>
          <w:color w:val="2F2F2F"/>
        </w:rPr>
        <w:t xml:space="preserve"> Blvd</w:t>
      </w:r>
      <w:r>
        <w:rPr>
          <w:rFonts w:ascii="Arial" w:cs="Arial" w:eastAsia="Arial" w:hAnsi="Arial"/>
          <w:sz w:val="19"/>
          <w:szCs w:val="19"/>
          <w:color w:val="3F3F3F"/>
        </w:rPr>
        <w:t>.</w:t>
      </w:r>
      <w:r>
        <w:rPr>
          <w:rFonts w:ascii="Arial" w:cs="Arial" w:eastAsia="Arial" w:hAnsi="Arial"/>
          <w:sz w:val="19"/>
          <w:szCs w:val="19"/>
          <w:color w:val="2F2F2F"/>
        </w:rPr>
        <w:t>, Petaluma</w:t>
      </w:r>
      <w:r>
        <w:rPr>
          <w:rFonts w:ascii="Arial" w:cs="Arial" w:eastAsia="Arial" w:hAnsi="Arial"/>
          <w:sz w:val="19"/>
          <w:szCs w:val="19"/>
          <w:color w:val="3F3F3F"/>
        </w:rPr>
        <w:t>.</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22"/>
          <w:szCs w:val="22"/>
          <w:color w:val="2F2F2F"/>
        </w:rPr>
        <w:t>Th</w:t>
      </w:r>
      <w:r>
        <w:rPr>
          <w:rFonts w:ascii="Arial" w:cs="Arial" w:eastAsia="Arial" w:hAnsi="Arial"/>
          <w:sz w:val="22"/>
          <w:szCs w:val="22"/>
          <w:color w:val="3F3F3F"/>
        </w:rPr>
        <w:t>e</w:t>
      </w:r>
      <w:r>
        <w:rPr>
          <w:rFonts w:ascii="Arial" w:cs="Arial" w:eastAsia="Arial" w:hAnsi="Arial"/>
          <w:sz w:val="22"/>
          <w:szCs w:val="22"/>
          <w:color w:val="2F2F2F"/>
        </w:rPr>
        <w:t xml:space="preserve"> costs a</w:t>
      </w:r>
      <w:r>
        <w:rPr>
          <w:rFonts w:ascii="Arial" w:cs="Arial" w:eastAsia="Arial" w:hAnsi="Arial"/>
          <w:sz w:val="22"/>
          <w:szCs w:val="22"/>
          <w:color w:val="3F3F3F"/>
        </w:rPr>
        <w:t>re</w:t>
      </w:r>
      <w:r>
        <w:rPr>
          <w:rFonts w:ascii="Arial" w:cs="Arial" w:eastAsia="Arial" w:hAnsi="Arial"/>
          <w:sz w:val="22"/>
          <w:szCs w:val="22"/>
          <w:color w:val="2F2F2F"/>
        </w:rPr>
        <w:t xml:space="preserve"> based o</w:t>
      </w:r>
      <w:r>
        <w:rPr>
          <w:rFonts w:ascii="Arial" w:cs="Arial" w:eastAsia="Arial" w:hAnsi="Arial"/>
          <w:sz w:val="22"/>
          <w:szCs w:val="22"/>
          <w:color w:val="3F3F3F"/>
        </w:rPr>
        <w:t>n</w:t>
      </w:r>
      <w:r>
        <w:rPr>
          <w:rFonts w:ascii="Arial" w:cs="Arial" w:eastAsia="Arial" w:hAnsi="Arial"/>
          <w:sz w:val="22"/>
          <w:szCs w:val="22"/>
          <w:color w:val="2F2F2F"/>
        </w:rPr>
        <w:t xml:space="preserve"> the Construction Documents from AXIA Architects, </w:t>
      </w:r>
      <w:r>
        <w:rPr>
          <w:rFonts w:ascii="Arial" w:cs="Arial" w:eastAsia="Arial" w:hAnsi="Arial"/>
          <w:sz w:val="22"/>
          <w:szCs w:val="22"/>
          <w:color w:val="3F3F3F"/>
        </w:rPr>
        <w:t>da</w:t>
      </w:r>
      <w:r>
        <w:rPr>
          <w:rFonts w:ascii="Arial" w:cs="Arial" w:eastAsia="Arial" w:hAnsi="Arial"/>
          <w:sz w:val="22"/>
          <w:szCs w:val="22"/>
          <w:color w:val="2F2F2F"/>
        </w:rPr>
        <w:t>ted 5eptem</w:t>
      </w:r>
      <w:r>
        <w:rPr>
          <w:rFonts w:ascii="Arial" w:cs="Arial" w:eastAsia="Arial" w:hAnsi="Arial"/>
          <w:sz w:val="22"/>
          <w:szCs w:val="22"/>
          <w:color w:val="3F3F3F"/>
        </w:rPr>
        <w:t>be</w:t>
      </w:r>
      <w:r>
        <w:rPr>
          <w:rFonts w:ascii="Arial" w:cs="Arial" w:eastAsia="Arial" w:hAnsi="Arial"/>
          <w:sz w:val="22"/>
          <w:szCs w:val="22"/>
          <w:color w:val="2F2F2F"/>
        </w:rPr>
        <w:t>r7, 2011</w:t>
      </w:r>
      <w:r>
        <w:rPr>
          <w:rFonts w:ascii="Arial" w:cs="Arial" w:eastAsia="Arial" w:hAnsi="Arial"/>
          <w:sz w:val="22"/>
          <w:szCs w:val="22"/>
          <w:color w:val="3F3F3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80" w:top="1070" w:right="23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1.</w:t>
            </w:r>
          </w:p>
        </w:tc>
        <w:tc>
          <w:tcPr>
            <w:tcW w:w="4620" w:type="dxa"/>
            <w:vAlign w:val="bottom"/>
          </w:tcPr>
          <w:p>
            <w:pPr>
              <w:ind w:left="80"/>
              <w:spacing w:after="0"/>
              <w:rPr>
                <w:sz w:val="20"/>
                <w:szCs w:val="20"/>
                <w:color w:val="auto"/>
              </w:rPr>
            </w:pPr>
            <w:r>
              <w:rPr>
                <w:rFonts w:ascii="Arial" w:cs="Arial" w:eastAsia="Arial" w:hAnsi="Arial"/>
                <w:sz w:val="22"/>
                <w:szCs w:val="22"/>
                <w:color w:val="auto"/>
              </w:rPr>
              <w:t>General Conditions</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173,600.00</w:t>
            </w:r>
          </w:p>
        </w:tc>
        <w:tc>
          <w:tcPr>
            <w:tcW w:w="152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w:t>
            </w:r>
          </w:p>
        </w:tc>
        <w:tc>
          <w:tcPr>
            <w:tcW w:w="4620" w:type="dxa"/>
            <w:vAlign w:val="bottom"/>
          </w:tcPr>
          <w:p>
            <w:pPr>
              <w:ind w:left="80"/>
              <w:spacing w:after="0"/>
              <w:rPr>
                <w:sz w:val="20"/>
                <w:szCs w:val="20"/>
                <w:color w:val="auto"/>
              </w:rPr>
            </w:pPr>
            <w:r>
              <w:rPr>
                <w:rFonts w:ascii="Arial" w:cs="Arial" w:eastAsia="Arial" w:hAnsi="Arial"/>
                <w:sz w:val="22"/>
                <w:szCs w:val="22"/>
                <w:color w:val="auto"/>
              </w:rPr>
              <w:t>Demo 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118,203.00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w:t>
            </w:r>
          </w:p>
        </w:tc>
        <w:tc>
          <w:tcPr>
            <w:tcW w:w="4620" w:type="dxa"/>
            <w:vAlign w:val="bottom"/>
          </w:tcPr>
          <w:p>
            <w:pPr>
              <w:ind w:left="80"/>
              <w:spacing w:after="0"/>
              <w:rPr>
                <w:sz w:val="20"/>
                <w:szCs w:val="20"/>
                <w:color w:val="auto"/>
              </w:rPr>
            </w:pPr>
            <w:r>
              <w:rPr>
                <w:rFonts w:ascii="Arial" w:cs="Arial" w:eastAsia="Arial" w:hAnsi="Arial"/>
                <w:sz w:val="22"/>
                <w:szCs w:val="22"/>
                <w:color w:val="auto"/>
              </w:rPr>
              <w:t>Concrete 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5,940.00</w:t>
            </w:r>
          </w:p>
        </w:tc>
        <w:tc>
          <w:tcPr>
            <w:tcW w:w="1520" w:type="dxa"/>
            <w:vAlign w:val="bottom"/>
          </w:tcPr>
          <w:p>
            <w:pPr>
              <w:spacing w:after="0"/>
              <w:rPr>
                <w:sz w:val="24"/>
                <w:szCs w:val="24"/>
                <w:color w:val="auto"/>
              </w:rPr>
            </w:pPr>
          </w:p>
        </w:tc>
      </w:tr>
      <w:tr>
        <w:trPr>
          <w:trHeight w:val="320"/>
        </w:trPr>
        <w:tc>
          <w:tcPr>
            <w:tcW w:w="360" w:type="dxa"/>
            <w:vAlign w:val="bottom"/>
          </w:tcPr>
          <w:p>
            <w:pPr>
              <w:spacing w:after="0"/>
              <w:rPr>
                <w:sz w:val="20"/>
                <w:szCs w:val="20"/>
                <w:color w:val="auto"/>
              </w:rPr>
            </w:pPr>
            <w:r>
              <w:rPr>
                <w:rFonts w:ascii="Arial" w:cs="Arial" w:eastAsia="Arial" w:hAnsi="Arial"/>
                <w:sz w:val="22"/>
                <w:szCs w:val="22"/>
                <w:color w:val="auto"/>
              </w:rPr>
              <w:t>4.</w:t>
            </w:r>
          </w:p>
        </w:tc>
        <w:tc>
          <w:tcPr>
            <w:tcW w:w="4620" w:type="dxa"/>
            <w:vAlign w:val="bottom"/>
          </w:tcPr>
          <w:p>
            <w:pPr>
              <w:ind w:left="80"/>
              <w:spacing w:after="0"/>
              <w:rPr>
                <w:sz w:val="20"/>
                <w:szCs w:val="20"/>
                <w:color w:val="auto"/>
              </w:rPr>
            </w:pPr>
            <w:r>
              <w:rPr>
                <w:rFonts w:ascii="Arial" w:cs="Arial" w:eastAsia="Arial" w:hAnsi="Arial"/>
                <w:sz w:val="22"/>
                <w:szCs w:val="22"/>
                <w:color w:val="auto"/>
              </w:rPr>
              <w:t>Pre Cast Concrete Countertops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65,112.00</w:t>
            </w:r>
          </w:p>
        </w:tc>
        <w:tc>
          <w:tcPr>
            <w:tcW w:w="1520" w:type="dxa"/>
            <w:vAlign w:val="bottom"/>
          </w:tcPr>
          <w:p>
            <w:pPr>
              <w:ind w:left="20"/>
              <w:spacing w:after="0" w:line="320" w:lineRule="exact"/>
              <w:rPr>
                <w:sz w:val="20"/>
                <w:szCs w:val="20"/>
                <w:color w:val="auto"/>
              </w:rPr>
            </w:pPr>
            <w:r>
              <w:rPr>
                <w:rFonts w:ascii="Arial" w:cs="Arial" w:eastAsia="Arial" w:hAnsi="Arial"/>
                <w:sz w:val="28"/>
                <w:szCs w:val="28"/>
                <w:color w:val="auto"/>
                <w:w w:val="87"/>
                <w:vertAlign w:val="superscript"/>
              </w:rPr>
              <w:t>*</w:t>
            </w:r>
            <w:r>
              <w:rPr>
                <w:rFonts w:ascii="Arial" w:cs="Arial" w:eastAsia="Arial" w:hAnsi="Arial"/>
                <w:sz w:val="22"/>
                <w:szCs w:val="22"/>
                <w:color w:val="auto"/>
                <w:w w:val="87"/>
              </w:rPr>
              <w:t>see Line item 34</w:t>
            </w:r>
          </w:p>
        </w:tc>
      </w:t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5.</w:t>
            </w:r>
          </w:p>
        </w:tc>
        <w:tc>
          <w:tcPr>
            <w:tcW w:w="4620" w:type="dxa"/>
            <w:vAlign w:val="bottom"/>
          </w:tcPr>
          <w:p>
            <w:pPr>
              <w:ind w:left="80"/>
              <w:spacing w:after="0"/>
              <w:rPr>
                <w:sz w:val="20"/>
                <w:szCs w:val="20"/>
                <w:color w:val="auto"/>
              </w:rPr>
            </w:pPr>
            <w:r>
              <w:rPr>
                <w:rFonts w:ascii="Arial" w:cs="Arial" w:eastAsia="Arial" w:hAnsi="Arial"/>
                <w:sz w:val="22"/>
                <w:szCs w:val="22"/>
                <w:color w:val="auto"/>
              </w:rPr>
              <w:t>Structural Steel / Metal Fabrications</w:t>
            </w:r>
          </w:p>
        </w:tc>
        <w:tc>
          <w:tcPr>
            <w:tcW w:w="94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164,814.00</w:t>
            </w:r>
          </w:p>
        </w:tc>
        <w:tc>
          <w:tcPr>
            <w:tcW w:w="152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6.</w:t>
            </w:r>
          </w:p>
        </w:tc>
        <w:tc>
          <w:tcPr>
            <w:tcW w:w="4620" w:type="dxa"/>
            <w:vAlign w:val="bottom"/>
          </w:tcPr>
          <w:p>
            <w:pPr>
              <w:ind w:left="80"/>
              <w:spacing w:after="0"/>
              <w:rPr>
                <w:sz w:val="20"/>
                <w:szCs w:val="20"/>
                <w:color w:val="auto"/>
              </w:rPr>
            </w:pPr>
            <w:r>
              <w:rPr>
                <w:rFonts w:ascii="Arial" w:cs="Arial" w:eastAsia="Arial" w:hAnsi="Arial"/>
                <w:sz w:val="22"/>
                <w:szCs w:val="22"/>
                <w:color w:val="auto"/>
              </w:rPr>
              <w:t>Carpentry</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90,000.00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7.</w:t>
            </w:r>
          </w:p>
        </w:tc>
        <w:tc>
          <w:tcPr>
            <w:tcW w:w="4620" w:type="dxa"/>
            <w:vAlign w:val="bottom"/>
          </w:tcPr>
          <w:p>
            <w:pPr>
              <w:ind w:left="80"/>
              <w:spacing w:after="0"/>
              <w:rPr>
                <w:sz w:val="20"/>
                <w:szCs w:val="20"/>
                <w:color w:val="auto"/>
              </w:rPr>
            </w:pPr>
            <w:r>
              <w:rPr>
                <w:rFonts w:ascii="Arial" w:cs="Arial" w:eastAsia="Arial" w:hAnsi="Arial"/>
                <w:sz w:val="22"/>
                <w:szCs w:val="22"/>
                <w:color w:val="auto"/>
              </w:rPr>
              <w:t>Millwork</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77,085.00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4620" w:type="dxa"/>
            <w:vAlign w:val="bottom"/>
          </w:tcPr>
          <w:p>
            <w:pPr>
              <w:ind w:left="80"/>
              <w:spacing w:after="0"/>
              <w:rPr>
                <w:sz w:val="20"/>
                <w:szCs w:val="20"/>
                <w:color w:val="auto"/>
              </w:rPr>
            </w:pPr>
            <w:r>
              <w:rPr>
                <w:rFonts w:ascii="Arial" w:cs="Arial" w:eastAsia="Arial" w:hAnsi="Arial"/>
                <w:sz w:val="22"/>
                <w:szCs w:val="22"/>
                <w:color w:val="auto"/>
              </w:rPr>
              <w:t>Wood Veneer Paneling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47,522.00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4620" w:type="dxa"/>
            <w:vAlign w:val="bottom"/>
          </w:tcPr>
          <w:p>
            <w:pPr>
              <w:ind w:left="80"/>
              <w:spacing w:after="0"/>
              <w:rPr>
                <w:sz w:val="20"/>
                <w:szCs w:val="20"/>
                <w:color w:val="auto"/>
              </w:rPr>
            </w:pPr>
            <w:r>
              <w:rPr>
                <w:rFonts w:ascii="Arial" w:cs="Arial" w:eastAsia="Arial" w:hAnsi="Arial"/>
                <w:sz w:val="22"/>
                <w:szCs w:val="22"/>
                <w:color w:val="auto"/>
              </w:rPr>
              <w:t>Roof Patching (allowance)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20,000.00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4620" w:type="dxa"/>
            <w:vAlign w:val="bottom"/>
          </w:tcPr>
          <w:p>
            <w:pPr>
              <w:ind w:left="80"/>
              <w:spacing w:after="0"/>
              <w:rPr>
                <w:sz w:val="20"/>
                <w:szCs w:val="20"/>
                <w:color w:val="auto"/>
              </w:rPr>
            </w:pPr>
            <w:r>
              <w:rPr>
                <w:rFonts w:ascii="Arial" w:cs="Arial" w:eastAsia="Arial" w:hAnsi="Arial"/>
                <w:sz w:val="22"/>
                <w:szCs w:val="22"/>
                <w:color w:val="auto"/>
              </w:rPr>
              <w:t>Doors, Frames, Hardware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132,768.00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11.</w:t>
            </w:r>
          </w:p>
        </w:tc>
        <w:tc>
          <w:tcPr>
            <w:tcW w:w="4620" w:type="dxa"/>
            <w:vAlign w:val="bottom"/>
          </w:tcPr>
          <w:p>
            <w:pPr>
              <w:ind w:left="80"/>
              <w:spacing w:after="0"/>
              <w:rPr>
                <w:sz w:val="20"/>
                <w:szCs w:val="20"/>
                <w:color w:val="auto"/>
              </w:rPr>
            </w:pPr>
            <w:r>
              <w:rPr>
                <w:rFonts w:ascii="Arial" w:cs="Arial" w:eastAsia="Arial" w:hAnsi="Arial"/>
                <w:sz w:val="22"/>
                <w:szCs w:val="22"/>
                <w:color w:val="auto"/>
              </w:rPr>
              <w:t>Glass/Glazing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264,000.00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12.</w:t>
            </w:r>
          </w:p>
        </w:tc>
        <w:tc>
          <w:tcPr>
            <w:tcW w:w="4620" w:type="dxa"/>
            <w:vAlign w:val="bottom"/>
          </w:tcPr>
          <w:p>
            <w:pPr>
              <w:ind w:left="80"/>
              <w:spacing w:after="0"/>
              <w:rPr>
                <w:sz w:val="20"/>
                <w:szCs w:val="20"/>
                <w:color w:val="auto"/>
              </w:rPr>
            </w:pPr>
            <w:r>
              <w:rPr>
                <w:rFonts w:ascii="Arial" w:cs="Arial" w:eastAsia="Arial" w:hAnsi="Arial"/>
                <w:sz w:val="22"/>
                <w:szCs w:val="22"/>
                <w:color w:val="auto"/>
              </w:rPr>
              <w:t>Glass/ Stainless Steel Railings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80,360.00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13.</w:t>
            </w:r>
          </w:p>
        </w:tc>
        <w:tc>
          <w:tcPr>
            <w:tcW w:w="4620" w:type="dxa"/>
            <w:vAlign w:val="bottom"/>
          </w:tcPr>
          <w:p>
            <w:pPr>
              <w:ind w:left="80"/>
              <w:spacing w:after="0"/>
              <w:rPr>
                <w:sz w:val="20"/>
                <w:szCs w:val="20"/>
                <w:color w:val="auto"/>
              </w:rPr>
            </w:pPr>
            <w:r>
              <w:rPr>
                <w:rFonts w:ascii="Arial" w:cs="Arial" w:eastAsia="Arial" w:hAnsi="Arial"/>
                <w:sz w:val="22"/>
                <w:szCs w:val="22"/>
                <w:color w:val="auto"/>
              </w:rPr>
              <w:t>Accordian Door</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19,930.00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14.</w:t>
            </w:r>
          </w:p>
        </w:tc>
        <w:tc>
          <w:tcPr>
            <w:tcW w:w="4620" w:type="dxa"/>
            <w:vAlign w:val="bottom"/>
          </w:tcPr>
          <w:p>
            <w:pPr>
              <w:ind w:left="80"/>
              <w:spacing w:after="0"/>
              <w:rPr>
                <w:sz w:val="20"/>
                <w:szCs w:val="20"/>
                <w:color w:val="auto"/>
              </w:rPr>
            </w:pPr>
            <w:r>
              <w:rPr>
                <w:rFonts w:ascii="Arial" w:cs="Arial" w:eastAsia="Arial" w:hAnsi="Arial"/>
                <w:sz w:val="22"/>
                <w:szCs w:val="22"/>
                <w:color w:val="auto"/>
              </w:rPr>
              <w:t>Gypsum Board</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587,917.00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15.</w:t>
            </w:r>
          </w:p>
        </w:tc>
        <w:tc>
          <w:tcPr>
            <w:tcW w:w="4620" w:type="dxa"/>
            <w:vAlign w:val="bottom"/>
          </w:tcPr>
          <w:p>
            <w:pPr>
              <w:ind w:left="80"/>
              <w:spacing w:after="0"/>
              <w:rPr>
                <w:sz w:val="20"/>
                <w:szCs w:val="20"/>
                <w:color w:val="auto"/>
              </w:rPr>
            </w:pPr>
            <w:r>
              <w:rPr>
                <w:rFonts w:ascii="Arial" w:cs="Arial" w:eastAsia="Arial" w:hAnsi="Arial"/>
                <w:sz w:val="22"/>
                <w:szCs w:val="22"/>
                <w:color w:val="auto"/>
              </w:rPr>
              <w:t>Ceramic Tile</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65,049.00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16.</w:t>
            </w:r>
          </w:p>
        </w:tc>
        <w:tc>
          <w:tcPr>
            <w:tcW w:w="4620" w:type="dxa"/>
            <w:vAlign w:val="bottom"/>
          </w:tcPr>
          <w:p>
            <w:pPr>
              <w:ind w:left="80"/>
              <w:spacing w:after="0"/>
              <w:rPr>
                <w:sz w:val="20"/>
                <w:szCs w:val="20"/>
                <w:color w:val="auto"/>
              </w:rPr>
            </w:pPr>
            <w:r>
              <w:rPr>
                <w:rFonts w:ascii="Arial" w:cs="Arial" w:eastAsia="Arial" w:hAnsi="Arial"/>
                <w:sz w:val="22"/>
                <w:szCs w:val="22"/>
                <w:color w:val="auto"/>
              </w:rPr>
              <w:t>Acoustical Ceilings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58,995.00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17.</w:t>
            </w:r>
          </w:p>
        </w:tc>
        <w:tc>
          <w:tcPr>
            <w:tcW w:w="4620" w:type="dxa"/>
            <w:vAlign w:val="bottom"/>
          </w:tcPr>
          <w:p>
            <w:pPr>
              <w:ind w:left="80"/>
              <w:spacing w:after="0"/>
              <w:rPr>
                <w:sz w:val="20"/>
                <w:szCs w:val="20"/>
                <w:color w:val="auto"/>
              </w:rPr>
            </w:pPr>
            <w:r>
              <w:rPr>
                <w:rFonts w:ascii="Arial" w:cs="Arial" w:eastAsia="Arial" w:hAnsi="Arial"/>
                <w:sz w:val="22"/>
                <w:szCs w:val="22"/>
                <w:color w:val="auto"/>
              </w:rPr>
              <w:t>Floor Covering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490,385.00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18</w:t>
            </w:r>
          </w:p>
        </w:tc>
        <w:tc>
          <w:tcPr>
            <w:tcW w:w="4620" w:type="dxa"/>
            <w:vAlign w:val="bottom"/>
          </w:tcPr>
          <w:p>
            <w:pPr>
              <w:ind w:left="80"/>
              <w:spacing w:after="0"/>
              <w:rPr>
                <w:sz w:val="20"/>
                <w:szCs w:val="20"/>
                <w:color w:val="auto"/>
              </w:rPr>
            </w:pPr>
            <w:r>
              <w:rPr>
                <w:rFonts w:ascii="Arial" w:cs="Arial" w:eastAsia="Arial" w:hAnsi="Arial"/>
                <w:sz w:val="22"/>
                <w:szCs w:val="22"/>
                <w:color w:val="auto"/>
              </w:rPr>
              <w:t>Painting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163,652.00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19.</w:t>
            </w:r>
          </w:p>
        </w:tc>
        <w:tc>
          <w:tcPr>
            <w:tcW w:w="4620" w:type="dxa"/>
            <w:vAlign w:val="bottom"/>
          </w:tcPr>
          <w:p>
            <w:pPr>
              <w:ind w:left="80"/>
              <w:spacing w:after="0"/>
              <w:rPr>
                <w:sz w:val="20"/>
                <w:szCs w:val="20"/>
                <w:color w:val="auto"/>
              </w:rPr>
            </w:pPr>
            <w:r>
              <w:rPr>
                <w:rFonts w:ascii="Arial" w:cs="Arial" w:eastAsia="Arial" w:hAnsi="Arial"/>
                <w:sz w:val="22"/>
                <w:szCs w:val="22"/>
                <w:color w:val="auto"/>
              </w:rPr>
              <w:t>Whiteboards (backing only)</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2,850.00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20.</w:t>
            </w:r>
          </w:p>
        </w:tc>
        <w:tc>
          <w:tcPr>
            <w:tcW w:w="4620" w:type="dxa"/>
            <w:vAlign w:val="bottom"/>
          </w:tcPr>
          <w:p>
            <w:pPr>
              <w:ind w:left="80"/>
              <w:spacing w:after="0"/>
              <w:rPr>
                <w:sz w:val="20"/>
                <w:szCs w:val="20"/>
                <w:color w:val="auto"/>
              </w:rPr>
            </w:pPr>
            <w:r>
              <w:rPr>
                <w:rFonts w:ascii="Arial" w:cs="Arial" w:eastAsia="Arial" w:hAnsi="Arial"/>
                <w:sz w:val="22"/>
                <w:szCs w:val="22"/>
                <w:color w:val="auto"/>
              </w:rPr>
              <w:t>Toilet Partitions/Accesories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29,060.00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21.</w:t>
            </w:r>
          </w:p>
        </w:tc>
        <w:tc>
          <w:tcPr>
            <w:tcW w:w="4620" w:type="dxa"/>
            <w:vAlign w:val="bottom"/>
          </w:tcPr>
          <w:p>
            <w:pPr>
              <w:ind w:left="80"/>
              <w:spacing w:after="0"/>
              <w:rPr>
                <w:sz w:val="20"/>
                <w:szCs w:val="20"/>
                <w:color w:val="auto"/>
              </w:rPr>
            </w:pPr>
            <w:r>
              <w:rPr>
                <w:rFonts w:ascii="Arial" w:cs="Arial" w:eastAsia="Arial" w:hAnsi="Arial"/>
                <w:sz w:val="22"/>
                <w:szCs w:val="22"/>
                <w:color w:val="auto"/>
              </w:rPr>
              <w:t>Projector Mounts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21,688.00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22.</w:t>
            </w:r>
          </w:p>
        </w:tc>
        <w:tc>
          <w:tcPr>
            <w:tcW w:w="4620" w:type="dxa"/>
            <w:vAlign w:val="bottom"/>
          </w:tcPr>
          <w:p>
            <w:pPr>
              <w:ind w:left="80"/>
              <w:spacing w:after="0"/>
              <w:rPr>
                <w:sz w:val="20"/>
                <w:szCs w:val="20"/>
                <w:color w:val="auto"/>
              </w:rPr>
            </w:pPr>
            <w:r>
              <w:rPr>
                <w:rFonts w:ascii="Arial" w:cs="Arial" w:eastAsia="Arial" w:hAnsi="Arial"/>
                <w:sz w:val="22"/>
                <w:szCs w:val="22"/>
                <w:color w:val="auto"/>
              </w:rPr>
              <w:t>Access Floor Repair</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20,130.00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23.</w:t>
            </w:r>
          </w:p>
        </w:tc>
        <w:tc>
          <w:tcPr>
            <w:tcW w:w="4620" w:type="dxa"/>
            <w:vAlign w:val="bottom"/>
          </w:tcPr>
          <w:p>
            <w:pPr>
              <w:ind w:left="80"/>
              <w:spacing w:after="0"/>
              <w:rPr>
                <w:sz w:val="20"/>
                <w:szCs w:val="20"/>
                <w:color w:val="auto"/>
              </w:rPr>
            </w:pPr>
            <w:r>
              <w:rPr>
                <w:rFonts w:ascii="Arial" w:cs="Arial" w:eastAsia="Arial" w:hAnsi="Arial"/>
                <w:sz w:val="22"/>
                <w:szCs w:val="22"/>
                <w:color w:val="auto"/>
              </w:rPr>
              <w:t>Signage</w:t>
            </w:r>
          </w:p>
        </w:tc>
        <w:tc>
          <w:tcPr>
            <w:tcW w:w="940" w:type="dxa"/>
            <w:vAlign w:val="bottom"/>
          </w:tcPr>
          <w:p>
            <w:pPr>
              <w:ind w:left="20"/>
              <w:spacing w:after="0"/>
              <w:rPr>
                <w:sz w:val="20"/>
                <w:szCs w:val="20"/>
                <w:color w:val="auto"/>
              </w:rPr>
            </w:pPr>
            <w:r>
              <w:rPr>
                <w:rFonts w:ascii="Arial" w:cs="Arial" w:eastAsia="Arial" w:hAnsi="Arial"/>
                <w:sz w:val="22"/>
                <w:szCs w:val="22"/>
                <w:color w:val="auto"/>
                <w:w w:val="99"/>
              </w:rPr>
              <w:t>by tenant</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Page 2</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0"/>
                <w:szCs w:val="20"/>
                <w:color w:val="auto"/>
              </w:rPr>
            </w:pPr>
            <w:r>
              <w:rPr>
                <w:rFonts w:ascii="Arial" w:cs="Arial" w:eastAsia="Arial" w:hAnsi="Arial"/>
                <w:sz w:val="22"/>
                <w:szCs w:val="22"/>
                <w:color w:val="auto"/>
              </w:rPr>
              <w:t>24.</w:t>
            </w:r>
          </w:p>
        </w:tc>
        <w:tc>
          <w:tcPr>
            <w:tcW w:w="4620" w:type="dxa"/>
            <w:vAlign w:val="bottom"/>
          </w:tcPr>
          <w:p>
            <w:pPr>
              <w:ind w:left="80"/>
              <w:spacing w:after="0"/>
              <w:rPr>
                <w:sz w:val="20"/>
                <w:szCs w:val="20"/>
                <w:color w:val="auto"/>
              </w:rPr>
            </w:pPr>
            <w:r>
              <w:rPr>
                <w:rFonts w:ascii="Arial" w:cs="Arial" w:eastAsia="Arial" w:hAnsi="Arial"/>
                <w:sz w:val="22"/>
                <w:szCs w:val="22"/>
                <w:color w:val="auto"/>
              </w:rPr>
              <w:t>Interior Blinds/Motorized Shades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33,599.00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25.</w:t>
            </w:r>
          </w:p>
        </w:tc>
        <w:tc>
          <w:tcPr>
            <w:tcW w:w="4620" w:type="dxa"/>
            <w:vAlign w:val="bottom"/>
          </w:tcPr>
          <w:p>
            <w:pPr>
              <w:ind w:left="80"/>
              <w:spacing w:after="0"/>
              <w:rPr>
                <w:sz w:val="20"/>
                <w:szCs w:val="20"/>
                <w:color w:val="auto"/>
              </w:rPr>
            </w:pPr>
            <w:r>
              <w:rPr>
                <w:rFonts w:ascii="Arial" w:cs="Arial" w:eastAsia="Arial" w:hAnsi="Arial"/>
                <w:sz w:val="22"/>
                <w:szCs w:val="22"/>
                <w:color w:val="auto"/>
              </w:rPr>
              <w:t>Roof Hatches/Ships Ladders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24,114.00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26.</w:t>
            </w:r>
          </w:p>
        </w:tc>
        <w:tc>
          <w:tcPr>
            <w:tcW w:w="4620" w:type="dxa"/>
            <w:vAlign w:val="bottom"/>
          </w:tcPr>
          <w:p>
            <w:pPr>
              <w:ind w:left="80"/>
              <w:spacing w:after="0"/>
              <w:rPr>
                <w:sz w:val="20"/>
                <w:szCs w:val="20"/>
                <w:color w:val="auto"/>
              </w:rPr>
            </w:pPr>
            <w:r>
              <w:rPr>
                <w:rFonts w:ascii="Arial" w:cs="Arial" w:eastAsia="Arial" w:hAnsi="Arial"/>
                <w:sz w:val="22"/>
                <w:szCs w:val="22"/>
                <w:color w:val="auto"/>
              </w:rPr>
              <w:t>Elevator Upgrades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5,940.00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27.</w:t>
            </w:r>
          </w:p>
        </w:tc>
        <w:tc>
          <w:tcPr>
            <w:tcW w:w="4620" w:type="dxa"/>
            <w:vAlign w:val="bottom"/>
          </w:tcPr>
          <w:p>
            <w:pPr>
              <w:ind w:left="80"/>
              <w:spacing w:after="0"/>
              <w:rPr>
                <w:sz w:val="20"/>
                <w:szCs w:val="20"/>
                <w:color w:val="auto"/>
              </w:rPr>
            </w:pPr>
            <w:r>
              <w:rPr>
                <w:rFonts w:ascii="Arial" w:cs="Arial" w:eastAsia="Arial" w:hAnsi="Arial"/>
                <w:sz w:val="22"/>
                <w:szCs w:val="22"/>
                <w:color w:val="auto"/>
              </w:rPr>
              <w:t>Fire Sprinklers</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65,308.00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28.</w:t>
            </w:r>
          </w:p>
        </w:tc>
        <w:tc>
          <w:tcPr>
            <w:tcW w:w="4620" w:type="dxa"/>
            <w:vAlign w:val="bottom"/>
          </w:tcPr>
          <w:p>
            <w:pPr>
              <w:ind w:left="80"/>
              <w:spacing w:after="0"/>
              <w:rPr>
                <w:sz w:val="20"/>
                <w:szCs w:val="20"/>
                <w:color w:val="auto"/>
              </w:rPr>
            </w:pPr>
            <w:r>
              <w:rPr>
                <w:rFonts w:ascii="Arial" w:cs="Arial" w:eastAsia="Arial" w:hAnsi="Arial"/>
                <w:sz w:val="22"/>
                <w:szCs w:val="22"/>
                <w:color w:val="auto"/>
              </w:rPr>
              <w:t>HVAC</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981,776.00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29.</w:t>
            </w:r>
          </w:p>
        </w:tc>
        <w:tc>
          <w:tcPr>
            <w:tcW w:w="4620" w:type="dxa"/>
            <w:vAlign w:val="bottom"/>
          </w:tcPr>
          <w:p>
            <w:pPr>
              <w:ind w:left="80"/>
              <w:spacing w:after="0"/>
              <w:rPr>
                <w:sz w:val="20"/>
                <w:szCs w:val="20"/>
                <w:color w:val="auto"/>
              </w:rPr>
            </w:pPr>
            <w:r>
              <w:rPr>
                <w:rFonts w:ascii="Arial" w:cs="Arial" w:eastAsia="Arial" w:hAnsi="Arial"/>
                <w:sz w:val="22"/>
                <w:szCs w:val="22"/>
                <w:color w:val="auto"/>
              </w:rPr>
              <w:t>Hydronic Piping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18,590.00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30.</w:t>
            </w:r>
          </w:p>
        </w:tc>
        <w:tc>
          <w:tcPr>
            <w:tcW w:w="4620" w:type="dxa"/>
            <w:vAlign w:val="bottom"/>
          </w:tcPr>
          <w:p>
            <w:pPr>
              <w:ind w:left="80"/>
              <w:spacing w:after="0"/>
              <w:rPr>
                <w:sz w:val="20"/>
                <w:szCs w:val="20"/>
                <w:color w:val="auto"/>
              </w:rPr>
            </w:pPr>
            <w:r>
              <w:rPr>
                <w:rFonts w:ascii="Arial" w:cs="Arial" w:eastAsia="Arial" w:hAnsi="Arial"/>
                <w:sz w:val="22"/>
                <w:szCs w:val="22"/>
                <w:color w:val="auto"/>
              </w:rPr>
              <w:t>Plumbing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59,205.00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31</w:t>
            </w:r>
          </w:p>
        </w:tc>
        <w:tc>
          <w:tcPr>
            <w:tcW w:w="4620" w:type="dxa"/>
            <w:vAlign w:val="bottom"/>
          </w:tcPr>
          <w:p>
            <w:pPr>
              <w:ind w:left="80"/>
              <w:spacing w:after="0"/>
              <w:rPr>
                <w:sz w:val="20"/>
                <w:szCs w:val="20"/>
                <w:color w:val="auto"/>
              </w:rPr>
            </w:pPr>
            <w:r>
              <w:rPr>
                <w:rFonts w:ascii="Arial" w:cs="Arial" w:eastAsia="Arial" w:hAnsi="Arial"/>
                <w:sz w:val="22"/>
                <w:szCs w:val="22"/>
                <w:color w:val="auto"/>
              </w:rPr>
              <w:t>Electric</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1,534,862.00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32.</w:t>
            </w:r>
          </w:p>
        </w:tc>
        <w:tc>
          <w:tcPr>
            <w:tcW w:w="4620" w:type="dxa"/>
            <w:vAlign w:val="bottom"/>
          </w:tcPr>
          <w:p>
            <w:pPr>
              <w:ind w:left="80"/>
              <w:spacing w:after="0"/>
              <w:rPr>
                <w:sz w:val="20"/>
                <w:szCs w:val="20"/>
                <w:color w:val="auto"/>
              </w:rPr>
            </w:pPr>
            <w:r>
              <w:rPr>
                <w:rFonts w:ascii="Arial" w:cs="Arial" w:eastAsia="Arial" w:hAnsi="Arial"/>
                <w:sz w:val="22"/>
                <w:szCs w:val="22"/>
                <w:color w:val="auto"/>
              </w:rPr>
              <w:t>Fire Alarm System</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41,095.00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33.</w:t>
            </w:r>
          </w:p>
        </w:tc>
        <w:tc>
          <w:tcPr>
            <w:tcW w:w="4620" w:type="dxa"/>
            <w:vAlign w:val="bottom"/>
          </w:tcPr>
          <w:p>
            <w:pPr>
              <w:ind w:left="80"/>
              <w:spacing w:after="0"/>
              <w:rPr>
                <w:sz w:val="20"/>
                <w:szCs w:val="20"/>
                <w:color w:val="auto"/>
              </w:rPr>
            </w:pPr>
            <w:r>
              <w:rPr>
                <w:rFonts w:ascii="Arial" w:cs="Arial" w:eastAsia="Arial" w:hAnsi="Arial"/>
                <w:sz w:val="22"/>
                <w:szCs w:val="22"/>
                <w:color w:val="auto"/>
              </w:rPr>
              <w:t>Wire Mesh Ceiling</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120,248.00</w:t>
            </w:r>
          </w:p>
        </w:tc>
        <w:tc>
          <w:tcPr>
            <w:tcW w:w="1520" w:type="dxa"/>
            <w:vAlign w:val="bottom"/>
          </w:tcPr>
          <w:p>
            <w:pPr>
              <w:spacing w:after="0"/>
              <w:rPr>
                <w:sz w:val="24"/>
                <w:szCs w:val="24"/>
                <w:color w:val="auto"/>
              </w:rPr>
            </w:pPr>
          </w:p>
        </w:tc>
      </w:tr>
      <w:tr>
        <w:trPr>
          <w:trHeight w:val="321"/>
        </w:trPr>
        <w:tc>
          <w:tcPr>
            <w:tcW w:w="360" w:type="dxa"/>
            <w:vAlign w:val="bottom"/>
          </w:tcPr>
          <w:p>
            <w:pPr>
              <w:spacing w:after="0"/>
              <w:rPr>
                <w:sz w:val="20"/>
                <w:szCs w:val="20"/>
                <w:color w:val="auto"/>
              </w:rPr>
            </w:pPr>
            <w:r>
              <w:rPr>
                <w:rFonts w:ascii="Arial" w:cs="Arial" w:eastAsia="Arial" w:hAnsi="Arial"/>
                <w:sz w:val="22"/>
                <w:szCs w:val="22"/>
                <w:color w:val="auto"/>
              </w:rPr>
              <w:t>34.</w:t>
            </w:r>
          </w:p>
        </w:tc>
        <w:tc>
          <w:tcPr>
            <w:tcW w:w="4620" w:type="dxa"/>
            <w:vAlign w:val="bottom"/>
          </w:tcPr>
          <w:p>
            <w:pPr>
              <w:ind w:left="80"/>
              <w:spacing w:after="0"/>
              <w:rPr>
                <w:sz w:val="20"/>
                <w:szCs w:val="20"/>
                <w:color w:val="auto"/>
              </w:rPr>
            </w:pPr>
            <w:r>
              <w:rPr>
                <w:rFonts w:ascii="Arial" w:cs="Arial" w:eastAsia="Arial" w:hAnsi="Arial"/>
                <w:sz w:val="22"/>
                <w:szCs w:val="22"/>
                <w:color w:val="auto"/>
              </w:rPr>
              <w:t>Granite Stone, Lobbles &amp; Stairs 1&amp;2</w:t>
            </w: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51,336.00</w:t>
            </w:r>
          </w:p>
        </w:tc>
        <w:tc>
          <w:tcPr>
            <w:tcW w:w="152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Sub Total</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5,635,133.00</w:t>
            </w:r>
          </w:p>
        </w:tc>
        <w:tc>
          <w:tcPr>
            <w:tcW w:w="1520" w:type="dxa"/>
            <w:vAlign w:val="bottom"/>
          </w:tcPr>
          <w:p>
            <w:pPr>
              <w:spacing w:after="0"/>
              <w:rPr>
                <w:sz w:val="24"/>
                <w:szCs w:val="24"/>
                <w:color w:val="auto"/>
              </w:rPr>
            </w:pPr>
          </w:p>
        </w:tc>
      </w:tr>
      <w:tr>
        <w:trPr>
          <w:trHeight w:val="321"/>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OH &amp; P</w:t>
            </w: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366,284.00</w:t>
            </w:r>
          </w:p>
        </w:tc>
        <w:tc>
          <w:tcPr>
            <w:tcW w:w="152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TOTAL LINE ITEMS</w:t>
            </w:r>
          </w:p>
        </w:tc>
        <w:tc>
          <w:tcPr>
            <w:tcW w:w="940" w:type="dxa"/>
            <w:vAlign w:val="bottom"/>
          </w:tcPr>
          <w:p>
            <w:pPr>
              <w:ind w:left="20"/>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2"/>
              <w:spacing w:after="0"/>
              <w:rPr>
                <w:sz w:val="20"/>
                <w:szCs w:val="20"/>
                <w:color w:val="auto"/>
              </w:rPr>
            </w:pPr>
            <w:r>
              <w:rPr>
                <w:rFonts w:ascii="Arial" w:cs="Arial" w:eastAsia="Arial" w:hAnsi="Arial"/>
                <w:sz w:val="22"/>
                <w:szCs w:val="22"/>
                <w:color w:val="auto"/>
                <w:w w:val="94"/>
              </w:rPr>
              <w:t>6,001,417.00</w:t>
            </w:r>
          </w:p>
        </w:tc>
        <w:tc>
          <w:tcPr>
            <w:tcW w:w="1520" w:type="dxa"/>
            <w:vAlign w:val="bottom"/>
          </w:tcPr>
          <w:p>
            <w:pPr>
              <w:spacing w:after="0"/>
              <w:rPr>
                <w:sz w:val="24"/>
                <w:szCs w:val="24"/>
                <w:color w:val="auto"/>
              </w:rPr>
            </w:pPr>
          </w:p>
        </w:tc>
      </w:tr>
      <w:tr>
        <w:trPr>
          <w:trHeight w:val="621"/>
        </w:trPr>
        <w:tc>
          <w:tcPr>
            <w:tcW w:w="360" w:type="dxa"/>
            <w:vAlign w:val="bottom"/>
          </w:tcPr>
          <w:p>
            <w:pPr>
              <w:spacing w:after="0"/>
              <w:rPr>
                <w:sz w:val="20"/>
                <w:szCs w:val="20"/>
                <w:color w:val="auto"/>
              </w:rPr>
            </w:pPr>
            <w:r>
              <w:rPr>
                <w:rFonts w:ascii="Arial" w:cs="Arial" w:eastAsia="Arial" w:hAnsi="Arial"/>
                <w:sz w:val="22"/>
                <w:szCs w:val="22"/>
                <w:color w:val="auto"/>
              </w:rPr>
              <w:t>34.</w:t>
            </w:r>
          </w:p>
        </w:tc>
        <w:tc>
          <w:tcPr>
            <w:tcW w:w="4620" w:type="dxa"/>
            <w:vAlign w:val="bottom"/>
          </w:tcPr>
          <w:p>
            <w:pPr>
              <w:ind w:left="80"/>
              <w:spacing w:after="0"/>
              <w:rPr>
                <w:sz w:val="20"/>
                <w:szCs w:val="20"/>
                <w:color w:val="auto"/>
              </w:rPr>
            </w:pPr>
            <w:r>
              <w:rPr>
                <w:rFonts w:ascii="Arial" w:cs="Arial" w:eastAsia="Arial" w:hAnsi="Arial"/>
                <w:sz w:val="22"/>
                <w:szCs w:val="22"/>
                <w:color w:val="auto"/>
              </w:rPr>
              <w:t>COR #6</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2,205.00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35.</w:t>
            </w:r>
          </w:p>
        </w:tc>
        <w:tc>
          <w:tcPr>
            <w:tcW w:w="4620" w:type="dxa"/>
            <w:vAlign w:val="bottom"/>
          </w:tcPr>
          <w:p>
            <w:pPr>
              <w:ind w:left="80"/>
              <w:spacing w:after="0"/>
              <w:rPr>
                <w:sz w:val="20"/>
                <w:szCs w:val="20"/>
                <w:color w:val="auto"/>
              </w:rPr>
            </w:pPr>
            <w:r>
              <w:rPr>
                <w:rFonts w:ascii="Arial" w:cs="Arial" w:eastAsia="Arial" w:hAnsi="Arial"/>
                <w:sz w:val="22"/>
                <w:szCs w:val="22"/>
                <w:color w:val="auto"/>
              </w:rPr>
              <w:t>COR #8</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2,327.00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36.</w:t>
            </w:r>
          </w:p>
        </w:tc>
        <w:tc>
          <w:tcPr>
            <w:tcW w:w="4620" w:type="dxa"/>
            <w:vAlign w:val="bottom"/>
          </w:tcPr>
          <w:p>
            <w:pPr>
              <w:ind w:left="80"/>
              <w:spacing w:after="0"/>
              <w:rPr>
                <w:sz w:val="20"/>
                <w:szCs w:val="20"/>
                <w:color w:val="auto"/>
              </w:rPr>
            </w:pPr>
            <w:r>
              <w:rPr>
                <w:rFonts w:ascii="Arial" w:cs="Arial" w:eastAsia="Arial" w:hAnsi="Arial"/>
                <w:sz w:val="22"/>
                <w:szCs w:val="22"/>
                <w:color w:val="auto"/>
              </w:rPr>
              <w:t>COR #9</w:t>
            </w:r>
          </w:p>
        </w:tc>
        <w:tc>
          <w:tcPr>
            <w:tcW w:w="9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22"/>
                <w:szCs w:val="22"/>
                <w:color w:val="auto"/>
              </w:rPr>
              <w:t>7,326.00</w:t>
            </w:r>
          </w:p>
        </w:tc>
        <w:tc>
          <w:tcPr>
            <w:tcW w:w="152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37.</w:t>
            </w:r>
          </w:p>
        </w:tc>
        <w:tc>
          <w:tcPr>
            <w:tcW w:w="4620" w:type="dxa"/>
            <w:vAlign w:val="bottom"/>
          </w:tcPr>
          <w:p>
            <w:pPr>
              <w:ind w:left="80"/>
              <w:spacing w:after="0"/>
              <w:rPr>
                <w:sz w:val="20"/>
                <w:szCs w:val="20"/>
                <w:color w:val="auto"/>
              </w:rPr>
            </w:pPr>
            <w:r>
              <w:rPr>
                <w:rFonts w:ascii="Arial" w:cs="Arial" w:eastAsia="Arial" w:hAnsi="Arial"/>
                <w:sz w:val="22"/>
                <w:szCs w:val="22"/>
                <w:color w:val="auto"/>
              </w:rPr>
              <w:t>COR #12</w:t>
            </w:r>
          </w:p>
        </w:tc>
        <w:tc>
          <w:tcPr>
            <w:tcW w:w="9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(7,743.00)</w:t>
            </w:r>
          </w:p>
        </w:tc>
        <w:tc>
          <w:tcPr>
            <w:tcW w:w="1520" w:type="dxa"/>
            <w:vAlign w:val="bottom"/>
          </w:tcPr>
          <w:p>
            <w:pPr>
              <w:spacing w:after="0"/>
              <w:rPr>
                <w:sz w:val="24"/>
                <w:szCs w:val="24"/>
                <w:color w:val="auto"/>
              </w:rPr>
            </w:pPr>
          </w:p>
        </w:tc>
      </w:tr>
      <w:tr>
        <w:trPr>
          <w:trHeight w:val="476"/>
        </w:trPr>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179"/>
          </w:cols>
          <w:pgMar w:left="280" w:top="1063"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0" w:type="dxa"/>
            <w:vAlign w:val="bottom"/>
          </w:tcPr>
          <w:p>
            <w:pPr>
              <w:spacing w:after="0"/>
              <w:rPr>
                <w:sz w:val="20"/>
                <w:szCs w:val="20"/>
                <w:color w:val="auto"/>
              </w:rPr>
            </w:pPr>
            <w:r>
              <w:rPr>
                <w:rFonts w:ascii="Arial" w:cs="Arial" w:eastAsia="Arial" w:hAnsi="Arial"/>
                <w:sz w:val="22"/>
                <w:szCs w:val="22"/>
                <w:color w:val="auto"/>
              </w:rPr>
              <w:t>38.</w:t>
            </w:r>
          </w:p>
        </w:tc>
        <w:tc>
          <w:tcPr>
            <w:tcW w:w="4620" w:type="dxa"/>
            <w:vAlign w:val="bottom"/>
          </w:tcPr>
          <w:p>
            <w:pPr>
              <w:ind w:left="80"/>
              <w:spacing w:after="0"/>
              <w:rPr>
                <w:sz w:val="20"/>
                <w:szCs w:val="20"/>
                <w:color w:val="auto"/>
              </w:rPr>
            </w:pPr>
            <w:r>
              <w:rPr>
                <w:rFonts w:ascii="Arial" w:cs="Arial" w:eastAsia="Arial" w:hAnsi="Arial"/>
                <w:sz w:val="22"/>
                <w:szCs w:val="22"/>
                <w:color w:val="auto"/>
              </w:rPr>
              <w:t>COR #19</w:t>
            </w:r>
          </w:p>
        </w:tc>
        <w:tc>
          <w:tcPr>
            <w:tcW w:w="9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145.00</w:t>
            </w:r>
          </w:p>
        </w:tc>
        <w:tc>
          <w:tcPr>
            <w:tcW w:w="2660" w:type="dxa"/>
            <w:vAlign w:val="bottom"/>
          </w:tcPr>
          <w:p>
            <w:pPr>
              <w:spacing w:after="0"/>
              <w:rPr>
                <w:sz w:val="23"/>
                <w:szCs w:val="23"/>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39.</w:t>
            </w:r>
          </w:p>
        </w:tc>
        <w:tc>
          <w:tcPr>
            <w:tcW w:w="4620" w:type="dxa"/>
            <w:vAlign w:val="bottom"/>
          </w:tcPr>
          <w:p>
            <w:pPr>
              <w:ind w:left="80"/>
              <w:spacing w:after="0"/>
              <w:rPr>
                <w:sz w:val="20"/>
                <w:szCs w:val="20"/>
                <w:color w:val="auto"/>
              </w:rPr>
            </w:pPr>
            <w:r>
              <w:rPr>
                <w:rFonts w:ascii="Arial" w:cs="Arial" w:eastAsia="Arial" w:hAnsi="Arial"/>
                <w:sz w:val="22"/>
                <w:szCs w:val="22"/>
                <w:color w:val="auto"/>
              </w:rPr>
              <w:t>COR #21</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2660" w:type="dxa"/>
            <w:vAlign w:val="bottom"/>
          </w:tcPr>
          <w:p>
            <w:pPr>
              <w:ind w:left="20"/>
              <w:spacing w:after="0"/>
              <w:rPr>
                <w:sz w:val="20"/>
                <w:szCs w:val="20"/>
                <w:color w:val="auto"/>
              </w:rPr>
            </w:pPr>
            <w:r>
              <w:rPr>
                <w:rFonts w:ascii="Arial" w:cs="Arial" w:eastAsia="Arial" w:hAnsi="Arial"/>
                <w:sz w:val="22"/>
                <w:szCs w:val="22"/>
                <w:color w:val="auto"/>
              </w:rPr>
              <w:t>pending engineering</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40</w:t>
            </w:r>
          </w:p>
        </w:tc>
        <w:tc>
          <w:tcPr>
            <w:tcW w:w="4620" w:type="dxa"/>
            <w:vAlign w:val="bottom"/>
          </w:tcPr>
          <w:p>
            <w:pPr>
              <w:ind w:left="80"/>
              <w:spacing w:after="0"/>
              <w:rPr>
                <w:sz w:val="20"/>
                <w:szCs w:val="20"/>
                <w:color w:val="auto"/>
              </w:rPr>
            </w:pPr>
            <w:r>
              <w:rPr>
                <w:rFonts w:ascii="Arial" w:cs="Arial" w:eastAsia="Arial" w:hAnsi="Arial"/>
                <w:sz w:val="22"/>
                <w:szCs w:val="22"/>
                <w:color w:val="auto"/>
              </w:rPr>
              <w:t>COR #22</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2660" w:type="dxa"/>
            <w:vAlign w:val="bottom"/>
          </w:tcPr>
          <w:p>
            <w:pPr>
              <w:ind w:left="20"/>
              <w:spacing w:after="0"/>
              <w:rPr>
                <w:sz w:val="20"/>
                <w:szCs w:val="20"/>
                <w:color w:val="auto"/>
              </w:rPr>
            </w:pPr>
            <w:r>
              <w:rPr>
                <w:rFonts w:ascii="Arial" w:cs="Arial" w:eastAsia="Arial" w:hAnsi="Arial"/>
                <w:sz w:val="22"/>
                <w:szCs w:val="22"/>
                <w:color w:val="auto"/>
              </w:rPr>
              <w:t>pending re-design</w:t>
            </w: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41.</w:t>
            </w:r>
          </w:p>
        </w:tc>
        <w:tc>
          <w:tcPr>
            <w:tcW w:w="4620" w:type="dxa"/>
            <w:vAlign w:val="bottom"/>
          </w:tcPr>
          <w:p>
            <w:pPr>
              <w:ind w:left="80"/>
              <w:spacing w:after="0"/>
              <w:rPr>
                <w:sz w:val="20"/>
                <w:szCs w:val="20"/>
                <w:color w:val="auto"/>
              </w:rPr>
            </w:pPr>
            <w:r>
              <w:rPr>
                <w:rFonts w:ascii="Arial" w:cs="Arial" w:eastAsia="Arial" w:hAnsi="Arial"/>
                <w:sz w:val="22"/>
                <w:szCs w:val="22"/>
                <w:color w:val="auto"/>
              </w:rPr>
              <w:t>COR #23</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3,972.00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42.</w:t>
            </w:r>
          </w:p>
        </w:tc>
        <w:tc>
          <w:tcPr>
            <w:tcW w:w="4620" w:type="dxa"/>
            <w:vAlign w:val="bottom"/>
          </w:tcPr>
          <w:p>
            <w:pPr>
              <w:ind w:left="80"/>
              <w:spacing w:after="0"/>
              <w:rPr>
                <w:sz w:val="20"/>
                <w:szCs w:val="20"/>
                <w:color w:val="auto"/>
              </w:rPr>
            </w:pPr>
            <w:r>
              <w:rPr>
                <w:rFonts w:ascii="Arial" w:cs="Arial" w:eastAsia="Arial" w:hAnsi="Arial"/>
                <w:sz w:val="22"/>
                <w:szCs w:val="22"/>
                <w:color w:val="auto"/>
              </w:rPr>
              <w:t>COR #24</w:t>
            </w:r>
          </w:p>
        </w:tc>
        <w:tc>
          <w:tcPr>
            <w:tcW w:w="92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817.00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43.</w:t>
            </w:r>
          </w:p>
        </w:tc>
        <w:tc>
          <w:tcPr>
            <w:tcW w:w="4620" w:type="dxa"/>
            <w:vAlign w:val="bottom"/>
          </w:tcPr>
          <w:p>
            <w:pPr>
              <w:ind w:left="80"/>
              <w:spacing w:after="0"/>
              <w:rPr>
                <w:sz w:val="20"/>
                <w:szCs w:val="20"/>
                <w:color w:val="auto"/>
              </w:rPr>
            </w:pPr>
            <w:r>
              <w:rPr>
                <w:rFonts w:ascii="Arial" w:cs="Arial" w:eastAsia="Arial" w:hAnsi="Arial"/>
                <w:sz w:val="22"/>
                <w:szCs w:val="22"/>
                <w:color w:val="auto"/>
              </w:rPr>
              <w:t>COR #26</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(4,350.00)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44.</w:t>
            </w:r>
          </w:p>
        </w:tc>
        <w:tc>
          <w:tcPr>
            <w:tcW w:w="4620" w:type="dxa"/>
            <w:vAlign w:val="bottom"/>
          </w:tcPr>
          <w:p>
            <w:pPr>
              <w:ind w:left="80"/>
              <w:spacing w:after="0"/>
              <w:rPr>
                <w:sz w:val="20"/>
                <w:szCs w:val="20"/>
                <w:color w:val="auto"/>
              </w:rPr>
            </w:pPr>
            <w:r>
              <w:rPr>
                <w:rFonts w:ascii="Arial" w:cs="Arial" w:eastAsia="Arial" w:hAnsi="Arial"/>
                <w:sz w:val="22"/>
                <w:szCs w:val="22"/>
                <w:color w:val="auto"/>
              </w:rPr>
              <w:t>COR #28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(134,519.00)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45.</w:t>
            </w:r>
          </w:p>
        </w:tc>
        <w:tc>
          <w:tcPr>
            <w:tcW w:w="4620" w:type="dxa"/>
            <w:vAlign w:val="bottom"/>
          </w:tcPr>
          <w:p>
            <w:pPr>
              <w:ind w:left="80"/>
              <w:spacing w:after="0"/>
              <w:rPr>
                <w:sz w:val="20"/>
                <w:szCs w:val="20"/>
                <w:color w:val="auto"/>
              </w:rPr>
            </w:pPr>
            <w:r>
              <w:rPr>
                <w:rFonts w:ascii="Arial" w:cs="Arial" w:eastAsia="Arial" w:hAnsi="Arial"/>
                <w:sz w:val="22"/>
                <w:szCs w:val="22"/>
                <w:color w:val="auto"/>
              </w:rPr>
              <w:t>COR #37</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(8,288.00)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46.</w:t>
            </w:r>
          </w:p>
        </w:tc>
        <w:tc>
          <w:tcPr>
            <w:tcW w:w="4620" w:type="dxa"/>
            <w:vAlign w:val="bottom"/>
          </w:tcPr>
          <w:p>
            <w:pPr>
              <w:ind w:left="80"/>
              <w:spacing w:after="0"/>
              <w:rPr>
                <w:sz w:val="20"/>
                <w:szCs w:val="20"/>
                <w:color w:val="auto"/>
              </w:rPr>
            </w:pPr>
            <w:r>
              <w:rPr>
                <w:rFonts w:ascii="Arial" w:cs="Arial" w:eastAsia="Arial" w:hAnsi="Arial"/>
                <w:sz w:val="22"/>
                <w:szCs w:val="22"/>
                <w:color w:val="auto"/>
              </w:rPr>
              <w:t>COR #38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(34,340.00)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47.</w:t>
            </w:r>
          </w:p>
        </w:tc>
        <w:tc>
          <w:tcPr>
            <w:tcW w:w="4620" w:type="dxa"/>
            <w:vAlign w:val="bottom"/>
          </w:tcPr>
          <w:p>
            <w:pPr>
              <w:ind w:left="80"/>
              <w:spacing w:after="0"/>
              <w:rPr>
                <w:sz w:val="20"/>
                <w:szCs w:val="20"/>
                <w:color w:val="auto"/>
              </w:rPr>
            </w:pPr>
            <w:r>
              <w:rPr>
                <w:rFonts w:ascii="Arial" w:cs="Arial" w:eastAsia="Arial" w:hAnsi="Arial"/>
                <w:sz w:val="22"/>
                <w:szCs w:val="22"/>
                <w:color w:val="auto"/>
              </w:rPr>
              <w:t>COR #39</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(18,813.00)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48.</w:t>
            </w:r>
          </w:p>
        </w:tc>
        <w:tc>
          <w:tcPr>
            <w:tcW w:w="4620" w:type="dxa"/>
            <w:vAlign w:val="bottom"/>
          </w:tcPr>
          <w:p>
            <w:pPr>
              <w:ind w:left="80"/>
              <w:spacing w:after="0"/>
              <w:rPr>
                <w:sz w:val="20"/>
                <w:szCs w:val="20"/>
                <w:color w:val="auto"/>
              </w:rPr>
            </w:pPr>
            <w:r>
              <w:rPr>
                <w:rFonts w:ascii="Arial" w:cs="Arial" w:eastAsia="Arial" w:hAnsi="Arial"/>
                <w:sz w:val="22"/>
                <w:szCs w:val="22"/>
                <w:color w:val="auto"/>
              </w:rPr>
              <w:t>COR #40</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(14,377.00)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49.</w:t>
            </w:r>
          </w:p>
        </w:tc>
        <w:tc>
          <w:tcPr>
            <w:tcW w:w="4620" w:type="dxa"/>
            <w:vAlign w:val="bottom"/>
          </w:tcPr>
          <w:p>
            <w:pPr>
              <w:ind w:left="80"/>
              <w:spacing w:after="0"/>
              <w:rPr>
                <w:sz w:val="20"/>
                <w:szCs w:val="20"/>
                <w:color w:val="auto"/>
              </w:rPr>
            </w:pPr>
            <w:r>
              <w:rPr>
                <w:rFonts w:ascii="Arial" w:cs="Arial" w:eastAsia="Arial" w:hAnsi="Arial"/>
                <w:sz w:val="22"/>
                <w:szCs w:val="22"/>
                <w:color w:val="auto"/>
              </w:rPr>
              <w:t>COR #41</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(69,522.00)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50.</w:t>
            </w:r>
          </w:p>
        </w:tc>
        <w:tc>
          <w:tcPr>
            <w:tcW w:w="4620" w:type="dxa"/>
            <w:vAlign w:val="bottom"/>
          </w:tcPr>
          <w:p>
            <w:pPr>
              <w:ind w:left="80"/>
              <w:spacing w:after="0"/>
              <w:rPr>
                <w:sz w:val="20"/>
                <w:szCs w:val="20"/>
                <w:color w:val="auto"/>
              </w:rPr>
            </w:pPr>
            <w:r>
              <w:rPr>
                <w:rFonts w:ascii="Arial" w:cs="Arial" w:eastAsia="Arial" w:hAnsi="Arial"/>
                <w:sz w:val="22"/>
                <w:szCs w:val="22"/>
                <w:color w:val="auto"/>
              </w:rPr>
              <w:t>COR #43</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(35,770.00)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51.</w:t>
            </w:r>
          </w:p>
        </w:tc>
        <w:tc>
          <w:tcPr>
            <w:tcW w:w="4620" w:type="dxa"/>
            <w:vAlign w:val="bottom"/>
          </w:tcPr>
          <w:p>
            <w:pPr>
              <w:ind w:left="80"/>
              <w:spacing w:after="0"/>
              <w:rPr>
                <w:sz w:val="20"/>
                <w:szCs w:val="20"/>
                <w:color w:val="auto"/>
              </w:rPr>
            </w:pPr>
            <w:r>
              <w:rPr>
                <w:rFonts w:ascii="Arial" w:cs="Arial" w:eastAsia="Arial" w:hAnsi="Arial"/>
                <w:sz w:val="22"/>
                <w:szCs w:val="22"/>
                <w:color w:val="auto"/>
              </w:rPr>
              <w:t>COR #44</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(2,455.00)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52.</w:t>
            </w:r>
          </w:p>
        </w:tc>
        <w:tc>
          <w:tcPr>
            <w:tcW w:w="4620" w:type="dxa"/>
            <w:vAlign w:val="bottom"/>
          </w:tcPr>
          <w:p>
            <w:pPr>
              <w:ind w:left="80"/>
              <w:spacing w:after="0"/>
              <w:rPr>
                <w:sz w:val="20"/>
                <w:szCs w:val="20"/>
                <w:color w:val="auto"/>
              </w:rPr>
            </w:pPr>
            <w:r>
              <w:rPr>
                <w:rFonts w:ascii="Arial" w:cs="Arial" w:eastAsia="Arial" w:hAnsi="Arial"/>
                <w:sz w:val="22"/>
                <w:szCs w:val="22"/>
                <w:color w:val="auto"/>
              </w:rPr>
              <w:t>COR #45</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(5,242.00)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53</w:t>
            </w:r>
          </w:p>
        </w:tc>
        <w:tc>
          <w:tcPr>
            <w:tcW w:w="4620" w:type="dxa"/>
            <w:vAlign w:val="bottom"/>
          </w:tcPr>
          <w:p>
            <w:pPr>
              <w:ind w:left="80"/>
              <w:spacing w:after="0"/>
              <w:rPr>
                <w:sz w:val="20"/>
                <w:szCs w:val="20"/>
                <w:color w:val="auto"/>
              </w:rPr>
            </w:pPr>
            <w:r>
              <w:rPr>
                <w:rFonts w:ascii="Arial" w:cs="Arial" w:eastAsia="Arial" w:hAnsi="Arial"/>
                <w:sz w:val="22"/>
                <w:szCs w:val="22"/>
                <w:color w:val="auto"/>
              </w:rPr>
              <w:t>COR #48</w:t>
            </w:r>
          </w:p>
        </w:tc>
        <w:tc>
          <w:tcPr>
            <w:tcW w:w="9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(25,246.00)</w:t>
            </w:r>
          </w:p>
        </w:tc>
        <w:tc>
          <w:tcPr>
            <w:tcW w:w="2660" w:type="dxa"/>
            <w:vAlign w:val="bottom"/>
          </w:tcPr>
          <w:p>
            <w:pPr>
              <w:spacing w:after="0"/>
              <w:rPr>
                <w:sz w:val="24"/>
                <w:szCs w:val="24"/>
                <w:color w:val="auto"/>
              </w:rPr>
            </w:pPr>
          </w:p>
        </w:tc>
      </w:tr>
      <w:tr>
        <w:trPr>
          <w:trHeight w:val="297"/>
        </w:trPr>
        <w:tc>
          <w:tcPr>
            <w:tcW w:w="360" w:type="dxa"/>
            <w:vAlign w:val="bottom"/>
          </w:tcPr>
          <w:p>
            <w:pPr>
              <w:spacing w:after="0"/>
              <w:rPr>
                <w:sz w:val="20"/>
                <w:szCs w:val="20"/>
                <w:color w:val="auto"/>
              </w:rPr>
            </w:pPr>
            <w:r>
              <w:rPr>
                <w:rFonts w:ascii="Arial" w:cs="Arial" w:eastAsia="Arial" w:hAnsi="Arial"/>
                <w:sz w:val="22"/>
                <w:szCs w:val="22"/>
                <w:color w:val="auto"/>
              </w:rPr>
              <w:t>53.</w:t>
            </w:r>
          </w:p>
        </w:tc>
        <w:tc>
          <w:tcPr>
            <w:tcW w:w="4620" w:type="dxa"/>
            <w:vAlign w:val="bottom"/>
          </w:tcPr>
          <w:p>
            <w:pPr>
              <w:ind w:left="80"/>
              <w:spacing w:after="0"/>
              <w:rPr>
                <w:sz w:val="20"/>
                <w:szCs w:val="20"/>
                <w:color w:val="auto"/>
              </w:rPr>
            </w:pPr>
            <w:r>
              <w:rPr>
                <w:rFonts w:ascii="Arial" w:cs="Arial" w:eastAsia="Arial" w:hAnsi="Arial"/>
                <w:sz w:val="22"/>
                <w:szCs w:val="22"/>
                <w:color w:val="auto"/>
              </w:rPr>
              <w:t>COR #59</w:t>
            </w:r>
          </w:p>
        </w:tc>
        <w:tc>
          <w:tcPr>
            <w:tcW w:w="4960" w:type="dxa"/>
            <w:vAlign w:val="bottom"/>
            <w:gridSpan w:val="3"/>
          </w:tcPr>
          <w:p>
            <w:pPr>
              <w:ind w:left="20"/>
              <w:spacing w:after="0"/>
              <w:rPr>
                <w:sz w:val="20"/>
                <w:szCs w:val="20"/>
                <w:color w:val="auto"/>
              </w:rPr>
            </w:pPr>
            <w:r>
              <w:rPr>
                <w:rFonts w:ascii="Arial" w:cs="Arial" w:eastAsia="Arial" w:hAnsi="Arial"/>
                <w:sz w:val="22"/>
                <w:szCs w:val="22"/>
                <w:color w:val="auto"/>
                <w:w w:val="89"/>
              </w:rPr>
              <w:t>deducted $12,100 from the electric line item (both bldgs)</w:t>
            </w:r>
          </w:p>
        </w:tc>
      </w:tr>
      <w:tr>
        <w:trPr>
          <w:trHeight w:val="321"/>
        </w:trPr>
        <w:tc>
          <w:tcPr>
            <w:tcW w:w="360" w:type="dxa"/>
            <w:vAlign w:val="bottom"/>
          </w:tcPr>
          <w:p>
            <w:pPr>
              <w:spacing w:after="0"/>
              <w:rPr>
                <w:sz w:val="20"/>
                <w:szCs w:val="20"/>
                <w:color w:val="auto"/>
              </w:rPr>
            </w:pPr>
            <w:r>
              <w:rPr>
                <w:rFonts w:ascii="Arial" w:cs="Arial" w:eastAsia="Arial" w:hAnsi="Arial"/>
                <w:sz w:val="22"/>
                <w:szCs w:val="22"/>
                <w:color w:val="auto"/>
              </w:rPr>
              <w:t>54.</w:t>
            </w:r>
          </w:p>
        </w:tc>
        <w:tc>
          <w:tcPr>
            <w:tcW w:w="4620" w:type="dxa"/>
            <w:vAlign w:val="bottom"/>
          </w:tcPr>
          <w:p>
            <w:pPr>
              <w:ind w:left="80"/>
              <w:spacing w:after="0"/>
              <w:rPr>
                <w:sz w:val="20"/>
                <w:szCs w:val="20"/>
                <w:color w:val="auto"/>
              </w:rPr>
            </w:pPr>
            <w:r>
              <w:rPr>
                <w:rFonts w:ascii="Arial" w:cs="Arial" w:eastAsia="Arial" w:hAnsi="Arial"/>
                <w:sz w:val="22"/>
                <w:szCs w:val="22"/>
                <w:color w:val="auto"/>
              </w:rPr>
              <w:t>COR #63 (allowance)</w:t>
            </w: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266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Sub Total</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(339,873.00)</w:t>
            </w:r>
          </w:p>
        </w:tc>
        <w:tc>
          <w:tcPr>
            <w:tcW w:w="2660" w:type="dxa"/>
            <w:vAlign w:val="bottom"/>
          </w:tcPr>
          <w:p>
            <w:pPr>
              <w:spacing w:after="0"/>
              <w:rPr>
                <w:sz w:val="24"/>
                <w:szCs w:val="24"/>
                <w:color w:val="auto"/>
              </w:rPr>
            </w:pPr>
          </w:p>
        </w:tc>
      </w:tr>
      <w:tr>
        <w:trPr>
          <w:trHeight w:val="321"/>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OH &amp; P</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included</w:t>
            </w:r>
          </w:p>
        </w:tc>
        <w:tc>
          <w:tcPr>
            <w:tcW w:w="138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280"/>
        </w:trPr>
        <w:tc>
          <w:tcPr>
            <w:tcW w:w="360" w:type="dxa"/>
            <w:vAlign w:val="bottom"/>
          </w:tcPr>
          <w:p>
            <w:pPr>
              <w:spacing w:after="0"/>
              <w:rPr>
                <w:sz w:val="24"/>
                <w:szCs w:val="24"/>
                <w:color w:val="auto"/>
              </w:rPr>
            </w:pPr>
          </w:p>
        </w:tc>
        <w:tc>
          <w:tcPr>
            <w:tcW w:w="4620" w:type="dxa"/>
            <w:vAlign w:val="bottom"/>
          </w:tcPr>
          <w:p>
            <w:pPr>
              <w:ind w:left="320"/>
              <w:spacing w:after="0"/>
              <w:rPr>
                <w:sz w:val="20"/>
                <w:szCs w:val="20"/>
                <w:color w:val="auto"/>
              </w:rPr>
            </w:pPr>
            <w:r>
              <w:rPr>
                <w:rFonts w:ascii="Arial" w:cs="Arial" w:eastAsia="Arial" w:hAnsi="Arial"/>
                <w:sz w:val="22"/>
                <w:szCs w:val="22"/>
                <w:color w:val="auto"/>
              </w:rPr>
              <w:t>TOTAL COR’s</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339,873.00</w:t>
            </w:r>
          </w:p>
        </w:tc>
        <w:tc>
          <w:tcPr>
            <w:tcW w:w="2660" w:type="dxa"/>
            <w:vAlign w:val="bottom"/>
          </w:tcPr>
          <w:p>
            <w:pPr>
              <w:spacing w:after="0"/>
              <w:rPr>
                <w:sz w:val="24"/>
                <w:szCs w:val="24"/>
                <w:color w:val="auto"/>
              </w:rPr>
            </w:pPr>
          </w:p>
        </w:tc>
      </w:tr>
      <w:tr>
        <w:trPr>
          <w:trHeight w:val="621"/>
        </w:trPr>
        <w:tc>
          <w:tcPr>
            <w:tcW w:w="36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GRAND TOTAL</w:t>
            </w:r>
          </w:p>
        </w:tc>
        <w:tc>
          <w:tcPr>
            <w:tcW w:w="920" w:type="dxa"/>
            <w:vAlign w:val="bottom"/>
          </w:tcPr>
          <w:p>
            <w:pPr>
              <w:ind w:left="2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w w:val="96"/>
              </w:rPr>
              <w:t>5,661,544.00</w:t>
            </w:r>
          </w:p>
        </w:tc>
        <w:tc>
          <w:tcPr>
            <w:tcW w:w="2660" w:type="dxa"/>
            <w:vAlign w:val="bottom"/>
          </w:tcPr>
          <w:p>
            <w:pPr>
              <w:spacing w:after="0"/>
              <w:rPr>
                <w:sz w:val="24"/>
                <w:szCs w:val="24"/>
                <w:color w:val="auto"/>
              </w:rPr>
            </w:pPr>
          </w:p>
        </w:tc>
      </w:tr>
      <w:tr>
        <w:trPr>
          <w:trHeight w:val="476"/>
        </w:trPr>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12</w:t>
            </w:r>
          </w:p>
        </w:tc>
        <w:tc>
          <w:tcPr>
            <w:tcW w:w="13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0179"/>
          </w:cols>
          <w:pgMar w:left="280" w:top="739" w:right="1440"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Page 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Clarifications &amp; Alternates</w:t>
      </w:r>
    </w:p>
    <w:p>
      <w:pPr>
        <w:spacing w:after="0" w:line="77"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do not Include any permit, architectural, or utility company fees.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80" w:right="2079" w:hanging="272"/>
        <w:spacing w:after="0" w:line="327" w:lineRule="auto"/>
        <w:tabs>
          <w:tab w:leader="none" w:pos="22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alternate listed below are Just a few obvious ones. We can review all VE options in our meeting.</w:t>
      </w:r>
    </w:p>
    <w:p>
      <w:pPr>
        <w:spacing w:after="0" w:line="283" w:lineRule="exact"/>
        <w:rPr>
          <w:rFonts w:ascii="Arial" w:cs="Arial" w:eastAsia="Arial" w:hAnsi="Arial"/>
          <w:sz w:val="22"/>
          <w:szCs w:val="22"/>
          <w:color w:val="auto"/>
        </w:rPr>
      </w:pPr>
    </w:p>
    <w:p>
      <w:pPr>
        <w:ind w:left="220" w:hanging="212"/>
        <w:spacing w:after="0"/>
        <w:tabs>
          <w:tab w:leader="none" w:pos="2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Alternate#1; Per the specification, Install R·11 insulation above the acoustical ceiling; ADD $6,805.00</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220" w:hanging="212"/>
        <w:spacing w:after="0"/>
        <w:tabs>
          <w:tab w:leader="none" w:pos="22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Alternate #2; Provide and install a FM 200 fire System In the Server Room; ADD $37,625.00</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220" w:hanging="212"/>
        <w:spacing w:after="0"/>
        <w:tabs>
          <w:tab w:leader="none" w:pos="2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have not Included changing the wall texture in the exterior stairwells.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20" w:hanging="212"/>
        <w:spacing w:after="0"/>
        <w:tabs>
          <w:tab w:leader="none" w:pos="2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Electrical Items not Included in above costs, without GC markup;</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342"/>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1.</w:t>
            </w:r>
          </w:p>
        </w:tc>
        <w:tc>
          <w:tcPr>
            <w:tcW w:w="4880" w:type="dxa"/>
            <w:vAlign w:val="bottom"/>
          </w:tcPr>
          <w:p>
            <w:pPr>
              <w:ind w:left="340"/>
              <w:spacing w:after="0"/>
              <w:rPr>
                <w:sz w:val="20"/>
                <w:szCs w:val="20"/>
                <w:color w:val="auto"/>
              </w:rPr>
            </w:pPr>
            <w:r>
              <w:rPr>
                <w:rFonts w:ascii="Arial" w:cs="Arial" w:eastAsia="Arial" w:hAnsi="Arial"/>
                <w:sz w:val="22"/>
                <w:szCs w:val="22"/>
                <w:color w:val="auto"/>
              </w:rPr>
              <w:t>Restroom lighting over sinks, 1420, allowance</w:t>
            </w:r>
          </w:p>
        </w:tc>
        <w:tc>
          <w:tcPr>
            <w:tcW w:w="1120" w:type="dxa"/>
            <w:vAlign w:val="bottom"/>
          </w:tcPr>
          <w:p>
            <w:pPr>
              <w:ind w:left="540"/>
              <w:spacing w:after="0"/>
              <w:rPr>
                <w:sz w:val="20"/>
                <w:szCs w:val="20"/>
                <w:color w:val="auto"/>
              </w:rPr>
            </w:pPr>
            <w:r>
              <w:rPr>
                <w:rFonts w:ascii="Arial" w:cs="Arial" w:eastAsia="Arial" w:hAnsi="Arial"/>
                <w:sz w:val="18"/>
                <w:szCs w:val="18"/>
                <w:color w:val="auto"/>
              </w:rPr>
              <w:t>$2,600</w:t>
            </w:r>
          </w:p>
        </w:tc>
      </w:tr>
      <w:tr>
        <w:trPr>
          <w:trHeight w:val="689"/>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2.</w:t>
            </w:r>
          </w:p>
        </w:tc>
        <w:tc>
          <w:tcPr>
            <w:tcW w:w="4880" w:type="dxa"/>
            <w:vAlign w:val="bottom"/>
          </w:tcPr>
          <w:p>
            <w:pPr>
              <w:ind w:left="340"/>
              <w:spacing w:after="0"/>
              <w:rPr>
                <w:sz w:val="20"/>
                <w:szCs w:val="20"/>
                <w:color w:val="auto"/>
              </w:rPr>
            </w:pPr>
            <w:r>
              <w:rPr>
                <w:rFonts w:ascii="Arial" w:cs="Arial" w:eastAsia="Arial" w:hAnsi="Arial"/>
                <w:sz w:val="22"/>
                <w:szCs w:val="22"/>
                <w:color w:val="auto"/>
              </w:rPr>
              <w:t>Training Room Upgrades</w:t>
            </w:r>
          </w:p>
        </w:tc>
        <w:tc>
          <w:tcPr>
            <w:tcW w:w="1120" w:type="dxa"/>
            <w:vAlign w:val="bottom"/>
          </w:tcPr>
          <w:p>
            <w:pPr>
              <w:ind w:left="540"/>
              <w:spacing w:after="0"/>
              <w:rPr>
                <w:sz w:val="20"/>
                <w:szCs w:val="20"/>
                <w:color w:val="auto"/>
              </w:rPr>
            </w:pPr>
            <w:r>
              <w:rPr>
                <w:rFonts w:ascii="Arial" w:cs="Arial" w:eastAsia="Arial" w:hAnsi="Arial"/>
                <w:sz w:val="18"/>
                <w:szCs w:val="18"/>
                <w:color w:val="auto"/>
              </w:rPr>
              <w:t>$8,000</w:t>
            </w:r>
          </w:p>
        </w:tc>
      </w:tr>
      <w:tr>
        <w:trPr>
          <w:trHeight w:val="689"/>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3.</w:t>
            </w:r>
          </w:p>
        </w:tc>
        <w:tc>
          <w:tcPr>
            <w:tcW w:w="4880" w:type="dxa"/>
            <w:vAlign w:val="bottom"/>
          </w:tcPr>
          <w:p>
            <w:pPr>
              <w:ind w:left="340"/>
              <w:spacing w:after="0"/>
              <w:rPr>
                <w:sz w:val="20"/>
                <w:szCs w:val="20"/>
                <w:color w:val="auto"/>
              </w:rPr>
            </w:pPr>
            <w:r>
              <w:rPr>
                <w:rFonts w:ascii="Arial" w:cs="Arial" w:eastAsia="Arial" w:hAnsi="Arial"/>
                <w:sz w:val="22"/>
                <w:szCs w:val="22"/>
                <w:color w:val="auto"/>
              </w:rPr>
              <w:t>Fire alarm system boxes, conduit, &amp; cabling</w:t>
            </w: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$55,000</w:t>
            </w:r>
          </w:p>
        </w:tc>
      </w:tr>
    </w:tbl>
    <w:p>
      <w:pPr>
        <w:spacing w:after="0" w:line="90"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22"/>
          <w:szCs w:val="22"/>
          <w:i w:val="1"/>
          <w:iCs w:val="1"/>
          <w:color w:val="auto"/>
        </w:rPr>
      </w:pPr>
      <w:r>
        <w:rPr>
          <w:rFonts w:ascii="Arial" w:cs="Arial" w:eastAsia="Arial" w:hAnsi="Arial"/>
          <w:sz w:val="22"/>
          <w:szCs w:val="22"/>
          <w:color w:val="auto"/>
        </w:rPr>
        <w:t>Cleaning of the existing mini blinds on the exterior windows is NIC.</w:t>
      </w:r>
    </w:p>
    <w:p>
      <w:pPr>
        <w:spacing w:after="0" w:line="395" w:lineRule="exact"/>
        <w:rPr>
          <w:rFonts w:ascii="Arial" w:cs="Arial" w:eastAsia="Arial" w:hAnsi="Arial"/>
          <w:sz w:val="22"/>
          <w:szCs w:val="22"/>
          <w:i w:val="1"/>
          <w:iCs w:val="1"/>
          <w:color w:val="auto"/>
        </w:rPr>
      </w:pPr>
    </w:p>
    <w:p>
      <w:pPr>
        <w:ind w:left="220" w:hanging="212"/>
        <w:spacing w:after="0"/>
        <w:tabs>
          <w:tab w:leader="none" w:pos="220" w:val="left"/>
        </w:tabs>
        <w:numPr>
          <w:ilvl w:val="0"/>
          <w:numId w:val="64"/>
        </w:numPr>
        <w:rPr>
          <w:rFonts w:ascii="Arial" w:cs="Arial" w:eastAsia="Arial" w:hAnsi="Arial"/>
          <w:sz w:val="22"/>
          <w:szCs w:val="22"/>
          <w:color w:val="333333"/>
        </w:rPr>
      </w:pPr>
      <w:r>
        <w:rPr>
          <w:rFonts w:ascii="Arial" w:cs="Arial" w:eastAsia="Arial" w:hAnsi="Arial"/>
          <w:sz w:val="22"/>
          <w:szCs w:val="22"/>
          <w:color w:val="333333"/>
        </w:rPr>
        <w:t>Alternate #3; Fire alarm check, if required:Add $4,260.00</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333333"/>
        </w:rPr>
        <w:t>Respectfully Submitted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333333"/>
        </w:rPr>
        <w:t>VILA CONSTRUCTION COMPANY</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Robert P. Vila</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3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591"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5"/>
          <w:szCs w:val="25"/>
          <w:b w:val="1"/>
          <w:bCs w:val="1"/>
          <w:u w:val="single" w:color="auto"/>
          <w:color w:val="auto"/>
        </w:rPr>
        <w:t>EXHIBIT 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LIST OF CHANGE ORDER REQUESTS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576"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9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Vila Bld</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196"/>
        </w:trPr>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95"/>
              </w:rPr>
              <w:t>Letter</w:t>
            </w:r>
          </w:p>
        </w:tc>
        <w:tc>
          <w:tcPr>
            <w:tcW w:w="360" w:type="dxa"/>
            <w:vAlign w:val="bottom"/>
          </w:tcPr>
          <w:p>
            <w:pPr>
              <w:spacing w:after="0"/>
              <w:rPr>
                <w:sz w:val="17"/>
                <w:szCs w:val="17"/>
                <w:color w:val="auto"/>
              </w:rPr>
            </w:pPr>
          </w:p>
        </w:tc>
        <w:tc>
          <w:tcPr>
            <w:tcW w:w="1220" w:type="dxa"/>
            <w:vAlign w:val="bottom"/>
            <w:gridSpan w:val="3"/>
          </w:tcPr>
          <w:p>
            <w:pPr>
              <w:jc w:val="center"/>
              <w:ind w:left="90"/>
              <w:spacing w:after="0" w:line="196" w:lineRule="exact"/>
              <w:rPr>
                <w:sz w:val="20"/>
                <w:szCs w:val="20"/>
                <w:color w:val="auto"/>
              </w:rPr>
            </w:pPr>
            <w:r>
              <w:rPr>
                <w:rFonts w:ascii="Arial" w:cs="Arial" w:eastAsia="Arial" w:hAnsi="Arial"/>
                <w:sz w:val="18"/>
                <w:szCs w:val="18"/>
                <w:b w:val="1"/>
                <w:bCs w:val="1"/>
                <w:color w:val="auto"/>
                <w:w w:val="88"/>
              </w:rPr>
              <w:t>Accepted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6"/>
              </w:rPr>
              <w:t>Line #</w:t>
            </w:r>
          </w:p>
        </w:tc>
        <w:tc>
          <w:tcPr>
            <w:tcW w:w="4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2"/>
              </w:rPr>
              <w:t>CORs #</w:t>
            </w:r>
          </w:p>
        </w:tc>
        <w:tc>
          <w:tcPr>
            <w:tcW w:w="358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rPr>
              <w:t>Description</w:t>
            </w:r>
          </w:p>
        </w:tc>
        <w:tc>
          <w:tcPr>
            <w:tcW w:w="10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COR Cost</w:t>
            </w:r>
          </w:p>
        </w:tc>
        <w:tc>
          <w:tcPr>
            <w:tcW w:w="37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move sprinkler valves in lobby</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2,205.00</w:t>
            </w: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expose steel beam @ Stairs 3 and 4</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2,327.00</w:t>
            </w:r>
          </w:p>
        </w:tc>
        <w:tc>
          <w:tcPr>
            <w:tcW w:w="22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89"/>
              </w:rPr>
              <w:t>remove sheet rock from steel beam and paint steel</w:t>
            </w: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sheet rock over small windows at Stair #4</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7,326.00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Remove sheet rock from exterior columns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(7,743.00)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5"/>
              </w:rPr>
              <w:t>remove sheet rock from inter. Column @wnd</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floor stair #2</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145.00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21</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increase air flow at relocated board room</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700" w:type="dxa"/>
            <w:vAlign w:val="bottom"/>
          </w:tcPr>
          <w:p>
            <w:pPr>
              <w:ind w:left="80"/>
              <w:spacing w:after="0"/>
              <w:rPr>
                <w:sz w:val="20"/>
                <w:szCs w:val="20"/>
                <w:color w:val="auto"/>
              </w:rPr>
            </w:pPr>
            <w:r>
              <w:rPr>
                <w:rFonts w:ascii="Arial" w:cs="Arial" w:eastAsia="Arial" w:hAnsi="Arial"/>
                <w:sz w:val="18"/>
                <w:szCs w:val="18"/>
                <w:color w:val="auto"/>
              </w:rPr>
              <w:t>pending engineering</w:t>
            </w: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2"/>
              </w:rPr>
              <w:t>rotate sodering area and move against Row A</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700" w:type="dxa"/>
            <w:vAlign w:val="bottom"/>
          </w:tcPr>
          <w:p>
            <w:pPr>
              <w:ind w:left="80"/>
              <w:spacing w:after="0"/>
              <w:rPr>
                <w:sz w:val="20"/>
                <w:szCs w:val="20"/>
                <w:color w:val="auto"/>
              </w:rPr>
            </w:pPr>
            <w:r>
              <w:rPr>
                <w:rFonts w:ascii="Arial" w:cs="Arial" w:eastAsia="Arial" w:hAnsi="Arial"/>
                <w:sz w:val="18"/>
                <w:szCs w:val="18"/>
                <w:color w:val="auto"/>
              </w:rPr>
              <w:t>pending re-design</w:t>
            </w: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4"/>
              </w:rPr>
              <w:t>change wall at gridline C @ gridline 2-5 to full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23</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height wall</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3,972.00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Add 230V/50Hz outlet in Engineering</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Chambers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817.00</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7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26</w:t>
            </w:r>
          </w:p>
        </w:tc>
        <w:tc>
          <w:tcPr>
            <w:tcW w:w="220" w:type="dxa"/>
            <w:vAlign w:val="bottom"/>
          </w:tcPr>
          <w:p>
            <w:pPr>
              <w:spacing w:after="0"/>
              <w:rPr>
                <w:sz w:val="23"/>
                <w:szCs w:val="23"/>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Remove sheet rock from interior columns</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(4,350.00)</w:t>
            </w:r>
          </w:p>
        </w:tc>
        <w:tc>
          <w:tcPr>
            <w:tcW w:w="22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3"/>
              </w:rPr>
              <w:t>This will delete new toilet partitions, replacement</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of plumbing fixtures and new tile work. ADA</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new toilet partitions and tile work</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w w:val="95"/>
              </w:rPr>
              <w:t>(134,519.00)</w:t>
            </w:r>
          </w:p>
        </w:tc>
        <w:tc>
          <w:tcPr>
            <w:tcW w:w="3700" w:type="dxa"/>
            <w:vAlign w:val="bottom"/>
          </w:tcPr>
          <w:p>
            <w:pPr>
              <w:ind w:left="80"/>
              <w:spacing w:after="0"/>
              <w:rPr>
                <w:sz w:val="20"/>
                <w:szCs w:val="20"/>
                <w:color w:val="auto"/>
              </w:rPr>
            </w:pPr>
            <w:r>
              <w:rPr>
                <w:rFonts w:ascii="Arial" w:cs="Arial" w:eastAsia="Arial" w:hAnsi="Arial"/>
                <w:sz w:val="18"/>
                <w:szCs w:val="18"/>
                <w:color w:val="auto"/>
              </w:rPr>
              <w:t>shower will remain</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1"/>
              </w:rPr>
              <w:t>this will delete the custom metal mesh ceiling and</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89"/>
              </w:rPr>
              <w:t>add metal mesh panels in t-bar grid; new means to</w:t>
            </w:r>
          </w:p>
        </w:tc>
      </w:tr>
      <w:tr>
        <w:trPr>
          <w:trHeight w:val="230"/>
        </w:trPr>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1"/>
              </w:rPr>
              <w:t>Delete steel mesh ceiling and install grid mesh</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(73,748.00)</w:t>
            </w:r>
          </w:p>
        </w:tc>
        <w:tc>
          <w:tcPr>
            <w:tcW w:w="3700" w:type="dxa"/>
            <w:vAlign w:val="bottom"/>
          </w:tcPr>
          <w:p>
            <w:pPr>
              <w:ind w:left="80"/>
              <w:spacing w:after="0"/>
              <w:rPr>
                <w:sz w:val="20"/>
                <w:szCs w:val="20"/>
                <w:color w:val="auto"/>
              </w:rPr>
            </w:pPr>
            <w:r>
              <w:rPr>
                <w:rFonts w:ascii="Arial" w:cs="Arial" w:eastAsia="Arial" w:hAnsi="Arial"/>
                <w:sz w:val="18"/>
                <w:szCs w:val="18"/>
                <w:color w:val="auto"/>
              </w:rPr>
              <w:t>support glass wall is required</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this changes the roof hatch door (1 only) to a</w:t>
            </w:r>
          </w:p>
        </w:tc>
      </w:tr>
      <w:tr>
        <w:trPr>
          <w:trHeight w:val="216"/>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manual operation in lieu of having an electric</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change roof hatch to manual</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(8,288.00)</w:t>
            </w:r>
          </w:p>
        </w:tc>
        <w:tc>
          <w:tcPr>
            <w:tcW w:w="2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motor and switch</w:t>
            </w:r>
          </w:p>
        </w:tc>
      </w:tr>
      <w:tr>
        <w:trPr>
          <w:trHeight w:val="55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0"/>
              </w:rPr>
              <w:t>this will delete the precast concrete countertops at</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9"/>
              </w:rPr>
              <w:t>change precast concrete counters to p-lam</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(34,340.00)</w:t>
            </w:r>
          </w:p>
        </w:tc>
        <w:tc>
          <w:tcPr>
            <w:tcW w:w="3700" w:type="dxa"/>
            <w:vAlign w:val="bottom"/>
          </w:tcPr>
          <w:p>
            <w:pPr>
              <w:ind w:left="80"/>
              <w:spacing w:after="0"/>
              <w:rPr>
                <w:sz w:val="20"/>
                <w:szCs w:val="20"/>
                <w:color w:val="auto"/>
              </w:rPr>
            </w:pPr>
            <w:r>
              <w:rPr>
                <w:rFonts w:ascii="Arial" w:cs="Arial" w:eastAsia="Arial" w:hAnsi="Arial"/>
                <w:sz w:val="18"/>
                <w:szCs w:val="18"/>
                <w:color w:val="auto"/>
              </w:rPr>
              <w:t>restroom replace them with P-lam</w:t>
            </w:r>
          </w:p>
        </w:tc>
      </w:tr>
      <w:tr>
        <w:trPr>
          <w:trHeight w:val="567"/>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change door hardware to Dorma</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(18,813.00)</w:t>
            </w:r>
          </w:p>
        </w:tc>
        <w:tc>
          <w:tcPr>
            <w:tcW w:w="37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6"/>
              </w:rPr>
              <w:t>this will delete the decorative trim at sheet rock</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w w:val="92"/>
              </w:rPr>
              <w:t>Delete fry reglet and use L metal at sheet rock</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(14,377.00)</w:t>
            </w:r>
          </w:p>
        </w:tc>
        <w:tc>
          <w:tcPr>
            <w:tcW w:w="3700" w:type="dxa"/>
            <w:vAlign w:val="bottom"/>
          </w:tcPr>
          <w:p>
            <w:pPr>
              <w:ind w:left="80"/>
              <w:spacing w:after="0"/>
              <w:rPr>
                <w:sz w:val="20"/>
                <w:szCs w:val="20"/>
                <w:color w:val="auto"/>
              </w:rPr>
            </w:pPr>
            <w:r>
              <w:rPr>
                <w:rFonts w:ascii="Arial" w:cs="Arial" w:eastAsia="Arial" w:hAnsi="Arial"/>
                <w:sz w:val="18"/>
                <w:szCs w:val="18"/>
                <w:color w:val="auto"/>
              </w:rPr>
              <w:t>locations</w:t>
            </w:r>
          </w:p>
        </w:tc>
      </w:tr>
      <w:tr>
        <w:trPr>
          <w:trHeight w:val="567"/>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steel canopy at Entry</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(69,522.00)</w:t>
            </w:r>
          </w:p>
        </w:tc>
        <w:tc>
          <w:tcPr>
            <w:tcW w:w="37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Delete drywall trim detail at steel bin and</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this will delete work shown on Axia SK-1 at</w:t>
            </w: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0"/>
                <w:szCs w:val="20"/>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metal kickers at exterior walls;run</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(35,770.00)</w:t>
            </w:r>
          </w:p>
        </w:tc>
        <w:tc>
          <w:tcPr>
            <w:tcW w:w="3700" w:type="dxa"/>
            <w:vAlign w:val="bottom"/>
          </w:tcPr>
          <w:p>
            <w:pPr>
              <w:ind w:left="80"/>
              <w:spacing w:after="0"/>
              <w:rPr>
                <w:sz w:val="20"/>
                <w:szCs w:val="20"/>
                <w:color w:val="auto"/>
              </w:rPr>
            </w:pPr>
            <w:r>
              <w:rPr>
                <w:rFonts w:ascii="Arial" w:cs="Arial" w:eastAsia="Arial" w:hAnsi="Arial"/>
                <w:sz w:val="18"/>
                <w:szCs w:val="18"/>
                <w:color w:val="auto"/>
              </w:rPr>
              <w:t>perimeter walls</w:t>
            </w:r>
          </w:p>
        </w:tc>
      </w:tr>
    </w:tbl>
    <w:p>
      <w:pPr>
        <w:spacing w:after="0" w:line="4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drywall straight up wall behind beam</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540" w:top="1026" w:right="8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auto"/>
                <w:w w:val="98"/>
              </w:rPr>
              <w:t>Paint corridor walls above metal ceiling and</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8"/>
              </w:rPr>
              <w:t>this will eliminate patching of fire caulking and</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51</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44</w:t>
            </w:r>
          </w:p>
        </w:tc>
        <w:tc>
          <w:tcPr>
            <w:tcW w:w="3480" w:type="dxa"/>
            <w:vAlign w:val="bottom"/>
          </w:tcPr>
          <w:p>
            <w:pPr>
              <w:ind w:left="60"/>
              <w:spacing w:after="0"/>
              <w:rPr>
                <w:sz w:val="20"/>
                <w:szCs w:val="20"/>
                <w:color w:val="auto"/>
              </w:rPr>
            </w:pPr>
            <w:r>
              <w:rPr>
                <w:rFonts w:ascii="Arial" w:cs="Arial" w:eastAsia="Arial" w:hAnsi="Arial"/>
                <w:sz w:val="18"/>
                <w:szCs w:val="18"/>
                <w:color w:val="auto"/>
              </w:rPr>
              <w:t>eliminate patching of corridor walls</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(2,455.00)</w:t>
            </w:r>
          </w:p>
        </w:tc>
        <w:tc>
          <w:tcPr>
            <w:tcW w:w="3660" w:type="dxa"/>
            <w:vAlign w:val="bottom"/>
          </w:tcPr>
          <w:p>
            <w:pPr>
              <w:ind w:left="40"/>
              <w:spacing w:after="0"/>
              <w:rPr>
                <w:sz w:val="20"/>
                <w:szCs w:val="20"/>
                <w:color w:val="auto"/>
              </w:rPr>
            </w:pPr>
            <w:r>
              <w:rPr>
                <w:rFonts w:ascii="Arial" w:cs="Arial" w:eastAsia="Arial" w:hAnsi="Arial"/>
                <w:sz w:val="18"/>
                <w:szCs w:val="18"/>
                <w:color w:val="auto"/>
              </w:rPr>
              <w:t>penetrators</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this will change the motorized shades at the</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52</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45</w:t>
            </w:r>
          </w:p>
        </w:tc>
        <w:tc>
          <w:tcPr>
            <w:tcW w:w="3480" w:type="dxa"/>
            <w:vAlign w:val="bottom"/>
          </w:tcPr>
          <w:p>
            <w:pPr>
              <w:ind w:left="60"/>
              <w:spacing w:after="0"/>
              <w:rPr>
                <w:sz w:val="20"/>
                <w:szCs w:val="20"/>
                <w:color w:val="auto"/>
              </w:rPr>
            </w:pPr>
            <w:r>
              <w:rPr>
                <w:rFonts w:ascii="Arial" w:cs="Arial" w:eastAsia="Arial" w:hAnsi="Arial"/>
                <w:sz w:val="18"/>
                <w:szCs w:val="18"/>
                <w:color w:val="auto"/>
              </w:rPr>
              <w:t>change motorized shades to manual</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(5,242.00)</w:t>
            </w:r>
          </w:p>
        </w:tc>
        <w:tc>
          <w:tcPr>
            <w:tcW w:w="3660" w:type="dxa"/>
            <w:vAlign w:val="bottom"/>
          </w:tcPr>
          <w:p>
            <w:pPr>
              <w:ind w:left="40"/>
              <w:spacing w:after="0"/>
              <w:rPr>
                <w:sz w:val="20"/>
                <w:szCs w:val="20"/>
                <w:color w:val="auto"/>
              </w:rPr>
            </w:pPr>
            <w:r>
              <w:rPr>
                <w:rFonts w:ascii="Arial" w:cs="Arial" w:eastAsia="Arial" w:hAnsi="Arial"/>
                <w:sz w:val="18"/>
                <w:szCs w:val="18"/>
                <w:color w:val="auto"/>
              </w:rPr>
              <w:t>Training room to manually operated</w:t>
            </w:r>
          </w:p>
        </w:tc>
        <w:tc>
          <w:tcPr>
            <w:tcW w:w="0" w:type="dxa"/>
            <w:vAlign w:val="bottom"/>
          </w:tcPr>
          <w:p>
            <w:pPr>
              <w:spacing w:after="0"/>
              <w:rPr>
                <w:sz w:val="1"/>
                <w:szCs w:val="1"/>
                <w:color w:val="auto"/>
              </w:rPr>
            </w:pPr>
          </w:p>
        </w:tc>
      </w:tr>
      <w:tr>
        <w:trPr>
          <w:trHeight w:val="567"/>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53</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48</w:t>
            </w:r>
          </w:p>
        </w:tc>
        <w:tc>
          <w:tcPr>
            <w:tcW w:w="3480" w:type="dxa"/>
            <w:vAlign w:val="bottom"/>
          </w:tcPr>
          <w:p>
            <w:pPr>
              <w:ind w:left="60"/>
              <w:spacing w:after="0"/>
              <w:rPr>
                <w:sz w:val="20"/>
                <w:szCs w:val="20"/>
                <w:color w:val="auto"/>
              </w:rPr>
            </w:pPr>
            <w:r>
              <w:rPr>
                <w:rFonts w:ascii="Arial" w:cs="Arial" w:eastAsia="Arial" w:hAnsi="Arial"/>
                <w:sz w:val="18"/>
                <w:szCs w:val="18"/>
                <w:color w:val="auto"/>
                <w:w w:val="98"/>
              </w:rPr>
              <w:t>delete 1 roof latch and ships ladder at 1400</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(25,246.00)</w:t>
            </w:r>
          </w:p>
        </w:tc>
        <w:tc>
          <w:tcPr>
            <w:tcW w:w="3660" w:type="dxa"/>
            <w:vAlign w:val="bottom"/>
          </w:tcPr>
          <w:p>
            <w:pPr>
              <w:ind w:left="40"/>
              <w:spacing w:after="0"/>
              <w:rPr>
                <w:sz w:val="20"/>
                <w:szCs w:val="20"/>
                <w:color w:val="auto"/>
              </w:rPr>
            </w:pPr>
            <w:r>
              <w:rPr>
                <w:rFonts w:ascii="Arial" w:cs="Arial" w:eastAsia="Arial" w:hAnsi="Arial"/>
                <w:sz w:val="18"/>
                <w:szCs w:val="18"/>
                <w:color w:val="auto"/>
              </w:rPr>
              <w:t>this will delete roof access at 1400</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w w:val="91"/>
              </w:rPr>
              <w:t>deducted $12,100 from the electric line item (both</w:t>
            </w:r>
          </w:p>
        </w:tc>
        <w:tc>
          <w:tcPr>
            <w:tcW w:w="0" w:type="dxa"/>
            <w:vAlign w:val="bottom"/>
          </w:tcPr>
          <w:p>
            <w:pPr>
              <w:spacing w:after="0"/>
              <w:rPr>
                <w:sz w:val="1"/>
                <w:szCs w:val="1"/>
                <w:color w:val="auto"/>
              </w:rPr>
            </w:pPr>
          </w:p>
        </w:tc>
      </w:t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53</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59</w:t>
            </w:r>
          </w:p>
        </w:tc>
        <w:tc>
          <w:tcPr>
            <w:tcW w:w="3480" w:type="dxa"/>
            <w:vAlign w:val="bottom"/>
          </w:tcPr>
          <w:p>
            <w:pPr>
              <w:ind w:left="60"/>
              <w:spacing w:after="0"/>
              <w:rPr>
                <w:sz w:val="20"/>
                <w:szCs w:val="20"/>
                <w:color w:val="auto"/>
              </w:rPr>
            </w:pPr>
            <w:r>
              <w:rPr>
                <w:rFonts w:ascii="Arial" w:cs="Arial" w:eastAsia="Arial" w:hAnsi="Arial"/>
                <w:sz w:val="18"/>
                <w:szCs w:val="18"/>
                <w:color w:val="auto"/>
              </w:rPr>
              <w:t>cable tray</w:t>
            </w:r>
          </w:p>
        </w:tc>
        <w:tc>
          <w:tcPr>
            <w:tcW w:w="4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n/a</w:t>
            </w:r>
          </w:p>
        </w:tc>
        <w:tc>
          <w:tcPr>
            <w:tcW w:w="3660" w:type="dxa"/>
            <w:vAlign w:val="bottom"/>
          </w:tcPr>
          <w:p>
            <w:pPr>
              <w:ind w:left="40"/>
              <w:spacing w:after="0"/>
              <w:rPr>
                <w:sz w:val="20"/>
                <w:szCs w:val="20"/>
                <w:color w:val="auto"/>
              </w:rPr>
            </w:pPr>
            <w:r>
              <w:rPr>
                <w:rFonts w:ascii="Arial" w:cs="Arial" w:eastAsia="Arial" w:hAnsi="Arial"/>
                <w:sz w:val="18"/>
                <w:szCs w:val="18"/>
                <w:color w:val="auto"/>
              </w:rPr>
              <w:t>bldgs)</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62</w:t>
            </w:r>
          </w:p>
        </w:tc>
        <w:tc>
          <w:tcPr>
            <w:tcW w:w="3480" w:type="dxa"/>
            <w:vAlign w:val="bottom"/>
          </w:tcPr>
          <w:p>
            <w:pPr>
              <w:ind w:left="60"/>
              <w:spacing w:after="0"/>
              <w:rPr>
                <w:sz w:val="20"/>
                <w:szCs w:val="20"/>
                <w:color w:val="auto"/>
              </w:rPr>
            </w:pPr>
            <w:r>
              <w:rPr>
                <w:rFonts w:ascii="Arial" w:cs="Arial" w:eastAsia="Arial" w:hAnsi="Arial"/>
                <w:sz w:val="18"/>
                <w:szCs w:val="18"/>
                <w:color w:val="auto"/>
                <w:w w:val="94"/>
              </w:rPr>
              <w:t>change the fire alarm scope to code minimus</w:t>
            </w: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(43,766.00)</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color w:val="auto"/>
              </w:rPr>
              <w:t>4,000.00</w:t>
            </w:r>
          </w:p>
        </w:tc>
        <w:tc>
          <w:tcPr>
            <w:tcW w:w="3660" w:type="dxa"/>
            <w:vAlign w:val="bottom"/>
          </w:tcPr>
          <w:p>
            <w:pPr>
              <w:ind w:left="40"/>
              <w:spacing w:after="0"/>
              <w:rPr>
                <w:sz w:val="20"/>
                <w:szCs w:val="20"/>
                <w:color w:val="auto"/>
              </w:rPr>
            </w:pPr>
            <w:r>
              <w:rPr>
                <w:rFonts w:ascii="Arial" w:cs="Arial" w:eastAsia="Arial" w:hAnsi="Arial"/>
                <w:sz w:val="18"/>
                <w:szCs w:val="18"/>
                <w:color w:val="auto"/>
                <w:w w:val="95"/>
              </w:rPr>
              <w:t>Allowance; add structural steel to roof for chiller</w:t>
            </w:r>
          </w:p>
        </w:tc>
        <w:tc>
          <w:tcPr>
            <w:tcW w:w="0" w:type="dxa"/>
            <w:vAlign w:val="bottom"/>
          </w:tcPr>
          <w:p>
            <w:pPr>
              <w:spacing w:after="0"/>
              <w:rPr>
                <w:sz w:val="1"/>
                <w:szCs w:val="1"/>
                <w:color w:val="auto"/>
              </w:rPr>
            </w:pPr>
          </w:p>
        </w:tc>
      </w:tr>
      <w:tr>
        <w:trPr>
          <w:trHeight w:val="256"/>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54</w:t>
            </w:r>
          </w:p>
        </w:tc>
        <w:tc>
          <w:tcPr>
            <w:tcW w:w="1540" w:type="dxa"/>
            <w:vAlign w:val="bottom"/>
          </w:tcPr>
          <w:p>
            <w:pPr>
              <w:jc w:val="center"/>
              <w:ind w:left="190"/>
              <w:spacing w:after="0"/>
              <w:rPr>
                <w:sz w:val="20"/>
                <w:szCs w:val="20"/>
                <w:color w:val="auto"/>
              </w:rPr>
            </w:pPr>
            <w:r>
              <w:rPr>
                <w:rFonts w:ascii="Arial" w:cs="Arial" w:eastAsia="Arial" w:hAnsi="Arial"/>
                <w:sz w:val="18"/>
                <w:szCs w:val="18"/>
                <w:color w:val="auto"/>
                <w:w w:val="89"/>
              </w:rPr>
              <w:t>63</w:t>
            </w:r>
          </w:p>
        </w:tc>
        <w:tc>
          <w:tcPr>
            <w:tcW w:w="3480" w:type="dxa"/>
            <w:vAlign w:val="bottom"/>
          </w:tcPr>
          <w:p>
            <w:pPr>
              <w:ind w:left="60"/>
              <w:spacing w:after="0"/>
              <w:rPr>
                <w:sz w:val="20"/>
                <w:szCs w:val="20"/>
                <w:color w:val="auto"/>
              </w:rPr>
            </w:pPr>
            <w:r>
              <w:rPr>
                <w:rFonts w:ascii="Arial" w:cs="Arial" w:eastAsia="Arial" w:hAnsi="Arial"/>
                <w:sz w:val="18"/>
                <w:szCs w:val="18"/>
                <w:color w:val="auto"/>
              </w:rPr>
              <w:t>Add structural steel to roof for chiller</w:t>
            </w:r>
          </w:p>
        </w:tc>
        <w:tc>
          <w:tcPr>
            <w:tcW w:w="1080" w:type="dxa"/>
            <w:vAlign w:val="bottom"/>
            <w:tcBorders>
              <w:bottom w:val="single" w:sz="8" w:color="auto"/>
            </w:tcBorders>
            <w:gridSpan w:val="3"/>
            <w:vMerge w:val="continue"/>
          </w:tcPr>
          <w:p>
            <w:pPr>
              <w:spacing w:after="0"/>
              <w:rPr>
                <w:sz w:val="21"/>
                <w:szCs w:val="21"/>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paint</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88"/>
              </w:rPr>
              <w:t>Sub Total</w:t>
            </w:r>
          </w:p>
        </w:tc>
        <w:tc>
          <w:tcPr>
            <w:tcW w:w="3480" w:type="dxa"/>
            <w:vAlign w:val="bottom"/>
          </w:tcPr>
          <w:p>
            <w:pPr>
              <w:spacing w:after="0"/>
              <w:rPr>
                <w:sz w:val="21"/>
                <w:szCs w:val="21"/>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9"/>
              </w:rPr>
              <w:t>(457,387.00)</w:t>
            </w: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8"/>
              </w:rPr>
              <w:t>OH &amp; P</w:t>
            </w:r>
          </w:p>
        </w:tc>
        <w:tc>
          <w:tcPr>
            <w:tcW w:w="3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included</w:t>
            </w:r>
          </w:p>
        </w:tc>
        <w:tc>
          <w:tcPr>
            <w:tcW w:w="4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6"/>
              </w:rPr>
              <w:t>TOTAL COR’s</w:t>
            </w:r>
          </w:p>
        </w:tc>
        <w:tc>
          <w:tcPr>
            <w:tcW w:w="34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0"/>
              </w:rPr>
              <w:t>$(457,387.00)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30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760" w:top="1044" w:right="839" w:bottom="1440" w:gutter="0" w:footer="0" w:header="0"/>
        </w:sectPr>
      </w:pPr>
    </w:p>
    <w:bookmarkStart w:id="135" w:name="page136"/>
    <w:bookmarkEnd w:id="135"/>
    <w:p>
      <w:pPr>
        <w:jc w:val="center"/>
        <w:ind w:right="-179"/>
        <w:spacing w:after="0"/>
        <w:rPr>
          <w:sz w:val="20"/>
          <w:szCs w:val="20"/>
          <w:color w:val="auto"/>
        </w:rPr>
      </w:pPr>
      <w:r>
        <w:rPr>
          <w:rFonts w:ascii="Arial" w:cs="Arial" w:eastAsia="Arial" w:hAnsi="Arial"/>
          <w:sz w:val="25"/>
          <w:szCs w:val="25"/>
          <w:b w:val="1"/>
          <w:bCs w:val="1"/>
          <w:u w:val="single" w:color="auto"/>
          <w:color w:val="auto"/>
        </w:rPr>
        <w:t>EXHIBIT D</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Rent and CAM</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Labs on Ground Floor - 162 day delay/2=81 days</w:t>
      </w:r>
    </w:p>
    <w:p>
      <w:pPr>
        <w:sectPr>
          <w:pgSz w:w="11900" w:h="16838" w:orient="portrait"/>
          <w:cols w:equalWidth="0" w:num="1">
            <w:col w:w="11260"/>
          </w:cols>
          <w:pgMar w:left="240" w:top="57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Bldg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Sq. 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Base Rent</w:t>
      </w:r>
    </w:p>
    <w:p>
      <w:pPr>
        <w:spacing w:after="0" w:line="38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24,000  $</w:t>
      </w:r>
      <w:r>
        <w:rPr>
          <w:sz w:val="20"/>
          <w:szCs w:val="20"/>
          <w:color w:val="auto"/>
        </w:rPr>
        <w:tab/>
      </w:r>
      <w:r>
        <w:rPr>
          <w:rFonts w:ascii="Arial" w:cs="Arial" w:eastAsia="Arial" w:hAnsi="Arial"/>
          <w:sz w:val="17"/>
          <w:szCs w:val="17"/>
          <w:b w:val="1"/>
          <w:bCs w:val="1"/>
          <w:color w:val="auto"/>
        </w:rPr>
        <w:t>1.10  $</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Total Rent and CAM Owed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0.28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00"/>
        <w:spacing w:after="0"/>
        <w:rPr>
          <w:sz w:val="20"/>
          <w:szCs w:val="20"/>
          <w:color w:val="auto"/>
        </w:rPr>
      </w:pPr>
      <w:r>
        <w:rPr>
          <w:rFonts w:ascii="Arial" w:cs="Arial" w:eastAsia="Arial" w:hAnsi="Arial"/>
          <w:sz w:val="16"/>
          <w:szCs w:val="16"/>
          <w:b w:val="1"/>
          <w:bCs w:val="1"/>
          <w:color w:val="auto"/>
        </w:rPr>
        <w:t>Rent + Cam per day</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1,088.88  $</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 Base Rent and</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CAM Owed Now</w:t>
      </w:r>
    </w:p>
    <w:p>
      <w:pPr>
        <w:spacing w:after="0" w:line="36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88,199.01</w:t>
      </w: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88,199.01</w:t>
      </w:r>
    </w:p>
    <w:p>
      <w:pPr>
        <w:spacing w:after="0" w:line="222" w:lineRule="exact"/>
        <w:rPr>
          <w:sz w:val="20"/>
          <w:szCs w:val="20"/>
          <w:color w:val="auto"/>
        </w:rPr>
      </w:pPr>
    </w:p>
    <w:p>
      <w:pPr>
        <w:sectPr>
          <w:pgSz w:w="11900" w:h="16838" w:orient="portrait"/>
          <w:cols w:equalWidth="0" w:num="8">
            <w:col w:w="1040" w:space="160"/>
            <w:col w:w="560" w:space="720"/>
            <w:col w:w="400" w:space="160"/>
            <w:col w:w="2740" w:space="540"/>
            <w:col w:w="440" w:space="320"/>
            <w:col w:w="540" w:space="60"/>
            <w:col w:w="1880" w:space="20"/>
            <w:col w:w="1680"/>
          </w:cols>
          <w:pgMar w:left="240" w:top="57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240" w:top="576" w:right="39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(1420 N. McDowell Blvd.)</w:t>
      </w:r>
    </w:p>
    <w:p>
      <w:pPr>
        <w:spacing w:after="0" w:line="200" w:lineRule="exact"/>
        <w:rPr>
          <w:sz w:val="20"/>
          <w:szCs w:val="20"/>
          <w:color w:val="auto"/>
        </w:rPr>
      </w:pPr>
    </w:p>
    <w:p>
      <w:pPr>
        <w:spacing w:after="0" w:line="332" w:lineRule="exact"/>
        <w:rPr>
          <w:sz w:val="20"/>
          <w:szCs w:val="20"/>
          <w:color w:val="auto"/>
        </w:rPr>
      </w:pPr>
    </w:p>
    <w:p>
      <w:pPr>
        <w:ind w:right="480" w:firstLine="486"/>
        <w:spacing w:after="0" w:line="313" w:lineRule="auto"/>
        <w:rPr>
          <w:sz w:val="20"/>
          <w:szCs w:val="20"/>
          <w:color w:val="auto"/>
        </w:rPr>
      </w:pPr>
      <w:r>
        <w:rPr>
          <w:rFonts w:ascii="Arial" w:cs="Arial" w:eastAsia="Arial" w:hAnsi="Arial"/>
          <w:sz w:val="17"/>
          <w:szCs w:val="17"/>
          <w:b w:val="1"/>
          <w:bCs w:val="1"/>
          <w:color w:val="auto"/>
        </w:rPr>
        <w:t xml:space="preserve">THIS THIRD AMENDMENT TO LEASE </w:t>
      </w:r>
      <w:r>
        <w:rPr>
          <w:rFonts w:ascii="Arial" w:cs="Arial" w:eastAsia="Arial" w:hAnsi="Arial"/>
          <w:sz w:val="17"/>
          <w:szCs w:val="17"/>
          <w:color w:val="auto"/>
        </w:rPr>
        <w:t>(this "Amendment") dated as of May 14, 2014, is entered into between SEQUOIACENTERLLC, a</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limited liability company ("Landlord</w:t>
      </w:r>
      <w:r>
        <w:rPr>
          <w:rFonts w:ascii="Arial" w:cs="Arial" w:eastAsia="Arial" w:hAnsi="Arial"/>
          <w:sz w:val="17"/>
          <w:szCs w:val="17"/>
          <w:color w:val="1A1A1A"/>
        </w:rPr>
        <w:t>"</w:t>
      </w:r>
      <w:r>
        <w:rPr>
          <w:rFonts w:ascii="Arial" w:cs="Arial" w:eastAsia="Arial" w:hAnsi="Arial"/>
          <w:sz w:val="17"/>
          <w:szCs w:val="17"/>
          <w:color w:val="070707"/>
        </w:rPr>
        <w:t>) and ENPHASE ENERGY, INC., a Delaware corporation ("Tenant").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70707"/>
        </w:rPr>
        <w:t xml:space="preserve">THE PARTIES ENTER INTO THIS AMENDMENT </w:t>
      </w:r>
      <w:r>
        <w:rPr>
          <w:rFonts w:ascii="Arial" w:cs="Arial" w:eastAsia="Arial" w:hAnsi="Arial"/>
          <w:sz w:val="18"/>
          <w:szCs w:val="18"/>
          <w:color w:val="070707"/>
        </w:rPr>
        <w:t>based upon the following facts, understand</w:t>
      </w:r>
      <w:r>
        <w:rPr>
          <w:rFonts w:ascii="Arial" w:cs="Arial" w:eastAsia="Arial" w:hAnsi="Arial"/>
          <w:sz w:val="18"/>
          <w:szCs w:val="18"/>
          <w:color w:val="1A1A1A"/>
        </w:rPr>
        <w:t>i</w:t>
      </w:r>
      <w:r>
        <w:rPr>
          <w:rFonts w:ascii="Arial" w:cs="Arial" w:eastAsia="Arial" w:hAnsi="Arial"/>
          <w:sz w:val="18"/>
          <w:szCs w:val="18"/>
          <w:color w:val="070707"/>
        </w:rPr>
        <w:t>ngs and intentions:</w:t>
      </w:r>
    </w:p>
    <w:p>
      <w:pPr>
        <w:spacing w:after="0" w:line="216" w:lineRule="exact"/>
        <w:rPr>
          <w:sz w:val="20"/>
          <w:szCs w:val="20"/>
          <w:color w:val="auto"/>
        </w:rPr>
      </w:pPr>
    </w:p>
    <w:p>
      <w:pPr>
        <w:ind w:left="140" w:right="360" w:firstLine="621"/>
        <w:spacing w:after="0" w:line="257" w:lineRule="auto"/>
        <w:rPr>
          <w:sz w:val="20"/>
          <w:szCs w:val="20"/>
          <w:color w:val="auto"/>
        </w:rPr>
      </w:pPr>
      <w:r>
        <w:rPr>
          <w:rFonts w:ascii="Arial" w:cs="Arial" w:eastAsia="Arial" w:hAnsi="Arial"/>
          <w:sz w:val="18"/>
          <w:szCs w:val="18"/>
          <w:color w:val="070707"/>
        </w:rPr>
        <w:t>A. Landlord and Tenant previously entered into that certa</w:t>
      </w:r>
      <w:r>
        <w:rPr>
          <w:rFonts w:ascii="Arial" w:cs="Arial" w:eastAsia="Arial" w:hAnsi="Arial"/>
          <w:sz w:val="18"/>
          <w:szCs w:val="18"/>
          <w:color w:val="1A1A1A"/>
        </w:rPr>
        <w:t>i</w:t>
      </w:r>
      <w:r>
        <w:rPr>
          <w:rFonts w:ascii="Arial" w:cs="Arial" w:eastAsia="Arial" w:hAnsi="Arial"/>
          <w:sz w:val="18"/>
          <w:szCs w:val="18"/>
          <w:color w:val="070707"/>
        </w:rPr>
        <w:t xml:space="preserve">n Redwood Business Park NNN </w:t>
      </w:r>
      <w:r>
        <w:rPr>
          <w:rFonts w:ascii="Arial" w:cs="Arial" w:eastAsia="Arial" w:hAnsi="Arial"/>
          <w:sz w:val="18"/>
          <w:szCs w:val="18"/>
          <w:color w:val="1A1A1A"/>
        </w:rPr>
        <w:t>L</w:t>
      </w:r>
      <w:r>
        <w:rPr>
          <w:rFonts w:ascii="Arial" w:cs="Arial" w:eastAsia="Arial" w:hAnsi="Arial"/>
          <w:sz w:val="18"/>
          <w:szCs w:val="18"/>
          <w:color w:val="070707"/>
        </w:rPr>
        <w:t>ease dated as of June 3, 2011, as amended by that certain First Amendment to Lease dated as of January 12, 2012 and that certain Second Amendment to Lease dated as of July 3, 2012 (together with all exhibits thereto, the "Lease</w:t>
      </w:r>
      <w:r>
        <w:rPr>
          <w:rFonts w:ascii="Arial" w:cs="Arial" w:eastAsia="Arial" w:hAnsi="Arial"/>
          <w:sz w:val="18"/>
          <w:szCs w:val="18"/>
          <w:color w:val="1A1A1A"/>
        </w:rPr>
        <w:t>"</w:t>
      </w:r>
      <w:r>
        <w:rPr>
          <w:rFonts w:ascii="Arial" w:cs="Arial" w:eastAsia="Arial" w:hAnsi="Arial"/>
          <w:sz w:val="18"/>
          <w:szCs w:val="18"/>
          <w:color w:val="070707"/>
        </w:rPr>
        <w:t>) pursuant to which Tenant leases from Landlord the entire building commonly known as 1420 N. McDowell Boulevard, Petaluma, California. Capitalized terms used herein and not defined herein shall have the meanings set forth in the Lease (including the Work Letter Agreement attached as Exhibit B thereto) in connection therewith.</w:t>
      </w:r>
    </w:p>
    <w:p>
      <w:pPr>
        <w:spacing w:after="0" w:line="175" w:lineRule="exact"/>
        <w:rPr>
          <w:sz w:val="20"/>
          <w:szCs w:val="20"/>
          <w:color w:val="auto"/>
        </w:rPr>
      </w:pPr>
    </w:p>
    <w:p>
      <w:pPr>
        <w:ind w:left="120" w:right="140" w:firstLine="621"/>
        <w:spacing w:after="0" w:line="277" w:lineRule="auto"/>
        <w:rPr>
          <w:sz w:val="20"/>
          <w:szCs w:val="20"/>
          <w:color w:val="auto"/>
        </w:rPr>
      </w:pPr>
      <w:r>
        <w:rPr>
          <w:rFonts w:ascii="Arial" w:cs="Arial" w:eastAsia="Arial" w:hAnsi="Arial"/>
          <w:sz w:val="18"/>
          <w:szCs w:val="18"/>
          <w:color w:val="070707"/>
        </w:rPr>
        <w:t>B. Tenant desires to install solar panels on the majority of the roof space of the Building, and Landlord is willing to consent to such installation on the terms and conditions set forth in this Amendment.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070707"/>
        </w:rPr>
        <w:t>C. Landlord and Tenant desire to make certain changes to the Lease as further provided herein</w:t>
      </w:r>
      <w:r>
        <w:rPr>
          <w:rFonts w:ascii="Arial" w:cs="Arial" w:eastAsia="Arial" w:hAnsi="Arial"/>
          <w:sz w:val="18"/>
          <w:szCs w:val="18"/>
          <w:color w:val="3A3A3A"/>
        </w:rPr>
        <w:t>.</w:t>
      </w:r>
    </w:p>
    <w:p>
      <w:pPr>
        <w:spacing w:after="0" w:line="208" w:lineRule="exact"/>
        <w:rPr>
          <w:sz w:val="20"/>
          <w:szCs w:val="20"/>
          <w:color w:val="auto"/>
        </w:rPr>
      </w:pPr>
    </w:p>
    <w:p>
      <w:pPr>
        <w:ind w:left="120" w:firstLine="621"/>
        <w:spacing w:after="0" w:line="282" w:lineRule="auto"/>
        <w:rPr>
          <w:sz w:val="20"/>
          <w:szCs w:val="20"/>
          <w:color w:val="auto"/>
        </w:rPr>
      </w:pPr>
      <w:r>
        <w:rPr>
          <w:rFonts w:ascii="Arial" w:cs="Arial" w:eastAsia="Arial" w:hAnsi="Arial"/>
          <w:sz w:val="18"/>
          <w:szCs w:val="18"/>
          <w:b w:val="1"/>
          <w:bCs w:val="1"/>
          <w:color w:val="070707"/>
        </w:rPr>
        <w:t xml:space="preserve">NOW, THEREFORE, IN CONSIDERATION </w:t>
      </w:r>
      <w:r>
        <w:rPr>
          <w:rFonts w:ascii="Arial" w:cs="Arial" w:eastAsia="Arial" w:hAnsi="Arial"/>
          <w:sz w:val="18"/>
          <w:szCs w:val="18"/>
          <w:color w:val="070707"/>
        </w:rPr>
        <w:t>of the mutual covenants and promises of the parties, the receipt and adequacy of which are hereby</w:t>
      </w:r>
      <w:r>
        <w:rPr>
          <w:rFonts w:ascii="Arial" w:cs="Arial" w:eastAsia="Arial" w:hAnsi="Arial"/>
          <w:sz w:val="18"/>
          <w:szCs w:val="18"/>
          <w:b w:val="1"/>
          <w:bCs w:val="1"/>
          <w:color w:val="070707"/>
        </w:rPr>
        <w:t xml:space="preserve"> </w:t>
      </w:r>
      <w:r>
        <w:rPr>
          <w:rFonts w:ascii="Arial" w:cs="Arial" w:eastAsia="Arial" w:hAnsi="Arial"/>
          <w:sz w:val="18"/>
          <w:szCs w:val="18"/>
          <w:color w:val="070707"/>
        </w:rPr>
        <w:t>acknowledged</w:t>
      </w:r>
      <w:r>
        <w:rPr>
          <w:rFonts w:ascii="Arial" w:cs="Arial" w:eastAsia="Arial" w:hAnsi="Arial"/>
          <w:sz w:val="18"/>
          <w:szCs w:val="18"/>
          <w:color w:val="1A1A1A"/>
        </w:rPr>
        <w:t>,</w:t>
      </w:r>
      <w:r>
        <w:rPr>
          <w:rFonts w:ascii="Arial" w:cs="Arial" w:eastAsia="Arial" w:hAnsi="Arial"/>
          <w:sz w:val="18"/>
          <w:szCs w:val="18"/>
          <w:color w:val="070707"/>
        </w:rPr>
        <w:t xml:space="preserve"> the parties hereto agree as follows:</w:t>
      </w:r>
    </w:p>
    <w:p>
      <w:pPr>
        <w:spacing w:after="0" w:line="162" w:lineRule="exact"/>
        <w:rPr>
          <w:sz w:val="20"/>
          <w:szCs w:val="20"/>
          <w:color w:val="auto"/>
        </w:rPr>
      </w:pPr>
    </w:p>
    <w:p>
      <w:pPr>
        <w:ind w:left="80" w:right="20" w:firstLine="657"/>
        <w:spacing w:after="0" w:line="289" w:lineRule="auto"/>
        <w:tabs>
          <w:tab w:leader="none" w:pos="908" w:val="left"/>
        </w:tabs>
        <w:numPr>
          <w:ilvl w:val="1"/>
          <w:numId w:val="65"/>
        </w:numPr>
        <w:rPr>
          <w:rFonts w:ascii="Arial" w:cs="Arial" w:eastAsia="Arial" w:hAnsi="Arial"/>
          <w:sz w:val="16"/>
          <w:szCs w:val="16"/>
          <w:b w:val="1"/>
          <w:bCs w:val="1"/>
          <w:color w:val="070707"/>
        </w:rPr>
      </w:pPr>
      <w:r>
        <w:rPr>
          <w:rFonts w:ascii="Arial" w:cs="Arial" w:eastAsia="Arial" w:hAnsi="Arial"/>
          <w:sz w:val="16"/>
          <w:szCs w:val="16"/>
          <w:b w:val="1"/>
          <w:bCs w:val="1"/>
          <w:u w:val="single" w:color="auto"/>
          <w:color w:val="070707"/>
        </w:rPr>
        <w:t>Grid-Tied Photovoltaic System</w:t>
      </w:r>
      <w:r>
        <w:rPr>
          <w:rFonts w:ascii="Arial" w:cs="Arial" w:eastAsia="Arial" w:hAnsi="Arial"/>
          <w:sz w:val="16"/>
          <w:szCs w:val="16"/>
          <w:color w:val="070707"/>
        </w:rPr>
        <w:t>. Tenant wishes to install a Grid-Tied Photovoltaic System consisting of two (2) arrays totaling 262 solar</w:t>
      </w:r>
      <w:r>
        <w:rPr>
          <w:rFonts w:ascii="Arial" w:cs="Arial" w:eastAsia="Arial" w:hAnsi="Arial"/>
          <w:sz w:val="16"/>
          <w:szCs w:val="16"/>
          <w:b w:val="1"/>
          <w:bCs w:val="1"/>
          <w:color w:val="070707"/>
        </w:rPr>
        <w:t xml:space="preserve"> </w:t>
      </w:r>
      <w:r>
        <w:rPr>
          <w:rFonts w:ascii="Arial" w:cs="Arial" w:eastAsia="Arial" w:hAnsi="Arial"/>
          <w:sz w:val="16"/>
          <w:szCs w:val="16"/>
          <w:color w:val="070707"/>
        </w:rPr>
        <w:t>modules and related equipment (collectively, the "Photovoltaic System"), as more fully described in (i) the plans prepared by Realgoods Solar dated April 2, 2014 containing sheets PV-000</w:t>
      </w:r>
      <w:r>
        <w:rPr>
          <w:rFonts w:ascii="Arial" w:cs="Arial" w:eastAsia="Arial" w:hAnsi="Arial"/>
          <w:sz w:val="16"/>
          <w:szCs w:val="16"/>
          <w:color w:val="1A1A1A"/>
        </w:rPr>
        <w:t>,</w:t>
      </w:r>
      <w:r>
        <w:rPr>
          <w:rFonts w:ascii="Arial" w:cs="Arial" w:eastAsia="Arial" w:hAnsi="Arial"/>
          <w:sz w:val="16"/>
          <w:szCs w:val="16"/>
          <w:color w:val="070707"/>
        </w:rPr>
        <w:t xml:space="preserve"> PVA01,PV• A01A,PV-A02,PV-A03,PV-A04,PV-E01,PV-E02,(System Placards), PV-E02 (Electrical Cales) and PV-G01,and</w:t>
      </w:r>
    </w:p>
    <w:p>
      <w:pPr>
        <w:spacing w:after="0" w:line="1" w:lineRule="exact"/>
        <w:rPr>
          <w:rFonts w:ascii="Arial" w:cs="Arial" w:eastAsia="Arial" w:hAnsi="Arial"/>
          <w:sz w:val="16"/>
          <w:szCs w:val="16"/>
          <w:b w:val="1"/>
          <w:bCs w:val="1"/>
          <w:color w:val="070707"/>
        </w:rPr>
      </w:pPr>
    </w:p>
    <w:p>
      <w:pPr>
        <w:ind w:left="360" w:hanging="271"/>
        <w:spacing w:after="0"/>
        <w:tabs>
          <w:tab w:leader="none" w:pos="360" w:val="left"/>
        </w:tabs>
        <w:numPr>
          <w:ilvl w:val="0"/>
          <w:numId w:val="66"/>
        </w:numPr>
        <w:rPr>
          <w:rFonts w:ascii="Arial" w:cs="Arial" w:eastAsia="Arial" w:hAnsi="Arial"/>
          <w:sz w:val="18"/>
          <w:szCs w:val="18"/>
          <w:color w:val="070707"/>
        </w:rPr>
      </w:pPr>
      <w:r>
        <w:rPr>
          <w:rFonts w:ascii="Arial" w:cs="Arial" w:eastAsia="Arial" w:hAnsi="Arial"/>
          <w:sz w:val="18"/>
          <w:szCs w:val="18"/>
          <w:color w:val="070707"/>
        </w:rPr>
        <w:t>the plans from ZFA Structural Engineers dated May 4, 2014 containing 5 pages (collectively, the "Specifications").</w:t>
      </w:r>
    </w:p>
    <w:p>
      <w:pPr>
        <w:spacing w:after="0" w:line="234" w:lineRule="exact"/>
        <w:rPr>
          <w:sz w:val="20"/>
          <w:szCs w:val="20"/>
          <w:color w:val="auto"/>
        </w:rPr>
      </w:pPr>
    </w:p>
    <w:p>
      <w:pPr>
        <w:ind w:left="80" w:right="160" w:firstLine="621"/>
        <w:spacing w:after="0" w:line="313" w:lineRule="auto"/>
        <w:rPr>
          <w:sz w:val="20"/>
          <w:szCs w:val="20"/>
          <w:color w:val="auto"/>
        </w:rPr>
      </w:pPr>
      <w:r>
        <w:rPr>
          <w:rFonts w:ascii="Arial" w:cs="Arial" w:eastAsia="Arial" w:hAnsi="Arial"/>
          <w:sz w:val="18"/>
          <w:szCs w:val="18"/>
          <w:b w:val="1"/>
          <w:bCs w:val="1"/>
          <w:color w:val="070707"/>
        </w:rPr>
        <w:t>2</w:t>
      </w:r>
      <w:r>
        <w:rPr>
          <w:rFonts w:ascii="Arial" w:cs="Arial" w:eastAsia="Arial" w:hAnsi="Arial"/>
          <w:sz w:val="18"/>
          <w:szCs w:val="18"/>
          <w:color w:val="070707"/>
        </w:rPr>
        <w:t>.</w:t>
      </w:r>
      <w:r>
        <w:rPr>
          <w:rFonts w:ascii="Arial" w:cs="Arial" w:eastAsia="Arial" w:hAnsi="Arial"/>
          <w:sz w:val="18"/>
          <w:szCs w:val="18"/>
          <w:b w:val="1"/>
          <w:bCs w:val="1"/>
          <w:color w:val="070707"/>
        </w:rPr>
        <w:t xml:space="preserve"> </w:t>
      </w:r>
      <w:r>
        <w:rPr>
          <w:rFonts w:ascii="Arial" w:cs="Arial" w:eastAsia="Arial" w:hAnsi="Arial"/>
          <w:sz w:val="18"/>
          <w:szCs w:val="18"/>
          <w:b w:val="1"/>
          <w:bCs w:val="1"/>
          <w:u w:val="single" w:color="auto"/>
          <w:color w:val="070707"/>
        </w:rPr>
        <w:t>Landlord Approval</w:t>
      </w:r>
      <w:r>
        <w:rPr>
          <w:rFonts w:ascii="Arial" w:cs="Arial" w:eastAsia="Arial" w:hAnsi="Arial"/>
          <w:sz w:val="18"/>
          <w:szCs w:val="18"/>
          <w:color w:val="070707"/>
        </w:rPr>
        <w:t>. Landlord hereby consents the installation of the Photovoltaic System and the Roof Coating (defined below) on the roof of</w:t>
      </w:r>
      <w:r>
        <w:rPr>
          <w:rFonts w:ascii="Arial" w:cs="Arial" w:eastAsia="Arial" w:hAnsi="Arial"/>
          <w:sz w:val="18"/>
          <w:szCs w:val="18"/>
          <w:b w:val="1"/>
          <w:bCs w:val="1"/>
          <w:color w:val="070707"/>
        </w:rPr>
        <w:t xml:space="preserve"> </w:t>
      </w:r>
      <w:r>
        <w:rPr>
          <w:rFonts w:ascii="Arial" w:cs="Arial" w:eastAsia="Arial" w:hAnsi="Arial"/>
          <w:sz w:val="18"/>
          <w:szCs w:val="18"/>
          <w:color w:val="070707"/>
        </w:rPr>
        <w:t>the Building on the terms and conditions set forth in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86" w:right="239" w:bottom="1440" w:gutter="0" w:footer="0" w:header="0"/>
        </w:sectPr>
      </w:pPr>
    </w:p>
    <w:bookmarkStart w:id="137" w:name="page138"/>
    <w:bookmarkEnd w:id="137"/>
    <w:p>
      <w:pPr>
        <w:ind w:left="860" w:hanging="176"/>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 shall apply to the work contemplated in this Amendment:</w:t>
      </w:r>
    </w:p>
    <w:p>
      <w:pPr>
        <w:spacing w:after="0" w:line="225" w:lineRule="exact"/>
        <w:rPr>
          <w:sz w:val="20"/>
          <w:szCs w:val="20"/>
          <w:color w:val="auto"/>
        </w:rPr>
      </w:pPr>
    </w:p>
    <w:p>
      <w:pPr>
        <w:ind w:left="60" w:right="680" w:firstLine="1243"/>
        <w:spacing w:after="0" w:line="282" w:lineRule="auto"/>
        <w:rPr>
          <w:sz w:val="20"/>
          <w:szCs w:val="20"/>
          <w:color w:val="auto"/>
        </w:rPr>
      </w:pPr>
      <w:r>
        <w:rPr>
          <w:rFonts w:ascii="Arial" w:cs="Arial" w:eastAsia="Arial" w:hAnsi="Arial"/>
          <w:sz w:val="18"/>
          <w:szCs w:val="18"/>
          <w:b w:val="1"/>
          <w:bCs w:val="1"/>
          <w:color w:val="auto"/>
        </w:rPr>
        <w:t>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Permits.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obtain all permits required for the work contemplated in this Amendment; provided that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cooperate in procuring such permits at no cost to Landlord.</w:t>
      </w:r>
    </w:p>
    <w:p>
      <w:pPr>
        <w:spacing w:after="0" w:line="175" w:lineRule="exact"/>
        <w:rPr>
          <w:sz w:val="20"/>
          <w:szCs w:val="20"/>
          <w:color w:val="auto"/>
        </w:rPr>
      </w:pPr>
    </w:p>
    <w:p>
      <w:pPr>
        <w:ind w:left="60" w:right="4760" w:firstLine="1243"/>
        <w:spacing w:after="0" w:line="319" w:lineRule="auto"/>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Silicone Roof Coating</w:t>
      </w:r>
      <w:r>
        <w:rPr>
          <w:rFonts w:ascii="Arial" w:cs="Arial" w:eastAsia="Arial" w:hAnsi="Arial"/>
          <w:sz w:val="16"/>
          <w:szCs w:val="16"/>
          <w:color w:val="1F1F1F"/>
        </w:rPr>
        <w:t>.</w:t>
      </w:r>
      <w:r>
        <w:rPr>
          <w:rFonts w:ascii="Arial" w:cs="Arial" w:eastAsia="Arial" w:hAnsi="Arial"/>
          <w:sz w:val="16"/>
          <w:szCs w:val="16"/>
          <w:b w:val="1"/>
          <w:bCs w:val="1"/>
          <w:color w:val="auto"/>
        </w:rPr>
        <w:t xml:space="preserve"> </w:t>
      </w:r>
      <w:r>
        <w:rPr>
          <w:rFonts w:ascii="Arial" w:cs="Arial" w:eastAsia="Arial" w:hAnsi="Arial"/>
          <w:sz w:val="16"/>
          <w:szCs w:val="16"/>
          <w:color w:val="080808"/>
        </w:rPr>
        <w:t>In connection with the installation of the</w:t>
      </w:r>
      <w:r>
        <w:rPr>
          <w:rFonts w:ascii="Arial" w:cs="Arial" w:eastAsia="Arial" w:hAnsi="Arial"/>
          <w:sz w:val="16"/>
          <w:szCs w:val="16"/>
          <w:b w:val="1"/>
          <w:bCs w:val="1"/>
          <w:color w:val="auto"/>
        </w:rPr>
        <w:t xml:space="preserve"> </w:t>
      </w:r>
      <w:r>
        <w:rPr>
          <w:rFonts w:ascii="Arial" w:cs="Arial" w:eastAsia="Arial" w:hAnsi="Arial"/>
          <w:sz w:val="16"/>
          <w:szCs w:val="16"/>
          <w:color w:val="080808"/>
        </w:rPr>
        <w:t>Photovoltaic System, Tenant shall install a silicone roof coating (the "Roof Coating") over</w:t>
      </w:r>
    </w:p>
    <w:p>
      <w:pPr>
        <w:spacing w:after="0" w:line="1" w:lineRule="exact"/>
        <w:rPr>
          <w:sz w:val="20"/>
          <w:szCs w:val="20"/>
          <w:color w:val="auto"/>
        </w:rPr>
      </w:pPr>
    </w:p>
    <w:p>
      <w:pPr>
        <w:ind w:left="40" w:right="80" w:firstLine="13"/>
        <w:spacing w:after="0" w:line="255" w:lineRule="auto"/>
        <w:rPr>
          <w:sz w:val="20"/>
          <w:szCs w:val="20"/>
          <w:color w:val="auto"/>
        </w:rPr>
      </w:pPr>
      <w:r>
        <w:rPr>
          <w:rFonts w:ascii="Arial" w:cs="Arial" w:eastAsia="Arial" w:hAnsi="Arial"/>
          <w:sz w:val="18"/>
          <w:szCs w:val="18"/>
          <w:color w:val="080808"/>
        </w:rPr>
        <w:t>the entire roof of the Building in accordance with the specifications set forth in the proposal from Petersen Dean contractors dated March 11, 2014 containing14 pages, plus walking pads for the protection of the Roof Coating (the "Walking Pads") in locations and with specifications to be approved by Landlord, which approval shall not be unreasonably withheld. Such coating and Wa</w:t>
      </w:r>
      <w:r>
        <w:rPr>
          <w:rFonts w:ascii="Arial" w:cs="Arial" w:eastAsia="Arial" w:hAnsi="Arial"/>
          <w:sz w:val="18"/>
          <w:szCs w:val="18"/>
          <w:color w:val="1F1F1F"/>
        </w:rPr>
        <w:t>l</w:t>
      </w:r>
      <w:r>
        <w:rPr>
          <w:rFonts w:ascii="Arial" w:cs="Arial" w:eastAsia="Arial" w:hAnsi="Arial"/>
          <w:sz w:val="18"/>
          <w:szCs w:val="18"/>
          <w:color w:val="080808"/>
        </w:rPr>
        <w:t>king Pads are required to (i) prevent leaks in the roof of the Building following numerous penetrations to the roof membrane that will occur in connection with the installation of the Photovoltaic System and (ii) extend the life of the roof system which after the Photovoltaic System installation would be very expensive to replace. Tenant shall use best effort to limit its activities on the roof to the Walking Pads to protect the Roof Coating.</w:t>
      </w:r>
    </w:p>
    <w:p>
      <w:pPr>
        <w:spacing w:after="0" w:line="189" w:lineRule="exact"/>
        <w:rPr>
          <w:sz w:val="20"/>
          <w:szCs w:val="20"/>
          <w:color w:val="auto"/>
        </w:rPr>
      </w:pPr>
    </w:p>
    <w:p>
      <w:pPr>
        <w:ind w:left="40" w:firstLine="1256"/>
        <w:spacing w:after="0" w:line="274" w:lineRule="auto"/>
        <w:rPr>
          <w:sz w:val="20"/>
          <w:szCs w:val="20"/>
          <w:color w:val="auto"/>
        </w:rPr>
      </w:pPr>
      <w:r>
        <w:rPr>
          <w:rFonts w:ascii="Arial" w:cs="Arial" w:eastAsia="Arial" w:hAnsi="Arial"/>
          <w:sz w:val="17"/>
          <w:szCs w:val="17"/>
          <w:b w:val="1"/>
          <w:bCs w:val="1"/>
          <w:color w:val="080808"/>
        </w:rPr>
        <w:t>3.3</w:t>
      </w:r>
      <w:r>
        <w:rPr>
          <w:rFonts w:ascii="Arial" w:cs="Arial" w:eastAsia="Arial" w:hAnsi="Arial"/>
          <w:sz w:val="17"/>
          <w:szCs w:val="17"/>
          <w:color w:val="080808"/>
        </w:rPr>
        <w:t>.</w:t>
      </w:r>
      <w:r>
        <w:rPr>
          <w:rFonts w:ascii="Arial" w:cs="Arial" w:eastAsia="Arial" w:hAnsi="Arial"/>
          <w:sz w:val="17"/>
          <w:szCs w:val="17"/>
          <w:b w:val="1"/>
          <w:bCs w:val="1"/>
          <w:color w:val="080808"/>
        </w:rPr>
        <w:t xml:space="preserve"> </w:t>
      </w:r>
      <w:r>
        <w:rPr>
          <w:rFonts w:ascii="Arial" w:cs="Arial" w:eastAsia="Arial" w:hAnsi="Arial"/>
          <w:sz w:val="17"/>
          <w:szCs w:val="17"/>
          <w:b w:val="1"/>
          <w:bCs w:val="1"/>
          <w:u w:val="single" w:color="auto"/>
          <w:color w:val="080808"/>
        </w:rPr>
        <w:t>Maintenance</w:t>
      </w:r>
      <w:r>
        <w:rPr>
          <w:rFonts w:ascii="Arial" w:cs="Arial" w:eastAsia="Arial" w:hAnsi="Arial"/>
          <w:sz w:val="17"/>
          <w:szCs w:val="17"/>
          <w:color w:val="080808"/>
        </w:rPr>
        <w:t>. Tenant shall maintain the Photovoltaic System in good condition and repair at its sole cost and expense. By installing</w:t>
      </w:r>
      <w:r>
        <w:rPr>
          <w:rFonts w:ascii="Arial" w:cs="Arial" w:eastAsia="Arial" w:hAnsi="Arial"/>
          <w:sz w:val="17"/>
          <w:szCs w:val="17"/>
          <w:b w:val="1"/>
          <w:bCs w:val="1"/>
          <w:color w:val="080808"/>
        </w:rPr>
        <w:t xml:space="preserve"> </w:t>
      </w:r>
      <w:r>
        <w:rPr>
          <w:rFonts w:ascii="Arial" w:cs="Arial" w:eastAsia="Arial" w:hAnsi="Arial"/>
          <w:sz w:val="17"/>
          <w:szCs w:val="17"/>
          <w:color w:val="080808"/>
        </w:rPr>
        <w:t>the Photovoltaic System, Tenant will be: (i) creating numerous penetrations of the roof membrane, [ii) adding substantial weight on the roof of the Building and (iii) accessing the roof on a more frequent basis to monitor</w:t>
      </w:r>
      <w:r>
        <w:rPr>
          <w:rFonts w:ascii="Arial" w:cs="Arial" w:eastAsia="Arial" w:hAnsi="Arial"/>
          <w:sz w:val="17"/>
          <w:szCs w:val="17"/>
          <w:color w:val="1F1F1F"/>
        </w:rPr>
        <w:t>,</w:t>
      </w:r>
      <w:r>
        <w:rPr>
          <w:rFonts w:ascii="Arial" w:cs="Arial" w:eastAsia="Arial" w:hAnsi="Arial"/>
          <w:sz w:val="17"/>
          <w:szCs w:val="17"/>
          <w:color w:val="080808"/>
        </w:rPr>
        <w:t xml:space="preserve"> adjust. maintain or modify the Photovo</w:t>
      </w:r>
      <w:r>
        <w:rPr>
          <w:rFonts w:ascii="Arial" w:cs="Arial" w:eastAsia="Arial" w:hAnsi="Arial"/>
          <w:sz w:val="17"/>
          <w:szCs w:val="17"/>
          <w:color w:val="1F1F1F"/>
        </w:rPr>
        <w:t>l</w:t>
      </w:r>
      <w:r>
        <w:rPr>
          <w:rFonts w:ascii="Arial" w:cs="Arial" w:eastAsia="Arial" w:hAnsi="Arial"/>
          <w:sz w:val="17"/>
          <w:szCs w:val="17"/>
          <w:color w:val="080808"/>
        </w:rPr>
        <w:t>taic System. Tenant acknowledges that all maintenance, repair and replacement costs with respect to the roof, the Roof Coating, the roof membrane and the roof structure incurred by Landlord in connection with the installation, use, modification or removal of the Photovoltaic System will constitute Operating Expenses under the Lease. The foregoing is not intended to and shall not limit Tenant's indemnity under Section 25 of the Lease</w:t>
      </w:r>
      <w:r>
        <w:rPr>
          <w:rFonts w:ascii="Arial" w:cs="Arial" w:eastAsia="Arial" w:hAnsi="Arial"/>
          <w:sz w:val="17"/>
          <w:szCs w:val="17"/>
          <w:color w:val="1F1F1F"/>
        </w:rPr>
        <w:t>.</w:t>
      </w:r>
    </w:p>
    <w:p>
      <w:pPr>
        <w:spacing w:after="0" w:line="174" w:lineRule="exact"/>
        <w:rPr>
          <w:sz w:val="20"/>
          <w:szCs w:val="20"/>
          <w:color w:val="auto"/>
        </w:rPr>
      </w:pPr>
    </w:p>
    <w:p>
      <w:pPr>
        <w:ind w:right="20" w:firstLine="1256"/>
        <w:spacing w:after="0" w:line="266" w:lineRule="auto"/>
        <w:rPr>
          <w:sz w:val="20"/>
          <w:szCs w:val="20"/>
          <w:color w:val="auto"/>
        </w:rPr>
      </w:pPr>
      <w:r>
        <w:rPr>
          <w:rFonts w:ascii="Arial" w:cs="Arial" w:eastAsia="Arial" w:hAnsi="Arial"/>
          <w:sz w:val="18"/>
          <w:szCs w:val="18"/>
          <w:b w:val="1"/>
          <w:bCs w:val="1"/>
          <w:color w:val="080808"/>
        </w:rPr>
        <w:t>3.4</w:t>
      </w:r>
      <w:r>
        <w:rPr>
          <w:rFonts w:ascii="Arial" w:cs="Arial" w:eastAsia="Arial" w:hAnsi="Arial"/>
          <w:sz w:val="18"/>
          <w:szCs w:val="18"/>
          <w:color w:val="080808"/>
        </w:rPr>
        <w:t>.</w:t>
      </w:r>
      <w:r>
        <w:rPr>
          <w:rFonts w:ascii="Arial" w:cs="Arial" w:eastAsia="Arial" w:hAnsi="Arial"/>
          <w:sz w:val="18"/>
          <w:szCs w:val="18"/>
          <w:b w:val="1"/>
          <w:bCs w:val="1"/>
          <w:color w:val="080808"/>
        </w:rPr>
        <w:t xml:space="preserve"> </w:t>
      </w:r>
      <w:r>
        <w:rPr>
          <w:rFonts w:ascii="Arial" w:cs="Arial" w:eastAsia="Arial" w:hAnsi="Arial"/>
          <w:sz w:val="18"/>
          <w:szCs w:val="18"/>
          <w:b w:val="1"/>
          <w:bCs w:val="1"/>
          <w:u w:val="single" w:color="auto"/>
          <w:color w:val="080808"/>
        </w:rPr>
        <w:t>Costs.</w:t>
      </w:r>
      <w:r>
        <w:rPr>
          <w:rFonts w:ascii="Arial" w:cs="Arial" w:eastAsia="Arial" w:hAnsi="Arial"/>
          <w:sz w:val="18"/>
          <w:szCs w:val="18"/>
          <w:b w:val="1"/>
          <w:bCs w:val="1"/>
          <w:color w:val="080808"/>
        </w:rPr>
        <w:t xml:space="preserve"> </w:t>
      </w:r>
      <w:r>
        <w:rPr>
          <w:rFonts w:ascii="Arial" w:cs="Arial" w:eastAsia="Arial" w:hAnsi="Arial"/>
          <w:sz w:val="18"/>
          <w:szCs w:val="18"/>
          <w:color w:val="080808"/>
        </w:rPr>
        <w:t>Landlord has not agreed to provide any funding in connection with the work contemplated in this Amendment, and Tenant shall</w:t>
      </w:r>
      <w:r>
        <w:rPr>
          <w:rFonts w:ascii="Arial" w:cs="Arial" w:eastAsia="Arial" w:hAnsi="Arial"/>
          <w:sz w:val="18"/>
          <w:szCs w:val="18"/>
          <w:b w:val="1"/>
          <w:bCs w:val="1"/>
          <w:color w:val="080808"/>
        </w:rPr>
        <w:t xml:space="preserve"> </w:t>
      </w:r>
      <w:r>
        <w:rPr>
          <w:rFonts w:ascii="Arial" w:cs="Arial" w:eastAsia="Arial" w:hAnsi="Arial"/>
          <w:sz w:val="18"/>
          <w:szCs w:val="18"/>
          <w:color w:val="080808"/>
        </w:rPr>
        <w:t>be responsible for 100% of the cost of the work performed pursuant to or in connection with this Amendment, including without limitation all design, permitting, construction, maintenance, repair and replacement costs.</w:t>
      </w:r>
    </w:p>
    <w:p>
      <w:pPr>
        <w:spacing w:after="0" w:line="176" w:lineRule="exact"/>
        <w:rPr>
          <w:sz w:val="20"/>
          <w:szCs w:val="20"/>
          <w:color w:val="auto"/>
        </w:rPr>
      </w:pPr>
    </w:p>
    <w:p>
      <w:pPr>
        <w:ind w:right="220" w:firstLine="1243"/>
        <w:spacing w:after="0" w:line="266" w:lineRule="auto"/>
        <w:rPr>
          <w:sz w:val="20"/>
          <w:szCs w:val="20"/>
          <w:color w:val="auto"/>
        </w:rPr>
      </w:pPr>
      <w:r>
        <w:rPr>
          <w:rFonts w:ascii="Arial" w:cs="Arial" w:eastAsia="Arial" w:hAnsi="Arial"/>
          <w:sz w:val="18"/>
          <w:szCs w:val="18"/>
          <w:b w:val="1"/>
          <w:bCs w:val="1"/>
          <w:color w:val="080808"/>
        </w:rPr>
        <w:t>3.5</w:t>
      </w:r>
      <w:r>
        <w:rPr>
          <w:rFonts w:ascii="Arial" w:cs="Arial" w:eastAsia="Arial" w:hAnsi="Arial"/>
          <w:sz w:val="18"/>
          <w:szCs w:val="18"/>
          <w:color w:val="080808"/>
        </w:rPr>
        <w:t>.</w:t>
      </w:r>
      <w:r>
        <w:rPr>
          <w:rFonts w:ascii="Arial" w:cs="Arial" w:eastAsia="Arial" w:hAnsi="Arial"/>
          <w:sz w:val="18"/>
          <w:szCs w:val="18"/>
          <w:b w:val="1"/>
          <w:bCs w:val="1"/>
          <w:color w:val="080808"/>
        </w:rPr>
        <w:t xml:space="preserve"> </w:t>
      </w:r>
      <w:r>
        <w:rPr>
          <w:rFonts w:ascii="Arial" w:cs="Arial" w:eastAsia="Arial" w:hAnsi="Arial"/>
          <w:sz w:val="18"/>
          <w:szCs w:val="18"/>
          <w:b w:val="1"/>
          <w:bCs w:val="1"/>
          <w:u w:val="single" w:color="auto"/>
          <w:color w:val="080808"/>
        </w:rPr>
        <w:t>Applicability of Lease Section 10.2</w:t>
      </w:r>
      <w:r>
        <w:rPr>
          <w:rFonts w:ascii="Arial" w:cs="Arial" w:eastAsia="Arial" w:hAnsi="Arial"/>
          <w:sz w:val="18"/>
          <w:szCs w:val="18"/>
          <w:color w:val="080808"/>
        </w:rPr>
        <w:t>. Section 10.2 of the Lease shall apply to the work contemplated in this Amendment. Without</w:t>
      </w:r>
      <w:r>
        <w:rPr>
          <w:rFonts w:ascii="Arial" w:cs="Arial" w:eastAsia="Arial" w:hAnsi="Arial"/>
          <w:sz w:val="18"/>
          <w:szCs w:val="18"/>
          <w:b w:val="1"/>
          <w:bCs w:val="1"/>
          <w:color w:val="080808"/>
        </w:rPr>
        <w:t xml:space="preserve"> </w:t>
      </w:r>
      <w:r>
        <w:rPr>
          <w:rFonts w:ascii="Arial" w:cs="Arial" w:eastAsia="Arial" w:hAnsi="Arial"/>
          <w:sz w:val="18"/>
          <w:szCs w:val="18"/>
          <w:color w:val="080808"/>
        </w:rPr>
        <w:t>limiting the foregoing, Tenant shall remove the Photovoltaic System and the Roof Coating at the end of the Term in accordance with Section 10.2.6 of the Lease.</w:t>
      </w:r>
    </w:p>
    <w:p>
      <w:pPr>
        <w:spacing w:after="0" w:line="176" w:lineRule="exact"/>
        <w:rPr>
          <w:sz w:val="20"/>
          <w:szCs w:val="20"/>
          <w:color w:val="auto"/>
        </w:rPr>
      </w:pPr>
    </w:p>
    <w:p>
      <w:pPr>
        <w:ind w:right="80" w:firstLine="1243"/>
        <w:spacing w:after="0" w:line="282" w:lineRule="auto"/>
        <w:rPr>
          <w:sz w:val="20"/>
          <w:szCs w:val="20"/>
          <w:color w:val="auto"/>
        </w:rPr>
      </w:pPr>
      <w:r>
        <w:rPr>
          <w:rFonts w:ascii="Arial" w:cs="Arial" w:eastAsia="Arial" w:hAnsi="Arial"/>
          <w:sz w:val="18"/>
          <w:szCs w:val="18"/>
          <w:b w:val="1"/>
          <w:bCs w:val="1"/>
          <w:color w:val="080808"/>
        </w:rPr>
        <w:t>3.6</w:t>
      </w:r>
      <w:r>
        <w:rPr>
          <w:rFonts w:ascii="Arial" w:cs="Arial" w:eastAsia="Arial" w:hAnsi="Arial"/>
          <w:sz w:val="18"/>
          <w:szCs w:val="18"/>
          <w:color w:val="080808"/>
        </w:rPr>
        <w:t>.</w:t>
      </w:r>
      <w:r>
        <w:rPr>
          <w:rFonts w:ascii="Arial" w:cs="Arial" w:eastAsia="Arial" w:hAnsi="Arial"/>
          <w:sz w:val="18"/>
          <w:szCs w:val="18"/>
          <w:b w:val="1"/>
          <w:bCs w:val="1"/>
          <w:color w:val="080808"/>
        </w:rPr>
        <w:t xml:space="preserve"> </w:t>
      </w:r>
      <w:r>
        <w:rPr>
          <w:rFonts w:ascii="Arial" w:cs="Arial" w:eastAsia="Arial" w:hAnsi="Arial"/>
          <w:sz w:val="18"/>
          <w:szCs w:val="18"/>
          <w:b w:val="1"/>
          <w:bCs w:val="1"/>
          <w:u w:val="single" w:color="auto"/>
          <w:color w:val="080808"/>
        </w:rPr>
        <w:t>Applicability of Lease Section 25.</w:t>
      </w:r>
      <w:r>
        <w:rPr>
          <w:rFonts w:ascii="Arial" w:cs="Arial" w:eastAsia="Arial" w:hAnsi="Arial"/>
          <w:sz w:val="18"/>
          <w:szCs w:val="18"/>
          <w:b w:val="1"/>
          <w:bCs w:val="1"/>
          <w:color w:val="080808"/>
        </w:rPr>
        <w:t xml:space="preserve"> </w:t>
      </w:r>
      <w:r>
        <w:rPr>
          <w:rFonts w:ascii="Arial" w:cs="Arial" w:eastAsia="Arial" w:hAnsi="Arial"/>
          <w:sz w:val="18"/>
          <w:szCs w:val="18"/>
          <w:color w:val="080808"/>
        </w:rPr>
        <w:t>Section 25 of the Lease, including without limitation the indemnity set forth therein, shall apply to</w:t>
      </w:r>
      <w:r>
        <w:rPr>
          <w:rFonts w:ascii="Arial" w:cs="Arial" w:eastAsia="Arial" w:hAnsi="Arial"/>
          <w:sz w:val="18"/>
          <w:szCs w:val="18"/>
          <w:b w:val="1"/>
          <w:bCs w:val="1"/>
          <w:color w:val="080808"/>
        </w:rPr>
        <w:t xml:space="preserve"> </w:t>
      </w:r>
      <w:r>
        <w:rPr>
          <w:rFonts w:ascii="Arial" w:cs="Arial" w:eastAsia="Arial" w:hAnsi="Arial"/>
          <w:sz w:val="18"/>
          <w:szCs w:val="18"/>
          <w:color w:val="080808"/>
        </w:rPr>
        <w:t>the work contemplated in</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20" w:top="445" w:right="259" w:bottom="1440" w:gutter="0" w:footer="0" w:header="0"/>
        </w:sectPr>
      </w:pPr>
    </w:p>
    <w:bookmarkStart w:id="138" w:name="page139"/>
    <w:bookmarkEnd w:id="138"/>
    <w:p>
      <w:pPr>
        <w:ind w:left="100" w:right="40"/>
        <w:spacing w:after="0" w:line="277" w:lineRule="auto"/>
        <w:rPr>
          <w:sz w:val="20"/>
          <w:szCs w:val="20"/>
          <w:color w:val="auto"/>
        </w:rPr>
      </w:pPr>
      <w:r>
        <w:rPr>
          <w:rFonts w:ascii="Arial" w:cs="Arial" w:eastAsia="Arial" w:hAnsi="Arial"/>
          <w:sz w:val="18"/>
          <w:szCs w:val="18"/>
          <w:color w:val="auto"/>
        </w:rPr>
        <w:t>this Amendment. The Photovoltaic System and the Roof Coating shall constitute "Equipment" under Section 25 of the Lease; provided that maintenance of the Roof Coating shall be performed by Landlord pursuant to Section 3.3 above.</w:t>
      </w:r>
    </w:p>
    <w:p>
      <w:pPr>
        <w:spacing w:after="0" w:line="166" w:lineRule="exact"/>
        <w:rPr>
          <w:sz w:val="20"/>
          <w:szCs w:val="20"/>
          <w:color w:val="auto"/>
        </w:rPr>
      </w:pPr>
    </w:p>
    <w:p>
      <w:pPr>
        <w:jc w:val="both"/>
        <w:ind w:left="40" w:right="180" w:firstLine="1242"/>
        <w:spacing w:after="0" w:line="26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Changes.</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changes to the Photovoltaic System, the Roof Coating or the Specifications shall require the prior written approval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which approval may be withheld in Landlord's sole and absolute discretion. Without limiting the foregoing, no Equipment (except for the Roof Coating) shall be permitted within six (6) feet of the edge of the roof of the Building.</w:t>
      </w:r>
    </w:p>
    <w:p>
      <w:pPr>
        <w:spacing w:after="0" w:line="203" w:lineRule="exact"/>
        <w:rPr>
          <w:sz w:val="20"/>
          <w:szCs w:val="20"/>
          <w:color w:val="auto"/>
        </w:rPr>
      </w:pPr>
    </w:p>
    <w:p>
      <w:pPr>
        <w:ind w:left="40" w:firstLine="608"/>
        <w:spacing w:after="0" w:line="261"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represents the entire understanding between Landlord and Tenant concerning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understandings or agreements between them relating to the Lease or the Premises not set forth in writing and signed by the parties hereto. No party hereto has relied upon any representation, warranty or understanding not set forth herein, either oral or written, as an inducement to enter into this Amendment.</w:t>
      </w:r>
    </w:p>
    <w:p>
      <w:pPr>
        <w:spacing w:after="0" w:line="221" w:lineRule="exact"/>
        <w:rPr>
          <w:sz w:val="20"/>
          <w:szCs w:val="20"/>
          <w:color w:val="auto"/>
        </w:rPr>
      </w:pPr>
    </w:p>
    <w:p>
      <w:pPr>
        <w:ind w:right="260" w:firstLine="621"/>
        <w:spacing w:after="0" w:line="347" w:lineRule="auto"/>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extent of any conflict between the terms of this Amendment and the terms of the Lease,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[SIGNATURES ON FOLLOWING PAGE]</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20" w:top="368" w:right="259" w:bottom="1440" w:gutter="0" w:footer="0" w:header="0"/>
        </w:sectPr>
      </w:pPr>
    </w:p>
    <w:bookmarkStart w:id="139" w:name="page140"/>
    <w:bookmarkEnd w:id="139"/>
    <w:p>
      <w:pPr>
        <w:ind w:left="70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day and year first above written.</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"TENANT"</w:t>
            </w:r>
          </w:p>
        </w:tc>
      </w:tr>
      <w:tr>
        <w:trPr>
          <w:trHeight w:val="918"/>
        </w:trPr>
        <w:tc>
          <w:tcPr>
            <w:tcW w:w="4640" w:type="dxa"/>
            <w:vAlign w:val="bottom"/>
            <w:gridSpan w:val="3"/>
          </w:tcPr>
          <w:p>
            <w:pPr>
              <w:spacing w:after="0"/>
              <w:rPr>
                <w:sz w:val="20"/>
                <w:szCs w:val="20"/>
                <w:color w:val="auto"/>
              </w:rPr>
            </w:pPr>
            <w:r>
              <w:rPr>
                <w:rFonts w:ascii="Arial" w:cs="Arial" w:eastAsia="Arial" w:hAnsi="Arial"/>
                <w:sz w:val="18"/>
                <w:szCs w:val="18"/>
                <w:color w:val="auto"/>
              </w:rPr>
              <w:t>SEQUOIA CENTER LLC,</w:t>
            </w:r>
          </w:p>
        </w:tc>
        <w:tc>
          <w:tcPr>
            <w:tcW w:w="174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ENPHASE ENERGY, INC.,</w:t>
            </w:r>
          </w:p>
        </w:tc>
      </w:tr>
      <w:tr>
        <w:trPr>
          <w:trHeight w:val="594"/>
        </w:trPr>
        <w:tc>
          <w:tcPr>
            <w:tcW w:w="4640" w:type="dxa"/>
            <w:vAlign w:val="bottom"/>
            <w:gridSpan w:val="3"/>
          </w:tcPr>
          <w:p>
            <w:pPr>
              <w:spacing w:after="0"/>
              <w:rPr>
                <w:sz w:val="20"/>
                <w:szCs w:val="20"/>
                <w:color w:val="auto"/>
              </w:rPr>
            </w:pPr>
            <w:r>
              <w:rPr>
                <w:rFonts w:ascii="Arial" w:cs="Arial" w:eastAsia="Arial" w:hAnsi="Arial"/>
                <w:sz w:val="18"/>
                <w:szCs w:val="18"/>
                <w:color w:val="auto"/>
              </w:rPr>
              <w:t>a California limited liability company</w:t>
            </w:r>
          </w:p>
        </w:tc>
        <w:tc>
          <w:tcPr>
            <w:tcW w:w="174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 Delaware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G&amp;W Ventures, LLC,</w:t>
            </w:r>
          </w:p>
        </w:tc>
        <w:tc>
          <w:tcPr>
            <w:tcW w:w="17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Paul Nahi</w:t>
            </w:r>
          </w:p>
        </w:tc>
      </w:tr>
      <w:tr>
        <w:trPr>
          <w:trHeight w:val="27"/>
        </w:trPr>
        <w:tc>
          <w:tcPr>
            <w:tcW w:w="54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a California limited liability company,</w:t>
            </w: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Name: Paul Nahi</w:t>
            </w:r>
          </w:p>
        </w:tc>
      </w:tr>
      <w:tr>
        <w:trPr>
          <w:trHeight w:val="270"/>
        </w:trPr>
        <w:tc>
          <w:tcPr>
            <w:tcW w:w="540" w:type="dxa"/>
            <w:vAlign w:val="bottom"/>
          </w:tcPr>
          <w:p>
            <w:pPr>
              <w:spacing w:after="0"/>
              <w:rPr>
                <w:sz w:val="23"/>
                <w:szCs w:val="23"/>
                <w:color w:val="auto"/>
              </w:rPr>
            </w:pP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its Manager</w:t>
            </w: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Its: President/CEO</w:t>
            </w:r>
          </w:p>
        </w:tc>
      </w:tr>
      <w:tr>
        <w:trPr>
          <w:trHeight w:val="918"/>
        </w:trPr>
        <w:tc>
          <w:tcPr>
            <w:tcW w:w="5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By:</w:t>
            </w:r>
          </w:p>
        </w:tc>
        <w:tc>
          <w:tcPr>
            <w:tcW w:w="3060" w:type="dxa"/>
            <w:vAlign w:val="bottom"/>
          </w:tcPr>
          <w:p>
            <w:pPr>
              <w:ind w:left="40"/>
              <w:spacing w:after="0"/>
              <w:rPr>
                <w:sz w:val="20"/>
                <w:szCs w:val="20"/>
                <w:color w:val="auto"/>
              </w:rPr>
            </w:pPr>
            <w:r>
              <w:rPr>
                <w:rFonts w:ascii="Arial" w:cs="Arial" w:eastAsia="Arial" w:hAnsi="Arial"/>
                <w:sz w:val="18"/>
                <w:szCs w:val="18"/>
                <w:color w:val="auto"/>
              </w:rPr>
              <w:t>/s/ Matthew T. White</w:t>
            </w: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Matthew T. White, Manager</w:t>
            </w: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837"/>
        </w:trPr>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ectPr>
          <w:pgSz w:w="11900" w:h="16838" w:orient="portrait"/>
          <w:cols w:equalWidth="0" w:num="1">
            <w:col w:w="11380"/>
          </w:cols>
          <w:pgMar w:left="280" w:top="89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Canada, Inc., a Canadian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S.r.l., an Italian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UK Limited, a United Kingdom corporation.</w:t>
      </w:r>
    </w:p>
    <w:p>
      <w:pPr>
        <w:sectPr>
          <w:pgSz w:w="11900" w:h="16838" w:orient="portrait"/>
          <w:cols w:equalWidth="0" w:num="1">
            <w:col w:w="11380"/>
          </w:cols>
          <w:pgMar w:left="28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333-195694 on Form S-3, and 333-181382 and 333-187057 on Form S-8 of our report dated March 3, 2015, with respect to the consolidated financial statements of Enphase Energy, Inc. and subsidiaries appearing in this Annual Report on Form 10-K of Enphase Energy, Inc. for the year ended December 31,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220" w:hanging="172"/>
        <w:spacing w:after="0" w:line="264"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2015</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220" w:hanging="172"/>
        <w:spacing w:after="0" w:line="264"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2015</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knowledge:</w:t>
      </w:r>
    </w:p>
    <w:p>
      <w:pPr>
        <w:spacing w:after="0" w:line="93" w:lineRule="exact"/>
        <w:rPr>
          <w:sz w:val="20"/>
          <w:szCs w:val="20"/>
          <w:color w:val="auto"/>
        </w:rPr>
      </w:pPr>
    </w:p>
    <w:p>
      <w:pPr>
        <w:ind w:left="180" w:right="220" w:hanging="172"/>
        <w:spacing w:after="0" w:line="277" w:lineRule="auto"/>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annual period ended December 31, 2014, to which this Certification is attached as Exhibit 32.1 (the "Report"), fully complies with the requirements of Section 13(a) or Section 15(d) of the Exchange Act; and</w:t>
      </w:r>
    </w:p>
    <w:p>
      <w:pPr>
        <w:spacing w:after="0" w:line="116" w:lineRule="exact"/>
        <w:rPr>
          <w:rFonts w:ascii="Arial" w:cs="Arial" w:eastAsia="Arial" w:hAnsi="Arial"/>
          <w:sz w:val="18"/>
          <w:szCs w:val="18"/>
          <w:b w:val="1"/>
          <w:bCs w:val="1"/>
          <w:color w:val="auto"/>
        </w:rPr>
      </w:pPr>
    </w:p>
    <w:p>
      <w:pPr>
        <w:ind w:left="180" w:hanging="172"/>
        <w:spacing w:after="0"/>
        <w:tabs>
          <w:tab w:leader="none" w:pos="18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3rd day of March, 2015.</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22"/>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3"/>
    </w:lvl>
  </w:abstractNum>
  <w:abstractNum w:abstractNumId="34">
    <w:nsid w:val="12E685FB"/>
    <w:multiLevelType w:val="hybridMultilevel"/>
    <w:lvl w:ilvl="0">
      <w:lvlJc w:val="left"/>
      <w:lvlText w:val="%1."/>
      <w:numFmt w:val="decimal"/>
      <w:start w:val="5"/>
    </w:lvl>
  </w:abstractNum>
  <w:abstractNum w:abstractNumId="35">
    <w:nsid w:val="70C6A529"/>
    <w:multiLevelType w:val="hybridMultilevel"/>
    <w:lvl w:ilvl="0">
      <w:lvlJc w:val="left"/>
      <w:lvlText w:val="%1."/>
      <w:numFmt w:val="decimal"/>
      <w:start w:val="7"/>
    </w:lvl>
  </w:abstractNum>
  <w:abstractNum w:abstractNumId="36">
    <w:nsid w:val="520EEDD1"/>
    <w:multiLevelType w:val="hybridMultilevel"/>
    <w:lvl w:ilvl="0">
      <w:lvlJc w:val="left"/>
      <w:lvlText w:val="%1."/>
      <w:numFmt w:val="decimal"/>
      <w:start w:val="12"/>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7"/>
    </w:lvl>
  </w:abstractNum>
  <w:abstractNum w:abstractNumId="40">
    <w:nsid w:val="649BB77C"/>
    <w:multiLevelType w:val="hybridMultilevel"/>
    <w:lvl w:ilvl="0">
      <w:lvlJc w:val="left"/>
      <w:lvlText w:val="%1."/>
      <w:numFmt w:val="upperLetter"/>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6"/>
    </w:lvl>
  </w:abstractNum>
  <w:abstractNum w:abstractNumId="44">
    <w:nsid w:val="180115BE"/>
    <w:multiLevelType w:val="hybridMultilevel"/>
    <w:lvl w:ilvl="0">
      <w:lvlJc w:val="left"/>
      <w:lvlText w:val="%1."/>
      <w:numFmt w:val="upperLetter"/>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4"/>
    </w:lvl>
  </w:abstractNum>
  <w:abstractNum w:abstractNumId="47">
    <w:nsid w:val="354FE9F9"/>
    <w:multiLevelType w:val="hybridMultilevel"/>
    <w:lvl w:ilvl="0">
      <w:lvlJc w:val="left"/>
      <w:lvlText w:val="%1."/>
      <w:numFmt w:val="decimal"/>
      <w:start w:val="6"/>
    </w:lvl>
  </w:abstractNum>
  <w:abstractNum w:abstractNumId="48">
    <w:nsid w:val="15B5AF5C"/>
    <w:multiLevelType w:val="hybridMultilevel"/>
    <w:lvl w:ilvl="0">
      <w:lvlJc w:val="left"/>
      <w:lvlText w:val="%1."/>
      <w:numFmt w:val="decimal"/>
      <w:start w:val="9"/>
    </w:lvl>
  </w:abstractNum>
  <w:abstractNum w:abstractNumId="49">
    <w:nsid w:val="741226BB"/>
    <w:multiLevelType w:val="hybridMultilevel"/>
    <w:lvl w:ilvl="0">
      <w:lvlJc w:val="left"/>
      <w:lvlText w:val="(%1)"/>
      <w:numFmt w:val="lowerRoman"/>
      <w:start w:val="3"/>
    </w:lvl>
  </w:abstractNum>
  <w:abstractNum w:abstractNumId="50">
    <w:nsid w:val="D34B6A8"/>
    <w:multiLevelType w:val="hybridMultilevel"/>
    <w:lvl w:ilvl="0">
      <w:lvlJc w:val="left"/>
      <w:lvlText w:val="%1."/>
      <w:numFmt w:val="decimal"/>
      <w:start w:val="10"/>
    </w:lvl>
  </w:abstractNum>
  <w:abstractNum w:abstractNumId="51">
    <w:nsid w:val="10233C99"/>
    <w:multiLevelType w:val="hybridMultilevel"/>
    <w:lvl w:ilvl="0">
      <w:lvlJc w:val="left"/>
      <w:lvlText w:val="(%1)"/>
      <w:numFmt w:val="decimal"/>
      <w:start w:val="30"/>
    </w:lvl>
  </w:abstractNum>
  <w:abstractNum w:abstractNumId="52">
    <w:nsid w:val="3F6AB60F"/>
    <w:multiLevelType w:val="hybridMultilevel"/>
    <w:lvl w:ilvl="0">
      <w:lvlJc w:val="left"/>
      <w:lvlText w:val="%1."/>
      <w:numFmt w:val="upperLetter"/>
      <w:start w:val="1"/>
    </w:lvl>
  </w:abstractNum>
  <w:abstractNum w:abstractNumId="53">
    <w:nsid w:val="61574095"/>
    <w:multiLevelType w:val="hybridMultilevel"/>
    <w:lvl w:ilvl="0">
      <w:lvlJc w:val="left"/>
      <w:lvlText w:val="%1."/>
      <w:numFmt w:val="decimal"/>
      <w:start w:val="1"/>
    </w:lvl>
    <w:lvl w:ilvl="1">
      <w:lvlJc w:val="left"/>
      <w:lvlText w:val="%2)"/>
      <w:numFmt w:val="lowerLetter"/>
      <w:start w:val="1"/>
    </w:lvl>
  </w:abstractNum>
  <w:abstractNum w:abstractNumId="54">
    <w:nsid w:val="7E0C57B1"/>
    <w:multiLevelType w:val="hybridMultilevel"/>
    <w:lvl w:ilvl="0">
      <w:lvlJc w:val="left"/>
      <w:lvlText w:val="%1."/>
      <w:numFmt w:val="decimal"/>
      <w:start w:val="3"/>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lvl w:ilvl="1">
      <w:lvlJc w:val="left"/>
      <w:lvlText w:val="%2."/>
      <w:numFmt w:val="decimal"/>
      <w:start w:val="3"/>
    </w:lvl>
  </w:abstractNum>
  <w:abstractNum w:abstractNumId="57">
    <w:nsid w:val="310C50B3"/>
    <w:multiLevelType w:val="hybridMultilevel"/>
    <w:lvl w:ilvl="0">
      <w:lvlJc w:val="left"/>
      <w:lvlText w:val="(%1)"/>
      <w:numFmt w:val="decimal"/>
      <w:start w:val="10"/>
    </w:lvl>
    <w:lvl w:ilvl="1">
      <w:lvlJc w:val="left"/>
      <w:lvlText w:val="%2"/>
      <w:numFmt w:val="decimal"/>
      <w:start w:val="1"/>
    </w:lvl>
  </w:abstractNum>
  <w:abstractNum w:abstractNumId="58">
    <w:nsid w:val="5FF87E05"/>
    <w:multiLevelType w:val="hybridMultilevel"/>
    <w:lvl w:ilvl="0">
      <w:lvlJc w:val="left"/>
      <w:lvlText w:val="%1."/>
      <w:numFmt w:val="decimal"/>
      <w:start w:val="5"/>
    </w:lvl>
  </w:abstractNum>
  <w:abstractNum w:abstractNumId="59">
    <w:nsid w:val="2F305DEF"/>
    <w:multiLevelType w:val="hybridMultilevel"/>
    <w:lvl w:ilvl="0">
      <w:lvlJc w:val="left"/>
      <w:lvlText w:val="%1."/>
      <w:numFmt w:val="decimal"/>
      <w:start w:val="6"/>
    </w:lvl>
  </w:abstractNum>
  <w:abstractNum w:abstractNumId="60">
    <w:nsid w:val="25A70BF7"/>
    <w:multiLevelType w:val="hybridMultilevel"/>
    <w:lvl w:ilvl="0">
      <w:lvlJc w:val="left"/>
      <w:lvlText w:val="%1."/>
      <w:numFmt w:val="decimal"/>
      <w:start w:val="10"/>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7"/>
    </w:lvl>
  </w:abstractNum>
  <w:abstractNum w:abstractNumId="64">
    <w:nsid w:val="1381823A"/>
    <w:multiLevelType w:val="hybridMultilevel"/>
    <w:lvl w:ilvl="0">
      <w:lvlJc w:val="left"/>
      <w:lvlText w:val="%1"/>
      <w:numFmt w:val="lowerRoman"/>
      <w:start w:val="1"/>
    </w:lvl>
    <w:lvl w:ilvl="1">
      <w:lvlJc w:val="left"/>
      <w:lvlText w:val="%2."/>
      <w:numFmt w:val="decimal"/>
      <w:start w:val="1"/>
    </w:lvl>
  </w:abstractNum>
  <w:abstractNum w:abstractNumId="65">
    <w:nsid w:val="5DB70AE5"/>
    <w:multiLevelType w:val="hybridMultilevel"/>
    <w:lvl w:ilvl="0">
      <w:lvlJc w:val="left"/>
      <w:lvlText w:val="(%1)"/>
      <w:numFmt w:val="lowerRoman"/>
      <w:start w:val="2"/>
    </w:lvl>
    <w:lvl w:ilvl="1">
      <w:lvlJc w:val="left"/>
      <w:lvlText w:val="%2"/>
      <w:numFmt w:val="decimal"/>
      <w:start w:val="1"/>
    </w:lvl>
  </w:abstractNum>
  <w:abstractNum w:abstractNumId="66">
    <w:nsid w:val="100F8FCA"/>
    <w:multiLevelType w:val="hybridMultilevel"/>
    <w:lvl w:ilvl="0">
      <w:lvlJc w:val="left"/>
      <w:lvlText w:val="%1."/>
      <w:numFmt w:val="decimal"/>
      <w:start w:val="3"/>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2019-12-29T19:31:55Z</dcterms:created>
  <dcterms:modified xsi:type="dcterms:W3CDTF">2019-12-29T19:31:55Z</dcterms:modified>
</cp:coreProperties>
</file>