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Trivedi Shanker</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148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06/11/2026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Enphase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ENPH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ENPHASE ENERGY,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47281 BAYSIDE PARKWAY</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FREMONT CA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94538</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06/15/2026</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5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EX-24,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/s/ Lisan Hung, Attorney-</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in-Fact for Shanker</w:t>
            </w:r>
          </w:p>
        </w:tc>
        <w:tc>
          <w:tcPr>
            <w:tcW w:w="236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06/15/2026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Trivedi</w:t>
            </w: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93" w:lineRule="auto"/>
        <w:rPr>
          <w:sz w:val="20"/>
          <w:szCs w:val="20"/>
          <w:color w:val="auto"/>
        </w:rPr>
      </w:pPr>
      <w:r>
        <w:rPr>
          <w:rFonts w:ascii="Courier New" w:cs="Courier New" w:eastAsia="Courier New" w:hAnsi="Courier New"/>
          <w:sz w:val="20"/>
          <w:szCs w:val="20"/>
          <w:color w:val="auto"/>
        </w:rPr>
        <w:t>Know all by the presents, that Shanker Trivedi (Grantor), the undersigned hereby constitutes and appoints Lisan Hung, Ya-Ling (Mandy) Yang and Michael Post, individually, as Grantor's attorneys-in fact and agents to:</w:t>
      </w:r>
    </w:p>
    <w:p>
      <w:pPr>
        <w:spacing w:after="0" w:line="71" w:lineRule="exact"/>
        <w:rPr>
          <w:sz w:val="20"/>
          <w:szCs w:val="20"/>
          <w:color w:val="auto"/>
        </w:rPr>
      </w:pPr>
    </w:p>
    <w:p>
      <w:pPr>
        <w:ind w:right="739"/>
        <w:spacing w:after="0" w:line="272"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Enphase Energy, Inc. (the Company), Forms 3, 4 and 5 (including any amendments thereto) in accordance with Section 16(a) of the Securities Exchange Act of 1934, as amended (the Exchange Act) and the rules thereunder and a Form ID, Uniform Application for Access Codes to File on</w:t>
      </w:r>
    </w:p>
    <w:p>
      <w:pPr>
        <w:spacing w:after="0"/>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187" w:lineRule="exact"/>
        <w:rPr>
          <w:rFonts w:ascii="Courier New" w:cs="Courier New" w:eastAsia="Courier New" w:hAnsi="Courier New"/>
          <w:sz w:val="18"/>
          <w:szCs w:val="18"/>
          <w:color w:val="auto"/>
        </w:rPr>
      </w:pPr>
    </w:p>
    <w:p>
      <w:pPr>
        <w:ind w:right="959"/>
        <w:spacing w:after="0" w:line="26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99" w:lineRule="exact"/>
        <w:rPr>
          <w:rFonts w:ascii="Courier New" w:cs="Courier New" w:eastAsia="Courier New" w:hAnsi="Courier New"/>
          <w:sz w:val="20"/>
          <w:szCs w:val="20"/>
          <w:color w:val="auto"/>
        </w:rPr>
      </w:pPr>
    </w:p>
    <w:p>
      <w:pPr>
        <w:ind w:right="1079"/>
        <w:spacing w:after="0" w:line="273"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w:t>
      </w:r>
    </w:p>
    <w:p>
      <w:pPr>
        <w:spacing w:after="0" w:line="1" w:lineRule="exact"/>
        <w:rPr>
          <w:rFonts w:ascii="Courier New" w:cs="Courier New" w:eastAsia="Courier New" w:hAnsi="Courier New"/>
          <w:sz w:val="18"/>
          <w:szCs w:val="18"/>
          <w:color w:val="auto"/>
        </w:rPr>
      </w:pPr>
    </w:p>
    <w:p>
      <w:pPr>
        <w:ind w:right="1439" w:firstLine="117"/>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and shall contain such terms and conditions as such attorney-in-fact may approve in such attorney-in-fact's discretion.</w:t>
      </w:r>
    </w:p>
    <w:p>
      <w:pPr>
        <w:spacing w:after="0" w:line="54" w:lineRule="exact"/>
        <w:rPr>
          <w:sz w:val="20"/>
          <w:szCs w:val="20"/>
          <w:color w:val="auto"/>
        </w:rPr>
      </w:pPr>
    </w:p>
    <w:p>
      <w:pPr>
        <w:ind w:right="839"/>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16of the Exchange Act.</w:t>
      </w:r>
    </w:p>
    <w:p>
      <w:pPr>
        <w:spacing w:after="0" w:line="328" w:lineRule="exact"/>
        <w:rPr>
          <w:sz w:val="20"/>
          <w:szCs w:val="20"/>
          <w:color w:val="auto"/>
        </w:rPr>
      </w:pPr>
    </w:p>
    <w:p>
      <w:pPr>
        <w:ind w:right="739"/>
        <w:spacing w:after="0" w:line="29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spacing w:after="0" w:line="77"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8, 2026.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Shanker Trivedi</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Shanker Trivedi</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37887" TargetMode="External"/><Relationship Id="rId11" Type="http://schemas.openxmlformats.org/officeDocument/2006/relationships/hyperlink" Target="http://www.sec.gov/cgi-bin/browse-edgar?action=getcompany&amp;CIK=0001463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2026-06-15T19:33:05Z</dcterms:created>
  <dcterms:modified xsi:type="dcterms:W3CDTF">2026-06-15T19:33:05Z</dcterms:modified>
</cp:coreProperties>
</file>