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760"/>
        <w:spacing w:after="0"/>
        <w:rPr>
          <w:sz w:val="20"/>
          <w:szCs w:val="20"/>
          <w:color w:val="auto"/>
        </w:rPr>
      </w:pPr>
      <w:r>
        <w:rPr>
          <w:rFonts w:ascii="Arial" w:cs="Arial" w:eastAsia="Arial" w:hAnsi="Arial"/>
          <w:sz w:val="18"/>
          <w:szCs w:val="18"/>
          <w:color w:val="auto"/>
        </w:rPr>
        <w:t>____________________________________________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9" w:lineRule="exact"/>
        <w:rPr>
          <w:sz w:val="24"/>
          <w:szCs w:val="24"/>
          <w:color w:val="auto"/>
        </w:rPr>
      </w:pPr>
    </w:p>
    <w:p>
      <w:pPr>
        <w:ind w:left="720" w:right="200" w:hanging="685"/>
        <w:spacing w:after="0" w:line="254"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4"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ind w:left="38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 w:lineRule="exact"/>
        <w:rPr>
          <w:sz w:val="24"/>
          <w:szCs w:val="24"/>
          <w:color w:val="auto"/>
        </w:rPr>
      </w:pPr>
    </w:p>
    <w:tbl>
      <w:tblPr>
        <w:tblLayout w:type="fixed"/>
        <w:tblInd w:w="1560" w:type="dxa"/>
        <w:tblCellMar>
          <w:top w:w="0" w:type="dxa"/>
          <w:left w:w="0" w:type="dxa"/>
          <w:bottom w:w="0" w:type="dxa"/>
          <w:right w:w="0" w:type="dxa"/>
        </w:tblCellMar>
      </w:tblPr>
      <w:tr>
        <w:trPr>
          <w:trHeight w:val="207"/>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91"/>
              </w:rPr>
              <w:t>Commission File Number: 001-35480</w:t>
            </w:r>
          </w:p>
        </w:tc>
        <w:tc>
          <w:tcPr>
            <w:tcW w:w="1300" w:type="dxa"/>
            <w:vAlign w:val="bottom"/>
          </w:tcPr>
          <w:p>
            <w:pPr>
              <w:spacing w:after="0"/>
              <w:rPr>
                <w:sz w:val="17"/>
                <w:szCs w:val="17"/>
                <w:color w:val="auto"/>
              </w:rPr>
            </w:pPr>
          </w:p>
        </w:tc>
      </w:tr>
      <w:tr>
        <w:trPr>
          <w:trHeight w:val="187"/>
        </w:trPr>
        <w:tc>
          <w:tcPr>
            <w:tcW w:w="6320" w:type="dxa"/>
            <w:vAlign w:val="bottom"/>
          </w:tcPr>
          <w:p>
            <w:pPr>
              <w:jc w:val="center"/>
              <w:ind w:left="1946"/>
              <w:spacing w:after="0" w:line="187" w:lineRule="exact"/>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16"/>
                <w:szCs w:val="16"/>
                <w:color w:val="auto"/>
              </w:rPr>
            </w:pPr>
          </w:p>
        </w:tc>
      </w:tr>
      <w:tr>
        <w:trPr>
          <w:trHeight w:val="565"/>
        </w:trPr>
        <w:tc>
          <w:tcPr>
            <w:tcW w:w="6320" w:type="dxa"/>
            <w:vAlign w:val="bottom"/>
          </w:tcPr>
          <w:p>
            <w:pPr>
              <w:jc w:val="center"/>
              <w:ind w:left="1926"/>
              <w:spacing w:after="0"/>
              <w:rPr>
                <w:sz w:val="20"/>
                <w:szCs w:val="20"/>
                <w:color w:val="auto"/>
              </w:rPr>
            </w:pPr>
            <w:r>
              <w:rPr>
                <w:rFonts w:ascii="Arial" w:cs="Arial" w:eastAsia="Arial" w:hAnsi="Arial"/>
                <w:sz w:val="43"/>
                <w:szCs w:val="43"/>
                <w:b w:val="1"/>
                <w:bCs w:val="1"/>
                <w:color w:val="auto"/>
                <w:w w:val="90"/>
              </w:rPr>
              <w:t>Enphase Energy, Inc.</w:t>
            </w:r>
          </w:p>
        </w:tc>
        <w:tc>
          <w:tcPr>
            <w:tcW w:w="1300" w:type="dxa"/>
            <w:vAlign w:val="bottom"/>
          </w:tcPr>
          <w:p>
            <w:pPr>
              <w:spacing w:after="0"/>
              <w:rPr>
                <w:sz w:val="24"/>
                <w:szCs w:val="24"/>
                <w:color w:val="auto"/>
              </w:rPr>
            </w:pPr>
          </w:p>
        </w:tc>
      </w:tr>
      <w:tr>
        <w:trPr>
          <w:trHeight w:val="274"/>
        </w:trPr>
        <w:tc>
          <w:tcPr>
            <w:tcW w:w="6320" w:type="dxa"/>
            <w:vAlign w:val="bottom"/>
          </w:tcPr>
          <w:p>
            <w:pPr>
              <w:jc w:val="center"/>
              <w:ind w:left="188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00" w:type="dxa"/>
            <w:vAlign w:val="bottom"/>
          </w:tcPr>
          <w:p>
            <w:pPr>
              <w:spacing w:after="0"/>
              <w:rPr>
                <w:sz w:val="23"/>
                <w:szCs w:val="2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r>
        <w:trPr>
          <w:trHeight w:val="32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Delaware</w:t>
            </w:r>
          </w:p>
        </w:tc>
        <w:tc>
          <w:tcPr>
            <w:tcW w:w="1300" w:type="dxa"/>
            <w:vAlign w:val="bottom"/>
          </w:tcPr>
          <w:p>
            <w:pPr>
              <w:jc w:val="right"/>
              <w:ind w:right="41"/>
              <w:spacing w:after="0"/>
              <w:rPr>
                <w:sz w:val="20"/>
                <w:szCs w:val="20"/>
                <w:color w:val="auto"/>
              </w:rPr>
            </w:pPr>
            <w:r>
              <w:rPr>
                <w:rFonts w:ascii="Arial" w:cs="Arial" w:eastAsia="Arial" w:hAnsi="Arial"/>
                <w:sz w:val="18"/>
                <w:szCs w:val="18"/>
                <w:b w:val="1"/>
                <w:bCs w:val="1"/>
                <w:color w:val="auto"/>
              </w:rPr>
              <w:t>20-4645388</w:t>
            </w:r>
          </w:p>
        </w:tc>
      </w:tr>
      <w:tr>
        <w:trPr>
          <w:trHeight w:val="149"/>
        </w:trPr>
        <w:tc>
          <w:tcPr>
            <w:tcW w:w="6320" w:type="dxa"/>
            <w:vAlign w:val="bottom"/>
          </w:tcPr>
          <w:p>
            <w:pPr>
              <w:jc w:val="center"/>
              <w:ind w:right="3846"/>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30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3"/>
              </w:rPr>
              <w:t>incorporation or organization)</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2"/>
              </w:rPr>
              <w:t>1420 N. McDowell Blvd.</w:t>
            </w:r>
          </w:p>
        </w:tc>
        <w:tc>
          <w:tcPr>
            <w:tcW w:w="1300" w:type="dxa"/>
            <w:vAlign w:val="bottom"/>
          </w:tcPr>
          <w:p>
            <w:pPr>
              <w:spacing w:after="0"/>
              <w:rPr>
                <w:sz w:val="24"/>
                <w:szCs w:val="24"/>
                <w:color w:val="auto"/>
              </w:rPr>
            </w:pPr>
          </w:p>
        </w:tc>
      </w:tr>
      <w:tr>
        <w:trPr>
          <w:trHeight w:val="234"/>
        </w:trPr>
        <w:tc>
          <w:tcPr>
            <w:tcW w:w="6320" w:type="dxa"/>
            <w:vAlign w:val="bottom"/>
          </w:tcPr>
          <w:p>
            <w:pPr>
              <w:jc w:val="center"/>
              <w:ind w:right="3846"/>
              <w:spacing w:after="0"/>
              <w:rPr>
                <w:sz w:val="20"/>
                <w:szCs w:val="20"/>
                <w:color w:val="auto"/>
              </w:rPr>
            </w:pPr>
            <w:r>
              <w:rPr>
                <w:rFonts w:ascii="Arial" w:cs="Arial" w:eastAsia="Arial" w:hAnsi="Arial"/>
                <w:sz w:val="18"/>
                <w:szCs w:val="18"/>
                <w:b w:val="1"/>
                <w:bCs w:val="1"/>
                <w:color w:val="auto"/>
                <w:w w:val="93"/>
              </w:rPr>
              <w:t>Petaluma, California</w:t>
            </w:r>
          </w:p>
        </w:tc>
        <w:tc>
          <w:tcPr>
            <w:tcW w:w="1300" w:type="dxa"/>
            <w:vAlign w:val="bottom"/>
          </w:tcPr>
          <w:p>
            <w:pPr>
              <w:jc w:val="right"/>
              <w:ind w:right="261"/>
              <w:spacing w:after="0"/>
              <w:rPr>
                <w:sz w:val="20"/>
                <w:szCs w:val="20"/>
                <w:color w:val="auto"/>
              </w:rPr>
            </w:pPr>
            <w:r>
              <w:rPr>
                <w:rFonts w:ascii="Arial" w:cs="Arial" w:eastAsia="Arial" w:hAnsi="Arial"/>
                <w:sz w:val="18"/>
                <w:szCs w:val="18"/>
                <w:b w:val="1"/>
                <w:bCs w:val="1"/>
                <w:color w:val="auto"/>
              </w:rPr>
              <w:t>94954</w:t>
            </w:r>
          </w:p>
        </w:tc>
      </w:tr>
      <w:tr>
        <w:trPr>
          <w:trHeight w:val="218"/>
        </w:trPr>
        <w:tc>
          <w:tcPr>
            <w:tcW w:w="6320" w:type="dxa"/>
            <w:vAlign w:val="bottom"/>
          </w:tcPr>
          <w:p>
            <w:pPr>
              <w:jc w:val="center"/>
              <w:ind w:right="384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6320" w:type="dxa"/>
            <w:vAlign w:val="bottom"/>
          </w:tcPr>
          <w:p>
            <w:pPr>
              <w:jc w:val="center"/>
              <w:ind w:left="1906"/>
              <w:spacing w:after="0"/>
              <w:rPr>
                <w:sz w:val="20"/>
                <w:szCs w:val="20"/>
                <w:color w:val="auto"/>
              </w:rPr>
            </w:pPr>
            <w:r>
              <w:rPr>
                <w:rFonts w:ascii="Arial" w:cs="Arial" w:eastAsia="Arial" w:hAnsi="Arial"/>
                <w:sz w:val="18"/>
                <w:szCs w:val="18"/>
                <w:b w:val="1"/>
                <w:bCs w:val="1"/>
                <w:color w:val="auto"/>
                <w:w w:val="90"/>
              </w:rPr>
              <w:t>(707) 774-7000</w:t>
            </w:r>
          </w:p>
        </w:tc>
        <w:tc>
          <w:tcPr>
            <w:tcW w:w="1300" w:type="dxa"/>
            <w:vAlign w:val="bottom"/>
          </w:tcPr>
          <w:p>
            <w:pPr>
              <w:spacing w:after="0"/>
              <w:rPr>
                <w:sz w:val="24"/>
                <w:szCs w:val="24"/>
                <w:color w:val="auto"/>
              </w:rPr>
            </w:pPr>
          </w:p>
        </w:tc>
      </w:tr>
      <w:tr>
        <w:trPr>
          <w:trHeight w:val="157"/>
        </w:trPr>
        <w:tc>
          <w:tcPr>
            <w:tcW w:w="6320" w:type="dxa"/>
            <w:vAlign w:val="bottom"/>
          </w:tcPr>
          <w:p>
            <w:pPr>
              <w:jc w:val="center"/>
              <w:ind w:left="1886"/>
              <w:spacing w:after="0" w:line="157" w:lineRule="exact"/>
              <w:rPr>
                <w:sz w:val="20"/>
                <w:szCs w:val="20"/>
                <w:color w:val="auto"/>
              </w:rPr>
            </w:pPr>
            <w:r>
              <w:rPr>
                <w:rFonts w:ascii="Arial" w:cs="Arial" w:eastAsia="Arial" w:hAnsi="Arial"/>
                <w:sz w:val="14"/>
                <w:szCs w:val="14"/>
                <w:b w:val="1"/>
                <w:bCs w:val="1"/>
                <w:color w:val="auto"/>
                <w:w w:val="91"/>
              </w:rPr>
              <w:t>(Registrant’s telephone number, including area code)</w:t>
            </w:r>
          </w:p>
        </w:tc>
        <w:tc>
          <w:tcPr>
            <w:tcW w:w="1300" w:type="dxa"/>
            <w:vAlign w:val="bottom"/>
          </w:tcPr>
          <w:p>
            <w:pPr>
              <w:spacing w:after="0"/>
              <w:rPr>
                <w:sz w:val="13"/>
                <w:szCs w:val="13"/>
                <w:color w:val="auto"/>
              </w:rPr>
            </w:pPr>
          </w:p>
        </w:tc>
      </w:tr>
      <w:tr>
        <w:trPr>
          <w:trHeight w:val="230"/>
        </w:trPr>
        <w:tc>
          <w:tcPr>
            <w:tcW w:w="6320" w:type="dxa"/>
            <w:vAlign w:val="bottom"/>
          </w:tcPr>
          <w:p>
            <w:pPr>
              <w:jc w:val="center"/>
              <w:ind w:left="1946"/>
              <w:spacing w:after="0"/>
              <w:rPr>
                <w:sz w:val="20"/>
                <w:szCs w:val="20"/>
                <w:color w:val="auto"/>
              </w:rPr>
            </w:pPr>
            <w:r>
              <w:rPr>
                <w:rFonts w:ascii="Arial" w:cs="Arial" w:eastAsia="Arial" w:hAnsi="Arial"/>
                <w:sz w:val="18"/>
                <w:szCs w:val="18"/>
                <w:color w:val="auto"/>
                <w:w w:val="89"/>
              </w:rPr>
              <w:t>____________________________________________</w:t>
            </w:r>
          </w:p>
        </w:tc>
        <w:tc>
          <w:tcPr>
            <w:tcW w:w="1300" w:type="dxa"/>
            <w:vAlign w:val="bottom"/>
          </w:tcPr>
          <w:p>
            <w:pPr>
              <w:spacing w:after="0"/>
              <w:rPr>
                <w:sz w:val="20"/>
                <w:szCs w:val="20"/>
                <w:color w:val="auto"/>
              </w:rPr>
            </w:pPr>
          </w:p>
        </w:tc>
      </w:tr>
    </w:tbl>
    <w:p>
      <w:pPr>
        <w:spacing w:after="0" w:line="188"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2180" w:space="720"/>
            <w:col w:w="4300" w:space="720"/>
            <w:col w:w="2460" w:space="720"/>
            <w:col w:w="320"/>
          </w:cols>
          <w:pgMar w:left="240" w:top="233"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43" w:lineRule="exact"/>
        <w:rPr>
          <w:sz w:val="24"/>
          <w:szCs w:val="24"/>
          <w:color w:val="auto"/>
        </w:rPr>
      </w:pPr>
    </w:p>
    <w:p>
      <w:pPr>
        <w:sectPr>
          <w:pgSz w:w="11900" w:h="16838" w:orient="portrait"/>
          <w:cols w:equalWidth="0" w:num="4">
            <w:col w:w="2180" w:space="720"/>
            <w:col w:w="4300" w:space="720"/>
            <w:col w:w="2460" w:space="720"/>
            <w:col w:w="320"/>
          </w:cols>
          <w:pgMar w:left="240" w:top="233"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4">
            <w:col w:w="8180" w:space="180"/>
            <w:col w:w="260" w:space="100"/>
            <w:col w:w="160" w:space="180"/>
            <w:col w:w="236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As of October 31, 2013, there were 42,041,741 shares of the registrant’s common stock outstanding,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QUARTERLY PERIOD ENDED SEPTEMBER 30, 2013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8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Page</w:t>
            </w:r>
          </w:p>
        </w:tc>
      </w:tr>
      <w:tr>
        <w:trPr>
          <w:trHeight w:val="189"/>
        </w:trPr>
        <w:tc>
          <w:tcPr>
            <w:tcW w:w="1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tcBorders>
              <w:bottom w:val="single" w:sz="8" w:color="0000FF"/>
            </w:tcBorders>
            <w:gridSpan w:val="9"/>
          </w:tcPr>
          <w:p>
            <w:pPr>
              <w:jc w:val="cente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68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00" w:type="dxa"/>
            <w:vAlign w:val="bottom"/>
            <w:gridSpan w:val="12"/>
          </w:tcPr>
          <w:p>
            <w:pPr>
              <w:spacing w:after="0"/>
              <w:rPr>
                <w:sz w:val="24"/>
                <w:szCs w:val="24"/>
                <w:color w:val="auto"/>
              </w:rPr>
            </w:pPr>
          </w:p>
        </w:tc>
        <w:tc>
          <w:tcPr>
            <w:tcW w:w="13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r>
      <w:tr>
        <w:trPr>
          <w:trHeight w:val="250"/>
        </w:trPr>
        <w:tc>
          <w:tcPr>
            <w:tcW w:w="1480" w:type="dxa"/>
            <w:vAlign w:val="bottom"/>
          </w:tcPr>
          <w:p>
            <w:pPr>
              <w:spacing w:after="0"/>
              <w:rPr>
                <w:sz w:val="21"/>
                <w:szCs w:val="21"/>
                <w:color w:val="auto"/>
              </w:rPr>
            </w:pPr>
          </w:p>
        </w:tc>
        <w:tc>
          <w:tcPr>
            <w:tcW w:w="2940" w:type="dxa"/>
            <w:vAlign w:val="bottom"/>
            <w:tcBorders>
              <w:bottom w:val="single" w:sz="8" w:color="0000FF"/>
            </w:tcBorders>
            <w:gridSpan w:val="10"/>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Condensed Consolidated Balance Sheets</w:t>
              </w:r>
            </w:hyperlink>
          </w:p>
        </w:tc>
        <w:tc>
          <w:tcPr>
            <w:tcW w:w="5480" w:type="dxa"/>
            <w:vAlign w:val="bottom"/>
            <w:gridSpan w:val="9"/>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366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Statements of Operations</w:t>
              </w:r>
            </w:hyperlink>
          </w:p>
        </w:tc>
        <w:tc>
          <w:tcPr>
            <w:tcW w:w="4760" w:type="dxa"/>
            <w:vAlign w:val="bottom"/>
            <w:gridSpan w:val="8"/>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842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Loss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50"/>
        </w:trPr>
        <w:tc>
          <w:tcPr>
            <w:tcW w:w="1480" w:type="dxa"/>
            <w:vAlign w:val="bottom"/>
          </w:tcPr>
          <w:p>
            <w:pPr>
              <w:spacing w:after="0"/>
              <w:rPr>
                <w:sz w:val="21"/>
                <w:szCs w:val="21"/>
                <w:color w:val="auto"/>
              </w:rPr>
            </w:pPr>
          </w:p>
        </w:tc>
        <w:tc>
          <w:tcPr>
            <w:tcW w:w="37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Cash Flows</w:t>
              </w:r>
            </w:hyperlink>
          </w:p>
        </w:tc>
        <w:tc>
          <w:tcPr>
            <w:tcW w:w="660" w:type="dxa"/>
            <w:vAlign w:val="bottom"/>
            <w:tcBorders>
              <w:top w:val="single" w:sz="8" w:color="0000FF"/>
            </w:tcBorders>
            <w:gridSpan w:val="3"/>
          </w:tcPr>
          <w:p>
            <w:pPr>
              <w:spacing w:after="0"/>
              <w:rPr>
                <w:sz w:val="21"/>
                <w:szCs w:val="21"/>
                <w:color w:val="auto"/>
              </w:rPr>
            </w:pPr>
          </w:p>
        </w:tc>
        <w:tc>
          <w:tcPr>
            <w:tcW w:w="4040" w:type="dxa"/>
            <w:vAlign w:val="bottom"/>
            <w:gridSpan w:val="4"/>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1"/>
                <w:szCs w:val="21"/>
                <w:color w:val="auto"/>
              </w:rPr>
            </w:pPr>
          </w:p>
        </w:tc>
        <w:tc>
          <w:tcPr>
            <w:tcW w:w="4000" w:type="dxa"/>
            <w:vAlign w:val="bottom"/>
            <w:tcBorders>
              <w:bottom w:val="single" w:sz="8" w:color="0000FF"/>
            </w:tcBorders>
            <w:gridSpan w:val="13"/>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4420" w:type="dxa"/>
            <w:vAlign w:val="bottom"/>
            <w:gridSpan w:val="6"/>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8"/>
          </w:tcPr>
          <w:p>
            <w:pPr>
              <w:spacing w:after="0"/>
              <w:rPr>
                <w:rFonts w:ascii="Arial" w:cs="Arial" w:eastAsia="Arial" w:hAnsi="Arial"/>
                <w:sz w:val="18"/>
                <w:szCs w:val="18"/>
                <w:color w:val="0000FF"/>
                <w:w w:val="90"/>
              </w:rPr>
            </w:pPr>
            <w:hyperlink w:anchor="page13">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3">
              <w:r>
                <w:rPr>
                  <w:rFonts w:ascii="Arial" w:cs="Arial" w:eastAsia="Arial" w:hAnsi="Arial"/>
                  <w:sz w:val="18"/>
                  <w:szCs w:val="18"/>
                  <w:color w:val="0000FF"/>
                </w:rPr>
                <w:t>14</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4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0">
              <w:r>
                <w:rPr>
                  <w:rFonts w:ascii="Arial" w:cs="Arial" w:eastAsia="Arial" w:hAnsi="Arial"/>
                  <w:sz w:val="18"/>
                  <w:szCs w:val="18"/>
                  <w:color w:val="0000FF"/>
                  <w:w w:val="91"/>
                </w:rPr>
                <w:t>Quantitative and Qualitative Disclosures About Market Risk</w:t>
              </w:r>
            </w:hyperlink>
          </w:p>
        </w:tc>
        <w:tc>
          <w:tcPr>
            <w:tcW w:w="2120" w:type="dxa"/>
            <w:vAlign w:val="bottom"/>
            <w:gridSpan w:val="4"/>
          </w:tcPr>
          <w:p>
            <w:pPr>
              <w:spacing w:after="0"/>
              <w:rPr>
                <w:sz w:val="21"/>
                <w:szCs w:val="21"/>
                <w:color w:val="auto"/>
              </w:rPr>
            </w:pPr>
          </w:p>
        </w:tc>
        <w:tc>
          <w:tcPr>
            <w:tcW w:w="196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1240" w:type="dxa"/>
            <w:vAlign w:val="bottom"/>
            <w:tcBorders>
              <w:left w:val="single" w:sz="8" w:color="0000FF"/>
            </w:tcBorders>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Controls and Procedures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r>
      <w:tr>
        <w:trPr>
          <w:trHeight w:val="372"/>
        </w:trPr>
        <w:tc>
          <w:tcPr>
            <w:tcW w:w="14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60" w:type="dxa"/>
            <w:vAlign w:val="bottom"/>
            <w:gridSpan w:val="11"/>
          </w:tcPr>
          <w:p>
            <w:pPr>
              <w:jc w:val="center"/>
              <w:ind w:right="2680"/>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 OTHER INFORMATION</w:t>
              </w:r>
            </w:hyperlink>
          </w:p>
        </w:tc>
        <w:tc>
          <w:tcPr>
            <w:tcW w:w="12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372"/>
        </w:trPr>
        <w:tc>
          <w:tcPr>
            <w:tcW w:w="148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22">
              <w:r>
                <w:rPr>
                  <w:rFonts w:ascii="Arial" w:cs="Arial" w:eastAsia="Arial" w:hAnsi="Arial"/>
                  <w:sz w:val="18"/>
                  <w:szCs w:val="18"/>
                  <w:color w:val="0000FF"/>
                  <w:w w:val="85"/>
                </w:rPr>
                <w:t>Legal Proceedings</w:t>
              </w:r>
            </w:hyperlink>
          </w:p>
        </w:tc>
        <w:tc>
          <w:tcPr>
            <w:tcW w:w="1500" w:type="dxa"/>
            <w:vAlign w:val="bottom"/>
            <w:gridSpan w:val="5"/>
          </w:tcPr>
          <w:p>
            <w:pPr>
              <w:spacing w:after="0"/>
              <w:rPr>
                <w:sz w:val="24"/>
                <w:szCs w:val="24"/>
                <w:color w:val="auto"/>
              </w:rPr>
            </w:pPr>
          </w:p>
        </w:tc>
        <w:tc>
          <w:tcPr>
            <w:tcW w:w="2760" w:type="dxa"/>
            <w:vAlign w:val="bottom"/>
            <w:tcBorders>
              <w:top w:val="single" w:sz="8" w:color="0000FF"/>
            </w:tcBorders>
            <w:gridSpan w:val="7"/>
          </w:tcPr>
          <w:p>
            <w:pPr>
              <w:spacing w:after="0"/>
              <w:rPr>
                <w:sz w:val="24"/>
                <w:szCs w:val="24"/>
                <w:color w:val="auto"/>
              </w:rPr>
            </w:pPr>
          </w:p>
        </w:tc>
        <w:tc>
          <w:tcPr>
            <w:tcW w:w="2840" w:type="dxa"/>
            <w:vAlign w:val="bottom"/>
            <w:gridSpan w:val="3"/>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9"/>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Unregistered Sales of Equity Securities and Use of Proceeds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Defaults Upon Senior Securities</w:t>
              </w:r>
            </w:hyperlink>
          </w:p>
        </w:tc>
        <w:tc>
          <w:tcPr>
            <w:tcW w:w="408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6100" w:type="dxa"/>
            <w:vAlign w:val="bottom"/>
            <w:gridSpan w:val="1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Mine Safety Disclosures</w:t>
              </w:r>
            </w:hyperlink>
          </w:p>
        </w:tc>
        <w:tc>
          <w:tcPr>
            <w:tcW w:w="540" w:type="dxa"/>
            <w:vAlign w:val="bottom"/>
          </w:tcPr>
          <w:p>
            <w:pPr>
              <w:spacing w:after="0"/>
              <w:rPr>
                <w:sz w:val="21"/>
                <w:szCs w:val="21"/>
                <w:color w:val="auto"/>
              </w:rPr>
            </w:pPr>
          </w:p>
        </w:tc>
        <w:tc>
          <w:tcPr>
            <w:tcW w:w="6100" w:type="dxa"/>
            <w:vAlign w:val="bottom"/>
            <w:gridSpan w:val="1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640" w:type="dxa"/>
            <w:vAlign w:val="bottom"/>
            <w:gridSpan w:val="1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39">
              <w:r>
                <w:rPr>
                  <w:rFonts w:ascii="Arial" w:cs="Arial" w:eastAsia="Arial" w:hAnsi="Arial"/>
                  <w:sz w:val="18"/>
                  <w:szCs w:val="18"/>
                  <w:color w:val="0000FF"/>
                  <w:w w:val="91"/>
                </w:rPr>
                <w:t>Other Information</w:t>
              </w:r>
            </w:hyperlink>
          </w:p>
        </w:tc>
        <w:tc>
          <w:tcPr>
            <w:tcW w:w="460" w:type="dxa"/>
            <w:vAlign w:val="bottom"/>
          </w:tcPr>
          <w:p>
            <w:pPr>
              <w:spacing w:after="0"/>
              <w:rPr>
                <w:sz w:val="21"/>
                <w:szCs w:val="21"/>
                <w:color w:val="auto"/>
              </w:rPr>
            </w:pPr>
          </w:p>
        </w:tc>
        <w:tc>
          <w:tcPr>
            <w:tcW w:w="6640" w:type="dxa"/>
            <w:vAlign w:val="bottom"/>
            <w:gridSpan w:val="1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10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710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720" w:type="dxa"/>
            <w:vAlign w:val="bottom"/>
            <w:gridSpan w:val="1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spacing w:after="0"/>
              <w:rPr>
                <w:sz w:val="21"/>
                <w:szCs w:val="21"/>
                <w:color w:val="auto"/>
              </w:rPr>
            </w:pPr>
          </w:p>
        </w:tc>
        <w:tc>
          <w:tcPr>
            <w:tcW w:w="700" w:type="dxa"/>
            <w:vAlign w:val="bottom"/>
            <w:gridSpan w:val="2"/>
          </w:tcPr>
          <w:p>
            <w:pPr>
              <w:spacing w:after="0"/>
              <w:rPr>
                <w:rFonts w:ascii="Arial" w:cs="Arial" w:eastAsia="Arial" w:hAnsi="Arial"/>
                <w:sz w:val="18"/>
                <w:szCs w:val="18"/>
                <w:color w:val="0000FF"/>
                <w:w w:val="88"/>
              </w:rPr>
            </w:pPr>
            <w:hyperlink w:anchor="page39">
              <w:r>
                <w:rPr>
                  <w:rFonts w:ascii="Arial" w:cs="Arial" w:eastAsia="Arial" w:hAnsi="Arial"/>
                  <w:sz w:val="18"/>
                  <w:szCs w:val="18"/>
                  <w:color w:val="0000FF"/>
                  <w:w w:val="88"/>
                </w:rPr>
                <w:t>Signature</w:t>
              </w:r>
            </w:hyperlink>
          </w:p>
        </w:tc>
        <w:tc>
          <w:tcPr>
            <w:tcW w:w="7720" w:type="dxa"/>
            <w:vAlign w:val="bottom"/>
            <w:gridSpan w:val="17"/>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9">
              <w:r>
                <w:rPr>
                  <w:rFonts w:ascii="Arial" w:cs="Arial" w:eastAsia="Arial" w:hAnsi="Arial"/>
                  <w:sz w:val="18"/>
                  <w:szCs w:val="18"/>
                  <w:color w:val="0000FF"/>
                </w:rPr>
                <w:t>40</w:t>
              </w:r>
            </w:hyperlink>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77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 (Unaudited)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9"/>
        </w:trPr>
        <w:tc>
          <w:tcPr>
            <w:tcW w:w="640" w:type="dxa"/>
            <w:vAlign w:val="bottom"/>
          </w:tcPr>
          <w:p>
            <w:pPr>
              <w:spacing w:after="0"/>
              <w:rPr>
                <w:sz w:val="24"/>
                <w:szCs w:val="24"/>
                <w:color w:val="auto"/>
              </w:rPr>
            </w:pPr>
          </w:p>
        </w:tc>
        <w:tc>
          <w:tcPr>
            <w:tcW w:w="7700" w:type="dxa"/>
            <w:vAlign w:val="bottom"/>
          </w:tcPr>
          <w:p>
            <w:pPr>
              <w:jc w:val="center"/>
              <w:ind w:left="2370"/>
              <w:spacing w:after="0"/>
              <w:rPr>
                <w:sz w:val="20"/>
                <w:szCs w:val="20"/>
                <w:color w:val="auto"/>
              </w:rPr>
            </w:pPr>
            <w:r>
              <w:rPr>
                <w:rFonts w:ascii="Arial" w:cs="Arial" w:eastAsia="Arial" w:hAnsi="Arial"/>
                <w:sz w:val="18"/>
                <w:szCs w:val="18"/>
                <w:b w:val="1"/>
                <w:bCs w:val="1"/>
                <w:color w:val="auto"/>
                <w:w w:val="99"/>
              </w:rPr>
              <w:t>ENPHASE ENERGY, INC.</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0"/>
        </w:trPr>
        <w:tc>
          <w:tcPr>
            <w:tcW w:w="640" w:type="dxa"/>
            <w:vAlign w:val="bottom"/>
          </w:tcPr>
          <w:p>
            <w:pPr>
              <w:spacing w:after="0"/>
              <w:rPr>
                <w:sz w:val="24"/>
                <w:szCs w:val="24"/>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(In thousands, except par value)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7700" w:type="dxa"/>
            <w:vAlign w:val="bottom"/>
          </w:tcPr>
          <w:p>
            <w:pPr>
              <w:jc w:val="center"/>
              <w:ind w:left="2350"/>
              <w:spacing w:after="0"/>
              <w:rPr>
                <w:sz w:val="20"/>
                <w:szCs w:val="20"/>
                <w:color w:val="auto"/>
              </w:rPr>
            </w:pPr>
            <w:r>
              <w:rPr>
                <w:rFonts w:ascii="Arial" w:cs="Arial" w:eastAsia="Arial" w:hAnsi="Arial"/>
                <w:sz w:val="18"/>
                <w:szCs w:val="18"/>
                <w:b w:val="1"/>
                <w:bCs w:val="1"/>
                <w:color w:val="auto"/>
                <w:w w:val="93"/>
              </w:rPr>
              <w:t>(Unaudited)</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88"/>
        </w:trPr>
        <w:tc>
          <w:tcPr>
            <w:tcW w:w="6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640" w:type="dxa"/>
            <w:vAlign w:val="bottom"/>
            <w:tcBorders>
              <w:bottom w:val="single" w:sz="8" w:color="CCEEFF"/>
            </w:tcBorders>
          </w:tcPr>
          <w:p>
            <w:pPr>
              <w:spacing w:after="0"/>
              <w:rPr>
                <w:sz w:val="16"/>
                <w:szCs w:val="16"/>
                <w:color w:val="auto"/>
              </w:rPr>
            </w:pPr>
          </w:p>
        </w:tc>
        <w:tc>
          <w:tcPr>
            <w:tcW w:w="77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320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45,294</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allowances of $1,460 and $1,177</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34,744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27,743</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2,118</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40" w:type="dxa"/>
            <w:vAlign w:val="bottom"/>
            <w:tcBorders>
              <w:bottom w:val="single" w:sz="8" w:color="CCEEFF"/>
            </w:tcBorders>
            <w:shd w:val="clear" w:color="auto" w:fill="CCEEFF"/>
          </w:tcPr>
          <w:p>
            <w:pPr>
              <w:spacing w:after="0"/>
              <w:rPr>
                <w:sz w:val="21"/>
                <w:szCs w:val="21"/>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94,998</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24,823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25,541</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120,310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122,291</w:t>
            </w:r>
          </w:p>
        </w:tc>
      </w:tr>
      <w:tr>
        <w:trPr>
          <w:trHeight w:val="67"/>
        </w:trPr>
        <w:tc>
          <w:tcPr>
            <w:tcW w:w="640" w:type="dxa"/>
            <w:vAlign w:val="bottom"/>
            <w:tcBorders>
              <w:bottom w:val="single" w:sz="8" w:color="CCEEFF"/>
            </w:tcBorders>
          </w:tcPr>
          <w:p>
            <w:pPr>
              <w:spacing w:after="0"/>
              <w:rPr>
                <w:sz w:val="5"/>
                <w:szCs w:val="5"/>
                <w:color w:val="auto"/>
              </w:rPr>
            </w:pPr>
          </w:p>
        </w:tc>
        <w:tc>
          <w:tcPr>
            <w:tcW w:w="77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231"/>
        </w:trPr>
        <w:tc>
          <w:tcPr>
            <w:tcW w:w="640" w:type="dxa"/>
            <w:vAlign w:val="bottom"/>
            <w:tcBorders>
              <w:bottom w:val="single" w:sz="8" w:color="CCEEFF"/>
            </w:tcBorders>
            <w:shd w:val="clear" w:color="auto" w:fill="CCEEFF"/>
          </w:tcPr>
          <w:p>
            <w:pPr>
              <w:spacing w:after="0"/>
              <w:rPr>
                <w:sz w:val="20"/>
                <w:szCs w:val="20"/>
                <w:color w:val="auto"/>
              </w:rPr>
            </w:pPr>
          </w:p>
        </w:tc>
        <w:tc>
          <w:tcPr>
            <w:tcW w:w="7700" w:type="dxa"/>
            <w:vAlign w:val="bottom"/>
            <w:tcBorders>
              <w:bottom w:val="single" w:sz="8" w:color="CCEEFF"/>
            </w:tcBorders>
            <w:shd w:val="clear" w:color="auto" w:fill="CCEEFF"/>
          </w:tcPr>
          <w:p>
            <w:pPr>
              <w:ind w:left="158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11,272</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20,909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19,266</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term loans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2,384</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33,855</w:t>
            </w: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liabilities: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7,537</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Warranty obligations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15,260</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Term loans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8,677</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65,636</w:t>
            </w: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Preferred stock, $0.00001 par value, 10,000 shares authorized; none issued and outstanding</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Common stock, $0.00001 par value, 100,000 shares authorized; 41,813 and 40,856 shares issued and</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outstanding as of September 30, 2013 and December 31, 2012,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190,265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183,629</w:t>
            </w: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(127,026)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640" w:type="dxa"/>
            <w:vAlign w:val="bottom"/>
            <w:tcBorders>
              <w:bottom w:val="single" w:sz="8" w:color="CCEEFF"/>
            </w:tcBorders>
          </w:tcPr>
          <w:p>
            <w:pPr>
              <w:spacing w:after="0"/>
              <w:rPr>
                <w:sz w:val="2"/>
                <w:szCs w:val="2"/>
                <w:color w:val="auto"/>
              </w:rPr>
            </w:pPr>
          </w:p>
        </w:tc>
        <w:tc>
          <w:tcPr>
            <w:tcW w:w="7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640" w:type="dxa"/>
            <w:vAlign w:val="bottom"/>
            <w:tcBorders>
              <w:bottom w:val="single" w:sz="8" w:color="CCEEFF"/>
            </w:tcBorders>
            <w:shd w:val="clear" w:color="auto" w:fill="CCEEFF"/>
          </w:tcPr>
          <w:p>
            <w:pPr>
              <w:spacing w:after="0"/>
              <w:rPr>
                <w:sz w:val="22"/>
                <w:szCs w:val="22"/>
                <w:color w:val="auto"/>
              </w:rPr>
            </w:pPr>
          </w:p>
        </w:tc>
        <w:tc>
          <w:tcPr>
            <w:tcW w:w="7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56,655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120,310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122,291</w:t>
            </w:r>
          </w:p>
        </w:tc>
      </w:tr>
      <w:tr>
        <w:trPr>
          <w:trHeight w:val="27"/>
        </w:trPr>
        <w:tc>
          <w:tcPr>
            <w:tcW w:w="64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6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2012</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62,046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60,813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159,110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44,611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44,489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119,870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119,878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17,435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45,920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39,232</w:t>
            </w:r>
          </w:p>
        </w:tc>
        <w:tc>
          <w:tcPr>
            <w:tcW w:w="0" w:type="dxa"/>
            <w:vAlign w:val="bottom"/>
          </w:tcPr>
          <w:p>
            <w:pPr>
              <w:spacing w:after="0"/>
              <w:rPr>
                <w:sz w:val="1"/>
                <w:szCs w:val="1"/>
                <w:color w:val="auto"/>
              </w:rPr>
            </w:pP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8,293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25,803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27,068</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8,550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22,765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5,937</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17,899</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18,698</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22,780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24,521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66,467</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(24,982)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(6,160)</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(22,656)</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(23,103)</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(30,476)</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6"/>
              </w:rPr>
              <w:t>Net loss per share attributable to common stockholders, basic and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3"/>
              </w:rPr>
              <w:t>Shares used in computing net loss per share attributable to common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ind w:right="33"/>
              <w:spacing w:after="0"/>
              <w:rPr>
                <w:sz w:val="20"/>
                <w:szCs w:val="20"/>
                <w:color w:val="auto"/>
              </w:rPr>
            </w:pPr>
            <w:r>
              <w:rPr>
                <w:rFonts w:ascii="Arial" w:cs="Arial" w:eastAsia="Arial" w:hAnsi="Arial"/>
                <w:sz w:val="18"/>
                <w:szCs w:val="18"/>
                <w:color w:val="auto"/>
              </w:rPr>
              <w:t>41,777</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40,755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13"/>
              <w:spacing w:after="0"/>
              <w:rPr>
                <w:sz w:val="20"/>
                <w:szCs w:val="20"/>
                <w:color w:val="auto"/>
              </w:rPr>
            </w:pPr>
            <w:r>
              <w:rPr>
                <w:rFonts w:ascii="Arial" w:cs="Arial" w:eastAsia="Arial" w:hAnsi="Arial"/>
                <w:sz w:val="18"/>
                <w:szCs w:val="18"/>
                <w:color w:val="auto"/>
              </w:rPr>
              <w:t>41,517</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27,356</w:t>
            </w:r>
          </w:p>
        </w:tc>
        <w:tc>
          <w:tcPr>
            <w:tcW w:w="0" w:type="dxa"/>
            <w:vAlign w:val="bottom"/>
          </w:tcPr>
          <w:p>
            <w:pPr>
              <w:spacing w:after="0"/>
              <w:rPr>
                <w:sz w:val="1"/>
                <w:szCs w:val="1"/>
                <w:color w:val="auto"/>
              </w:rPr>
            </w:pPr>
          </w:p>
        </w:tc>
      </w:tr>
      <w:tr>
        <w:trPr>
          <w:trHeight w:val="237"/>
        </w:trPr>
        <w:tc>
          <w:tcPr>
            <w:tcW w:w="5160" w:type="dxa"/>
            <w:vAlign w:val="bottom"/>
          </w:tcPr>
          <w:p>
            <w:pPr>
              <w:ind w:left="120"/>
              <w:spacing w:after="0"/>
              <w:rPr>
                <w:sz w:val="20"/>
                <w:szCs w:val="20"/>
                <w:color w:val="auto"/>
              </w:rPr>
            </w:pPr>
            <w:r>
              <w:rPr>
                <w:rFonts w:ascii="Arial" w:cs="Arial" w:eastAsia="Arial" w:hAnsi="Arial"/>
                <w:sz w:val="18"/>
                <w:szCs w:val="18"/>
                <w:color w:val="auto"/>
              </w:rPr>
              <w:t>stockholders, basic and diluted</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(6,301)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(30,476)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9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loss attributable to common stockholders</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(6,197)</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(22,958)</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(30,561)</w:t>
            </w:r>
          </w:p>
        </w:tc>
      </w:tr>
      <w:tr>
        <w:trPr>
          <w:trHeight w:val="27"/>
        </w:trPr>
        <w:tc>
          <w:tcPr>
            <w:tcW w:w="5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p>
      <w:pPr>
        <w:jc w:val="center"/>
        <w:ind w:left="8820"/>
        <w:spacing w:after="0"/>
        <w:rPr>
          <w:sz w:val="20"/>
          <w:szCs w:val="20"/>
          <w:color w:val="auto"/>
        </w:rPr>
      </w:pPr>
      <w:r>
        <w:rPr>
          <w:rFonts w:ascii="Arial" w:cs="Arial" w:eastAsia="Arial" w:hAnsi="Arial"/>
          <w:sz w:val="13"/>
          <w:szCs w:val="13"/>
          <w:b w:val="1"/>
          <w:bCs w:val="1"/>
          <w:color w:val="auto"/>
        </w:rPr>
        <w:t>Nine Months Ended</w:t>
      </w:r>
    </w:p>
    <w:p>
      <w:pPr>
        <w:spacing w:after="0" w:line="15"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loss to net cash used in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Provision for doubtful accounts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Net loss on disposal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Non-cash interest expense</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 in fair value of convertible preferred stock warrants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Prepayment to supplier</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Accounts payable, accrued and other liabilities</w:t>
      </w:r>
    </w:p>
    <w:p>
      <w:pPr>
        <w:spacing w:after="0" w:line="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Net cash used in operating activities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2012</w:t>
            </w:r>
          </w:p>
        </w:tc>
      </w:tr>
      <w:tr>
        <w:trPr>
          <w:trHeight w:val="507"/>
        </w:trPr>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(23,103)</w:t>
            </w:r>
          </w:p>
        </w:tc>
        <w:tc>
          <w:tcPr>
            <w:tcW w:w="12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(30,476)</w:t>
            </w:r>
          </w:p>
        </w:tc>
      </w:tr>
      <w:tr>
        <w:trPr>
          <w:trHeight w:val="540"/>
        </w:trPr>
        <w:tc>
          <w:tcPr>
            <w:tcW w:w="300" w:type="dxa"/>
            <w:vAlign w:val="bottom"/>
          </w:tcPr>
          <w:p>
            <w:pPr>
              <w:spacing w:after="0"/>
              <w:rPr>
                <w:sz w:val="24"/>
                <w:szCs w:val="24"/>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5,122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3,938</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110</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3,969</w:t>
            </w:r>
          </w:p>
        </w:tc>
      </w:tr>
      <w:tr>
        <w:trPr>
          <w:trHeight w:val="270"/>
        </w:trPr>
        <w:tc>
          <w:tcPr>
            <w:tcW w:w="30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4,955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3,159</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w:t>
            </w:r>
          </w:p>
        </w:tc>
      </w:tr>
    </w:tbl>
    <w:p>
      <w:pPr>
        <w:spacing w:after="0" w:line="334" w:lineRule="exact"/>
        <w:rPr>
          <w:sz w:val="20"/>
          <w:szCs w:val="20"/>
          <w:color w:val="auto"/>
        </w:rPr>
      </w:pPr>
    </w:p>
    <w:p>
      <w:pPr>
        <w:ind w:left="740"/>
        <w:spacing w:after="0"/>
        <w:tabs>
          <w:tab w:leader="none" w:pos="2000" w:val="left"/>
        </w:tabs>
        <w:rPr>
          <w:sz w:val="20"/>
          <w:szCs w:val="20"/>
          <w:color w:val="auto"/>
        </w:rPr>
      </w:pPr>
      <w:r>
        <w:rPr>
          <w:rFonts w:ascii="Arial" w:cs="Arial" w:eastAsia="Arial" w:hAnsi="Arial"/>
          <w:sz w:val="16"/>
          <w:szCs w:val="16"/>
          <w:color w:val="auto"/>
        </w:rPr>
        <w:t>(7,666)</w:t>
      </w:r>
      <w:r>
        <w:rPr>
          <w:sz w:val="20"/>
          <w:szCs w:val="20"/>
          <w:color w:val="auto"/>
        </w:rPr>
        <w:tab/>
      </w:r>
      <w:r>
        <w:rPr>
          <w:rFonts w:ascii="Arial" w:cs="Arial" w:eastAsia="Arial" w:hAnsi="Arial"/>
          <w:sz w:val="16"/>
          <w:szCs w:val="16"/>
          <w:color w:val="auto"/>
        </w:rPr>
        <w:t>(15,023)</w:t>
      </w:r>
    </w:p>
    <w:p>
      <w:pPr>
        <w:spacing w:after="0" w:line="86" w:lineRule="exact"/>
        <w:rPr>
          <w:sz w:val="20"/>
          <w:szCs w:val="20"/>
          <w:color w:val="auto"/>
        </w:rPr>
      </w:pPr>
    </w:p>
    <w:p>
      <w:pPr>
        <w:ind w:left="740"/>
        <w:spacing w:after="0"/>
        <w:tabs>
          <w:tab w:leader="none" w:pos="2080" w:val="left"/>
        </w:tabs>
        <w:rPr>
          <w:sz w:val="20"/>
          <w:szCs w:val="20"/>
          <w:color w:val="auto"/>
        </w:rPr>
      </w:pPr>
      <w:r>
        <w:rPr>
          <w:rFonts w:ascii="Arial" w:cs="Arial" w:eastAsia="Arial" w:hAnsi="Arial"/>
          <w:sz w:val="16"/>
          <w:szCs w:val="16"/>
          <w:color w:val="auto"/>
        </w:rPr>
        <w:t>(4,549)</w:t>
      </w:r>
      <w:r>
        <w:rPr>
          <w:sz w:val="20"/>
          <w:szCs w:val="20"/>
          <w:color w:val="auto"/>
        </w:rPr>
        <w:tab/>
      </w:r>
      <w:r>
        <w:rPr>
          <w:rFonts w:ascii="Arial" w:cs="Arial" w:eastAsia="Arial" w:hAnsi="Arial"/>
          <w:sz w:val="16"/>
          <w:szCs w:val="16"/>
          <w:color w:val="auto"/>
        </w:rPr>
        <w:t>(5,422)</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(5,000)</w:t>
      </w:r>
    </w:p>
    <w:p>
      <w:pPr>
        <w:spacing w:after="0" w:line="86" w:lineRule="exact"/>
        <w:rPr>
          <w:sz w:val="20"/>
          <w:szCs w:val="20"/>
          <w:color w:val="auto"/>
        </w:rPr>
      </w:pPr>
    </w:p>
    <w:p>
      <w:pPr>
        <w:ind w:left="2220" w:hanging="1356"/>
        <w:spacing w:after="0"/>
        <w:tabs>
          <w:tab w:leader="none" w:pos="2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(448)</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60" w:type="dxa"/>
            <w:vAlign w:val="bottom"/>
          </w:tcPr>
          <w:p>
            <w:pPr>
              <w:jc w:val="right"/>
              <w:ind w:right="19"/>
              <w:spacing w:after="0"/>
              <w:rPr>
                <w:sz w:val="20"/>
                <w:szCs w:val="20"/>
                <w:color w:val="auto"/>
              </w:rPr>
            </w:pPr>
            <w:r>
              <w:rPr>
                <w:rFonts w:ascii="Arial" w:cs="Arial" w:eastAsia="Arial" w:hAnsi="Arial"/>
                <w:sz w:val="16"/>
                <w:szCs w:val="16"/>
                <w:color w:val="auto"/>
              </w:rPr>
              <w:t>11,855</w:t>
            </w:r>
          </w:p>
        </w:tc>
        <w:tc>
          <w:tcPr>
            <w:tcW w:w="12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13,543</w:t>
            </w:r>
          </w:p>
        </w:tc>
      </w:tr>
      <w:tr>
        <w:trPr>
          <w:trHeight w:val="270"/>
        </w:trPr>
        <w:tc>
          <w:tcPr>
            <w:tcW w:w="1260" w:type="dxa"/>
            <w:vAlign w:val="bottom"/>
          </w:tcPr>
          <w:p>
            <w:pPr>
              <w:jc w:val="right"/>
              <w:ind w:right="19"/>
              <w:spacing w:after="0"/>
              <w:rPr>
                <w:sz w:val="20"/>
                <w:szCs w:val="20"/>
                <w:color w:val="auto"/>
              </w:rPr>
            </w:pPr>
            <w:r>
              <w:rPr>
                <w:rFonts w:ascii="Arial" w:cs="Arial" w:eastAsia="Arial" w:hAnsi="Arial"/>
                <w:sz w:val="16"/>
                <w:szCs w:val="16"/>
                <w:color w:val="auto"/>
              </w:rPr>
              <w:t>4,835</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(20,164)</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1260" w:type="dxa"/>
            <w:vAlign w:val="bottom"/>
          </w:tcPr>
          <w:p>
            <w:pPr>
              <w:jc w:val="right"/>
              <w:spacing w:after="0"/>
              <w:rPr>
                <w:sz w:val="20"/>
                <w:szCs w:val="20"/>
                <w:color w:val="auto"/>
              </w:rPr>
            </w:pPr>
            <w:r>
              <w:rPr>
                <w:rFonts w:ascii="Arial" w:cs="Arial" w:eastAsia="Arial" w:hAnsi="Arial"/>
                <w:sz w:val="16"/>
                <w:szCs w:val="16"/>
                <w:color w:val="auto"/>
              </w:rPr>
              <w:t>(8,451)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(52,274)</w:t>
            </w:r>
          </w:p>
        </w:tc>
      </w:tr>
      <w:tr>
        <w:trPr>
          <w:trHeight w:val="33"/>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sectPr>
          <w:pgSz w:w="11900" w:h="16838" w:orient="portrait"/>
          <w:cols w:equalWidth="0" w:num="2">
            <w:col w:w="8080" w:space="720"/>
            <w:col w:w="262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(4,886)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(11,054)</w:t>
            </w:r>
          </w:p>
        </w:tc>
        <w:tc>
          <w:tcPr>
            <w:tcW w:w="0" w:type="dxa"/>
            <w:vAlign w:val="bottom"/>
          </w:tcPr>
          <w:p>
            <w:pPr>
              <w:spacing w:after="0"/>
              <w:rPr>
                <w:sz w:val="1"/>
                <w:szCs w:val="1"/>
                <w:color w:val="auto"/>
              </w:rPr>
            </w:pP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(4,886)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(11,054)</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80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Proceeds from term loans and debt</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of term loans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Principal payments under capital leases</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1,672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Proceeds from issuance of common stock in IPO, net of underwriting discounts and commissions</w:t>
            </w:r>
          </w:p>
        </w:tc>
        <w:tc>
          <w:tcPr>
            <w:tcW w:w="3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58,609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offering costs</w:t>
            </w: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7"/>
        </w:trPr>
        <w:tc>
          <w:tcPr>
            <w:tcW w:w="8800" w:type="dxa"/>
            <w:vAlign w:val="bottom"/>
          </w:tcPr>
          <w:p>
            <w:pPr>
              <w:ind w:left="1460"/>
              <w:spacing w:after="0"/>
              <w:rPr>
                <w:sz w:val="20"/>
                <w:szCs w:val="20"/>
                <w:color w:val="auto"/>
              </w:rPr>
            </w:pPr>
            <w:r>
              <w:rPr>
                <w:rFonts w:ascii="Arial" w:cs="Arial" w:eastAsia="Arial" w:hAnsi="Arial"/>
                <w:sz w:val="16"/>
                <w:szCs w:val="16"/>
                <w:color w:val="auto"/>
              </w:rPr>
              <w:t>Net cash (used in) provided by financing activities</w:t>
            </w: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53,606</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6"/>
                <w:szCs w:val="16"/>
                <w:color w:val="auto"/>
              </w:rPr>
              <w:t>Effect of exchange rate changes on cash</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(13,516)</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(9,807)</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45,294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51,524</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equivalents—End of period</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31,778</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41,717</w:t>
            </w:r>
          </w:p>
        </w:tc>
        <w:tc>
          <w:tcPr>
            <w:tcW w:w="0" w:type="dxa"/>
            <w:vAlign w:val="bottom"/>
          </w:tcPr>
          <w:p>
            <w:pPr>
              <w:spacing w:after="0"/>
              <w:rPr>
                <w:sz w:val="1"/>
                <w:szCs w:val="1"/>
                <w:color w:val="auto"/>
              </w:rPr>
            </w:pPr>
          </w:p>
        </w:tc>
      </w:tr>
      <w:tr>
        <w:trPr>
          <w:trHeight w:val="73"/>
        </w:trPr>
        <w:tc>
          <w:tcPr>
            <w:tcW w:w="88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8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Supplemental disclosures of cash flow information:</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8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Cash paid for interest</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1,069</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73"/>
        </w:trPr>
        <w:tc>
          <w:tcPr>
            <w:tcW w:w="88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80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Noncash financing and investing activities:</w:t>
            </w: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8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800" w:type="dxa"/>
            <w:vAlign w:val="bottom"/>
          </w:tcPr>
          <w:p>
            <w:pPr>
              <w:ind w:left="38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73"/>
        </w:trPr>
        <w:tc>
          <w:tcPr>
            <w:tcW w:w="88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Conversion of convertible notes into common stock upon IPO</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21,204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Reclassification of convertible preferred stock warrant liability to additional paid-in capital upon IPO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7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440" w:right="6680" w:hanging="432"/>
        <w:spacing w:after="0" w:line="440" w:lineRule="auto"/>
        <w:tabs>
          <w:tab w:leader="none" w:pos="18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Overview and Summary of Significant Accounting Policies </w:t>
      </w:r>
      <w:r>
        <w:rPr>
          <w:rFonts w:ascii="Arial" w:cs="Arial" w:eastAsia="Arial" w:hAnsi="Arial"/>
          <w:sz w:val="18"/>
          <w:szCs w:val="18"/>
          <w:b w:val="1"/>
          <w:bCs w:val="1"/>
          <w:i w:val="1"/>
          <w:iCs w:val="1"/>
          <w:color w:val="auto"/>
        </w:rPr>
        <w:t>The Company</w:t>
      </w:r>
    </w:p>
    <w:p>
      <w:pPr>
        <w:spacing w:after="0" w:line="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Enphase Energy, Inc. ("Enphase" or the “Company”) designs, develops, and sells microinverter systems for the solar photovoltaic industry. The Company’s microinverter system consists of (i) an Enphase microinverter and related accessories that convert direct current (“DC”) power to grid-compliant alternating current (“AC”) power; (ii) an Envoy communications gateway device that collects and transmits performance information from each solar module to the Company’s hosted data center; and (iii) the Enlighten web-based software platform that collects and processes this information to enable customers to monitor and manage their solar power systems. The Company sells microinverter systems primarily to distributors who resell them to solar installers. The Company also sells directly to large installers as well as through original equipment manufacturers (“OEMs”) and strategic partners.</w:t>
      </w:r>
    </w:p>
    <w:p>
      <w:pPr>
        <w:spacing w:after="0" w:line="111"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On April 4, 2012, the Company completed its initial public offering ("IPO"), issuing 10,315,151 shares of common stock at an offering price of $6.00 per share. The net proceeds from the sale of the shares were $53.8 million, after deducting the underwriters’ discounts and commissions of $3.3 million and other offering costs of $4.8 million. Upon consummation of the IPO, the Company’s 22,220,856 outstanding shares of convertible preferred stock were automatically converted into 25,171,017 shares of common stock, and the $21.2 million outstanding balance of principal and accrued paid-in-kind interest in convertible notes were automatically converted into 3,533,988 shares of common stock at a conversion price equal to the IPO price of $6.00 per share</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are presented in accordance with accounting principles generally accepted in the United States. The condensed consolidated financial statements include the accounts of the Company and its wholly-owned subsidiaries. All intercompany balances and transactions have been eliminated in the consolidation.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71"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These accompanying unaudited condensed consolidated financial statements have been prepared pursuant to the rules and regulations of the Securities and Exchange Commission (the “SEC”) for interim financial reporting. In the opinion of management, these unaudited condensed consolidated interim financial statements reflect all adjustments, consisting of normal recurring items, considered necessary to present fairly the Company's financial condition, results of operations, comprehensive loss and cash flows for the periods indicated. The results of operations for the three and nine months ended September 30, 2013 are not necessarily indicative of the operating results for the full year. Certain information and footnote disclosures typically included in annual consolidated financial statements have been condensed or omitted. Accordingly, these unaudited interim condensed consolidated financial statements should be read in conjunction with the consolidated financial statements and related notes included in the Company's Annual Report on Form 10-K for the year ended December 31, 2012.</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There have been no material changes in the Company's significant accounting policies, as compared to the significant accounting policies described in the Company's Annual Report on Form 10-K for the year ended December 31, 2012.</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about future events, and apply judgments that affect the reported amounts of assets, liabilities, revenue, expenses and the related disclosures. Significant estimates and assumptions reflected in the financial statements include revenue recognition, inventory valuation and accrued warranty obligations. Actual results could differ from those estimates.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Inventory as of September 30, 2013 and December 31, 2012 consists of the following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22,839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17,620</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24,392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19,843</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WARRANTY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warranty activities during the three and nine months ended September 30, 2013 and 2012 were as follows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82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18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26,777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21,338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Accruals for warranties issued during the period</w:t>
            </w:r>
          </w:p>
        </w:tc>
        <w:tc>
          <w:tcPr>
            <w:tcW w:w="260" w:type="dxa"/>
            <w:vAlign w:val="bottom"/>
          </w:tcPr>
          <w:p>
            <w:pPr>
              <w:spacing w:after="0"/>
              <w:rPr>
                <w:sz w:val="21"/>
                <w:szCs w:val="21"/>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2,515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estimates</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29,366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15,493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Current portion included in accrued 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5"/>
              <w:spacing w:after="0"/>
              <w:rPr>
                <w:sz w:val="20"/>
                <w:szCs w:val="20"/>
                <w:color w:val="auto"/>
              </w:rPr>
            </w:pPr>
            <w:r>
              <w:rPr>
                <w:rFonts w:ascii="Arial" w:cs="Arial" w:eastAsia="Arial" w:hAnsi="Arial"/>
                <w:sz w:val="18"/>
                <w:szCs w:val="18"/>
                <w:color w:val="auto"/>
              </w:rPr>
              <w:t>8,434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20,932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11,904</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Included within warranty expense in the three and nine months ended September 30, 2013 were net changes in estimates of $3.8 million and $8.5 million, respectively. During the three and nine months ended September 30, 2013,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of $7.3 million and $15.9 million for the three and nine months ended September 30, 2013, respectively. In addition, the Company recorded a reduction to warranty expense of $3.1 million for the three and nine months ended September 30, 2013 related to a decrease in the expected failure rate of the Company's third generation product. During the third quarter of 2013, the Company concluded that there was sufficient historical data of actual field performance of previously sold third generation products to support a lower estimated failure rate. Further decreases to warranty expense were $0.4 million and $0.1 million of net decreases in estimated replacement costs for the three and nine months ended September 30, 2013, respectively. In addition, for the nine months ended September 30, 2013, the Company updated its estimated claim rates for all product generations resulting in a decrease to warranty expense of $4.2 million. The revision to estimated claim rates was based on the Company’s observed historical end user behavior and assumptions with respect to expected customer behavior over the warranty term (15 years for first and second generation products, up to 25 years for third and fourth generation products).</w:t>
      </w:r>
    </w:p>
    <w:p>
      <w:pPr>
        <w:spacing w:after="0" w:line="134"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Included within warranty expense in the three and nine months ended September 30, 2012 were net changes in estimates of $2.9 million and $2.5 million, respectively. During the three and nine months ended September 30, 2012, the Company experienced actual failures of its second generation microinverters that exceeded its then current failure rate estimate. Based on continuing analysis of field performance data and diagnostic root-cause failure analysis performed on returned units, the Company concluded that it was necessary to increase the estimated failure rates for its second generation product and recorded additional warranty expense of $4.8 million and $4.4 million for the three and nine months ended September 30, 2012, respectively. In addition, the Company recorded a reduction to warranty expense of $1.9 million for the three and nine months ended September 30, 2012. During the third quarter of 2012, the Company updated the estimated per unit shipping cost for replacement units delivered to customers and reduced warranty expense to reflect a revision in its business practice. Prior to the third quarter of 2012, the Company’s business practice was to expedite shipment of all replacement units to customers to fulfill warranty claims. These shipping costs are included in the Company’s estimate of total per unit replacement cost.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Beginning in the third quarter of 2012, the Company revised its business practice to utilize non-expedited shipping terms for future replacement units, resulting in the reduction in estimated future replacement costs.</w:t>
      </w:r>
    </w:p>
    <w:p>
      <w:pPr>
        <w:spacing w:after="0" w:line="116"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If actual failure rates, claim rates or replacement costs differ from the Company’s estimates in future periods, changes to these estimates would be required, resulting in increases or decreases to the Company’s warranty obligations. Such increases or decreases could be material.</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75" w:lineRule="exact"/>
        <w:rPr>
          <w:sz w:val="20"/>
          <w:szCs w:val="20"/>
          <w:color w:val="auto"/>
        </w:rPr>
      </w:pPr>
    </w:p>
    <w:p>
      <w:pPr>
        <w:ind w:right="260" w:firstLine="446"/>
        <w:spacing w:after="0" w:line="302" w:lineRule="auto"/>
        <w:rPr>
          <w:sz w:val="20"/>
          <w:szCs w:val="20"/>
          <w:color w:val="auto"/>
        </w:rPr>
      </w:pPr>
      <w:r>
        <w:rPr>
          <w:rFonts w:ascii="Arial" w:cs="Arial" w:eastAsia="Arial" w:hAnsi="Arial"/>
          <w:sz w:val="16"/>
          <w:szCs w:val="16"/>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100"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46" w:lineRule="exact"/>
        <w:rPr>
          <w:sz w:val="20"/>
          <w:szCs w:val="20"/>
          <w:color w:val="auto"/>
        </w:rPr>
      </w:pPr>
    </w:p>
    <w:p>
      <w:pPr>
        <w:ind w:left="980" w:right="300" w:hanging="486"/>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46" w:lineRule="exact"/>
        <w:rPr>
          <w:rFonts w:ascii="Arial" w:cs="Arial" w:eastAsia="Arial" w:hAnsi="Arial"/>
          <w:sz w:val="18"/>
          <w:szCs w:val="18"/>
          <w:color w:val="auto"/>
        </w:rPr>
      </w:pPr>
    </w:p>
    <w:p>
      <w:pPr>
        <w:ind w:left="980" w:right="180" w:hanging="486"/>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81" w:lineRule="exact"/>
        <w:rPr>
          <w:sz w:val="20"/>
          <w:szCs w:val="20"/>
          <w:color w:val="auto"/>
        </w:rPr>
      </w:pPr>
    </w:p>
    <w:p>
      <w:pPr>
        <w:ind w:right="100" w:firstLine="446"/>
        <w:spacing w:after="0" w:line="261" w:lineRule="auto"/>
        <w:rPr>
          <w:sz w:val="20"/>
          <w:szCs w:val="20"/>
          <w:color w:val="auto"/>
        </w:rPr>
      </w:pPr>
      <w:r>
        <w:rPr>
          <w:rFonts w:ascii="Arial" w:cs="Arial" w:eastAsia="Arial" w:hAnsi="Arial"/>
          <w:sz w:val="18"/>
          <w:szCs w:val="18"/>
          <w:b w:val="1"/>
          <w:bCs w:val="1"/>
          <w:color w:val="auto"/>
        </w:rPr>
        <w:t>Derivative Instruments—</w:t>
      </w:r>
      <w:r>
        <w:rPr>
          <w:rFonts w:ascii="Arial" w:cs="Arial" w:eastAsia="Arial" w:hAnsi="Arial"/>
          <w:sz w:val="18"/>
          <w:szCs w:val="18"/>
          <w:color w:val="auto"/>
        </w:rPr>
        <w:t>The Company utilizes foreign currency forward contracts to reduce the impact of foreign currency fluctuations arising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both sales and purchases denominated in Euros and the British Pound Sterling. As of September 30, 2013 and December 31, 2012, the aggregate gross notional amounts of outstanding foreign currency forward contracts, all with maturities of less than one year, were $20.7 million and $6.1 million, respectively.</w:t>
      </w:r>
    </w:p>
    <w:p>
      <w:pPr>
        <w:spacing w:after="0" w:line="130"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The following table presents the Company’s financial instruments that were measured at fair value on a recurring basis by level within the fair value hierarchy at September 30, 2013 and December 31, 2012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Liability Derivatives</w:t>
            </w:r>
          </w:p>
        </w:tc>
      </w:tr>
      <w:tr>
        <w:trPr>
          <w:trHeight w:val="152"/>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340" w:type="dxa"/>
            <w:vAlign w:val="bottom"/>
            <w:gridSpan w:val="3"/>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3"/>
                <w:szCs w:val="13"/>
                <w:color w:val="auto"/>
              </w:rPr>
            </w:pPr>
          </w:p>
        </w:tc>
        <w:tc>
          <w:tcPr>
            <w:tcW w:w="1100" w:type="dxa"/>
            <w:vAlign w:val="bottom"/>
          </w:tcPr>
          <w:p>
            <w:pPr>
              <w:jc w:val="center"/>
              <w:ind w:right="102"/>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 (Level 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268</w:t>
            </w:r>
          </w:p>
        </w:tc>
      </w:tr>
      <w:tr>
        <w:trPr>
          <w:trHeight w:val="27"/>
        </w:trPr>
        <w:tc>
          <w:tcPr>
            <w:tcW w:w="6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For the three and nine months ended September 30, 2013, the Company recognized net losses of $0.6 million related to foreign currency forward contracts.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long-term debt at September 30, 2013 and December 31, 2012 consists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Equipment financing facility, net of unamortized discount of $47 and $94, respectively</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3,661</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8,677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As of September 30, 2013, the Company was a party to three debt agreements: (i) the $50.0 million revolving credit facility (the "Revolver") with Wells Fargo Bank, N.A., (ii) the facility with Hercules Technology Growth Capital, Inc. (“Hercules Facility”) consisting of a $7.4 million initial term loan and lending commitments of up to $15.6 million in additional term loans, and (iii) the $5.0 million equipment financing facility, also with Hercules. As of September 30, 2013, the Company has not drawn upon the Revolver or additional term loans available under the Hercules Facility. Each of these debt agreements is described in greater detail in the consolidated financial statements and related notes included in the Company's Annual Report on Form 10-K for the year ended December 31, 2012.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71" w:lineRule="exact"/>
        <w:rPr>
          <w:sz w:val="20"/>
          <w:szCs w:val="20"/>
          <w:color w:val="auto"/>
        </w:rPr>
      </w:pPr>
    </w:p>
    <w:p>
      <w:pPr>
        <w:ind w:right="400" w:firstLine="446"/>
        <w:spacing w:after="0" w:line="289" w:lineRule="auto"/>
        <w:rPr>
          <w:sz w:val="20"/>
          <w:szCs w:val="20"/>
          <w:color w:val="auto"/>
        </w:rPr>
      </w:pPr>
      <w:r>
        <w:rPr>
          <w:rFonts w:ascii="Arial" w:cs="Arial" w:eastAsia="Arial" w:hAnsi="Arial"/>
          <w:sz w:val="17"/>
          <w:szCs w:val="17"/>
          <w:b w:val="1"/>
          <w:bCs w:val="1"/>
          <w:color w:val="auto"/>
        </w:rPr>
        <w:t xml:space="preserve">Contingencies </w:t>
      </w:r>
      <w:r>
        <w:rPr>
          <w:rFonts w:ascii="Arial" w:cs="Arial" w:eastAsia="Arial" w:hAnsi="Arial"/>
          <w:sz w:val="17"/>
          <w:szCs w:val="17"/>
          <w:color w:val="auto"/>
        </w:rPr>
        <w:t>—The Company is not currently involved in any material legal proceedings. The Company may become involved in various legal</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proceedings and claims that arise in the ordinary course of business. Such matters are subject to uncertainty and there can be no assurance that such legal proceedings will not have a material adverse effect on its business, results of operations, financial position or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7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Company has adopted certain equity incentive and stock purchase plans as described in the consolidated financial statements and related notes included in the Company’s Annual Report on Form 10-K for the year ended December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summary of stock option activity for the nine months ended September 30, 2013 (in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8,169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2013</w:t>
            </w:r>
          </w:p>
        </w:tc>
        <w:tc>
          <w:tcPr>
            <w:tcW w:w="1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8,513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total fair value of options exercised in the nine months ended September 30, 2013 was $2.9 million. As of September 30, 2013, the intrinsic value of options outstanding was $31.7 million based on the closing price of the Company's stock as of September 30,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restricted stock unit activity for the nine months ended September 30, 2013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Restricted Stock 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2013</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The total fair value of restricted stock units that vested in the nine months ended September 30, 2013 was $0.3 million. As of September 30, 2013, the intrinsic value of restricted stock units outstanding was $4.0 million based on the closing price of the Company's stock as of September 30, 2013.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 xml:space="preserve">Compensation cost for all stock-based awards expected to vest is measured at fair value on the date of grant and recognized ratably over the requisite service period. The following table summarizes the components of total stock-based compensation expense included </w:t>
      </w:r>
      <w:r>
        <w:rPr>
          <w:rFonts w:ascii="Arial" w:cs="Arial" w:eastAsia="Arial" w:hAnsi="Arial"/>
          <w:sz w:val="18"/>
          <w:szCs w:val="18"/>
          <w:color w:val="010202"/>
        </w:rPr>
        <w:t>in the condensed consolidated statements</w:t>
      </w:r>
      <w:r>
        <w:rPr>
          <w:rFonts w:ascii="Arial" w:cs="Arial" w:eastAsia="Arial" w:hAnsi="Arial"/>
          <w:sz w:val="18"/>
          <w:szCs w:val="18"/>
          <w:color w:val="auto"/>
        </w:rPr>
        <w:t xml:space="preserve"> </w:t>
      </w:r>
      <w:r>
        <w:rPr>
          <w:rFonts w:ascii="Arial" w:cs="Arial" w:eastAsia="Arial" w:hAnsi="Arial"/>
          <w:sz w:val="18"/>
          <w:szCs w:val="18"/>
          <w:color w:val="010202"/>
        </w:rPr>
        <w:t xml:space="preserve">of operations for the periods presented (in </w:t>
      </w:r>
      <w:r>
        <w:rPr>
          <w:rFonts w:ascii="Arial" w:cs="Arial" w:eastAsia="Arial" w:hAnsi="Arial"/>
          <w:sz w:val="18"/>
          <w:szCs w:val="18"/>
          <w:color w:val="000000"/>
        </w:rPr>
        <w:t>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1,171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1,043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stock-based compensation associated with each type of award for the periods presented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4,588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4,955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17" w:lineRule="exact"/>
        <w:rPr>
          <w:sz w:val="20"/>
          <w:szCs w:val="20"/>
          <w:color w:val="auto"/>
        </w:rPr>
      </w:pPr>
    </w:p>
    <w:p>
      <w:pPr>
        <w:ind w:left="80" w:right="940" w:firstLine="378"/>
        <w:spacing w:after="0" w:line="277" w:lineRule="auto"/>
        <w:rPr>
          <w:sz w:val="20"/>
          <w:szCs w:val="20"/>
          <w:color w:val="auto"/>
        </w:rPr>
      </w:pPr>
      <w:r>
        <w:rPr>
          <w:rFonts w:ascii="Arial" w:cs="Arial" w:eastAsia="Arial" w:hAnsi="Arial"/>
          <w:sz w:val="18"/>
          <w:szCs w:val="18"/>
          <w:color w:val="010202"/>
        </w:rPr>
        <w:t>The fair value of option awards is estimated on the date of the grant using the Black-Scholes option pricing model with the following input assumptions:</w:t>
      </w:r>
    </w:p>
    <w:p>
      <w:pPr>
        <w:spacing w:after="0" w:line="116" w:lineRule="exact"/>
        <w:rPr>
          <w:sz w:val="20"/>
          <w:szCs w:val="20"/>
          <w:color w:val="auto"/>
        </w:rPr>
      </w:pPr>
    </w:p>
    <w:p>
      <w:pPr>
        <w:ind w:left="880" w:hanging="318"/>
        <w:spacing w:after="0" w:line="308" w:lineRule="auto"/>
        <w:tabs>
          <w:tab w:leader="none" w:pos="880" w:val="left"/>
        </w:tabs>
        <w:numPr>
          <w:ilvl w:val="0"/>
          <w:numId w:val="7"/>
        </w:numPr>
        <w:rPr>
          <w:rFonts w:ascii="Arial" w:cs="Arial" w:eastAsia="Arial" w:hAnsi="Arial"/>
          <w:sz w:val="17"/>
          <w:szCs w:val="17"/>
          <w:i w:val="1"/>
          <w:iCs w:val="1"/>
          <w:color w:val="010202"/>
        </w:rPr>
      </w:pPr>
      <w:r>
        <w:rPr>
          <w:rFonts w:ascii="Arial" w:cs="Arial" w:eastAsia="Arial" w:hAnsi="Arial"/>
          <w:sz w:val="17"/>
          <w:szCs w:val="17"/>
          <w:i w:val="1"/>
          <w:iCs w:val="1"/>
          <w:color w:val="010202"/>
        </w:rPr>
        <w:t>Expected term</w:t>
      </w:r>
      <w:r>
        <w:rPr>
          <w:rFonts w:ascii="Arial" w:cs="Arial" w:eastAsia="Arial" w:hAnsi="Arial"/>
          <w:sz w:val="17"/>
          <w:szCs w:val="17"/>
          <w:color w:val="010202"/>
        </w:rPr>
        <w:t>—The expected term of the option awards represents the period of time between the grant date of the option awards and the date the</w:t>
      </w:r>
      <w:r>
        <w:rPr>
          <w:rFonts w:ascii="Arial" w:cs="Arial" w:eastAsia="Arial" w:hAnsi="Arial"/>
          <w:sz w:val="17"/>
          <w:szCs w:val="17"/>
          <w:i w:val="1"/>
          <w:iCs w:val="1"/>
          <w:color w:val="010202"/>
        </w:rPr>
        <w:t xml:space="preserve"> </w:t>
      </w:r>
      <w:r>
        <w:rPr>
          <w:rFonts w:ascii="Arial" w:cs="Arial" w:eastAsia="Arial" w:hAnsi="Arial"/>
          <w:sz w:val="17"/>
          <w:szCs w:val="17"/>
          <w:color w:val="010202"/>
        </w:rPr>
        <w:t>option awards are either exercised, converted or canceled, including an estimate for those option awards still outstanding.</w:t>
      </w:r>
    </w:p>
    <w:p>
      <w:pPr>
        <w:spacing w:after="0" w:line="92" w:lineRule="exact"/>
        <w:rPr>
          <w:rFonts w:ascii="Arial" w:cs="Arial" w:eastAsia="Arial" w:hAnsi="Arial"/>
          <w:sz w:val="17"/>
          <w:szCs w:val="17"/>
          <w:i w:val="1"/>
          <w:iCs w:val="1"/>
          <w:color w:val="010202"/>
        </w:rPr>
      </w:pPr>
    </w:p>
    <w:p>
      <w:pPr>
        <w:jc w:val="both"/>
        <w:ind w:left="880" w:right="340" w:hanging="318"/>
        <w:spacing w:after="0" w:line="286" w:lineRule="auto"/>
        <w:tabs>
          <w:tab w:leader="none" w:pos="880" w:val="left"/>
        </w:tabs>
        <w:numPr>
          <w:ilvl w:val="0"/>
          <w:numId w:val="7"/>
        </w:numPr>
        <w:rPr>
          <w:rFonts w:ascii="Arial" w:cs="Arial" w:eastAsia="Arial" w:hAnsi="Arial"/>
          <w:sz w:val="17"/>
          <w:szCs w:val="17"/>
          <w:color w:val="010202"/>
        </w:rPr>
      </w:pPr>
      <w:r>
        <w:rPr>
          <w:rFonts w:ascii="Arial" w:cs="Arial" w:eastAsia="Arial" w:hAnsi="Arial"/>
          <w:sz w:val="17"/>
          <w:szCs w:val="17"/>
          <w:color w:val="010202"/>
        </w:rPr>
        <w:t>Expected volatility—The Company uses the simplified method, as permitted by the SEC for companies with a limited history of stock option exercise activity, to determine the expected term for its option grants. Expected stock price volatility is determined based on an average of the historical volatilities of the common stock of several companies with characteristics similar to those of the Company.</w:t>
      </w:r>
    </w:p>
    <w:p>
      <w:pPr>
        <w:spacing w:after="0" w:line="111" w:lineRule="exact"/>
        <w:rPr>
          <w:rFonts w:ascii="Arial" w:cs="Arial" w:eastAsia="Arial" w:hAnsi="Arial"/>
          <w:sz w:val="17"/>
          <w:szCs w:val="17"/>
          <w:color w:val="010202"/>
        </w:rPr>
      </w:pPr>
    </w:p>
    <w:p>
      <w:pPr>
        <w:ind w:left="880" w:hanging="318"/>
        <w:spacing w:after="0"/>
        <w:tabs>
          <w:tab w:leader="none" w:pos="880" w:val="left"/>
        </w:tabs>
        <w:numPr>
          <w:ilvl w:val="0"/>
          <w:numId w:val="7"/>
        </w:numPr>
        <w:rPr>
          <w:rFonts w:ascii="Arial" w:cs="Arial" w:eastAsia="Arial" w:hAnsi="Arial"/>
          <w:sz w:val="18"/>
          <w:szCs w:val="18"/>
          <w:i w:val="1"/>
          <w:iCs w:val="1"/>
          <w:color w:val="010202"/>
        </w:rPr>
      </w:pPr>
      <w:r>
        <w:rPr>
          <w:rFonts w:ascii="Arial" w:cs="Arial" w:eastAsia="Arial" w:hAnsi="Arial"/>
          <w:sz w:val="18"/>
          <w:szCs w:val="18"/>
          <w:i w:val="1"/>
          <w:iCs w:val="1"/>
          <w:color w:val="010202"/>
        </w:rPr>
        <w:t>Risk-free interest rate</w:t>
      </w:r>
      <w:r>
        <w:rPr>
          <w:rFonts w:ascii="Arial" w:cs="Arial" w:eastAsia="Arial" w:hAnsi="Arial"/>
          <w:sz w:val="18"/>
          <w:szCs w:val="18"/>
          <w:color w:val="010202"/>
        </w:rPr>
        <w:t>—The risk-free interest rate is based on the U.S. Treasury yield curve in effect at the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ind w:left="880"/>
        <w:spacing w:after="0"/>
        <w:rPr>
          <w:sz w:val="20"/>
          <w:szCs w:val="20"/>
          <w:color w:val="auto"/>
        </w:rPr>
      </w:pPr>
      <w:r>
        <w:rPr>
          <w:rFonts w:ascii="Arial" w:cs="Arial" w:eastAsia="Arial" w:hAnsi="Arial"/>
          <w:sz w:val="18"/>
          <w:szCs w:val="18"/>
          <w:color w:val="010202"/>
        </w:rPr>
        <w:t>time of grant and with a maturity that approximates our expected term.</w:t>
      </w:r>
    </w:p>
    <w:p>
      <w:pPr>
        <w:spacing w:after="0" w:line="185" w:lineRule="exact"/>
        <w:rPr>
          <w:sz w:val="20"/>
          <w:szCs w:val="20"/>
          <w:color w:val="auto"/>
        </w:rPr>
      </w:pPr>
    </w:p>
    <w:p>
      <w:pPr>
        <w:ind w:left="880" w:hanging="318"/>
        <w:spacing w:after="0"/>
        <w:tabs>
          <w:tab w:leader="none" w:pos="880" w:val="left"/>
        </w:tabs>
        <w:numPr>
          <w:ilvl w:val="0"/>
          <w:numId w:val="8"/>
        </w:numPr>
        <w:rPr>
          <w:rFonts w:ascii="Arial" w:cs="Arial" w:eastAsia="Arial" w:hAnsi="Arial"/>
          <w:sz w:val="18"/>
          <w:szCs w:val="18"/>
          <w:i w:val="1"/>
          <w:iCs w:val="1"/>
          <w:color w:val="010202"/>
        </w:rPr>
      </w:pPr>
      <w:r>
        <w:rPr>
          <w:rFonts w:ascii="Arial" w:cs="Arial" w:eastAsia="Arial" w:hAnsi="Arial"/>
          <w:sz w:val="18"/>
          <w:szCs w:val="18"/>
          <w:i w:val="1"/>
          <w:iCs w:val="1"/>
          <w:color w:val="010202"/>
        </w:rPr>
        <w:t>Dividend yield</w:t>
      </w:r>
      <w:r>
        <w:rPr>
          <w:rFonts w:ascii="Arial" w:cs="Arial" w:eastAsia="Arial" w:hAnsi="Arial"/>
          <w:sz w:val="18"/>
          <w:szCs w:val="18"/>
          <w:color w:val="010202"/>
        </w:rPr>
        <w:t>—The dividend yield is based on our dividend history and the anticipated dividend payout over our expected term.</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weighted-average assumptions used to estimate the fair values of the stock options granted in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4"/>
                <w:szCs w:val="14"/>
                <w:color w:val="auto"/>
              </w:rPr>
            </w:pPr>
          </w:p>
        </w:tc>
        <w:tc>
          <w:tcPr>
            <w:tcW w:w="204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377"/>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5.8</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risk-free rate of return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4.82</w:t>
            </w:r>
          </w:p>
        </w:tc>
      </w:tr>
      <w:tr>
        <w:trPr>
          <w:trHeight w:val="27"/>
        </w:trPr>
        <w:tc>
          <w:tcPr>
            <w:tcW w:w="67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restricted stock units granted is determined based on the price of the Company's common stock on the date of grant.</w:t>
      </w:r>
    </w:p>
    <w:p>
      <w:pPr>
        <w:spacing w:after="0" w:line="171"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As of September 30, 2013, there was approximately $14.6 million of total unrecognized compensation cost related to unvested equity awards expected to be recognized over a weighted-average period of 2.7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7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No provision for U.S. federal or state income taxes has been made due to cumulative losses since the commencement of operations. The Company had a provision for income taxes of $141,000 and $130,000 for the three months ended September 30, 2013 and 2012, respectively, and $447,000 and $346,000 for the nine months ended September 30, 2013 and 2012, respectively. The provision relates to the Company's subsidiaries located outside of the United States.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 ATTRIBUTABLE TO COMMON STOCKHOLDERS</w:t>
      </w:r>
    </w:p>
    <w:p>
      <w:pPr>
        <w:spacing w:after="0" w:line="17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In April 2012, all of the Company’s then outstanding convertible preferred stock automatically converted into common stock in connection with its IPO. For periods that ended prior to the conversion, basic and diluted net income per common share were presented in conformity with the two-class method required for participating securities.</w:t>
      </w:r>
    </w:p>
    <w:p>
      <w:pPr>
        <w:spacing w:after="0" w:line="12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Under the two-class method, net loss is allocated between common shares and other participating securities to the extent that the securities are required to share in the losses. The Company’s convertible preferred stock did not meet the definition of a participating security in periods of net losses as the convertible preferred stockholders did not have a contractual obligation to share in the Company’s losses. Accordingly, net losses were attributable to common stockholders. Subsequent to the IPO and the automatic conversion of the outstanding convertible preferred stock, the Company had no other participating securities and the two-class method is no longer applicable.</w:t>
      </w:r>
    </w:p>
    <w:p>
      <w:pPr>
        <w:spacing w:after="0" w:line="134" w:lineRule="exact"/>
        <w:rPr>
          <w:sz w:val="20"/>
          <w:szCs w:val="20"/>
          <w:color w:val="auto"/>
        </w:rPr>
      </w:pPr>
    </w:p>
    <w:p>
      <w:pPr>
        <w:ind w:right="340" w:firstLine="432"/>
        <w:spacing w:after="0" w:line="302" w:lineRule="auto"/>
        <w:rPr>
          <w:sz w:val="20"/>
          <w:szCs w:val="20"/>
          <w:color w:val="auto"/>
        </w:rPr>
      </w:pPr>
      <w:r>
        <w:rPr>
          <w:rFonts w:ascii="Arial" w:cs="Arial" w:eastAsia="Arial" w:hAnsi="Arial"/>
          <w:sz w:val="16"/>
          <w:szCs w:val="16"/>
          <w:color w:val="auto"/>
        </w:rPr>
        <w:t>Basic net loss per share attributable to common stockholders is calculated by dividing net loss attributable to common stockholders by the weighted average number of shares outstanding for the period. The disproportional change in loss per share for the nine months ended September 30, 2013, as compared to the same period in the prior year, is attributed to the effect of the IPO of 10.3 million shares of its common stock. In addition, the IPO also effected the automatic conversion of the Company's convertible preferred stock and convertible notes into 28.7 million shares of its common stock.</w:t>
      </w:r>
    </w:p>
    <w:p>
      <w:pPr>
        <w:spacing w:after="0" w:line="10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Diluted net loss per share attributable to common stockholders is calculated by dividing net loss attributable to common stockholders by the weighted average number of common shares and potential dilutive common share equivalents outstanding during the period if the effect is dilutive. The Company’s potentially dilutive common shares include convertible notes and convertible preferred stock prior to their conversion, outstanding stock options and warrants, shares issuable pursuant to the ESPP and non-vested restricted stock units.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following table presents the potential common shares outstanding that were excluded from the computation of diluted net loss per share attributable to common stockholders for the three and nine months ended September 30, 2013 and 2012, respectively, because including them would have been anti-dilutive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7080" w:type="dxa"/>
            <w:vAlign w:val="bottom"/>
          </w:tcPr>
          <w:p>
            <w:pPr>
              <w:spacing w:after="0"/>
              <w:rPr>
                <w:sz w:val="16"/>
                <w:szCs w:val="16"/>
                <w:color w:val="auto"/>
              </w:rPr>
            </w:pPr>
          </w:p>
        </w:tc>
        <w:tc>
          <w:tcPr>
            <w:tcW w:w="22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214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0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to purchase common stock</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8,493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8,180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8,095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8,420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268</w:t>
            </w:r>
          </w:p>
        </w:tc>
      </w:tr>
      <w:tr>
        <w:trPr>
          <w:trHeight w:val="27"/>
        </w:trPr>
        <w:tc>
          <w:tcPr>
            <w:tcW w:w="7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to purchase common stock</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293</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w:t>
            </w: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9,268</w:t>
            </w: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8,643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8,770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9,019</w:t>
            </w:r>
          </w:p>
        </w:tc>
      </w:tr>
      <w:tr>
        <w:trPr>
          <w:trHeight w:val="27"/>
        </w:trPr>
        <w:tc>
          <w:tcPr>
            <w:tcW w:w="7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75"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KPCB Holdings, Inc. ("KPCB"), as nominee for certain funds of Kleiner Perkins Caufield &amp; Byers, owned approximately 12 percent of the Company's outstanding stock as of September 30, 2013. Revenues recognized from sales of microinverters to entities that are majority-owned by KPCB entities were $0.6 million and $0 in the three months ended September 30, 2013 and 2012, respectively, and $2.7 million and $16.8 million in the nine months ended September 30, 2013 and 2012,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condensed consolidated financial statements and the other financial information appearing elsewhere in this Quarterly Report on Form 10-Q.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For example, statements regarding our expectations as to future financial performance, expense levels and liquidity sources are forward-looking statements. Our actual results and the timing of events may differ materially from those discussed in our forward-looking statements as a result of various factors, including those discussed below and those discussed in the section entitled “Risk Factors” included in this Quarterly Report on Form 10-Q and our Annual Report on Form 10-K for the year ended December 31, 2012.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We deliver microinverter technology for the solar industry that increases energy production, simplifies design and installation, improves system uptime and reliability, reduces fire safety risk and provides a platform for intelligent energy management. We were founded in March 2006 and have grown rapidly to become the market leader in the microinverter category. Since our first commercial shipment in mid-2008, we have sold over 4,200,000 microinverters as of September 30, 2013. Our sales efforts are focused in the United States, Canada, France, the United Kingdom, Italy, Belgium, Luxembourg, the Netherlands, Switzerland, Greece and Australia.</w:t>
      </w:r>
    </w:p>
    <w:p>
      <w:pPr>
        <w:spacing w:after="0" w:line="134"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We sell our microinverter systems primarily to distributors who resell them to solar installers. We also sell directly to large installers and through original equipment manufacturers (“OEMs”) and strategic partners.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Condensed Consolidated Statements of Operations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171"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We generate revenues from sales of our microinverter systems, which include microinverter units and related accessories, an Envoy communications gateway device, and our Enlighten web-based monitoring service.</w:t>
      </w:r>
    </w:p>
    <w:p>
      <w:pPr>
        <w:spacing w:after="0" w:line="116"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Our revenue is affected by changes in the volume and average selling prices of our microinverter systems, driven by supply and demand, sales incentives, and competitive product offerings. Our revenue growth is dependent on our ability to market our products in a manner that increases awareness for microinverter technology, the continual development and introduction of new products to meet the changing technology and performance requirements of our customers, and the expansion of our customer base.</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171"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Cost of revenues is comprised primarily of product costs, warranty, purchasing and production planning personnel and related expenses, logistics costs, depreciation on manufacturing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on manufacturing test equipment, are not directly affected by sales volume.</w:t>
      </w:r>
    </w:p>
    <w:p>
      <w:pPr>
        <w:spacing w:after="0" w:line="100"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We outsource our manufacturing to third-party contract manufacturers and generally negotiate product pricing with them on a quarterly basis. In addition, a contract manufacturer also serves as our logistics provider by warehousing and delivering our products. We believe our contract manufacturing partners have sufficient production capacity to meet the growing demand for our products for the foreseeable future. However, shortages in the supply of certain key raw materials could adversely affect our ability to meet customer demand for our products.</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warranty costs, changes in estimates to pre-existing warranties and sales volume fluctuations resulting from seasonality.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right="140" w:firstLine="446"/>
        <w:spacing w:after="0" w:line="302" w:lineRule="auto"/>
        <w:rPr>
          <w:sz w:val="20"/>
          <w:szCs w:val="20"/>
          <w:color w:val="auto"/>
        </w:rPr>
      </w:pPr>
      <w:r>
        <w:rPr>
          <w:rFonts w:ascii="Arial" w:cs="Arial" w:eastAsia="Arial" w:hAnsi="Arial"/>
          <w:sz w:val="16"/>
          <w:szCs w:val="16"/>
          <w:color w:val="auto"/>
        </w:rPr>
        <w:t>Operating expenses consist of research and development, sales and marketing and general and administrative expenses. Personnel-related costs are the most significant component of each of these expense categories and include salaries, benefits, payroll taxes, recruiting costs, sales commissions and stock-based compensation. We believe the investments we have made in our corporate infrastructure will enable us to deliver higher levels of net revenues without proportionate increases in research and development, sales and marketing, and general and administrative expenses.</w:t>
      </w:r>
    </w:p>
    <w:p>
      <w:pPr>
        <w:spacing w:after="0" w:line="100" w:lineRule="exact"/>
        <w:rPr>
          <w:sz w:val="20"/>
          <w:szCs w:val="20"/>
          <w:color w:val="auto"/>
        </w:rPr>
      </w:pPr>
    </w:p>
    <w:p>
      <w:pPr>
        <w:ind w:right="220" w:firstLine="446"/>
        <w:spacing w:after="0" w:line="259" w:lineRule="auto"/>
        <w:rPr>
          <w:sz w:val="20"/>
          <w:szCs w:val="20"/>
          <w:color w:val="auto"/>
        </w:rPr>
      </w:pPr>
      <w:r>
        <w:rPr>
          <w:rFonts w:ascii="Arial" w:cs="Arial" w:eastAsia="Arial" w:hAnsi="Arial"/>
          <w:sz w:val="18"/>
          <w:szCs w:val="18"/>
          <w:color w:val="auto"/>
        </w:rPr>
        <w:t>Research and development expense includes personnel-related expenses such as salaries, stock-based compensation and employee benefits. Research and development employees are engaged in the design and development of power electronics, semiconductors, powerline communications and networking and software functionality. Research and development expense also includes third-party design and development costs, testing and evaluation costs, depreciation on research and development related equipment and other indirect costs.</w:t>
      </w:r>
    </w:p>
    <w:p>
      <w:pPr>
        <w:spacing w:after="0" w:line="133"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Sales and marketing expense consists primarily of personnel-related expenses such as salaries, commissions, stock-based compensation, employee benefits and travel. It also includes trade shows, marketing, customer support and other indirect costs.</w:t>
      </w:r>
    </w:p>
    <w:p>
      <w:pPr>
        <w:spacing w:after="0" w:line="130" w:lineRule="exact"/>
        <w:rPr>
          <w:sz w:val="20"/>
          <w:szCs w:val="20"/>
          <w:color w:val="auto"/>
        </w:rPr>
      </w:pPr>
    </w:p>
    <w:p>
      <w:pPr>
        <w:ind w:right="280" w:firstLine="446"/>
        <w:spacing w:after="0" w:line="312" w:lineRule="auto"/>
        <w:rPr>
          <w:sz w:val="20"/>
          <w:szCs w:val="20"/>
          <w:color w:val="auto"/>
        </w:rPr>
      </w:pPr>
      <w:r>
        <w:rPr>
          <w:rFonts w:ascii="Arial" w:cs="Arial" w:eastAsia="Arial" w:hAnsi="Arial"/>
          <w:sz w:val="16"/>
          <w:szCs w:val="16"/>
          <w:color w:val="auto"/>
        </w:rPr>
        <w:t>General and administrative expense consists primarily of salaries, stock-based compensation and employee benefits for personnel related to our executive, finance, human resources, information technology and legal organizations. General and administrative expense also includes facilities costs and fees for professional services. Professional services consist primarily of outside legal, accounting and information technology consulting costs.</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Other income (expense), net includes interest income on invested cash balances and interest expense on amounts outstanding under our credit and convertible note facilities and non-cash interest expense related to the amortization of debt discounts and deferred financing costs. Other income (expense), net also includes mark-to-market adjustments to record our preferred stock warrants at fair value prior to our initial public offering of our common stock, or IPO, which were issued in conjunction with credit facilities, as well as losses or gains on conversion of non-U.S. dollar transactions into U.S. dollars and from foreign currency forward contracts.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United States because we have sold the vast majority of our products to customers in the United States. As we have expanded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We have not recorded any U.S. federal or state income tax provision for any of the periods presented because we have experienced operating losses since inception. The provision for income taxes related to our foreign operations was not material for all periods presented. Due to the history of losses we have generated since inception, we have recorded a full valuation allowance on our net deferred tax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2013 and 2012</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Net Revenues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4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4"/>
                <w:szCs w:val="14"/>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4"/>
          </w:tcPr>
          <w:p>
            <w:pPr>
              <w:ind w:left="4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2013</w:t>
            </w:r>
          </w:p>
        </w:tc>
        <w:tc>
          <w:tcPr>
            <w:tcW w:w="112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20" w:type="dxa"/>
            <w:vAlign w:val="bottom"/>
            <w:gridSpan w:val="4"/>
          </w:tcPr>
          <w:p>
            <w:pPr>
              <w:jc w:val="right"/>
              <w:ind w:right="80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76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62,046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60,813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1,233</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  $</w:t>
            </w:r>
          </w:p>
        </w:tc>
        <w:tc>
          <w:tcPr>
            <w:tcW w:w="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165,790</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   159,110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6,680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2013 and 2012</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Net revenues increased by 2% for the three months ended September 30, 2013, compared to the same period in 2012. We sold 426,000 microinverter units in the three months ended September 30, 2013, compared to 431,000 units in the same period in 2012. The slight increase in net revenues was attributed to a change in revenue mix between microinverter revenue and microinverter accessories revenue. The increase in revenue from a larger mix of microinverter accessories sales was partially offset by a decline in the average selling price of our microinverters.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2013 and 2012</w:t>
      </w:r>
    </w:p>
    <w:p>
      <w:pPr>
        <w:spacing w:after="0" w:line="171"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Net revenues increased by 4% for the nine months ended September 30, 2013, compared to the same period in 2012. We sold 1,140,000 microinverter units in the nine months ended September 30, 2013, compared to 1,125,000 units in the same period in 2012. The increase in net revenues was attributed to a change in revenue mix between microinverter revenue and microinverter accessories revenue. The increase in revenue from a larger mix of microinverter accessories sales was partially offset by a decline in the average selling price of our microinverters.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2013</w:t>
            </w:r>
          </w:p>
        </w:tc>
        <w:tc>
          <w:tcPr>
            <w:tcW w:w="11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760" w:type="dxa"/>
            <w:vAlign w:val="bottom"/>
            <w:gridSpan w:val="4"/>
          </w:tcPr>
          <w:p>
            <w:pPr>
              <w:jc w:val="right"/>
              <w:ind w:right="899"/>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44,611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44,489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8"/>
                <w:szCs w:val="18"/>
                <w:color w:val="auto"/>
              </w:rPr>
              <w:t>122</w:t>
            </w:r>
          </w:p>
        </w:tc>
        <w:tc>
          <w:tcPr>
            <w:tcW w:w="10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119,870</w:t>
            </w:r>
          </w:p>
        </w:tc>
        <w:tc>
          <w:tcPr>
            <w:tcW w:w="11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   119,878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8"/>
                <w:szCs w:val="18"/>
                <w:color w:val="auto"/>
              </w:rPr>
              <w:t>(8)</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43"/>
        </w:trPr>
        <w:tc>
          <w:tcPr>
            <w:tcW w:w="21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1"/>
                <w:szCs w:val="21"/>
                <w:color w:val="auto"/>
              </w:rPr>
            </w:pPr>
          </w:p>
        </w:tc>
        <w:tc>
          <w:tcPr>
            <w:tcW w:w="860" w:type="dxa"/>
            <w:vAlign w:val="bottom"/>
          </w:tcPr>
          <w:p>
            <w:pPr>
              <w:jc w:val="right"/>
              <w:ind w:right="159"/>
              <w:spacing w:after="0"/>
              <w:rPr>
                <w:sz w:val="20"/>
                <w:szCs w:val="20"/>
                <w:color w:val="auto"/>
              </w:rPr>
            </w:pPr>
            <w:r>
              <w:rPr>
                <w:rFonts w:ascii="Arial" w:cs="Arial" w:eastAsia="Arial" w:hAnsi="Arial"/>
                <w:sz w:val="18"/>
                <w:szCs w:val="18"/>
                <w:color w:val="auto"/>
              </w:rPr>
              <w:t>17,435</w:t>
            </w:r>
          </w:p>
        </w:tc>
        <w:tc>
          <w:tcPr>
            <w:tcW w:w="320" w:type="dxa"/>
            <w:vAlign w:val="bottom"/>
          </w:tcPr>
          <w:p>
            <w:pPr>
              <w:spacing w:after="0"/>
              <w:rPr>
                <w:sz w:val="21"/>
                <w:szCs w:val="21"/>
                <w:color w:val="auto"/>
              </w:rPr>
            </w:pPr>
          </w:p>
        </w:tc>
        <w:tc>
          <w:tcPr>
            <w:tcW w:w="820" w:type="dxa"/>
            <w:vAlign w:val="bottom"/>
          </w:tcPr>
          <w:p>
            <w:pPr>
              <w:jc w:val="right"/>
              <w:ind w:right="97"/>
              <w:spacing w:after="0"/>
              <w:rPr>
                <w:sz w:val="20"/>
                <w:szCs w:val="20"/>
                <w:color w:val="auto"/>
              </w:rPr>
            </w:pPr>
            <w:r>
              <w:rPr>
                <w:rFonts w:ascii="Arial" w:cs="Arial" w:eastAsia="Arial" w:hAnsi="Arial"/>
                <w:sz w:val="18"/>
                <w:szCs w:val="18"/>
                <w:color w:val="auto"/>
              </w:rPr>
              <w:t>16,324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519"/>
              <w:spacing w:after="0"/>
              <w:rPr>
                <w:sz w:val="20"/>
                <w:szCs w:val="20"/>
                <w:color w:val="auto"/>
              </w:rPr>
            </w:pPr>
            <w:r>
              <w:rPr>
                <w:rFonts w:ascii="Arial" w:cs="Arial" w:eastAsia="Arial" w:hAnsi="Arial"/>
                <w:sz w:val="18"/>
                <w:szCs w:val="18"/>
                <w:color w:val="auto"/>
              </w:rPr>
              <w:t>1,111</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59"/>
              <w:spacing w:after="0"/>
              <w:rPr>
                <w:sz w:val="20"/>
                <w:szCs w:val="20"/>
                <w:color w:val="auto"/>
              </w:rPr>
            </w:pPr>
            <w:r>
              <w:rPr>
                <w:rFonts w:ascii="Arial" w:cs="Arial" w:eastAsia="Arial" w:hAnsi="Arial"/>
                <w:sz w:val="18"/>
                <w:szCs w:val="18"/>
                <w:color w:val="auto"/>
              </w:rPr>
              <w:t>45,920</w:t>
            </w: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39,232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539"/>
              <w:spacing w:after="0"/>
              <w:rPr>
                <w:sz w:val="20"/>
                <w:szCs w:val="20"/>
                <w:color w:val="auto"/>
              </w:rPr>
            </w:pPr>
            <w:r>
              <w:rPr>
                <w:rFonts w:ascii="Arial" w:cs="Arial" w:eastAsia="Arial" w:hAnsi="Arial"/>
                <w:sz w:val="18"/>
                <w:szCs w:val="18"/>
                <w:color w:val="auto"/>
              </w:rPr>
              <w:t>6,688</w:t>
            </w:r>
          </w:p>
        </w:tc>
        <w:tc>
          <w:tcPr>
            <w:tcW w:w="680" w:type="dxa"/>
            <w:vAlign w:val="bottom"/>
          </w:tcPr>
          <w:p>
            <w:pPr>
              <w:ind w:left="280"/>
              <w:spacing w:after="0"/>
              <w:rPr>
                <w:sz w:val="20"/>
                <w:szCs w:val="20"/>
                <w:color w:val="auto"/>
              </w:rPr>
            </w:pPr>
            <w:r>
              <w:rPr>
                <w:rFonts w:ascii="Arial" w:cs="Arial" w:eastAsia="Arial" w:hAnsi="Arial"/>
                <w:sz w:val="18"/>
                <w:szCs w:val="18"/>
                <w:color w:val="auto"/>
                <w:w w:val="92"/>
              </w:rPr>
              <w:t>17 %</w:t>
            </w:r>
          </w:p>
        </w:tc>
        <w:tc>
          <w:tcPr>
            <w:tcW w:w="0" w:type="dxa"/>
            <w:vAlign w:val="bottom"/>
          </w:tcPr>
          <w:p>
            <w:pPr>
              <w:spacing w:after="0"/>
              <w:rPr>
                <w:sz w:val="1"/>
                <w:szCs w:val="1"/>
                <w:color w:val="auto"/>
              </w:rPr>
            </w:pPr>
          </w:p>
        </w:tc>
      </w:tr>
      <w:tr>
        <w:trPr>
          <w:trHeight w:val="27"/>
        </w:trPr>
        <w:tc>
          <w:tcPr>
            <w:tcW w:w="2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2013 and 2012</w:t>
      </w:r>
    </w:p>
    <w:p>
      <w:pPr>
        <w:spacing w:after="0" w:line="171"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Cost of revenues for the three months ended September 30, 2013 were flat, as compared to the same period in 2012, while net revenues increased by 2%. The increase in gross margin was due to a larger mix of sales from microinverter accessories. Cost of revenues in the three months ended September 30, 2013 included warranty expense of $3.8 million resulting from net changes in estimates, which reduced gross margin by 6 percentage points. During the third quarter of 2013, we experienced actual failures of our second generation microinverters that exceeded our then current failure rate estimate. Based on our analysis of field performance data and diagnostic root-cause failure analysis performed on returned units, we concluded that it was necessary to increase the estimated failure rates for our second generation product and recorded additional warranty expense of $7.3 million. In addition, we recorded a reduction to warranty expense of $3.1 million related to a decrease in the expected failure rate of our third generation product and of $0.4 million from lower estimated replacement costs. During the third quarter of 2013, we concluded that there was sufficient historical data of actual field performance of previously sold third generation products to support a lower estimated failure rate.</w:t>
      </w:r>
    </w:p>
    <w:p>
      <w:pPr>
        <w:spacing w:after="0" w:line="128" w:lineRule="exact"/>
        <w:rPr>
          <w:sz w:val="20"/>
          <w:szCs w:val="20"/>
          <w:color w:val="auto"/>
        </w:rPr>
      </w:pPr>
    </w:p>
    <w:p>
      <w:pPr>
        <w:ind w:right="160" w:firstLine="432"/>
        <w:spacing w:after="0" w:line="253" w:lineRule="auto"/>
        <w:rPr>
          <w:sz w:val="20"/>
          <w:szCs w:val="20"/>
          <w:color w:val="auto"/>
        </w:rPr>
      </w:pPr>
      <w:r>
        <w:rPr>
          <w:rFonts w:ascii="Arial" w:cs="Arial" w:eastAsia="Arial" w:hAnsi="Arial"/>
          <w:sz w:val="18"/>
          <w:szCs w:val="18"/>
          <w:color w:val="auto"/>
        </w:rPr>
        <w:t>Cost of revenues in the same period in 2012 included warranty expense of $2.9 million resulting from net changes in estimates, which reduced gross margin by 5 percentage points. During the third quarter of 2012, we experienced actual failures of our second generation microinverters that exceeded our then current failure rate estimate. Based on our analysis of field performance data and diagnostic root-cause failure analysis performed on returned units, we concluded that it was necessary to increase the estimated failure rates for our second generation product and recorded additional warranty expense of $4.8 million. In addition, we recorded a reduction to warranty expense of $1.9 million resulting from a decrease in the estimated per unit shipping cost for replacement units delivered to customers. Prior to the third quarter of 2012, our business practice was to expedite shipment of all replacement units to customers to fulfill warranty claims. These shipping costs are included in our estimate of total per unit replacement cost. Beginning in the third quarter of 2012, we revised our business practice to utilize non-expedited shipping terms for future replacement units, resulting in a reduction in estimated future replacement costs.</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2013 and 2012</w:t>
      </w:r>
    </w:p>
    <w:p>
      <w:pPr>
        <w:spacing w:after="0" w:line="171" w:lineRule="exact"/>
        <w:rPr>
          <w:sz w:val="20"/>
          <w:szCs w:val="20"/>
          <w:color w:val="auto"/>
        </w:rPr>
      </w:pPr>
    </w:p>
    <w:p>
      <w:pPr>
        <w:ind w:right="140" w:firstLine="432"/>
        <w:spacing w:after="0" w:line="288" w:lineRule="auto"/>
        <w:rPr>
          <w:sz w:val="20"/>
          <w:szCs w:val="20"/>
          <w:color w:val="auto"/>
        </w:rPr>
      </w:pPr>
      <w:r>
        <w:rPr>
          <w:rFonts w:ascii="Arial" w:cs="Arial" w:eastAsia="Arial" w:hAnsi="Arial"/>
          <w:sz w:val="16"/>
          <w:szCs w:val="16"/>
          <w:color w:val="auto"/>
        </w:rPr>
        <w:t>Cost of revenues for the nine months ended September 30, 2013 were flat, as compared to the same period in 2012, while net revenues increased by a 4%. The increase in gross margin was due to a larger mix of sales from microinverter accessories. Cost of revenues in the nine months ended September 30, 2013 included warranty expense of $8.5 million resulting from net changes in estimates, which reduced gross margin by 5 percentage points. This net increase was comprised of an increase in warranty expense of $15.9 million for our second generation product resulting from actual failures exceeding our then current failure rate estimate, and supported by our analysis of field performance data and diagnostic root-cause failure analysis performed on returned units. In addition, we recorded a reduction to warranty expense of $3.1 million related to a decrease in the expected failure rate for our third generation product (see discussion above). Further decreases to warranty expense from changes to estimated failure rates was a reduction of $4.2 million in warranty expense related to a decrease in estimated claim rates for all product generations. The revision to estimated claim rates was based on our observed historical end user behavior and assumptions with respect to expected customer behavior over the warranty term (15 years for first and second generation products, up to 25 years for third and fourth generation products). The remaining $0.1 million decrease was due to lower estimated replacement costs.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Cost of revenues in the same period in 2012 included warranty expense of $2.5 million resulting from net changes in estimates, which reduced gross margin by 2 percentage points. Such amounts were primarily related to our second generation microinverter, as noted above in the three months ended September 30, 2012 discussion.</w:t>
      </w:r>
    </w:p>
    <w:p>
      <w:pPr>
        <w:spacing w:after="0" w:line="127"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Based on the results of our diagnostic root cause failure analysis, certain manufacturing and design modifications were made to our second generation microinverter in 2013 to correct identified failure mechanisms. As we have not sold our second generation microinverters since mid-2011, all new second generation units produced are used to replace failed second generation units. We also performed an analysis on our third and fourth generation products and determined that the failure mechanisms identified in our second generation product were not present in our third or fourth generation products.</w:t>
      </w:r>
    </w:p>
    <w:p>
      <w:pPr>
        <w:spacing w:after="0" w:line="100"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If actual failure rates, claim rates or replacement costs differ from our estimates in future periods, changes to these estimates would be required, resulting in increases or decreases to our warranty expense. Such increases or decreases could be material.</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4"/>
                <w:szCs w:val="14"/>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2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320" w:type="dxa"/>
            <w:vAlign w:val="bottom"/>
            <w:gridSpan w:val="4"/>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Research and development  $</w:t>
            </w:r>
          </w:p>
        </w:tc>
        <w:tc>
          <w:tcPr>
            <w:tcW w:w="8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8,293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10,571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62"/>
              <w:spacing w:after="0"/>
              <w:rPr>
                <w:sz w:val="20"/>
                <w:szCs w:val="20"/>
                <w:color w:val="auto"/>
              </w:rPr>
            </w:pPr>
            <w:r>
              <w:rPr>
                <w:rFonts w:ascii="Arial" w:cs="Arial" w:eastAsia="Arial" w:hAnsi="Arial"/>
                <w:sz w:val="18"/>
                <w:szCs w:val="18"/>
                <w:color w:val="auto"/>
              </w:rPr>
              <w:t>(2,278)</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  $</w:t>
            </w:r>
          </w:p>
        </w:tc>
        <w:tc>
          <w:tcPr>
            <w:tcW w:w="9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25,803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0"/>
              </w:rPr>
              <w:t>27,068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8"/>
                <w:szCs w:val="18"/>
                <w:color w:val="auto"/>
              </w:rPr>
              <w:t>(1,265)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360" w:type="dxa"/>
            <w:vAlign w:val="bottom"/>
            <w:gridSpan w:val="2"/>
          </w:tcPr>
          <w:p>
            <w:pPr>
              <w:ind w:left="40"/>
              <w:spacing w:after="0"/>
              <w:rPr>
                <w:sz w:val="20"/>
                <w:szCs w:val="20"/>
                <w:color w:val="auto"/>
              </w:rPr>
            </w:pPr>
            <w:r>
              <w:rPr>
                <w:rFonts w:ascii="Arial" w:cs="Arial" w:eastAsia="Arial" w:hAnsi="Arial"/>
                <w:sz w:val="18"/>
                <w:szCs w:val="18"/>
                <w:color w:val="auto"/>
              </w:rPr>
              <w:t>Percentage of net revenues</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2013 and 2012</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Research and development expenses for the three months ended September 30, 2013 decreased 22%, or $2.3 million, as compared to the same period in</w:t>
      </w:r>
    </w:p>
    <w:p>
      <w:pPr>
        <w:spacing w:after="0" w:line="46"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2012. This was primarily due to a $0.9 million decrease in expense related to our third-party contractor who assists us with the development of ASIC technology and a $0.8 million decrease in outside services expense. The remaining decrease of $0.5 million was primarily attributable to personnel-related costs.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2013 and 2012</w:t>
      </w:r>
    </w:p>
    <w:p>
      <w:pPr>
        <w:spacing w:after="0" w:line="17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Research and development expenses for the nine months ended September 30, 2013 decreased by 5%, or $1.3 million, as compared to the same period in 2012. This was primarily due to a $0.9 million decrease in expense related to our third-party contractor who assists us with the development of ASIC technology and a $0.8 million decrease in outside services expense. The decrease was partially offset by a $0.4 million increase in depreciation expense related to research and development related equipment.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18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28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2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8,550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7,039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1,511</w:t>
            </w:r>
          </w:p>
        </w:tc>
        <w:tc>
          <w:tcPr>
            <w:tcW w:w="10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  $</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22,765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4"/>
              </w:rPr>
              <w:t>18,448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8"/>
                <w:szCs w:val="18"/>
                <w:color w:val="auto"/>
              </w:rPr>
              <w:t>4,317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2140" w:type="dxa"/>
            <w:vAlign w:val="bottom"/>
          </w:tcPr>
          <w:p>
            <w:pPr>
              <w:ind w:left="40"/>
              <w:spacing w:after="0"/>
              <w:rPr>
                <w:sz w:val="20"/>
                <w:szCs w:val="20"/>
                <w:color w:val="auto"/>
              </w:rPr>
            </w:pPr>
            <w:r>
              <w:rPr>
                <w:rFonts w:ascii="Arial" w:cs="Arial" w:eastAsia="Arial" w:hAnsi="Arial"/>
                <w:sz w:val="18"/>
                <w:szCs w:val="18"/>
                <w:color w:val="auto"/>
                <w:w w:val="94"/>
              </w:rPr>
              <w:t>Percentage of net revenues</w:t>
            </w:r>
          </w:p>
        </w:tc>
        <w:tc>
          <w:tcPr>
            <w:tcW w:w="260" w:type="dxa"/>
            <w:vAlign w:val="bottom"/>
          </w:tcPr>
          <w:p>
            <w:pPr>
              <w:spacing w:after="0"/>
              <w:rPr>
                <w:sz w:val="21"/>
                <w:szCs w:val="21"/>
                <w:color w:val="auto"/>
              </w:rPr>
            </w:pP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2013 and 2012</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Sales and marketing expenses for the three months ended September 30, 2013, increased by 21%, or $1.5 million, as compared to the same period in 2012. The increase was primarily attributable to a $1.3 million increase from headcount additions, which includes the staffing of our United Kingdom office, a $0.3 million increase in bad debt expense and a $0.2 million increase in outside services expense. The increase was partially offset by a $0.3 million decrease in expenses related to industry trade shows and promotional activities.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2013 and 2012</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Sales and marketing expenses for the nine months ended September 30, 2013, increased by 23%, or $4.3 million, as compared to the same period in 2012. The increase was primarily attributable to a $4.2 million increase from headcount additions, which includes the staffing of our United Kingdom office, a $0.4 million increase in outside services expense and 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$0.3 million increase in bad debt expense. The increase was partially offset by a $0.6 million decrease in expenses related to industry trade shows and promotional activities.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300" w:type="dxa"/>
            <w:vAlign w:val="bottom"/>
          </w:tcPr>
          <w:p>
            <w:pPr>
              <w:spacing w:after="0"/>
              <w:rPr>
                <w:sz w:val="14"/>
                <w:szCs w:val="14"/>
                <w:color w:val="auto"/>
              </w:rPr>
            </w:pPr>
          </w:p>
        </w:tc>
        <w:tc>
          <w:tcPr>
            <w:tcW w:w="12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882"/>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2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General and administrative  $</w:t>
            </w:r>
          </w:p>
        </w:tc>
        <w:tc>
          <w:tcPr>
            <w:tcW w:w="8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5,937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6,911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8"/>
                <w:szCs w:val="18"/>
                <w:color w:val="auto"/>
              </w:rPr>
              <w:t>(974)</w:t>
            </w: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  $</w:t>
            </w:r>
          </w:p>
        </w:tc>
        <w:tc>
          <w:tcPr>
            <w:tcW w:w="94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17,899</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0"/>
              </w:rPr>
              <w:t>18,698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8"/>
                <w:szCs w:val="18"/>
                <w:color w:val="auto"/>
              </w:rPr>
              <w:t>(799)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400" w:type="dxa"/>
            <w:vAlign w:val="bottom"/>
            <w:gridSpan w:val="2"/>
          </w:tcPr>
          <w:p>
            <w:pPr>
              <w:ind w:left="40"/>
              <w:spacing w:after="0"/>
              <w:rPr>
                <w:sz w:val="20"/>
                <w:szCs w:val="20"/>
                <w:color w:val="auto"/>
              </w:rPr>
            </w:pPr>
            <w:r>
              <w:rPr>
                <w:rFonts w:ascii="Arial" w:cs="Arial" w:eastAsia="Arial" w:hAnsi="Arial"/>
                <w:sz w:val="18"/>
                <w:szCs w:val="18"/>
                <w:color w:val="auto"/>
              </w:rPr>
              <w:t>Percentage of net revenues</w:t>
            </w:r>
          </w:p>
        </w:tc>
        <w:tc>
          <w:tcPr>
            <w:tcW w:w="860" w:type="dxa"/>
            <w:vAlign w:val="bottom"/>
          </w:tcPr>
          <w:p>
            <w:pPr>
              <w:jc w:val="right"/>
              <w:ind w:right="2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2013 and 2012</w:t>
      </w:r>
    </w:p>
    <w:p>
      <w:pPr>
        <w:spacing w:after="0" w:line="171"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General and administrative expenses for the three months ended September 30, 2013 decreased by 14%, or $1.0 million, as compared to the same period in 2012. The decrease was primarily attributable to decreased insurance and facility costs of $0.4 million, a $0.3 million decrease from personnel-related costs, and a $0.3 million decrease in professional fees related to legal and accounting services. The decrease in general and administrative expenditures reflect our ongoing cost control measures.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2013 and 2012</w:t>
      </w:r>
    </w:p>
    <w:p>
      <w:pPr>
        <w:spacing w:after="0" w:line="171"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General and administrative expenses for the nine months ended September 30, 2013 decreased by 4%, or $0.8 million, as compared to the same period in 2012. The decrease was primarily attributable to decreased professional fees related to legal, accounting and information technology services of $1.0 million, partially offset by a $0.2 million increase in personnel-related costs primarily related to higher stock-based compensation. The decrease in general and administrative expenditures reflect our ongoing cost control measures.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280" w:type="dxa"/>
            <w:vAlign w:val="bottom"/>
          </w:tcPr>
          <w:p>
            <w:pPr>
              <w:spacing w:after="0"/>
              <w:rPr>
                <w:sz w:val="14"/>
                <w:szCs w:val="14"/>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922"/>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4"/>
          </w:tcPr>
          <w:p>
            <w:pPr>
              <w:jc w:val="right"/>
              <w:ind w:right="78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32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w w:val="94"/>
              </w:rPr>
              <w:t>(dollars in thousands)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(815)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rPr>
              <w:t>(235)</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  $</w:t>
            </w: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(2,109)</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3,039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Three Months Ended September 30, 2013 and 2012</w:t>
      </w:r>
    </w:p>
    <w:p>
      <w:pPr>
        <w:spacing w:after="0" w:line="171" w:lineRule="exact"/>
        <w:rPr>
          <w:sz w:val="20"/>
          <w:szCs w:val="20"/>
          <w:color w:val="auto"/>
        </w:rPr>
      </w:pPr>
    </w:p>
    <w:p>
      <w:pPr>
        <w:jc w:val="both"/>
        <w:ind w:right="540" w:firstLine="432"/>
        <w:spacing w:after="0" w:line="264" w:lineRule="auto"/>
        <w:rPr>
          <w:sz w:val="20"/>
          <w:szCs w:val="20"/>
          <w:color w:val="auto"/>
        </w:rPr>
      </w:pPr>
      <w:r>
        <w:rPr>
          <w:rFonts w:ascii="Arial" w:cs="Arial" w:eastAsia="Arial" w:hAnsi="Arial"/>
          <w:sz w:val="18"/>
          <w:szCs w:val="18"/>
          <w:color w:val="auto"/>
        </w:rPr>
        <w:t>Other expense, net, for the three months ended September 30, 2013 increased by $0.2 million, as compared to the same period in 2012, primarily attributable to losses from foreign currency hedges, partially offset by favorable foreign currency exchange movements associated with inter-company receivables and payables as well as lower interest expense.</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Nine Months Ended September 30, 2013 and 2012</w:t>
      </w:r>
    </w:p>
    <w:p>
      <w:pPr>
        <w:spacing w:after="0" w:line="171"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Other expense, net, for the nine months ended September 30, 2013, decreased by $3.0 million, as compared to the same period in 2012. The decrease was primarily attributable to a $4.0 million decrease in interest expense. For the nine months ended September 30, 2012, the Company recorded a a $2.8 million charge to interest expense from the termination and conversion of a convertible debt facility. The remaining decrease in interest expense of $1.2 million resulted from lower average debt outstanding. The decrease in interest expense was partially offset by losses from foreign currency hedges and the absence of favorable mark-to-market gains from our preferred stock warrants in 2013.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right="380" w:firstLine="432"/>
        <w:spacing w:after="0" w:line="264" w:lineRule="auto"/>
        <w:rPr>
          <w:sz w:val="20"/>
          <w:szCs w:val="20"/>
          <w:color w:val="auto"/>
        </w:rPr>
      </w:pPr>
      <w:r>
        <w:rPr>
          <w:rFonts w:ascii="Arial" w:cs="Arial" w:eastAsia="Arial" w:hAnsi="Arial"/>
          <w:sz w:val="18"/>
          <w:szCs w:val="18"/>
          <w:color w:val="auto"/>
        </w:rPr>
        <w:t>Prior to our IPO, we funded our operations primarily through private placements of convertible preferred stock and convertible notes, and proceeds from term loans. In April 2012, we completed our IPO, in which we issued and sold 10,315,151 shares and received net proceeds of approximately $53.8 million.</w:t>
      </w:r>
    </w:p>
    <w:p>
      <w:pPr>
        <w:spacing w:after="0" w:line="127"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Our primary uses of cash are operating costs, working capital needs, capital expenditures and debt service requirements. Our future capital requirements are affected by many factors, including our rate of revenue growth; the expansion of our sales and marketing activities; the timing and extent of spending to support product development efforts; and the timing of introductions of new products and enhancements to existing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As of September 30, 2013, we had $31.8 million in cash and cash equivalents, which are held primarily in bank deposits and money market accounts, and $51.6 million in working capital. We believe our current cash and cash equivalents, together with borrowings available under our Revolver and the Hercules Facility (as described below) will be adequate to fund our debt obligations as well as our planned capital expenditures and operations over the next 12 months. If additional sources of liquidity are needed, we may consider new debt or equity offerings but there is no assurance that such transactions could be consummated on acceptable terms or at all. Failure to raise sufficient capital when needed could have a material adverse effect on our business, results of operations and financial position.</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32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(8,451)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(52,274)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1"/>
              </w:rPr>
              <w:t>(4,886)</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(11,054)</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53,606</w:t>
            </w:r>
          </w:p>
        </w:tc>
      </w:tr>
      <w:tr>
        <w:trPr>
          <w:trHeight w:val="27"/>
        </w:trPr>
        <w:tc>
          <w:tcPr>
            <w:tcW w:w="8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Historically, we have experienced negative operating cash flows as we have invested significant resources to develop new product offerings and focused on critical research and development activities required to reduce product costs, increase performance and foster innovation. In addition, uses of cash included expansion of our operations into new product markets and geographies and build our operational infrastructure to support the growth of our business.</w:t>
      </w:r>
    </w:p>
    <w:p>
      <w:pPr>
        <w:spacing w:after="0" w:line="133"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For the nine months ended September 30, 2013, net cash used in operating activities of $8.5 million was primarily attributable to a net loss of $23.1 million, which was partially offset by non-cash charges of $5.1 million in depreciation and amortization and $5.0 million in stock-based compensation. In addition, cash provided by net changes in operating assets and liabilities was $3.5 million. Sources of cash totaled $16.5 million resulting from an increase of $11.9 million in accounts payable, accrued and other liabilities and an increase of $4.8 million in deferred revenues. The $11.9 million increase in accounts payable, accrued and other liabilities was due to the timing of settlements for our inventory purchases and other vendor payments. The increase in deferred revenue of $4.8 million primarily relates to sales of our Enlighten web-based monitoring service. Uses of cash included a $7.7 million increase in accounts receivable, a $4.5 million increase in inventory and a $1.0 million increase in prepaid expenses and other assets. The increase in accounts receivable was primarily due to the more linear sales pattern in fourth quarter of 2012 compared to the third quarter of 2013. Inventory increased as a result of the timing of receipt of finished goods from our key contract manufacturer and contributed to a portion of the increase in accounts payable.</w:t>
      </w:r>
    </w:p>
    <w:p>
      <w:pPr>
        <w:spacing w:after="0" w:line="113" w:lineRule="exact"/>
        <w:rPr>
          <w:sz w:val="20"/>
          <w:szCs w:val="20"/>
          <w:color w:val="auto"/>
        </w:rPr>
      </w:pPr>
    </w:p>
    <w:p>
      <w:pPr>
        <w:ind w:right="440" w:firstLine="432"/>
        <w:spacing w:after="0" w:line="286" w:lineRule="auto"/>
        <w:rPr>
          <w:sz w:val="20"/>
          <w:szCs w:val="20"/>
          <w:color w:val="auto"/>
        </w:rPr>
      </w:pPr>
      <w:r>
        <w:rPr>
          <w:rFonts w:ascii="Arial" w:cs="Arial" w:eastAsia="Arial" w:hAnsi="Arial"/>
          <w:sz w:val="17"/>
          <w:szCs w:val="17"/>
          <w:color w:val="auto"/>
        </w:rPr>
        <w:t>For the nine months ended September 30, 2012, net cash used in operating activities was $52.3 million primarily resulting from a net loss of $30.5 million and changes in our net operating assets and liabilities used cash of $32.5 million. This was partially offset by non-cash items including interest expense of $4.0 million, depreciation and amortization of $3.9 million and stock-based compensation of $3.2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Capital expenditures have generally been comprised of purchases of test equipment, leasehold improvements, furniture and fixtures, and internally developed software.</w:t>
      </w:r>
    </w:p>
    <w:p>
      <w:pPr>
        <w:spacing w:after="0" w:line="116"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the nine months ended September 30, 2013, net cash used in investing activities was $4.9 million, primarily as a result of purchases of test and assembly equipment as well as additions to internally developed software.</w:t>
      </w:r>
    </w:p>
    <w:p>
      <w:pPr>
        <w:spacing w:after="0" w:line="116"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For the nine months ended September 30, 2012, net cash used in investing activities was $11.0 million resulting from purchases of manufacturing test equipment and expenditures on leasehold improvements and furniture and fixtures in connection with our relocation to a new headquarter facility.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71"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For the nine months ended September 30, 2013, net cash provided by financing activities was $0.2 million and consisted of $1.7 million in cash received from common stock issuance pursuant to our equity incentive plans. These inflows of cash were offset by principal repayments of term loans of $1.8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40" w:firstLine="432"/>
        <w:spacing w:after="0" w:line="312" w:lineRule="auto"/>
        <w:rPr>
          <w:sz w:val="20"/>
          <w:szCs w:val="20"/>
          <w:color w:val="auto"/>
        </w:rPr>
      </w:pPr>
      <w:r>
        <w:rPr>
          <w:rFonts w:ascii="Arial" w:cs="Arial" w:eastAsia="Arial" w:hAnsi="Arial"/>
          <w:sz w:val="16"/>
          <w:szCs w:val="16"/>
          <w:color w:val="auto"/>
        </w:rPr>
        <w:t>For the nine months ended September 30, 2012, net cash provided by financing activities primarily consisted of net proceeds of $56.6 million received from our IPO, after deducting underwriting discounts and commissions and other offering costs paid during the nine months ended September 30, 2012. Cash used in financing activities consisted of $5.5 million in principal repayments of term loans offset by $2.6 million in proceeds from term loan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Agreements</w:t>
      </w:r>
    </w:p>
    <w:p>
      <w:pPr>
        <w:spacing w:after="0" w:line="175" w:lineRule="exact"/>
        <w:rPr>
          <w:sz w:val="20"/>
          <w:szCs w:val="20"/>
          <w:color w:val="auto"/>
        </w:rPr>
      </w:pPr>
    </w:p>
    <w:p>
      <w:pPr>
        <w:ind w:right="100" w:firstLine="432"/>
        <w:spacing w:after="0" w:line="273" w:lineRule="auto"/>
        <w:rPr>
          <w:sz w:val="20"/>
          <w:szCs w:val="20"/>
          <w:color w:val="auto"/>
        </w:rPr>
      </w:pPr>
      <w:r>
        <w:rPr>
          <w:rFonts w:ascii="Arial" w:cs="Arial" w:eastAsia="Arial" w:hAnsi="Arial"/>
          <w:sz w:val="17"/>
          <w:szCs w:val="17"/>
          <w:color w:val="auto"/>
        </w:rPr>
        <w:t>As of September 30, 2013, we were a party to three debt agreements: (i) the $50.0 million revolving credit facility (the "Revolver") with Wells Fargo Bank, N.A., (ii) the facility with Hercules Technology Growth Capital, Inc. (“Hercules Facility”) consisting of a $7.4 million initial term loan and lending commitments of up to $15.6 million in additional term loans, and (iii) the $5.0 million equipment financing facility, also with Hercules. As of September 30, 2013, we have not drawn upon the Revolver or additional term loans available under the Hercules Facility. Each of these debt agreements is described in greater detail in our consolidated financial statements and related notes included in our Annual Report on Form 10-K for the year ended December 31, 2012. As of September 30, 2013, we were in compliance with all debt covenants.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Our contractual obligations as of September 30, 2013 have not materially changed from the amounts set forth in our Annual Report on Form 10-K for the year ended December 31,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2013, we did not have any off-balance sheet arrangements, as defined in Item 303(a)(4)(ii) of SEC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175"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Our condensed consolidated financial statements are prepared in accordance with accounting principles generally accepted in the U.S., or GAAP. In connection with the preparation of our condensed consolidated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management believes to be relevant at the time our consolidated financial statements are prepared. On a regular basis, we review the accounting policies, assumptions, estimates and judgments to ensure that our consolidated financial statements are presented fairly and in accordance with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112" w:lineRule="exact"/>
        <w:rPr>
          <w:sz w:val="20"/>
          <w:szCs w:val="20"/>
          <w:color w:val="auto"/>
        </w:rPr>
      </w:pPr>
    </w:p>
    <w:p>
      <w:pPr>
        <w:jc w:val="both"/>
        <w:ind w:right="700" w:firstLine="432"/>
        <w:spacing w:after="0" w:line="334" w:lineRule="auto"/>
        <w:rPr>
          <w:sz w:val="20"/>
          <w:szCs w:val="20"/>
          <w:color w:val="auto"/>
        </w:rPr>
      </w:pPr>
      <w:r>
        <w:rPr>
          <w:rFonts w:ascii="Arial" w:cs="Arial" w:eastAsia="Arial" w:hAnsi="Arial"/>
          <w:sz w:val="16"/>
          <w:szCs w:val="16"/>
          <w:color w:val="auto"/>
        </w:rPr>
        <w:t>We consider an accounting policy to be critical if it is important to our financial condition and results of operations, and if it entails significant judgment, subjectivity and complexity on the part of management in its application. We consider the following to be our critical accounting policies:</w:t>
      </w:r>
    </w:p>
    <w:p>
      <w:pPr>
        <w:spacing w:after="0" w:line="1"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inventory valuation; and</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warranty obligations.</w:t>
      </w:r>
    </w:p>
    <w:p>
      <w:pPr>
        <w:spacing w:after="0" w:line="171"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For a complete description of our critical accounting policies that involve our more significant judgments and estimates used in the preparation of our condensed consolidated financial statements, please refer to our Annual Report on Form 10-K for the year ended December 31, 2012 under “Management’s Discussion and Analysis of Financial Condition and Results of Operations—Critical Accounting Policies and Significant Management Estimates.”</w:t>
      </w:r>
    </w:p>
    <w:p>
      <w:pPr>
        <w:spacing w:after="0" w:line="25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from the effect of fluctuating exchange rates on payables and receivables denominated in Euros, British Pound Sterling and New Zealand Dollar. These payables and receivables primarily arise from both sales and purchases denominated in foreign currencies, as well as intercompany transactions. We also face currency exposure that arises from translating the results of our European and New Zealand operations, including sales and marketing and research and development expenses, to the U.S. dollar at exchange rates that have fluctuated from the beginning of a reporting period.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We utilize foreign currency forward contracts to reduce the impact of foreign currency fluctuations in Euros and the British Pound Sterling. The contracts we enter into typically have maturities of less than one year. We do not enter into derivative financial instruments for trading or speculative purposes. The foreign currency forward contracts are accounted for as derivatives whereby the fair value of the contracts is reported as other current assets or current liabilities in the accompanying condensed consolidated balance sheets, and gains and losses resulting from changes in the fair value are reported in other income (expense), net, in the accompanying condensed consolidated statements of operations.</w:t>
      </w:r>
    </w:p>
    <w:p>
      <w:pPr>
        <w:spacing w:after="0" w:line="119"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As of September 30, 2013 and December 31, 2012, the aggregate gross notional amounts of outstanding foreign currency forward contracts, all with maturities of less than six months, were $20.7 million and $6.1 million, respectively.</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foreign currency exchange rate risk associated with our forward contracts is limited as the exposure is substantially offset by exchange rate changes of the underlying hedged amounts. The potential losses from an immediate hypothetical 10% adverse movement in the exchange rates of the Euro and the British Pound Sterling relative to the U.S. dollar would not have a material effect on the fair values of our outstanding foreign currency forward contracts at September 30, 2013.</w:t>
      </w:r>
    </w:p>
    <w:p>
      <w:pPr>
        <w:spacing w:after="0" w:line="29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30, 2013. The term “disclosure controls and procedures,” as defined in Rules 13a-15(e) and 15d-15(e) under the Securities Exchange Act of 1934, as amended, or the Exchange Act, includes,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Based on the evaluation of our disclosure controls and procedures as of September 30, 2013, our chief executive officer and chief financial officer concluded that, as of such date, our disclosure controls and procedures were effective at the reasonable assurance level.</w:t>
      </w:r>
    </w:p>
    <w:p>
      <w:pPr>
        <w:spacing w:after="0" w:line="124"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Changes in Internal Control</w:t>
      </w:r>
    </w:p>
    <w:p>
      <w:pPr>
        <w:spacing w:after="0" w:line="171"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that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right="100" w:firstLine="446"/>
        <w:spacing w:after="0" w:line="312"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We are not currently involved in any material legal proceedings.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5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In assessing these risks, you should also refer to the other information contained in this Quarterly Report on Form 10-Q, including our condensed consolidated financial statements and related notes, as well as our other reports filed with the SEC.</w:t>
      </w:r>
    </w:p>
    <w:p>
      <w:pPr>
        <w:spacing w:after="0" w:line="13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We have marked with an asterisk (*) those risks described below that reflect substantive changes from, or additions to, the risks described in our Annual Report on Form 10-K for the year ended December 31,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achieve or sustain profitability.</w:t>
      </w:r>
    </w:p>
    <w:p>
      <w:pPr>
        <w:spacing w:after="0" w:line="171" w:lineRule="exact"/>
        <w:rPr>
          <w:sz w:val="20"/>
          <w:szCs w:val="20"/>
          <w:color w:val="auto"/>
        </w:rPr>
      </w:pPr>
    </w:p>
    <w:p>
      <w:pPr>
        <w:ind w:right="180" w:firstLine="432"/>
        <w:spacing w:after="0" w:line="297" w:lineRule="auto"/>
        <w:rPr>
          <w:sz w:val="20"/>
          <w:szCs w:val="20"/>
          <w:color w:val="auto"/>
        </w:rPr>
      </w:pPr>
      <w:r>
        <w:rPr>
          <w:rFonts w:ascii="Arial" w:cs="Arial" w:eastAsia="Arial" w:hAnsi="Arial"/>
          <w:sz w:val="16"/>
          <w:szCs w:val="16"/>
          <w:color w:val="auto"/>
        </w:rPr>
        <w:t>We have incurred net losses in each quarter since inception, and we may continue to incur additional net losses in the future. We incurred net losses of $23.1 million for the nine months ended September 30, 2013. As of September 30, 2013, we had an accumulated deficit of $150.1 million. Our revenue growth may slow or revenue may decline for a number of possible reasons, many of which are outside our control, including a decline in demand for our offerings, increased competition, a decrease in the growth of the solar industry or our market share, or our failure to continue to capitalize on growth opportunities. If we fail to generate sufficient revenue to support our operations, we may not be able to achieve or sustain profitability.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have been in existence since 2006 and did not begin shipping our products in commercial quantities until mid-2008. Much of our growth has occurred in recent periods. Our limited operating history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117"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111" w:lineRule="exact"/>
        <w:rPr>
          <w:sz w:val="20"/>
          <w:szCs w:val="20"/>
          <w:color w:val="auto"/>
        </w:rPr>
      </w:pPr>
    </w:p>
    <w:p>
      <w:pPr>
        <w:jc w:val="both"/>
        <w:ind w:right="80" w:firstLine="432"/>
        <w:spacing w:after="0" w:line="277" w:lineRule="auto"/>
        <w:rPr>
          <w:sz w:val="20"/>
          <w:szCs w:val="20"/>
          <w:color w:val="auto"/>
        </w:rPr>
      </w:pPr>
      <w:r>
        <w:rPr>
          <w:rFonts w:ascii="Arial" w:cs="Arial" w:eastAsia="Arial" w:hAnsi="Arial"/>
          <w:sz w:val="18"/>
          <w:szCs w:val="18"/>
          <w:color w:val="auto"/>
        </w:rPr>
        <w:t>Further, our efforts to achieve broader market acceptance for our microinverter systems and to expand beyond our existing markets may never succeed, which would adversely impact our ability to generate additional revenue or become profitable.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continue to grow or grows at a slower rate than we anticipate, our business will suffer.</w:t>
      </w:r>
    </w:p>
    <w:p>
      <w:pPr>
        <w:spacing w:after="0" w:line="171"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Our microinverter systems are utilized in solar photovoltaic, or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w:t>
      </w:r>
      <w:r>
        <w:rPr>
          <w:rFonts w:ascii="Arial" w:cs="Arial" w:eastAsia="Arial" w:hAnsi="Arial"/>
          <w:sz w:val="17"/>
          <w:szCs w:val="17"/>
          <w:i w:val="1"/>
          <w:iCs w:val="1"/>
          <w:color w:val="auto"/>
        </w:rPr>
        <w:t>,</w:t>
      </w:r>
      <w:r>
        <w:rPr>
          <w:rFonts w:ascii="Arial" w:cs="Arial" w:eastAsia="Arial" w:hAnsi="Arial"/>
          <w:sz w:val="17"/>
          <w:szCs w:val="17"/>
          <w:color w:val="auto"/>
        </w:rPr>
        <w:t xml:space="preserve"> and we cannot be certain that consumers and businesses will adopt solar PV systems as an alternative energy source at levels sufficient to grow our business. Traditional electricity distribution is based on the regulated industry model whereby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184"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01" w:lineRule="exact"/>
        <w:rPr>
          <w:rFonts w:ascii="Arial" w:cs="Arial" w:eastAsia="Arial" w:hAnsi="Arial"/>
          <w:sz w:val="17"/>
          <w:szCs w:val="17"/>
          <w:color w:val="auto"/>
        </w:rPr>
      </w:pPr>
    </w:p>
    <w:p>
      <w:pPr>
        <w:ind w:left="980" w:right="440" w:hanging="486"/>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prices of traditional carbon-based energy sources;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emergence, continuance or success of, or increased government support for, other alternative energy generation technologies and products.</w:t>
      </w:r>
    </w:p>
    <w:p>
      <w:pPr>
        <w:spacing w:after="0" w:line="1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If demand for solar energy solutions fails to develop sufficiently, demand for our customers' products as well as demand for our products will decrease, which would have an adverse impact on our ability to increase our revenue and grow our business.</w:t>
      </w:r>
    </w:p>
    <w:p>
      <w:pPr>
        <w:spacing w:after="0" w:line="116"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Short-term demand and supply imbalances, especially for solar module technology, recently have caused prices for solar technology solutions to decline rapidly. Furthermore, competition in the solar industry has increased due to the emergence of Asian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16" w:lineRule="exact"/>
        <w:rPr>
          <w:sz w:val="20"/>
          <w:szCs w:val="20"/>
          <w:color w:val="auto"/>
        </w:rPr>
      </w:pPr>
    </w:p>
    <w:p>
      <w:pPr>
        <w:ind w:right="240" w:firstLine="432"/>
        <w:spacing w:after="0" w:line="276" w:lineRule="auto"/>
        <w:rPr>
          <w:sz w:val="20"/>
          <w:szCs w:val="20"/>
          <w:color w:val="auto"/>
        </w:rPr>
      </w:pPr>
      <w:r>
        <w:rPr>
          <w:rFonts w:ascii="Arial" w:cs="Arial" w:eastAsia="Arial" w:hAnsi="Arial"/>
          <w:sz w:val="17"/>
          <w:szCs w:val="17"/>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11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most notably Australia, Canada, France, Belgium, Germany, Italy, Japan, the People's Republic of China, the United Kingdom, Spain and the United States,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amended by governments due to changing market circumstances or changes to national, state or local energy policy.</w:t>
      </w:r>
    </w:p>
    <w:p>
      <w:pPr>
        <w:spacing w:after="0" w:line="135"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To date, we have generated substantially all of our revenues from North America and expect to generate a substantial amount of revenues from North America in the future. There are a number of important incentives that are expected to phase-out or terminate in the future, which could adversely affect sales of our products. A substantial majority of our revenues come from the United States, which has both federal and state incentives. The Renewable Energy and Job Creation Act of 2008 provides a 30% federal tax credit for residential and commercial solar installations, which expire on December 31, 2016. The American Recovery and Reinvestment Act of 2009, as amended, created a renewable energy grant program that offered cash payments in lieu of investment tax credits to renewable energy project developers for eligible property placed in service prior to December 31, 2011 or placed in service by the specified credit termination date, if construction began prior to December 31, 2011. We believe the tax credit and grant programs have had a positive effect on our sales since inception. However, unless the tax credit program is further extended, the eventual phase-out of this program could adversely affect sales of our products in the future.</w:t>
      </w:r>
    </w:p>
    <w:p>
      <w:pPr>
        <w:spacing w:after="0" w:line="128"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California is the largest single solar market in the United States, based on analysis from SEIA data and GTM Research, and a significant portion of our revenues are generated in California. In 2007, the State of California launched its 10-year, $3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billion “Go Solar California” campaign, which encourages the installation of an aggregate of 3,000 MW of solar energy systems in homes and businesses by the end of 2016. The largest part of the campaign, the “California Solar Initiative,” provides rebates and performance-based incentives which decrease in intervals as installation thresholds are met. The “Go Solar California” program is scheduled to expire on December 31, 2016, but the pace of installations has been high and the program is likely to conclude sooner. Both Pacific Gas and Electric and San Diego Gas and Electric have surpassed all installation thresholds in the residential sector and are no longer accepting applications. Pacific Gas and Electric is placing all new applications for the commercial sector on a waiting list, and these applications may not be able to receive incentives. Programs for other utilities and market segments continue, but could conclude prior to December 31, 2016 if installations continue at their current pace.</w:t>
      </w:r>
    </w:p>
    <w:p>
      <w:pPr>
        <w:spacing w:after="0" w:line="124"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also sell our products in Ontario, Canada. The Ontario Power Authority Green Energy and Green Economy Act of 2009 created two separate FiT programs for projects greater than 10kW and for projects less than 10kW. These FiT programs provide participants with a fixed price for electricity produced over a 20-year contract term. Both programs were recently suspended while they underwent a review. The program for projects less than 10kW was re-opened to new applications in July 2012 with a procurement target of 50 MW. The program for projects between 10kW and 500kW was re-opened for new applications between December 14, 2012 and January 18, 2013 with a procurement target of 200 MW. The Government of Ontario has announced plans for annual procurement targets of 50MW of projects under 10kW and 150MW of projects between 10kW and 500kW through 2017. However, all procurement occurs at the direction of the Government of Ontario and these plans could change, or market conditions could result in procurement targets not being met. Furthermore, the Government of Ontario has the authority to change the FiTs for future contracts at its discretion, and has the authority to modify, suspend, or discontinue the program at any time. Suspension of the FiT program in Ontario directly impacted and could continue to impact our business. Furthermore, any future suspension or modification of the program could negatively affect our business, financial condition and results of operations.</w:t>
      </w:r>
    </w:p>
    <w:p>
      <w:pPr>
        <w:spacing w:after="0" w:line="115" w:lineRule="exact"/>
        <w:rPr>
          <w:sz w:val="20"/>
          <w:szCs w:val="20"/>
          <w:color w:val="auto"/>
        </w:rPr>
      </w:pPr>
    </w:p>
    <w:p>
      <w:pPr>
        <w:ind w:right="140" w:firstLine="432"/>
        <w:spacing w:after="0" w:line="271" w:lineRule="auto"/>
        <w:rPr>
          <w:sz w:val="20"/>
          <w:szCs w:val="20"/>
          <w:color w:val="auto"/>
        </w:rPr>
      </w:pPr>
      <w:r>
        <w:rPr>
          <w:rFonts w:ascii="Arial" w:cs="Arial" w:eastAsia="Arial" w:hAnsi="Arial"/>
          <w:sz w:val="17"/>
          <w:szCs w:val="17"/>
          <w:color w:val="auto"/>
        </w:rPr>
        <w:t>In the fourth quarter of 2011, we began selling our products in France, Italy and the Benelux region. During the second quarter of 2012, we opened a sales office in the United Kingdom and began selling our products there at the beginning of the third quarter. A number of European countries, including Germany, Belgium and the United Kingdom, have adopted reductions to their FiTs, Spain announced a suspension of its FiT for new renewable energy projects in January 2012 and Italy concluded its FiT program in July 2013. Certain countries, notably Greece and Spain, have proposed or enacted taxes levied on renewable energy. These and related developments have significantly impacted the solar industry in Europe and may adversely affect the future demand for the solar energy solutions in Europe. The reductions in European tariffs and subsidies and other requirements or incentives, including local content requirements or incentives, have negatively affected and may continue to negatively affect our business, financial condition and results of operations as we seek to increase our sales in Europe.</w:t>
      </w:r>
    </w:p>
    <w:p>
      <w:pPr>
        <w:spacing w:after="0" w:line="125"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In the first quarter of 2013, we began selling our products in Australia. In 2012, Australia enacted a national price on carbon emissions intended to increase the cost of traditional energy sources, thereby making renewable energy sources more attractive. Beginning in 2012, several states in Australia also began to gradually reduce their FiTs. As of October 2013, all FiT programs in Australia have expired. Australia recently elected a new national Government. The new leadership has pledged to revise national energy policy, including the carbon price, Renewable Energy Target, and certain renewable energy financing mechanisms. The reductions in incentives and uncertainty around future energy policy may negatively affect our business financial condition, and results of operations as we seek to increase our business in Australia.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113"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could result in decreased demand for and lower revenue from solar PV systems, which would adversely affect sales of our products. In addition, our ability to successfully penetrate new geographic markets may depend on new countries adopting and maintaining incentives to promote solar electricity, to the extent such incentives are not currently in place. Additionally, electric utility companies may establish pricing structures or interconnection requirements that could adversely affect our sales and be harmful to the solar and distributed rooftop solar generation industry.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threat of continuing global economic, capital markets and credit disruptions, including sovereign debt issues, pose risks for our business.</w:t>
      </w:r>
    </w:p>
    <w:p>
      <w:pPr>
        <w:spacing w:after="0" w:line="1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threat of continuing global economic, capital markets and credit disruptions, including the sovereign debt issues in Europe, pose risks for our business. These risks include slower economic activity and investment in projects that make use of our products and services. These economic developments, particularly decreased credit availability, have reduced demand for solar products. The European sovereign debt crisis has caused and may continue to cause European governments to reduce,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 Europe.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microinverter systems may not achieve broader market acceptance, which would prevent us from increasing our revenue and market share.</w:t>
      </w:r>
    </w:p>
    <w:p>
      <w:pPr>
        <w:spacing w:after="0" w:line="194"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If we fail to achieve broader market acceptance of our products,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46" w:lineRule="exact"/>
        <w:rPr>
          <w:sz w:val="20"/>
          <w:szCs w:val="20"/>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90"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microinverter systems, which is a relatively new technology with a limited history with respect to reliability and performance;</w:t>
      </w:r>
    </w:p>
    <w:p>
      <w:pPr>
        <w:spacing w:after="0" w:line="35" w:lineRule="exact"/>
        <w:rPr>
          <w:rFonts w:ascii="Arial" w:cs="Arial" w:eastAsia="Arial" w:hAnsi="Arial"/>
          <w:sz w:val="18"/>
          <w:szCs w:val="18"/>
          <w:color w:val="auto"/>
        </w:rPr>
      </w:pPr>
    </w:p>
    <w:p>
      <w:pPr>
        <w:ind w:left="980" w:right="36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be willing to purchase microinverter systems from us given our limited operating history;</w:t>
      </w:r>
    </w:p>
    <w:p>
      <w:pPr>
        <w:spacing w:after="0" w:line="35" w:lineRule="exact"/>
        <w:rPr>
          <w:rFonts w:ascii="Arial" w:cs="Arial" w:eastAsia="Arial" w:hAnsi="Arial"/>
          <w:sz w:val="18"/>
          <w:szCs w:val="18"/>
          <w:color w:val="auto"/>
        </w:rPr>
      </w:pPr>
    </w:p>
    <w:p>
      <w:pPr>
        <w:ind w:left="980" w:right="26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35" w:lineRule="exact"/>
        <w:rPr>
          <w:rFonts w:ascii="Arial" w:cs="Arial" w:eastAsia="Arial" w:hAnsi="Arial"/>
          <w:sz w:val="18"/>
          <w:szCs w:val="18"/>
          <w:color w:val="auto"/>
        </w:rPr>
      </w:pPr>
    </w:p>
    <w:p>
      <w:pPr>
        <w:ind w:left="980" w:right="68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produce microinverter systems that compete favorably against other solutions on the basis of price, quality, reliability and performance;</w:t>
      </w:r>
    </w:p>
    <w:p>
      <w:pPr>
        <w:spacing w:after="0" w:line="35" w:lineRule="exact"/>
        <w:rPr>
          <w:rFonts w:ascii="Arial" w:cs="Arial" w:eastAsia="Arial" w:hAnsi="Arial"/>
          <w:sz w:val="18"/>
          <w:szCs w:val="18"/>
          <w:color w:val="auto"/>
        </w:rPr>
      </w:pPr>
    </w:p>
    <w:p>
      <w:pPr>
        <w:ind w:left="980" w:right="400" w:hanging="486"/>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18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inverters. These installers often have made substantial investments in design, installation resources and training in traditional central inverter systems, which may create challenges for us to achieve their adoption of our microinverter systems.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5"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discounts and rebates; ability to reduce and control product costs;</w:t>
      </w:r>
    </w:p>
    <w:p>
      <w:pPr>
        <w:spacing w:after="0" w:line="90" w:lineRule="exact"/>
        <w:rPr>
          <w:rFonts w:ascii="Arial" w:cs="Arial" w:eastAsia="Arial" w:hAnsi="Arial"/>
          <w:sz w:val="18"/>
          <w:szCs w:val="18"/>
          <w:color w:val="auto"/>
        </w:rPr>
      </w:pPr>
    </w:p>
    <w:p>
      <w:pPr>
        <w:ind w:left="980" w:right="56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35"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older products over time;</w:t>
      </w:r>
    </w:p>
    <w:p>
      <w:pPr>
        <w:spacing w:after="0" w:line="101" w:lineRule="exact"/>
        <w:rPr>
          <w:rFonts w:ascii="Arial" w:cs="Arial" w:eastAsia="Arial" w:hAnsi="Arial"/>
          <w:sz w:val="17"/>
          <w:szCs w:val="17"/>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inverter industry is highly competitive and we expect to face increased competition as new and existing competitors introduce microinverter products, which could negatively impact our results of operations and market share.</w:t>
      </w:r>
    </w:p>
    <w:p>
      <w:pPr>
        <w:spacing w:after="0" w:line="116"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To date, we have competed primarily against central inverter manufacturers and until recently have faced little direct competition in selling our microinverter systems. Marketing and selling our microinverter systems against traditional inverter solutions is highly competitive. We expect competition to intensify as new and existing competitors enter the microinverter market and additional add-on components like DC-to-DC optimizers that can be used with central inverters gain traction. We believe that a number of companies have developed or are developing microinverters and other products that will compete directly with our microinverter systems. SMA Solar Technology AG, Power-One Inc. and SunPower Corp., leading inverter vendors serving the residential and commercial inverter markets, have recently introduced or announced plans to introduce microinverter products in 2013. In addition, several new entrants to the microinverter market have recently announced plans to ship or have already shipped products, including some of our OEM customers and partners.</w:t>
      </w:r>
    </w:p>
    <w:p>
      <w:pPr>
        <w:spacing w:after="0" w:line="113"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Currently, competitors in the inverter market range from large companies such as SMA Solar Technology AG, Fronius International GmbH and Power-One Inc. to emerging companies offering alternative microinverter or other solar electronics products. Some of our competitors have announced plans to introduce microinverter products that could compete with our microinverter systems. Several of our existing and potential competitors are significantly larger, have greater financial, marketing, distribution, customer support and other resources, are more established than we are, and have significantly better brand recognition. Some of our competitors have more resources to develop or acquire, and more experience in developing or acquiring, new products and technologies and in creating market awareness for these products and technologies.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for our microinverter systems in order to compete effectively. Suppliers of solar products, particularly solar modules, have experienced eroding prices over the last several years and as a result many have faced margin compression and declining revenues. If we have to reduce our prices by more than we anticipated, or if we are unable to offset any future reductions in our average selling prices by increasing our sales volume, reducing our costs and expenses or introducing new products, our revenues and gross profit would suffer.</w:t>
      </w:r>
    </w:p>
    <w:p>
      <w:pPr>
        <w:spacing w:after="0" w:line="11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also may face competition from some of our customers who evaluate our capabilities against the merits of manufacturing products internally. For instance, solar module manufacturers could attempt to develop components that directly perform DC to 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may purchase fewer of our microinverter systems or sell products that compete with our microinverters systems, which would negatively impact our revenue and gross profit.</w:t>
      </w:r>
    </w:p>
    <w:p>
      <w:pPr>
        <w:spacing w:after="0" w:line="11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1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offered 15-year limited warranties for our first and second generation microinverters and offer a limited warranty of up to 25 years on our third and fourth generation microinverters.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to the extent future products are not compatible with earlier generation products under warranty.</w:t>
      </w:r>
    </w:p>
    <w:p>
      <w:pPr>
        <w:spacing w:after="0" w:line="13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While we offer warranties of up to 25 years, our microinverters have only been in use since mid-2008, when we first commenced commercial sales of our products. Although we conduct accelerated life cycle testing to measure performance and reliability, our microinverter systems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12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proven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have caused and could in the future cause us to materially increase the amount of warranty obligations, and have had and may have in the future a corresponding negative impact on our results of operations.</w:t>
      </w:r>
    </w:p>
    <w:p>
      <w:pPr>
        <w:spacing w:after="0" w:line="116"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we may face warranty, indemnity and product liability claims arising from defective products.</w:t>
      </w:r>
    </w:p>
    <w:p>
      <w:pPr>
        <w:spacing w:after="0" w:line="1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Our products must meet stringent quality requirements and may contain undetected errors or defects, especially when first introduced or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certain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113"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124" w:lineRule="exact"/>
        <w:rPr>
          <w:sz w:val="20"/>
          <w:szCs w:val="20"/>
          <w:color w:val="auto"/>
        </w:rPr>
      </w:pPr>
    </w:p>
    <w:p>
      <w:pPr>
        <w:ind w:right="260" w:firstLine="432"/>
        <w:spacing w:after="0" w:line="279" w:lineRule="auto"/>
        <w:rPr>
          <w:sz w:val="20"/>
          <w:szCs w:val="20"/>
          <w:color w:val="auto"/>
        </w:rPr>
      </w:pPr>
      <w:r>
        <w:rPr>
          <w:rFonts w:ascii="Arial" w:cs="Arial" w:eastAsia="Arial" w:hAnsi="Arial"/>
          <w:sz w:val="17"/>
          <w:szCs w:val="17"/>
          <w:color w:val="auto"/>
        </w:rPr>
        <w:t>Our Enlighten web-based monitoring service, which our customers use to track and monitor the performance of their solar PV systems based on our product platform,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growth, our business and operating results may suffer.</w:t>
      </w:r>
    </w:p>
    <w:p>
      <w:pPr>
        <w:spacing w:after="0" w:line="171" w:lineRule="exact"/>
        <w:rPr>
          <w:sz w:val="20"/>
          <w:szCs w:val="20"/>
          <w:color w:val="auto"/>
        </w:rPr>
      </w:pPr>
    </w:p>
    <w:p>
      <w:pPr>
        <w:jc w:val="both"/>
        <w:ind w:right="240" w:firstLine="432"/>
        <w:spacing w:after="0" w:line="334" w:lineRule="auto"/>
        <w:rPr>
          <w:sz w:val="20"/>
          <w:szCs w:val="20"/>
          <w:color w:val="auto"/>
        </w:rPr>
      </w:pPr>
      <w:r>
        <w:rPr>
          <w:rFonts w:ascii="Arial" w:cs="Arial" w:eastAsia="Arial" w:hAnsi="Arial"/>
          <w:sz w:val="16"/>
          <w:szCs w:val="16"/>
          <w:color w:val="auto"/>
        </w:rPr>
        <w:t>We have recently experienced, and expect to continue to experience, significant growth in our sales and operations. Our historical growth has placed, and planned future growth is expected to continue to place, significant demands on our management, as well as our financial and operational resources, to:</w:t>
      </w:r>
    </w:p>
    <w:p>
      <w:pPr>
        <w:spacing w:after="0" w:line="1"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a larger organization;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train and manage a growing employee base;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broaden our customer support capabilities;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our financial disclosure controls and procedures.</w:t>
      </w:r>
    </w:p>
    <w:p>
      <w:pPr>
        <w:spacing w:after="0" w:line="171"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We cannot assure you that our current and planned operations, personnel, systems, internal procedures and controls will be adequate to support our future growth. If we cannot manage our growth effectively, we may be unable to take advantage of market opportunities, execute our business strategies or respond to competitive pressures, any of which could have a material adverse effect on our financial condition, results of operation, business or prospects.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and planned expansion into new markets could subject us to additional business, financial and competitive risks.</w:t>
      </w:r>
    </w:p>
    <w:p>
      <w:pPr>
        <w:spacing w:after="0" w:line="17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currently offer microinverter systems targeting the residential and commercial markets in the U.S., Canada, France, Italy, the United Kingdom, the Benelux region, certain other select European markets and Australia. We also intend to expand into other international markets and to introduce new microinverter systems targeted at larger commercial and utility-scale installations. Our success in these new geographic and product markets will depend on a number of factors, such as:</w:t>
      </w:r>
    </w:p>
    <w:p>
      <w:pPr>
        <w:spacing w:after="0" w:line="52"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an increasing manufacturing capacity and production;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solutions to address the requirements of the larger commercial and utility-scale markets;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 for larger commercial and utility-scale installations;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 over time;</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w:t>
      </w:r>
    </w:p>
    <w:p>
      <w:pPr>
        <w:spacing w:after="0" w:line="171" w:lineRule="exact"/>
        <w:rPr>
          <w:sz w:val="20"/>
          <w:szCs w:val="20"/>
          <w:color w:val="auto"/>
        </w:rPr>
      </w:pPr>
    </w:p>
    <w:p>
      <w:pPr>
        <w:ind w:right="420" w:firstLine="432"/>
        <w:spacing w:after="0" w:line="334" w:lineRule="auto"/>
        <w:rPr>
          <w:sz w:val="20"/>
          <w:szCs w:val="20"/>
          <w:color w:val="auto"/>
        </w:rPr>
      </w:pPr>
      <w:r>
        <w:rPr>
          <w:rFonts w:ascii="Arial" w:cs="Arial" w:eastAsia="Arial" w:hAnsi="Arial"/>
          <w:sz w:val="16"/>
          <w:szCs w:val="16"/>
          <w:color w:val="auto"/>
        </w:rPr>
        <w:t>Further, new geographic markets and the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1" w:lineRule="exact"/>
        <w:rPr>
          <w:sz w:val="20"/>
          <w:szCs w:val="20"/>
          <w:color w:val="auto"/>
        </w:rPr>
      </w:pPr>
    </w:p>
    <w:p>
      <w:pPr>
        <w:ind w:left="980" w:right="8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and consumer protection regulations, tariffs, export quotas, customs duties or other trade restrictions;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0" w:lineRule="exact"/>
        <w:rPr>
          <w:rFonts w:ascii="Arial" w:cs="Arial" w:eastAsia="Arial" w:hAnsi="Arial"/>
          <w:sz w:val="18"/>
          <w:szCs w:val="18"/>
          <w:color w:val="auto"/>
        </w:rPr>
      </w:pPr>
    </w:p>
    <w:p>
      <w:pPr>
        <w:ind w:left="980" w:right="120" w:hanging="486"/>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171"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color w:val="auto"/>
        </w:rPr>
        <w:t>Failure to develop and introduce these new products successfully, to generate sufficient revenue from these products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16" w:lineRule="exact"/>
        <w:rPr>
          <w:sz w:val="20"/>
          <w:szCs w:val="20"/>
          <w:color w:val="auto"/>
        </w:rPr>
      </w:pPr>
    </w:p>
    <w:p>
      <w:pPr>
        <w:ind w:right="160" w:firstLine="432"/>
        <w:spacing w:after="0" w:line="271" w:lineRule="auto"/>
        <w:rPr>
          <w:sz w:val="20"/>
          <w:szCs w:val="20"/>
          <w:color w:val="auto"/>
        </w:rPr>
      </w:pPr>
      <w:r>
        <w:rPr>
          <w:rFonts w:ascii="Arial" w:cs="Arial" w:eastAsia="Arial" w:hAnsi="Arial"/>
          <w:sz w:val="17"/>
          <w:szCs w:val="17"/>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improvements to the utility infrastructure could reduce the retail price of electricity from the utility grid, making the purchase of solar PV systems less economically attractive and lowering sales of our microinverter systems. In addition, energy conservation technologies and public initiatives to reduce demand for electricity also</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could cause a fall in the retail price of electricity from the utility grid. Moreover, technological developments by our competitors in the solar components industry, including manufacturers of central inverters,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make installation or operation of solar distributed generation more costly. Such measures can include grid access fees, costly or lengthy interconnection studies, limitations on distributed generation penetration levels, or other measures. If the cost of electricity generated by solar PV installations incorporating our microinverter systems is high relative to the cost of electricity from other sources, our business, financial condition and results of operations may be harmed.</w:t>
      </w:r>
    </w:p>
    <w:p>
      <w:pPr>
        <w:spacing w:after="0" w:line="13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or difficulties in planning expenses, which will adversely affect our business and financial condition.</w:t>
      </w:r>
    </w:p>
    <w:p>
      <w:pPr>
        <w:spacing w:after="0" w:line="116"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12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 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128" w:lineRule="exact"/>
        <w:rPr>
          <w:sz w:val="20"/>
          <w:szCs w:val="20"/>
          <w:color w:val="auto"/>
        </w:rPr>
      </w:pPr>
    </w:p>
    <w:p>
      <w:pPr>
        <w:jc w:val="both"/>
        <w:ind w:right="440" w:firstLine="432"/>
        <w:spacing w:after="0" w:line="286"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17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adjust their purchase orders placed with us in response to changing channel inventory levels, as well as their assessment of the latest market demand trends.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13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16"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Changes in current laws or regulations applicable to us or the imposition of new laws and regulations in the United States or other jurisdictions in which we do business, such as Australia, Canada, France, Italy, the United Kingdom, the Benelux region and China, could materially and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For example, the Italian energy authority (AEEG) enacted a new set of interconnection standards for solar energy installations that became effective in July 2012, which has negatively impacted our sales in Italy. We continue to explore potential solutions to meet these requirements. However, in the event that we cannot implement a solution in the near term the total market available for our microinverter products in Italy, and our business as a result, may continue to be adversely impacted.</w:t>
      </w:r>
    </w:p>
    <w:p>
      <w:pPr>
        <w:spacing w:after="0" w:line="13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several states, including Louisiana and California, have either implemented or are considering implementing new restrictions on incentives or rule regulating the installation of solar systems that we may not be able to currently comply with.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13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While we are not aware of any other current or proposed export or import regulations which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3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Our operations could be disrupted if we encounter problems with these contract manufacturers.</w:t>
      </w:r>
    </w:p>
    <w:p>
      <w:pPr>
        <w:spacing w:after="0" w:line="116"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We do not have internal manufacturing capabilities, and rely upon a small number of contract manufacturers to build our products. In particular, we rely on contract manufacturers for the manufacture of microinverter products, cabling and our communications gateway related to our microinverter systems. Our reliance on a small number of contract manufacturers makes us vulnerable to possible capacity constraints and reduced control over component availability, delivery schedules, manufacturing yields and costs. We do not have long-term supply contracts with our other manufacturing partners. Consequently, these manufacturers are not obligated to supply products to us for any period, in any specified quantity or at any certain price.</w:t>
      </w:r>
    </w:p>
    <w:p>
      <w:pPr>
        <w:spacing w:after="0" w:line="11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revenues that our contract manufacturers generate from our orders represent a relatively small percentage of their overall revenues. As a result, fulfilling our orders may not be considered a priority in the event of constrained ability to fulfill all of their customer obligations in a timely manner. In addition, the facilities in which our microinverters, related cabling and communications gateway products are manufactured are located outside of the United States. We believe that the location of these facilities outside of the United States increases supply risk, including the risk of supply interruptions or reductions in manufacturing quality or controls.</w:t>
      </w:r>
    </w:p>
    <w:p>
      <w:pPr>
        <w:spacing w:after="0" w:line="134"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including price. Any significant interruption in manufacturing would require us to reduce our supply of products to our customers, which in turn would reduce our revenues, harm our relationships with our customers and damage our relationships with our distributors and end customers and cause us to forgo potential revenue opportunities.</w:t>
      </w:r>
    </w:p>
    <w:p>
      <w:pPr>
        <w:spacing w:after="0" w:line="1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16"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124"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A disruption could also occur in our manufacturing partner's fabrication facility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shipment schedules requested by our customers, which would negatively affect our revenue, competitive position and reputation.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changes in customer requirements, manufacturing facilities or processes, or those of some third-party contract manufacturers and suppliers of raw materials and components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11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production lines while problems are addressed or corrected. Since our business is substantially dependent on a limited number of product lines, any prolonged or substantial suspension of manufacturing production lines could result in a material adverse effect on our revenue, gross profit, competitive position, and distributor and customer relationships.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depend on sole source and limited source suppliers for key components and products. If we are unable to source these components on a timely basis, we will not be able to deliver our products to our customers.</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depend on sole source and limited source suppliers for key components of our products. For example, our ASICs are purchased from a sole source supplier or developed for us by sole source suppliers. Any of the sole source and limited source suppliers upon whom we rely could experience quality and reliability issues, could stop producing our components, cease operations or be acquired by, or enter into exclusive arrangements with, our competitors. We generally do not have long-term supply agreements with our suppliers, and our purchase volumes are currently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including price, or at all. Switching suppliers may require that we redesign our products to accommodate new components, and may potentially require us to re-qualify our products, which would be costly and time-consuming. Any interruption in the quality or supply of sole source or limited source components for our products would adversely affect our ability to meet scheduled product deliveries to our customers, could result in lost revenue or higher expenses and would harm our business.</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16"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11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16"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Many owners of solar PV systems depend on financing to purchase their systems. The limited use of microinverters to date, coupled with our limited operating history,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installations on favorable terms, or increases in interest rates or changes in tax incentives, could lower an investor's return on</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5" w:right="2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investment in a solar PV installation,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an increasing share of residential solar installations has been provided through third party financing structures, such as power purchase or lease agreements. Our sales growth therefore increasingly depends on sales to developers of third party solar finance offerings who provide solar as a service via power purchase agreements or leasing structures. The third party finance market for residential solar in the US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will be constrained.</w:t>
      </w:r>
    </w:p>
    <w:p>
      <w:pPr>
        <w:spacing w:after="0" w:line="11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primarily on distributors to assist in selling our products, and the failure of these distributors to perform as expected could reduce our future revenue.</w:t>
      </w:r>
    </w:p>
    <w:p>
      <w:pPr>
        <w:spacing w:after="0" w:line="116"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We sell our microinverter systems primarily through distributors, as well as through direct sales to solar equipment installers and sales to developers of third party solar finance offerings. For the nine months ended September 30, 2013, sales to two distributors, each accounting for more than 10% of our total net revenues, collectively accounted for 28% of our total net revenues. In 2012, sales to two distributors, each accounting for more than 10% of our net revenues, collectively accounted for 27% of our total net revenues. We do not have exclusive arrangements with these third parties and, as a result, many of our distributors also market and sell products from our competitors, which may reduce our sales. Our distributors may terminate their relationships with us at any time, or with short notice. Our distributors may fail to devote resources necessary to sell our products at the prices, in the volumes and within the time frames that we expect, or may focus their marketing and sales efforts on products of our competitors. Our future performance depends on our ability to effectively manage our relationships with our existing distributors, as well as to attract additional distributors that will be able to market and support our products effectively, especially in markets in which we have not previously distributed our products. Termination of agreements with current distributors, failure by these distributors to perform as expected, or failure by us to cultivate new distributor relationships, could hinder our ability to expand our operations and harm our revenue and operating results.</w:t>
      </w:r>
    </w:p>
    <w:p>
      <w:pPr>
        <w:spacing w:after="0" w:line="1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success in an “AC module” version of our microinverter system may depend in part upon our ability to continue to work closely with leading solar module manufacturers.</w:t>
      </w:r>
    </w:p>
    <w:p>
      <w:pPr>
        <w:spacing w:after="0" w:line="11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are currently working on variants of our microinverter system that will enable an “AC module” for direct attachment of the microinverter to the solar modules. The market success of such solutions will depend in part on our ability to continue to work closely with solar module manufacturers to design solar modules that are compatible with such direct attachment of our microinverter. We may not be able to encourage solar module manufacturers to work with us on the development of such compatible solutions combining our microinverter system and solar modules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changes faced by many of these manufacturers due to declining prices and revenues from sales of solar modules.</w:t>
      </w:r>
    </w:p>
    <w:p>
      <w:pPr>
        <w:spacing w:after="0" w:line="1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29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technical personnel, each of whom would be difficult to replace. All of our employees, including our senior management, are free to terminate their employment relationships with us at any time. Competition for highly skilled technical people is extremely intense, and we face challenges identifying, hiring and retaining qualified personnel in many areas of our business. If we fail to retain our senior management and other key personnel or if we fail to attract additional qualified personnel, we may not be able to achieve our strategic objectives and our business could suffer.</w:t>
      </w:r>
    </w:p>
    <w:p>
      <w:pPr>
        <w:spacing w:after="0" w:line="13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16" w:lineRule="exact"/>
        <w:rPr>
          <w:sz w:val="20"/>
          <w:szCs w:val="20"/>
          <w:color w:val="auto"/>
        </w:rPr>
      </w:pPr>
    </w:p>
    <w:p>
      <w:pPr>
        <w:jc w:val="both"/>
        <w:ind w:right="140" w:firstLine="432"/>
        <w:spacing w:after="0" w:line="293" w:lineRule="auto"/>
        <w:rPr>
          <w:sz w:val="20"/>
          <w:szCs w:val="20"/>
          <w:color w:val="auto"/>
        </w:rPr>
      </w:pPr>
      <w:r>
        <w:rPr>
          <w:rFonts w:ascii="Arial" w:cs="Arial" w:eastAsia="Arial" w:hAnsi="Arial"/>
          <w:sz w:val="16"/>
          <w:szCs w:val="16"/>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certain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rebrand or re-design our affected products. In countries where we have not applied for patent protection or where effective intellectual property protection is not available to the same extent as in the United States, we may be at greater risk that our proprietary rights will be misappropriated, infringed or otherwise violated.</w:t>
      </w:r>
    </w:p>
    <w:p>
      <w:pPr>
        <w:spacing w:after="0" w:line="127"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consultants.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in which case we would not be able to assert trade secret rights,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14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13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Our competitors and other third parties hold numerous patents related to technology used in our industry, and claims of patent or other intellectual property right infringement or violation have been litigated against certain of our competitors. From time to time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in any material respect upon any valid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inventions covered by our patents or patent applications. As we become more visible as a publicly traded company, the possibility that third parties may make claims of intellectual property infringement or other violations against us may grow. An adverse outcome with respect to any such claim could invalidate our proprietary rights and force us to do one or more of the following:</w:t>
      </w:r>
    </w:p>
    <w:p>
      <w:pPr>
        <w:spacing w:after="0" w:line="32" w:lineRule="exact"/>
        <w:rPr>
          <w:sz w:val="20"/>
          <w:szCs w:val="20"/>
          <w:color w:val="auto"/>
        </w:rPr>
      </w:pPr>
    </w:p>
    <w:p>
      <w:pPr>
        <w:ind w:left="980" w:right="6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sell or use the relevant technology, which may not be available on reasonable terms, or at all;</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embody the asserted intellectual property;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90" w:lineRule="exact"/>
        <w:rPr>
          <w:rFonts w:ascii="Arial" w:cs="Arial" w:eastAsia="Arial" w:hAnsi="Arial"/>
          <w:sz w:val="18"/>
          <w:szCs w:val="18"/>
          <w:color w:val="auto"/>
        </w:rPr>
      </w:pPr>
    </w:p>
    <w:p>
      <w:pPr>
        <w:ind w:left="980" w:right="340" w:hanging="486"/>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customers pursuant to indemnification obligations under some of our customer contracts; or expend significant resources to redesign the products that use the infringing technology and to develop or acquire non-infringing technology.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1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From time to time we have licensed, and in the future we may choose to or be required to license, technology or intellectual property from third parties in connection with the development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applicable open source licenses, we may be subject to costly third party claims of intellectual property infringement or ownership of our proprietary source code. Any of the foregoing could harm our business and put us at a competitive disadvantage.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171"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We have been and could continue to be subject to industry-specific seasonal fluctuations in the future, particularly in climates that experience colder weather during the winter months, such as northern Europe, Canada, and the United States. In general, we expect our product revenue in the third and fourth quarters to be positively affected by seasonal customer demand trends, including solar economic incentives, weather patterns and construction cycles. In the United States, customers will sometimes make purchasing decisions towards the end of the year in order to take advantage of tax credits or for budgetary reasons. In addition, construction levels are typically slower in colder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3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Covenants in our credit facilities may limit our flexibility in responding to business opportunities and competitive developments and increase our vulnerability to adverse economic or industry conditions.</w:t>
      </w:r>
    </w:p>
    <w:p>
      <w:pPr>
        <w:spacing w:after="0" w:line="116"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We have lending arrangements with several financial institutions, including loan and security agreements with Wells Fargo Bank, National Association (“Wells Fargo”) and with Hercules Technology Growth Capital, Inc. (“Hercules”). The loan and security agreements with Wells Fargo and with Hercules restrict our ability to take certain actions such as incurring additional debt, encumbering our tangible or intangible property, paying dividends, or engaging in certain transactions, such as mergers and acquisitions, investments and asset sales. Our loan and security agreement with Wells Fargo also requires us to maintain certain financial covenants, including liquidity ratios while our agreement with Hercules includes a condition precedent to borrowing that is subject to us achieving certain financial objectives. These restrictions may limit our flexibility in responding to business opportunities, competitive developments and adverse economic or industry conditions. In addition, our obligations under our loan and security agreements with Wells Fargo and Hercules are secured by substantially all of our assets (excluding intellectual property), which limits our ability to provide collateral for additional financing. A breach of any of these covenants, or a failure to pay interest or indebtedness when due under any of our credit facilities, could result in a variety of adverse consequences, including the acceleration of our indebtedness and the forfeiture of our assets subject to security interests in favor of the lenders.</w:t>
      </w:r>
    </w:p>
    <w:p>
      <w:pPr>
        <w:spacing w:after="0" w:line="1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1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 but not limited to, not being required to comply with the auditor attestation requirements of Section 404 of the Sarbanes-Oxley Act of 2002, or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December 31, 2017 (the last day of the fiscal year following the fifth anniversary of our initial public offering), although we could cease to be an “emerging growth company” earlier if certain events occur as specified in the JOBS Act, such as our achieving annual revenue of at least $1 billion or our becoming a “large accelerated filer” as defined in Rule 12b-2 of the Exchange Act.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be more volatile.</w:t>
      </w:r>
    </w:p>
    <w:p>
      <w:pPr>
        <w:spacing w:after="0" w:line="11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or the Sarbanes-Oxley Act, requires us to evaluate and report on our internal control over financial reporting beginning with our Annual Report on Form 10-K for the year ending December 31, 2013. In addition, our independent registered public accounting firm is required to evaluate and report on our internal control over financial reporting beginning with our first Annual Report on 10-K for the year in which we cease to be an “emerging growth company,” as defined in the Jumpstart Our Business Startups Act enacted in April 2012, or the JOBS Act. The process of implementing our internal controls and complying with Section 404 will be expensive and time consuming, and will require significant attention of management. We cannot be certain that these measures will ensure that we implement and maintain adequate controls over our financial processes and reporting in the future. Even if we conclude, and our independent registered public accounting firm concurs,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or our independent registered public accounting firm discover a material weakness, the disclosure of that fact, even if quickly remedied, could reduce the market's confidence in our financial statements and harm our stock price. In addition, a delay in compliance with Section 404 could subject us to a variety of administrative sanctions, including SEC action, ineligibility for short form resale registration, the suspension or delisting of our common stock from the stock exchange on which it is listed and the inability of registered broker-dealers to make a market in our common stock, which would further reduce our stock price and could harm our business.</w:t>
      </w:r>
    </w:p>
    <w:p>
      <w:pPr>
        <w:spacing w:after="0" w:line="1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use net operating losses to reduce future tax payments may be limited by provisions of the Internal Revenue Code, and may be subject to further limitation as a result of future transactions.</w:t>
      </w:r>
    </w:p>
    <w:p>
      <w:pPr>
        <w:spacing w:after="0" w:line="116"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Sections 382 and 383 of the Internal Revenue Code of 1986, as amended, contain rules that limit the ability of a company that undergoes an ownership change, which is generally any cumulative change in ownership of more than 50% of its stock over a three-year period, to utilize its net operating loss and tax credit carryforwards and certain built-in losses recognized in the years after the ownership change. These rules generally operate by focusing on ownership changes involving stockholders who directly or indirectly own 5% or more of the stock of a company and any change in ownership arising from a new issuance of stock by the company. Generally, if an ownership change occurs, the yearly taxable income limitation on the use of net operating loss and tax credit carryforwards is equal to the product of the applicable long-term tax exempt rate and the value of the company's stock immediately before the ownership change. As a result, we may be unable to offset our taxable income with net operating losses, or our tax liability with credits, before these losses and credits expire.</w:t>
      </w:r>
    </w:p>
    <w:p>
      <w:pPr>
        <w:spacing w:after="0" w:line="13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addition, it is possible that future transactions (including issuances of new shares of our common stock and sales of shares of our common stock) will cause us to undergo one or more additional ownership changes. In that event, we generally would not be able to use our net operating losses from periods prior to this ownership change to offset future taxable income in excess of the annual limitations imposed by Sections 382 and 383 and those attributes that are already subject to limitations (as a result of our prior ownership changes) may be subject to more stringent limitations.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may strain our resources and divert management's attention from other aspects of our business.</w:t>
      </w:r>
    </w:p>
    <w:p>
      <w:pPr>
        <w:spacing w:after="0" w:line="194"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are subject to a wide variety of rules and regulations as a public reporting company. The Dodd-Frank Wall Street Reform and Consumer Protection Act, or the Dodd-Frank Act, the Sarbanes-Oxley Act and the rules implemented by the SEC and the NASDAQ Global Market impose significant regulatory requirements on public companies, including specific corporate governance practices. For example, the listing requirements of the NASDAQ Global Market require that we satisfy certain corporate governance requirements relating to independent directors, audit and compensation committees, distribution of annual and interim reports, stockholder meetings, stockholder approvals, solicitation of proxies, conflicts of interest, stockholder voting rights and codes of conduct. Our management and other personnel are required to devote a substantial amount of time to these compliance initiatives. Moreover, these rules and regulations increase our legal and financial compliance costs and make some activities more time-consuming and costly. As a public company, being subject to these rules and regulations makes it more difficult and more expensive for us to obtain director and officer liability insurance, and in the future, we may be required to accept reduced policy limits and coverage or incur substantial additional costs to maintain the same or similar coverage. These rules and regulations could also make it more difficult for us to attract and retain qualified persons to serve on our board of directors, our board committees or as executive officers.</w:t>
      </w:r>
    </w:p>
    <w:p>
      <w:pPr>
        <w:spacing w:after="0" w:line="129"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These rules and regulations also contain requirements that apply to manufacturers of products incorporating specified minerals. The Dodd-Frank Act requires public companies to report on their use of so-called conflict minerals originating from the Democratic Republic of Congo or its nine immediate neighbors. Certain minerals commonly used in semiconductors are 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list of conflict minerals, and additional minerals may be added to the list in the future. Compliance with these rules, which will require us to disclose our use of these minerals and to obtain an annual audit of our sourcing and the chain of custody of these minerals, will be time-consuming and costly.</w:t>
      </w:r>
    </w:p>
    <w:p>
      <w:pPr>
        <w:spacing w:after="0" w:line="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16"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believe that our existing cash and cash equivalents available credit facilities and cash flows from our operating activities, will be sufficient to meet our anticipated cash needs for at least the next 12 months. However, we may need to raise additional capital to execute on our current or future business strategies, including to:</w:t>
      </w:r>
    </w:p>
    <w:p>
      <w:pPr>
        <w:spacing w:after="0" w:line="46"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invest in our research and development efforts by hiring additional technical and other personnel;</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w:t>
      </w:r>
    </w:p>
    <w:p>
      <w:pPr>
        <w:spacing w:after="0" w:line="17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expand our research and development, sales and 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terrorist or cyber attacks, or other catastrophic events could harm our operations.</w:t>
      </w:r>
    </w:p>
    <w:p>
      <w:pPr>
        <w:spacing w:after="0" w:line="1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Our worldwide operations could be subject to natural disasters and other business disruptions, which could harm our future revenue and financial condition and increase our costs and expenses. For example, our corporate headquarters in Petaluma, California is located near major earthquake fault lines. Further, a terrorist attack, including one aimed at energy or communications infrastructure suppliers or our web-based monitoring service, could hinder or delay the development and sale or performance of our products. In the event that an earthquake, tsunami, typhoon, terrorist or cyber attack, or other natural, manmade or technical catastrophe were to destroy any part of our facilities or those of our contract manufacturer, destroy or disrupt vital infrastructure systems or interrupt our operations or services for any extended period of time, our business, financial condition and results of operations would be materially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171"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market price of our common stock has been and could be subject to wide fluctuations in response to, among other things, the risk factors described in this section of this Quarterly Report on Form 10-Q,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18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Our quarterly revenue and results of operations have varied in the past and may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46"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demand for our products;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5" w:right="2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90" w:lineRule="exact"/>
        <w:rPr>
          <w:rFonts w:ascii="Arial" w:cs="Arial" w:eastAsia="Arial" w:hAnsi="Arial"/>
          <w:sz w:val="18"/>
          <w:szCs w:val="18"/>
          <w:color w:val="auto"/>
        </w:rPr>
      </w:pPr>
    </w:p>
    <w:p>
      <w:pPr>
        <w:ind w:left="980" w:right="80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90" w:lineRule="exact"/>
        <w:rPr>
          <w:rFonts w:ascii="Arial" w:cs="Arial" w:eastAsia="Arial" w:hAnsi="Arial"/>
          <w:sz w:val="18"/>
          <w:szCs w:val="18"/>
          <w:color w:val="auto"/>
        </w:rPr>
      </w:pPr>
    </w:p>
    <w:p>
      <w:pPr>
        <w:ind w:left="980" w:right="16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01" w:lineRule="exact"/>
        <w:rPr>
          <w:rFonts w:ascii="Arial" w:cs="Arial" w:eastAsia="Arial" w:hAnsi="Arial"/>
          <w:sz w:val="17"/>
          <w:szCs w:val="17"/>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90" w:lineRule="exact"/>
        <w:rPr>
          <w:rFonts w:ascii="Arial" w:cs="Arial" w:eastAsia="Arial" w:hAnsi="Arial"/>
          <w:sz w:val="18"/>
          <w:szCs w:val="18"/>
          <w:color w:val="auto"/>
        </w:rPr>
      </w:pPr>
    </w:p>
    <w:p>
      <w:pPr>
        <w:ind w:left="980" w:right="320" w:hanging="486"/>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forecast our customer demand, manufacturing requirements and manage our inventory;</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 and</w:t>
      </w:r>
    </w:p>
    <w:p>
      <w:pPr>
        <w:spacing w:after="0" w:line="90" w:lineRule="exact"/>
        <w:rPr>
          <w:rFonts w:ascii="Arial" w:cs="Arial" w:eastAsia="Arial" w:hAnsi="Arial"/>
          <w:sz w:val="18"/>
          <w:szCs w:val="18"/>
          <w:color w:val="auto"/>
        </w:rPr>
      </w:pPr>
    </w:p>
    <w:p>
      <w:pPr>
        <w:ind w:left="980" w:hanging="486"/>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16"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research analysts publish about us and our business. The price of our common stock could decline if one or more research analysts downgrade our stock or if those analysts issue other unfavorable commentary or cease publishing reports about us or our business. If one or more of the research analysts ceases coverage of our company or fails to publish reports on us regularly, demand for our common stock could decrease, which could cause our stock price or trading volume to decline.</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principal stockholders, executive officers and directors own a significant percentage of our stock, and they may take actions that our stockholders may not view as beneficial.</w:t>
      </w:r>
    </w:p>
    <w:p>
      <w:pPr>
        <w:spacing w:after="0" w:line="116" w:lineRule="exact"/>
        <w:rPr>
          <w:sz w:val="20"/>
          <w:szCs w:val="20"/>
          <w:color w:val="auto"/>
        </w:rPr>
      </w:pPr>
    </w:p>
    <w:p>
      <w:pPr>
        <w:ind w:right="280" w:firstLine="432"/>
        <w:spacing w:after="0" w:line="271" w:lineRule="auto"/>
        <w:rPr>
          <w:sz w:val="20"/>
          <w:szCs w:val="20"/>
          <w:color w:val="auto"/>
        </w:rPr>
      </w:pPr>
      <w:r>
        <w:rPr>
          <w:rFonts w:ascii="Arial" w:cs="Arial" w:eastAsia="Arial" w:hAnsi="Arial"/>
          <w:sz w:val="17"/>
          <w:szCs w:val="17"/>
          <w:color w:val="auto"/>
        </w:rPr>
        <w:t>As of October 31, 2013, our executive officers, directors, greater than 5% stockholders and entities that are affiliated with them, beneficially owned approximately 47% of our outstanding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19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As of October 31, 2013, we had approximately 42.0 million shares of common stock outstanding, all of which are eligible for sale in the public market, subject in some cases to the volume limitations and manner of sale requirements of Rule 144 under the Securities Act. Sales of stock by our stockholders could have a material adverse effect on the trading price of our common stock.</w:t>
      </w:r>
    </w:p>
    <w:p>
      <w:pPr>
        <w:spacing w:after="0" w:line="139"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12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16"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the terms of our bank loan agreements restrict our ability to pay dividends. Consequently, an investor's only opportunity to achieve a return on its investment in our company will be if the market price of our common stock appreciates and the investor sells its shares at a profit.</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16"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46" w:lineRule="exact"/>
        <w:rPr>
          <w:sz w:val="20"/>
          <w:szCs w:val="20"/>
          <w:color w:val="auto"/>
        </w:rPr>
      </w:pPr>
    </w:p>
    <w:p>
      <w:pPr>
        <w:ind w:left="980" w:right="62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3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directory candidates;</w:t>
      </w:r>
    </w:p>
    <w:p>
      <w:pPr>
        <w:spacing w:after="0" w:line="101" w:lineRule="exact"/>
        <w:rPr>
          <w:rFonts w:ascii="Arial" w:cs="Arial" w:eastAsia="Arial" w:hAnsi="Arial"/>
          <w:sz w:val="17"/>
          <w:szCs w:val="17"/>
          <w:color w:val="auto"/>
        </w:rPr>
      </w:pPr>
    </w:p>
    <w:p>
      <w:pPr>
        <w:ind w:left="980" w:right="2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35" w:lineRule="exact"/>
        <w:rPr>
          <w:rFonts w:ascii="Arial" w:cs="Arial" w:eastAsia="Arial" w:hAnsi="Arial"/>
          <w:sz w:val="18"/>
          <w:szCs w:val="18"/>
          <w:color w:val="auto"/>
        </w:rPr>
      </w:pPr>
    </w:p>
    <w:p>
      <w:pPr>
        <w:ind w:left="980" w:right="92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35" w:lineRule="exact"/>
        <w:rPr>
          <w:rFonts w:ascii="Arial" w:cs="Arial" w:eastAsia="Arial" w:hAnsi="Arial"/>
          <w:sz w:val="18"/>
          <w:szCs w:val="18"/>
          <w:color w:val="auto"/>
        </w:rPr>
      </w:pPr>
    </w:p>
    <w:p>
      <w:pPr>
        <w:ind w:left="980" w:right="20" w:hanging="486"/>
        <w:spacing w:after="0" w:line="25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53" w:lineRule="exact"/>
        <w:rPr>
          <w:rFonts w:ascii="Arial" w:cs="Arial" w:eastAsia="Arial" w:hAnsi="Arial"/>
          <w:sz w:val="18"/>
          <w:szCs w:val="18"/>
          <w:color w:val="auto"/>
        </w:rPr>
      </w:pPr>
    </w:p>
    <w:p>
      <w:pPr>
        <w:ind w:left="980" w:right="20" w:hanging="486"/>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46" w:lineRule="exact"/>
        <w:rPr>
          <w:rFonts w:ascii="Arial" w:cs="Arial" w:eastAsia="Arial" w:hAnsi="Arial"/>
          <w:sz w:val="18"/>
          <w:szCs w:val="18"/>
          <w:color w:val="auto"/>
        </w:rPr>
      </w:pPr>
    </w:p>
    <w:p>
      <w:pPr>
        <w:ind w:left="980" w:right="100" w:hanging="486"/>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1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127"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71" w:lineRule="exact"/>
        <w:rPr>
          <w:sz w:val="20"/>
          <w:szCs w:val="20"/>
          <w:color w:val="auto"/>
        </w:rPr>
      </w:pPr>
    </w:p>
    <w:p>
      <w:pPr>
        <w:ind w:firstLine="446"/>
        <w:spacing w:after="0" w:line="290" w:lineRule="auto"/>
        <w:rPr>
          <w:sz w:val="20"/>
          <w:szCs w:val="20"/>
          <w:color w:val="auto"/>
        </w:rPr>
      </w:pPr>
      <w:r>
        <w:rPr>
          <w:rFonts w:ascii="Arial" w:cs="Arial" w:eastAsia="Arial" w:hAnsi="Arial"/>
          <w:sz w:val="16"/>
          <w:szCs w:val="16"/>
          <w:color w:val="auto"/>
        </w:rPr>
        <w:t>On March 29, 2012, our registration statements on Form S-1 (Registration Nos. 333-174925 and 333-180467) were declared effective by the SEC for our IPO, pursuant to which we registered 10,315,151 shares of common stock to be sold by us. The stock was offered at $6.00 per share. Our common stock commenced trading on March 30, 2012. The offering closed on April 4, 2012 after the sale of all 10,315,151 shares registered, including 1,345,454 shares sold pursuant to the over-allotment option granted by the Company to the underwriters. As a result, we received net proceeds of approximately $53.8 million, after underwriters' discounts of approximately $3.3 million and other direct offering expenses of $4.8 million. Morgan Stanley &amp; Co. LLC, Merrill Lynch, Pierce, Fenner &amp; Smith Incorporated and Deutsche Bank Securities Inc. acted as joint book-running managers for the offering. Jefferies &amp; Company, Inc. acted as joint lead manager, and Lazard Capital Markets LLC and ThinkEquity LLC acted as co-managers. No offering expenses were paid directly or indirectly to our directors, officers or their associates, or to persons owning 10% or more of any of our equity securities.</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has been no material change in the use of proceeds from our IPO as described in our final prospectus filed with the SEC pursuant to Rule 424(b).</w:t>
      </w: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Exhibit Index which follows the signature page of this Quarterly Report on Form 10-Q, which is incorporated herein by reference.</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125" w:right="29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November 12, 2013</w:t>
      </w:r>
    </w:p>
    <w:p>
      <w:pPr>
        <w:spacing w:after="0" w:line="356"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ENPHASE ENERGY, INC.</w:t>
      </w:r>
    </w:p>
    <w:p>
      <w:pPr>
        <w:spacing w:after="0" w:line="189" w:lineRule="exact"/>
        <w:rPr>
          <w:sz w:val="20"/>
          <w:szCs w:val="20"/>
          <w:color w:val="auto"/>
        </w:rPr>
      </w:pPr>
    </w:p>
    <w:p>
      <w:pPr>
        <w:ind w:left="5860"/>
        <w:spacing w:after="0"/>
        <w:tabs>
          <w:tab w:leader="none" w:pos="7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Vice President and Chief Financial Officer</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0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77"/>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740" w:type="dxa"/>
            <w:vAlign w:val="bottom"/>
          </w:tcPr>
          <w:p>
            <w:pPr>
              <w:spacing w:after="0"/>
              <w:rPr>
                <w:sz w:val="24"/>
                <w:szCs w:val="24"/>
                <w:color w:val="auto"/>
              </w:rPr>
            </w:pPr>
          </w:p>
        </w:tc>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740" w:type="dxa"/>
            <w:vAlign w:val="bottom"/>
          </w:tcPr>
          <w:p>
            <w:pPr>
              <w:spacing w:after="0"/>
              <w:rPr>
                <w:sz w:val="13"/>
                <w:szCs w:val="13"/>
                <w:color w:val="auto"/>
              </w:rPr>
            </w:pPr>
          </w:p>
        </w:tc>
        <w:tc>
          <w:tcPr>
            <w:tcW w:w="5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Amended and Restated Certificate of Incorporation of Enphase Energy, Inc.</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 of Enphase Energy, Inc.</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Specimen Common Stock Certificate of Enphase Energy, Inc.</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90"/>
              </w:rPr>
              <w:t>2010 Amended and Restated Investors’ Rights Agreement by and between Enphase Energy, Inc. and the investors listed on Exhibit A</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thereto, dated March 15, 2010, as amended.</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92"/>
              </w:rPr>
              <w:t>Warrant to Purchase Shares of Series Preferred Stock, between the Company and Compass Horizon Funding Company LLC,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March 11, 2010.</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92"/>
              </w:rPr>
              <w:t>Warrant to Purchase Shares of Series Preferred Stock, between the Company and Horizon Technology Finance Corporation, dated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March 25, 2011.</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89"/>
              </w:rPr>
              <w:t>Form of September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89"/>
              </w:rPr>
              <w:t>Form of November 2011 Warrant to Purchase Common Stock of Enphase Energy, Inc., pursuant to that certain Amended and Restated</w:t>
            </w:r>
          </w:p>
        </w:tc>
        <w:tc>
          <w:tcPr>
            <w:tcW w:w="0" w:type="dxa"/>
            <w:vAlign w:val="bottom"/>
          </w:tcPr>
          <w:p>
            <w:pPr>
              <w:spacing w:after="0"/>
              <w:rPr>
                <w:sz w:val="1"/>
                <w:szCs w:val="1"/>
                <w:color w:val="auto"/>
              </w:rPr>
            </w:pPr>
          </w:p>
        </w:tc>
      </w:tr>
      <w:tr>
        <w:trPr>
          <w:trHeight w:val="329"/>
        </w:trPr>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Subordinated Convertible Loan Facility and Security Agreement.</w:t>
            </w:r>
            <w:r>
              <w:rPr>
                <w:rFonts w:ascii="Arial" w:cs="Arial" w:eastAsia="Arial" w:hAnsi="Arial"/>
                <w:sz w:val="25"/>
                <w:szCs w:val="25"/>
                <w:color w:val="auto"/>
                <w:vertAlign w:val="superscript"/>
              </w:rPr>
              <w:t>(3)</w:t>
            </w:r>
          </w:p>
        </w:tc>
        <w:tc>
          <w:tcPr>
            <w:tcW w:w="0" w:type="dxa"/>
            <w:vAlign w:val="bottom"/>
          </w:tcPr>
          <w:p>
            <w:pPr>
              <w:spacing w:after="0"/>
              <w:rPr>
                <w:sz w:val="1"/>
                <w:szCs w:val="1"/>
                <w:color w:val="auto"/>
              </w:rPr>
            </w:pPr>
          </w:p>
        </w:tc>
      </w:tr>
      <w:tr>
        <w:trPr>
          <w:trHeight w:val="293"/>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Executive Officer pursuant to Rule 13a-14(a)/15d-14(a).</w:t>
            </w:r>
          </w:p>
        </w:tc>
        <w:tc>
          <w:tcPr>
            <w:tcW w:w="0" w:type="dxa"/>
            <w:vAlign w:val="bottom"/>
          </w:tcPr>
          <w:p>
            <w:pPr>
              <w:spacing w:after="0"/>
              <w:rPr>
                <w:sz w:val="1"/>
                <w:szCs w:val="1"/>
                <w:color w:val="auto"/>
              </w:rPr>
            </w:pPr>
          </w:p>
        </w:tc>
      </w:tr>
      <w:tr>
        <w:trPr>
          <w:trHeight w:val="392"/>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Financial Officer pursuant to Rule 13a-14(a)/15d-14(a).</w:t>
            </w:r>
          </w:p>
        </w:tc>
        <w:tc>
          <w:tcPr>
            <w:tcW w:w="0" w:type="dxa"/>
            <w:vAlign w:val="bottom"/>
          </w:tcPr>
          <w:p>
            <w:pPr>
              <w:spacing w:after="0"/>
              <w:rPr>
                <w:sz w:val="1"/>
                <w:szCs w:val="1"/>
                <w:color w:val="auto"/>
              </w:rPr>
            </w:pPr>
          </w:p>
        </w:tc>
      </w:tr>
      <w:tr>
        <w:trPr>
          <w:trHeight w:val="377"/>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w w:val="96"/>
              </w:rPr>
              <w:t>Certification of Chief Executive Officer and Chief Financial Officer pursuant to 18 U.S.C. Section 1350 as Adopted Pursuant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90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306" w:lineRule="exact"/>
        <w:rPr>
          <w:sz w:val="20"/>
          <w:szCs w:val="20"/>
          <w:color w:val="auto"/>
        </w:rPr>
      </w:pPr>
    </w:p>
    <w:p>
      <w:pPr>
        <w:ind w:left="1300" w:hanging="48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as Exhibit 3.1 to the Current Report on Form 8-K (File No. 001-35480), filed with the Securities and Exchange Commission on April 6,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as Exhibit 3.5 to Amendment No. 7 to the Registration Statement on Form S-1/A (File No. 333-174925), filed with the Securities and Exchange Commission on March 12, 2012, and incorporated by reference herein.</w:t>
      </w:r>
    </w:p>
    <w:p>
      <w:pPr>
        <w:spacing w:after="0" w:line="3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Previously filed as the like-numbered exhibit to the Registration Statement on Form S-1/A (File No. 333-174925), and incorporated herein by reference.</w:t>
      </w:r>
    </w:p>
    <w:p>
      <w:pPr>
        <w:spacing w:after="0" w:line="35" w:lineRule="exact"/>
        <w:rPr>
          <w:sz w:val="20"/>
          <w:szCs w:val="20"/>
          <w:color w:val="auto"/>
        </w:rPr>
      </w:pPr>
    </w:p>
    <w:p>
      <w:pPr>
        <w:jc w:val="both"/>
        <w:ind w:left="1300" w:hanging="482"/>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Enphase Energy, Inc. for purposes of Section 18 of the Securities Exchange Act of 1934, as amended.</w:t>
      </w:r>
    </w:p>
    <w:p>
      <w:pPr>
        <w:spacing w:after="0" w:line="46" w:lineRule="exact"/>
        <w:rPr>
          <w:sz w:val="20"/>
          <w:szCs w:val="20"/>
          <w:color w:val="auto"/>
        </w:rPr>
      </w:pPr>
    </w:p>
    <w:p>
      <w:pPr>
        <w:jc w:val="both"/>
        <w:ind w:left="1300" w:hanging="482"/>
        <w:spacing w:after="0" w:line="25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Pursuant to applicable securities laws and regulations, Enphase Energy, Inc. is deemed to have complied with the reporting obligation relating to the submission of interactive data files in such exhibits and are not subject to liability under any anti-fraud provisions of the federal securities laws as long as Enphase Energy, Inc. has made a good faith attempt to comply with the submission requirements and promptly amend the interactive data files after becoming aware that the interactive data files fail to comply with the submission requirements. In accordance with Rule 406T of Regulation S-T, the information in these exhibits is furnished and deemed not filed or a part of a registration statement or prospectus for purposes of Sections 11 or 12 of the Securities Act of 1933, as amended, is deemed not filed for purposes of Section 18 of the Exchange Act of 1934, as amended, and otherwise is not subject to liability under these sections and shall not be incorporated by reference into any</w:t>
      </w:r>
    </w:p>
    <w:p>
      <w:pPr>
        <w:sectPr>
          <w:pgSz w:w="11900" w:h="16838" w:orient="portrait"/>
          <w:cols w:equalWidth="0" w:num="1">
            <w:col w:w="11420"/>
          </w:cols>
          <w:pgMar w:left="240" w:top="125" w:right="239" w:bottom="144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left="1300"/>
        <w:spacing w:after="0" w:line="324" w:lineRule="auto"/>
        <w:rPr>
          <w:sz w:val="20"/>
          <w:szCs w:val="20"/>
          <w:color w:val="auto"/>
        </w:rPr>
      </w:pPr>
      <w:r>
        <w:rPr>
          <w:rFonts w:ascii="Arial" w:cs="Arial" w:eastAsia="Arial" w:hAnsi="Arial"/>
          <w:sz w:val="18"/>
          <w:szCs w:val="18"/>
          <w:color w:val="auto"/>
        </w:rPr>
        <w:t>registration statement or other document filed under the Securities Act of 1933, as amended, except as expressly set forth by specific reference in such filing.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B. Nahi, certify that:</w:t>
      </w:r>
    </w:p>
    <w:p>
      <w:pPr>
        <w:spacing w:after="0" w:line="198"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740" w:hanging="246"/>
        <w:spacing w:after="0"/>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Paul B. Nahi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Paul B. Nahi</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Kris Sennesael, certify that:</w:t>
      </w:r>
    </w:p>
    <w:p>
      <w:pPr>
        <w:spacing w:after="0" w:line="198"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Form 10-Q of Enphase Energy, Inc.;</w:t>
      </w:r>
    </w:p>
    <w:p>
      <w:pPr>
        <w:spacing w:after="0" w:line="198"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firstLine="8"/>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ind w:left="500" w:right="180" w:hanging="6"/>
        <w:spacing w:after="0" w:line="264" w:lineRule="auto"/>
        <w:tabs>
          <w:tab w:leader="none" w:pos="7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740" w:hanging="246"/>
        <w:spacing w:after="0"/>
        <w:tabs>
          <w:tab w:leader="none" w:pos="7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198" w:lineRule="exact"/>
        <w:rPr>
          <w:rFonts w:ascii="Arial" w:cs="Arial" w:eastAsia="Arial" w:hAnsi="Arial"/>
          <w:sz w:val="18"/>
          <w:szCs w:val="18"/>
          <w:color w:val="auto"/>
        </w:rPr>
      </w:pPr>
    </w:p>
    <w:p>
      <w:pPr>
        <w:ind w:left="500" w:right="980" w:hanging="6"/>
        <w:spacing w:after="0" w:line="342" w:lineRule="auto"/>
        <w:tabs>
          <w:tab w:leader="none" w:pos="745"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500" w:right="20" w:hanging="6"/>
        <w:spacing w:after="0" w:line="264" w:lineRule="auto"/>
        <w:tabs>
          <w:tab w:leader="none" w:pos="7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54"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500" w:right="360" w:hanging="6"/>
        <w:spacing w:after="0" w:line="277" w:lineRule="auto"/>
        <w:tabs>
          <w:tab w:leader="none" w:pos="7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500" w:right="320" w:hanging="6"/>
        <w:spacing w:after="0" w:line="277" w:lineRule="auto"/>
        <w:tabs>
          <w:tab w:leader="none" w:pos="75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2013</w:t>
      </w:r>
    </w:p>
    <w:p>
      <w:pPr>
        <w:spacing w:after="0" w:line="200" w:lineRule="exact"/>
        <w:rPr>
          <w:sz w:val="20"/>
          <w:szCs w:val="20"/>
          <w:color w:val="auto"/>
        </w:rPr>
      </w:pPr>
    </w:p>
    <w:p>
      <w:pPr>
        <w:spacing w:after="0" w:line="24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23495</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Kris Sennesael</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and Chief Financial Officer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3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Paul B. Nahi, President and Chief Executive Officer of Enphase Energy, Inc. (the “Company”), and Kris Sennesael, Vice President and Chief Financial Officer of the Company, each hereby certifies that, to the best of his or her knowledge:</w:t>
      </w:r>
    </w:p>
    <w:p>
      <w:pPr>
        <w:spacing w:after="0" w:line="120" w:lineRule="exact"/>
        <w:rPr>
          <w:sz w:val="20"/>
          <w:szCs w:val="20"/>
          <w:color w:val="auto"/>
        </w:rPr>
      </w:pPr>
    </w:p>
    <w:p>
      <w:pPr>
        <w:ind w:right="520" w:firstLine="8"/>
        <w:spacing w:after="0" w:line="277" w:lineRule="auto"/>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2013, to which this Certification is attached as Exhibit 32.1 (the “Periodic Report”), fully complies with the requirements of Section 13(a) or Section 15(d) of the Exchange Act; and</w:t>
      </w:r>
    </w:p>
    <w:p>
      <w:pPr>
        <w:spacing w:after="0" w:line="143" w:lineRule="exact"/>
        <w:rPr>
          <w:rFonts w:ascii="Arial" w:cs="Arial" w:eastAsia="Arial" w:hAnsi="Arial"/>
          <w:sz w:val="18"/>
          <w:szCs w:val="18"/>
          <w:b w:val="1"/>
          <w:bCs w:val="1"/>
          <w:color w:val="auto"/>
        </w:rPr>
      </w:pPr>
    </w:p>
    <w:p>
      <w:pPr>
        <w:ind w:left="180" w:hanging="172"/>
        <w:spacing w:after="0"/>
        <w:tabs>
          <w:tab w:leader="none" w:pos="18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12 day of November,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Paul B. Nahi</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Kris Sennesael</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Paul B. Nahi</w:t>
            </w:r>
          </w:p>
        </w:tc>
        <w:tc>
          <w:tcPr>
            <w:tcW w:w="5700" w:type="dxa"/>
            <w:vAlign w:val="bottom"/>
          </w:tcPr>
          <w:p>
            <w:pPr>
              <w:ind w:left="20"/>
              <w:spacing w:after="0"/>
              <w:rPr>
                <w:sz w:val="20"/>
                <w:szCs w:val="20"/>
                <w:color w:val="auto"/>
              </w:rPr>
            </w:pPr>
            <w:r>
              <w:rPr>
                <w:rFonts w:ascii="Arial" w:cs="Arial" w:eastAsia="Arial" w:hAnsi="Arial"/>
                <w:sz w:val="18"/>
                <w:szCs w:val="18"/>
                <w:color w:val="auto"/>
              </w:rPr>
              <w:t>Kris Sennesael</w:t>
            </w:r>
          </w:p>
        </w:tc>
      </w:tr>
      <w:tr>
        <w:trPr>
          <w:trHeight w:val="29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5700" w:type="dxa"/>
            <w:vAlign w:val="bottom"/>
          </w:tcPr>
          <w:p>
            <w:pPr>
              <w:ind w:left="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7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emdash "/>
      <w:numFmt w:val="bullet"/>
      <w:start w:val="1"/>
    </w:lvl>
  </w:abstractNum>
  <w:abstractNum w:abstractNumId="3">
    <w:nsid w:val="1BEFD79F"/>
    <w:multiLevelType w:val="hybridMultilevel"/>
    <w:lvl w:ilvl="0">
      <w:lvlJc w:val="left"/>
      <w:lvlText w:val="(%1)"/>
      <w:numFmt w:val="decimal"/>
      <w:start w:val="969"/>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2019-12-07T19:43:56Z</dcterms:created>
  <dcterms:modified xsi:type="dcterms:W3CDTF">2019-12-07T19:43:56Z</dcterms:modified>
</cp:coreProperties>
</file>